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493" w:rsidRPr="00525A49" w:rsidRDefault="00E10263" w:rsidP="00525A49">
      <w:pPr>
        <w:pStyle w:val="Title"/>
      </w:pPr>
      <w:bookmarkStart w:id="0" w:name="_GoBack"/>
      <w:bookmarkEnd w:id="0"/>
      <w:r w:rsidRPr="005B6343">
        <w:t>5.10</w:t>
      </w:r>
      <w:r w:rsidR="006D6493" w:rsidRPr="005B6343">
        <w:tab/>
      </w:r>
      <w:r w:rsidRPr="00525A49">
        <w:t>BUDESONIDE</w:t>
      </w:r>
      <w:r w:rsidR="006D6493" w:rsidRPr="00525A49">
        <w:t xml:space="preserve"> </w:t>
      </w:r>
      <w:r w:rsidR="006D6493" w:rsidRPr="00525A49">
        <w:br/>
      </w:r>
      <w:r w:rsidR="001F0CB3" w:rsidRPr="00525A49">
        <w:t>Enteric c</w:t>
      </w:r>
      <w:r w:rsidRPr="00525A49">
        <w:t xml:space="preserve">apsule 3 mg, </w:t>
      </w:r>
      <w:r w:rsidRPr="00525A49">
        <w:br/>
      </w:r>
      <w:proofErr w:type="spellStart"/>
      <w:r w:rsidRPr="00525A49">
        <w:t>Budenofalk</w:t>
      </w:r>
      <w:proofErr w:type="spellEnd"/>
      <w:r w:rsidRPr="00525A49">
        <w:t xml:space="preserve">®, </w:t>
      </w:r>
      <w:r w:rsidR="0024583F" w:rsidRPr="00525A49">
        <w:t>Orphan Australia Pty Ltd</w:t>
      </w:r>
    </w:p>
    <w:p w:rsidR="008A50F1" w:rsidRPr="005B6343" w:rsidRDefault="00CE10C4" w:rsidP="00366F9E">
      <w:pPr>
        <w:pStyle w:val="PBACHeading1"/>
        <w:spacing w:before="240" w:after="120"/>
        <w:ind w:left="709" w:hanging="709"/>
        <w:rPr>
          <w:rFonts w:asciiTheme="minorHAnsi" w:hAnsiTheme="minorHAnsi"/>
          <w:sz w:val="32"/>
          <w:szCs w:val="32"/>
        </w:rPr>
      </w:pPr>
      <w:r w:rsidRPr="005B6343">
        <w:rPr>
          <w:rFonts w:asciiTheme="minorHAnsi" w:hAnsiTheme="minorHAnsi"/>
          <w:sz w:val="32"/>
          <w:szCs w:val="32"/>
        </w:rPr>
        <w:t xml:space="preserve">Purpose of </w:t>
      </w:r>
      <w:r w:rsidR="0004240E" w:rsidRPr="005B6343">
        <w:rPr>
          <w:rFonts w:asciiTheme="minorHAnsi" w:hAnsiTheme="minorHAnsi"/>
          <w:sz w:val="32"/>
          <w:szCs w:val="32"/>
        </w:rPr>
        <w:t>Application</w:t>
      </w:r>
    </w:p>
    <w:p w:rsidR="00EF44A0" w:rsidRPr="005B6343" w:rsidRDefault="00EF44A0" w:rsidP="00366F9E">
      <w:pPr>
        <w:pStyle w:val="ListParagraph"/>
        <w:widowControl/>
        <w:numPr>
          <w:ilvl w:val="1"/>
          <w:numId w:val="5"/>
        </w:numPr>
        <w:spacing w:after="120"/>
        <w:contextualSpacing w:val="0"/>
        <w:rPr>
          <w:rFonts w:asciiTheme="minorHAnsi" w:hAnsiTheme="minorHAnsi"/>
          <w:sz w:val="24"/>
          <w:szCs w:val="24"/>
        </w:rPr>
      </w:pPr>
      <w:r w:rsidRPr="005B6343">
        <w:rPr>
          <w:rFonts w:asciiTheme="minorHAnsi" w:eastAsiaTheme="minorHAnsi" w:hAnsiTheme="minorHAnsi" w:cstheme="minorBidi"/>
          <w:snapToGrid/>
          <w:sz w:val="24"/>
          <w:szCs w:val="22"/>
        </w:rPr>
        <w:t>The mi</w:t>
      </w:r>
      <w:r w:rsidR="00FF2801" w:rsidRPr="005B6343">
        <w:rPr>
          <w:rFonts w:asciiTheme="minorHAnsi" w:eastAsiaTheme="minorHAnsi" w:hAnsiTheme="minorHAnsi" w:cstheme="minorBidi"/>
          <w:snapToGrid/>
          <w:sz w:val="24"/>
          <w:szCs w:val="22"/>
        </w:rPr>
        <w:t>nor submission sought</w:t>
      </w:r>
      <w:r w:rsidR="000856BA" w:rsidRPr="005B6343">
        <w:rPr>
          <w:rFonts w:asciiTheme="minorHAnsi" w:eastAsiaTheme="minorHAnsi" w:hAnsiTheme="minorHAnsi" w:cstheme="minorBidi"/>
          <w:snapToGrid/>
          <w:sz w:val="24"/>
          <w:szCs w:val="22"/>
        </w:rPr>
        <w:t xml:space="preserve"> </w:t>
      </w:r>
      <w:r w:rsidR="000856BA" w:rsidRPr="005B6343">
        <w:rPr>
          <w:rFonts w:asciiTheme="minorHAnsi" w:hAnsiTheme="minorHAnsi"/>
          <w:sz w:val="24"/>
          <w:szCs w:val="22"/>
        </w:rPr>
        <w:t xml:space="preserve">an Authority Required (STREAMLINED) listing for budesonide </w:t>
      </w:r>
      <w:r w:rsidR="00081FD0" w:rsidRPr="005B6343">
        <w:rPr>
          <w:rFonts w:asciiTheme="minorHAnsi" w:hAnsiTheme="minorHAnsi"/>
          <w:sz w:val="24"/>
          <w:szCs w:val="22"/>
        </w:rPr>
        <w:t xml:space="preserve">enteric </w:t>
      </w:r>
      <w:r w:rsidR="000856BA" w:rsidRPr="005B6343">
        <w:rPr>
          <w:rFonts w:asciiTheme="minorHAnsi" w:hAnsiTheme="minorHAnsi"/>
          <w:sz w:val="24"/>
          <w:szCs w:val="22"/>
        </w:rPr>
        <w:t>capsules (</w:t>
      </w:r>
      <w:proofErr w:type="spellStart"/>
      <w:r w:rsidR="00C75359" w:rsidRPr="005B6343">
        <w:rPr>
          <w:rFonts w:asciiTheme="minorHAnsi" w:hAnsiTheme="minorHAnsi"/>
          <w:sz w:val="24"/>
          <w:szCs w:val="22"/>
        </w:rPr>
        <w:t>Budenofalk</w:t>
      </w:r>
      <w:proofErr w:type="spellEnd"/>
      <w:r w:rsidR="00C75359" w:rsidRPr="005B6343">
        <w:rPr>
          <w:rFonts w:asciiTheme="minorHAnsi" w:hAnsiTheme="minorHAnsi"/>
          <w:sz w:val="24"/>
          <w:szCs w:val="22"/>
        </w:rPr>
        <w:t xml:space="preserve"> </w:t>
      </w:r>
      <w:r w:rsidR="000856BA" w:rsidRPr="005B6343">
        <w:rPr>
          <w:rFonts w:asciiTheme="minorHAnsi" w:hAnsiTheme="minorHAnsi"/>
          <w:sz w:val="24"/>
          <w:szCs w:val="22"/>
        </w:rPr>
        <w:t xml:space="preserve">from herein) for the treatment of mild to moderate Crohn’s disease (CD) affecting the ileum and/or the ascending colon. </w:t>
      </w:r>
    </w:p>
    <w:p w:rsidR="006A12A5" w:rsidRPr="005B6343" w:rsidRDefault="006A12A5" w:rsidP="00366F9E">
      <w:pPr>
        <w:pStyle w:val="PBACHeading1"/>
        <w:spacing w:before="240" w:after="120"/>
        <w:ind w:left="709" w:hanging="709"/>
        <w:rPr>
          <w:rFonts w:asciiTheme="minorHAnsi" w:hAnsiTheme="minorHAnsi"/>
          <w:sz w:val="32"/>
          <w:szCs w:val="32"/>
        </w:rPr>
      </w:pPr>
      <w:r w:rsidRPr="005B6343">
        <w:rPr>
          <w:rFonts w:asciiTheme="minorHAnsi" w:hAnsiTheme="minorHAnsi"/>
          <w:sz w:val="32"/>
          <w:szCs w:val="32"/>
        </w:rPr>
        <w:t>Requested listing</w:t>
      </w:r>
    </w:p>
    <w:p w:rsidR="00510B58" w:rsidRPr="005B6343" w:rsidRDefault="00EF44A0" w:rsidP="00366F9E">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5B6343">
        <w:rPr>
          <w:rFonts w:asciiTheme="minorHAnsi" w:eastAsiaTheme="minorHAnsi" w:hAnsiTheme="minorHAnsi" w:cstheme="minorBidi"/>
          <w:snapToGrid/>
          <w:sz w:val="24"/>
          <w:szCs w:val="22"/>
        </w:rPr>
        <w:t xml:space="preserve">The submission </w:t>
      </w:r>
      <w:r w:rsidR="00AB16B9" w:rsidRPr="005B6343">
        <w:rPr>
          <w:rFonts w:asciiTheme="minorHAnsi" w:eastAsiaTheme="minorHAnsi" w:hAnsiTheme="minorHAnsi" w:cstheme="minorBidi"/>
          <w:snapToGrid/>
          <w:sz w:val="24"/>
          <w:szCs w:val="22"/>
        </w:rPr>
        <w:t xml:space="preserve">sought the same listing as </w:t>
      </w:r>
      <w:r w:rsidR="003C2800" w:rsidRPr="005B6343">
        <w:rPr>
          <w:rFonts w:asciiTheme="minorHAnsi" w:hAnsiTheme="minorHAnsi"/>
          <w:sz w:val="24"/>
          <w:szCs w:val="22"/>
        </w:rPr>
        <w:t>budesonide (</w:t>
      </w:r>
      <w:proofErr w:type="spellStart"/>
      <w:r w:rsidR="003C2800" w:rsidRPr="005B6343">
        <w:rPr>
          <w:rFonts w:asciiTheme="minorHAnsi" w:hAnsiTheme="minorHAnsi"/>
          <w:sz w:val="24"/>
          <w:szCs w:val="22"/>
        </w:rPr>
        <w:t>Entocort</w:t>
      </w:r>
      <w:proofErr w:type="spellEnd"/>
      <w:r w:rsidR="003C2800" w:rsidRPr="005B6343">
        <w:rPr>
          <w:rFonts w:asciiTheme="minorHAnsi" w:hAnsiTheme="minorHAnsi"/>
          <w:sz w:val="24"/>
          <w:szCs w:val="22"/>
        </w:rPr>
        <w:t>)</w:t>
      </w:r>
      <w:r w:rsidR="00216EEC" w:rsidRPr="005B6343">
        <w:rPr>
          <w:rFonts w:asciiTheme="minorHAnsi" w:hAnsiTheme="minorHAnsi"/>
          <w:sz w:val="24"/>
          <w:szCs w:val="22"/>
        </w:rPr>
        <w:t xml:space="preserve"> </w:t>
      </w:r>
      <w:r w:rsidR="008662CE" w:rsidRPr="005B6343">
        <w:rPr>
          <w:rFonts w:asciiTheme="minorHAnsi" w:hAnsiTheme="minorHAnsi"/>
          <w:sz w:val="24"/>
          <w:szCs w:val="22"/>
        </w:rPr>
        <w:t>(</w:t>
      </w:r>
      <w:proofErr w:type="spellStart"/>
      <w:r w:rsidR="008662CE" w:rsidRPr="005B6343">
        <w:rPr>
          <w:rFonts w:asciiTheme="minorHAnsi" w:hAnsiTheme="minorHAnsi"/>
          <w:sz w:val="24"/>
          <w:szCs w:val="22"/>
        </w:rPr>
        <w:t>Entocort</w:t>
      </w:r>
      <w:proofErr w:type="spellEnd"/>
      <w:r w:rsidR="008662CE" w:rsidRPr="005B6343">
        <w:rPr>
          <w:rFonts w:asciiTheme="minorHAnsi" w:hAnsiTheme="minorHAnsi"/>
          <w:sz w:val="24"/>
          <w:szCs w:val="22"/>
        </w:rPr>
        <w:t xml:space="preserve"> from herein) </w:t>
      </w:r>
      <w:r w:rsidR="00216EEC" w:rsidRPr="005B6343">
        <w:rPr>
          <w:rFonts w:asciiTheme="minorHAnsi" w:hAnsiTheme="minorHAnsi"/>
          <w:sz w:val="24"/>
          <w:szCs w:val="22"/>
        </w:rPr>
        <w:t>which the PBAC recommended for listing in July 2018.</w:t>
      </w:r>
      <w:r w:rsidR="00216EEC" w:rsidRPr="005B6343">
        <w:rPr>
          <w:rFonts w:asciiTheme="minorHAnsi" w:eastAsiaTheme="minorHAnsi" w:hAnsiTheme="minorHAnsi" w:cstheme="minorBidi"/>
          <w:snapToGrid/>
          <w:sz w:val="24"/>
          <w:szCs w:val="22"/>
        </w:rPr>
        <w:t xml:space="preserve"> The submission did not provide </w:t>
      </w:r>
      <w:r w:rsidR="00F41789" w:rsidRPr="005B6343">
        <w:rPr>
          <w:rFonts w:asciiTheme="minorHAnsi" w:eastAsiaTheme="minorHAnsi" w:hAnsiTheme="minorHAnsi" w:cstheme="minorBidi"/>
          <w:snapToGrid/>
          <w:sz w:val="24"/>
          <w:szCs w:val="22"/>
        </w:rPr>
        <w:t xml:space="preserve">proposed restrictions. The following restrictions </w:t>
      </w:r>
      <w:proofErr w:type="gramStart"/>
      <w:r w:rsidR="001D2679" w:rsidRPr="005B6343">
        <w:rPr>
          <w:rFonts w:asciiTheme="minorHAnsi" w:eastAsiaTheme="minorHAnsi" w:hAnsiTheme="minorHAnsi" w:cstheme="minorBidi"/>
          <w:snapToGrid/>
          <w:sz w:val="24"/>
          <w:szCs w:val="22"/>
        </w:rPr>
        <w:t>were recommended</w:t>
      </w:r>
      <w:proofErr w:type="gramEnd"/>
      <w:r w:rsidR="001D2679" w:rsidRPr="005B6343">
        <w:rPr>
          <w:rFonts w:asciiTheme="minorHAnsi" w:eastAsiaTheme="minorHAnsi" w:hAnsiTheme="minorHAnsi" w:cstheme="minorBidi"/>
          <w:snapToGrid/>
          <w:sz w:val="24"/>
          <w:szCs w:val="22"/>
        </w:rPr>
        <w:t xml:space="preserve"> by the PBAC in July 2018</w:t>
      </w:r>
      <w:r w:rsidR="008D453B" w:rsidRPr="005B6343">
        <w:rPr>
          <w:rFonts w:asciiTheme="minorHAnsi" w:eastAsiaTheme="minorHAnsi" w:hAnsiTheme="minorHAnsi" w:cstheme="minorBidi"/>
          <w:snapToGrid/>
          <w:sz w:val="24"/>
          <w:szCs w:val="22"/>
        </w:rPr>
        <w:t xml:space="preserve"> for </w:t>
      </w:r>
      <w:proofErr w:type="spellStart"/>
      <w:r w:rsidR="008D453B" w:rsidRPr="005B6343">
        <w:rPr>
          <w:rFonts w:asciiTheme="minorHAnsi" w:eastAsiaTheme="minorHAnsi" w:hAnsiTheme="minorHAnsi" w:cstheme="minorBidi"/>
          <w:snapToGrid/>
          <w:sz w:val="24"/>
          <w:szCs w:val="22"/>
        </w:rPr>
        <w:t>Entocort</w:t>
      </w:r>
      <w:proofErr w:type="spellEnd"/>
      <w:r w:rsidR="001D2679" w:rsidRPr="005B6343">
        <w:rPr>
          <w:rFonts w:asciiTheme="minorHAnsi" w:eastAsiaTheme="minorHAnsi" w:hAnsiTheme="minorHAnsi" w:cstheme="minorBidi"/>
          <w:snapToGrid/>
          <w:sz w:val="24"/>
          <w:szCs w:val="22"/>
        </w:rPr>
        <w:t xml:space="preserve"> (</w:t>
      </w:r>
      <w:r w:rsidR="003E7117" w:rsidRPr="005B6343">
        <w:rPr>
          <w:rFonts w:asciiTheme="minorHAnsi" w:eastAsiaTheme="minorHAnsi" w:hAnsiTheme="minorHAnsi" w:cstheme="minorBidi"/>
          <w:snapToGrid/>
          <w:sz w:val="24"/>
          <w:szCs w:val="22"/>
        </w:rPr>
        <w:t>budesonide (</w:t>
      </w:r>
      <w:proofErr w:type="spellStart"/>
      <w:r w:rsidR="003E7117" w:rsidRPr="005B6343">
        <w:rPr>
          <w:rFonts w:asciiTheme="minorHAnsi" w:eastAsiaTheme="minorHAnsi" w:hAnsiTheme="minorHAnsi" w:cstheme="minorBidi"/>
          <w:snapToGrid/>
          <w:sz w:val="24"/>
          <w:szCs w:val="22"/>
        </w:rPr>
        <w:t>Entocort</w:t>
      </w:r>
      <w:proofErr w:type="spellEnd"/>
      <w:r w:rsidR="003E7117" w:rsidRPr="005B6343">
        <w:rPr>
          <w:rFonts w:asciiTheme="minorHAnsi" w:eastAsiaTheme="minorHAnsi" w:hAnsiTheme="minorHAnsi" w:cstheme="minorBidi"/>
          <w:snapToGrid/>
          <w:sz w:val="24"/>
          <w:szCs w:val="22"/>
        </w:rPr>
        <w:t>) Public</w:t>
      </w:r>
      <w:r w:rsidRPr="005B6343">
        <w:rPr>
          <w:rFonts w:asciiTheme="minorHAnsi" w:eastAsiaTheme="minorHAnsi" w:hAnsiTheme="minorHAnsi" w:cstheme="minorBidi"/>
          <w:snapToGrid/>
          <w:sz w:val="24"/>
          <w:szCs w:val="22"/>
        </w:rPr>
        <w:t xml:space="preserve"> </w:t>
      </w:r>
      <w:r w:rsidR="0081546E" w:rsidRPr="005B6343">
        <w:rPr>
          <w:rFonts w:asciiTheme="minorHAnsi" w:eastAsiaTheme="minorHAnsi" w:hAnsiTheme="minorHAnsi" w:cstheme="minorBidi"/>
          <w:snapToGrid/>
          <w:sz w:val="24"/>
          <w:szCs w:val="22"/>
        </w:rPr>
        <w:t>Summary Document (PSD)</w:t>
      </w:r>
      <w:r w:rsidR="001D2679" w:rsidRPr="005B6343">
        <w:rPr>
          <w:rFonts w:asciiTheme="minorHAnsi" w:eastAsiaTheme="minorHAnsi" w:hAnsiTheme="minorHAnsi" w:cstheme="minorBidi"/>
          <w:snapToGrid/>
          <w:sz w:val="24"/>
          <w:szCs w:val="22"/>
        </w:rPr>
        <w:t>, p17)</w:t>
      </w:r>
      <w:r w:rsidR="0081546E" w:rsidRPr="005B6343">
        <w:rPr>
          <w:rFonts w:asciiTheme="minorHAnsi" w:eastAsiaTheme="minorHAnsi" w:hAnsiTheme="minorHAnsi" w:cstheme="minorBidi"/>
          <w:snapToGrid/>
          <w:sz w:val="24"/>
          <w:szCs w:val="22"/>
        </w:rPr>
        <w:t xml:space="preserve">. </w:t>
      </w:r>
    </w:p>
    <w:p w:rsidR="003C34EC" w:rsidRDefault="003C34EC" w:rsidP="00366F9E">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5B6343">
        <w:rPr>
          <w:rFonts w:asciiTheme="minorHAnsi" w:eastAsiaTheme="minorHAnsi" w:hAnsiTheme="minorHAnsi" w:cstheme="minorBidi"/>
          <w:snapToGrid/>
          <w:sz w:val="24"/>
          <w:szCs w:val="22"/>
        </w:rPr>
        <w:t xml:space="preserve">Suggestions and additions proposed by the Secretariat to the requested listing </w:t>
      </w:r>
      <w:proofErr w:type="gramStart"/>
      <w:r w:rsidRPr="005B6343">
        <w:rPr>
          <w:rFonts w:asciiTheme="minorHAnsi" w:eastAsiaTheme="minorHAnsi" w:hAnsiTheme="minorHAnsi" w:cstheme="minorBidi"/>
          <w:snapToGrid/>
          <w:sz w:val="24"/>
          <w:szCs w:val="22"/>
        </w:rPr>
        <w:t>are added</w:t>
      </w:r>
      <w:proofErr w:type="gramEnd"/>
      <w:r w:rsidRPr="005B6343">
        <w:rPr>
          <w:rFonts w:asciiTheme="minorHAnsi" w:eastAsiaTheme="minorHAnsi" w:hAnsiTheme="minorHAnsi" w:cstheme="minorBidi"/>
          <w:snapToGrid/>
          <w:sz w:val="24"/>
          <w:szCs w:val="22"/>
        </w:rPr>
        <w:t xml:space="preserve"> in italics and suggested deletions are crossed out with strikethrough.</w:t>
      </w:r>
    </w:p>
    <w:tbl>
      <w:tblPr>
        <w:tblW w:w="5000" w:type="pct"/>
        <w:tblLook w:val="0000" w:firstRow="0" w:lastRow="0" w:firstColumn="0" w:lastColumn="0" w:noHBand="0" w:noVBand="0"/>
      </w:tblPr>
      <w:tblGrid>
        <w:gridCol w:w="3136"/>
        <w:gridCol w:w="31"/>
        <w:gridCol w:w="661"/>
        <w:gridCol w:w="794"/>
        <w:gridCol w:w="1168"/>
        <w:gridCol w:w="1173"/>
        <w:gridCol w:w="2063"/>
      </w:tblGrid>
      <w:tr w:rsidR="00973E59" w:rsidRPr="00F1507D" w:rsidTr="00973E59">
        <w:trPr>
          <w:cantSplit/>
        </w:trPr>
        <w:tc>
          <w:tcPr>
            <w:tcW w:w="1737" w:type="pct"/>
            <w:tcBorders>
              <w:bottom w:val="single" w:sz="4" w:space="0" w:color="auto"/>
            </w:tcBorders>
          </w:tcPr>
          <w:p w:rsidR="00973E59" w:rsidRPr="00F1507D" w:rsidRDefault="00973E59" w:rsidP="00E122FB">
            <w:pPr>
              <w:keepNext/>
              <w:ind w:left="-108"/>
              <w:jc w:val="both"/>
              <w:rPr>
                <w:rFonts w:ascii="Arial Narrow" w:hAnsi="Arial Narrow" w:cs="Arial"/>
                <w:b/>
                <w:sz w:val="20"/>
              </w:rPr>
            </w:pPr>
            <w:r w:rsidRPr="00F1507D">
              <w:rPr>
                <w:rFonts w:ascii="Arial Narrow" w:hAnsi="Arial Narrow" w:cs="Arial"/>
                <w:b/>
                <w:sz w:val="20"/>
              </w:rPr>
              <w:t>Name, Restriction</w:t>
            </w:r>
          </w:p>
          <w:p w:rsidR="00973E59" w:rsidRPr="00F1507D" w:rsidRDefault="00973E59" w:rsidP="00E122FB">
            <w:pPr>
              <w:keepNext/>
              <w:ind w:left="-108"/>
              <w:jc w:val="both"/>
              <w:rPr>
                <w:rFonts w:ascii="Arial Narrow" w:hAnsi="Arial Narrow" w:cs="Arial"/>
                <w:b/>
                <w:sz w:val="20"/>
              </w:rPr>
            </w:pPr>
            <w:r w:rsidRPr="00F1507D">
              <w:rPr>
                <w:rFonts w:ascii="Arial Narrow" w:hAnsi="Arial Narrow" w:cs="Arial"/>
                <w:b/>
                <w:sz w:val="20"/>
              </w:rPr>
              <w:t>Manner of administration and form</w:t>
            </w:r>
          </w:p>
        </w:tc>
        <w:tc>
          <w:tcPr>
            <w:tcW w:w="383" w:type="pct"/>
            <w:gridSpan w:val="2"/>
            <w:tcBorders>
              <w:bottom w:val="single" w:sz="4" w:space="0" w:color="auto"/>
            </w:tcBorders>
          </w:tcPr>
          <w:p w:rsidR="00973E59" w:rsidRPr="00F1507D" w:rsidRDefault="00973E59" w:rsidP="00E122FB">
            <w:pPr>
              <w:keepNext/>
              <w:ind w:left="-108"/>
              <w:jc w:val="both"/>
              <w:rPr>
                <w:rFonts w:ascii="Arial Narrow" w:hAnsi="Arial Narrow" w:cs="Arial"/>
                <w:b/>
                <w:sz w:val="20"/>
              </w:rPr>
            </w:pPr>
            <w:r w:rsidRPr="00F1507D">
              <w:rPr>
                <w:rFonts w:ascii="Arial Narrow" w:hAnsi="Arial Narrow" w:cs="Arial"/>
                <w:b/>
                <w:sz w:val="20"/>
              </w:rPr>
              <w:t>Max.</w:t>
            </w:r>
          </w:p>
          <w:p w:rsidR="00973E59" w:rsidRPr="00F1507D" w:rsidRDefault="00973E59" w:rsidP="00E122FB">
            <w:pPr>
              <w:keepNext/>
              <w:ind w:left="-108"/>
              <w:jc w:val="both"/>
              <w:rPr>
                <w:rFonts w:ascii="Arial Narrow" w:hAnsi="Arial Narrow" w:cs="Arial"/>
                <w:b/>
                <w:sz w:val="20"/>
              </w:rPr>
            </w:pPr>
            <w:proofErr w:type="spellStart"/>
            <w:r w:rsidRPr="00F1507D">
              <w:rPr>
                <w:rFonts w:ascii="Arial Narrow" w:hAnsi="Arial Narrow" w:cs="Arial"/>
                <w:b/>
                <w:sz w:val="20"/>
              </w:rPr>
              <w:t>Qty</w:t>
            </w:r>
            <w:proofErr w:type="spellEnd"/>
          </w:p>
        </w:tc>
        <w:tc>
          <w:tcPr>
            <w:tcW w:w="440" w:type="pct"/>
            <w:tcBorders>
              <w:bottom w:val="single" w:sz="4" w:space="0" w:color="auto"/>
            </w:tcBorders>
          </w:tcPr>
          <w:p w:rsidR="00973E59" w:rsidRPr="00F1507D" w:rsidRDefault="00973E59" w:rsidP="00E122FB">
            <w:pPr>
              <w:keepNext/>
              <w:ind w:left="-108"/>
              <w:rPr>
                <w:rFonts w:ascii="Arial Narrow" w:hAnsi="Arial Narrow" w:cs="Arial"/>
                <w:b/>
                <w:sz w:val="20"/>
              </w:rPr>
            </w:pPr>
            <w:r w:rsidRPr="00F1507D">
              <w:rPr>
                <w:rFonts w:ascii="Arial Narrow" w:hAnsi="Arial Narrow" w:cs="Arial"/>
                <w:b/>
                <w:sz w:val="20"/>
              </w:rPr>
              <w:t xml:space="preserve">№. of </w:t>
            </w:r>
            <w:proofErr w:type="spellStart"/>
            <w:r w:rsidRPr="00F1507D">
              <w:rPr>
                <w:rFonts w:ascii="Arial Narrow" w:hAnsi="Arial Narrow" w:cs="Arial"/>
                <w:b/>
                <w:sz w:val="20"/>
              </w:rPr>
              <w:t>Rpts</w:t>
            </w:r>
            <w:proofErr w:type="spellEnd"/>
          </w:p>
        </w:tc>
        <w:tc>
          <w:tcPr>
            <w:tcW w:w="647" w:type="pct"/>
            <w:tcBorders>
              <w:bottom w:val="single" w:sz="4" w:space="0" w:color="auto"/>
            </w:tcBorders>
          </w:tcPr>
          <w:p w:rsidR="00973E59" w:rsidRPr="00F1507D" w:rsidRDefault="00952625" w:rsidP="00973E59">
            <w:pPr>
              <w:keepNext/>
              <w:rPr>
                <w:rFonts w:ascii="Arial Narrow" w:hAnsi="Arial Narrow" w:cs="Arial"/>
                <w:b/>
                <w:sz w:val="20"/>
              </w:rPr>
            </w:pPr>
            <w:r w:rsidRPr="00F1507D">
              <w:rPr>
                <w:rFonts w:ascii="Arial Narrow" w:hAnsi="Arial Narrow" w:cs="Arial"/>
                <w:b/>
                <w:sz w:val="20"/>
              </w:rPr>
              <w:t>Dispensed Price for Max.</w:t>
            </w:r>
            <w:r w:rsidR="00973E59" w:rsidRPr="00F1507D">
              <w:rPr>
                <w:rFonts w:ascii="Arial Narrow" w:hAnsi="Arial Narrow" w:cs="Arial"/>
                <w:b/>
                <w:sz w:val="20"/>
              </w:rPr>
              <w:t xml:space="preserve"> </w:t>
            </w:r>
            <w:proofErr w:type="spellStart"/>
            <w:r w:rsidR="00973E59" w:rsidRPr="00F1507D">
              <w:rPr>
                <w:rFonts w:ascii="Arial Narrow" w:hAnsi="Arial Narrow" w:cs="Arial"/>
                <w:b/>
                <w:sz w:val="20"/>
              </w:rPr>
              <w:t>Qty</w:t>
            </w:r>
            <w:proofErr w:type="spellEnd"/>
            <w:r w:rsidR="00973E59" w:rsidRPr="00F1507D">
              <w:rPr>
                <w:rFonts w:ascii="Arial Narrow" w:hAnsi="Arial Narrow" w:cs="Arial"/>
                <w:b/>
                <w:sz w:val="20"/>
              </w:rPr>
              <w:t xml:space="preserve"> (DPMQ)</w:t>
            </w:r>
          </w:p>
        </w:tc>
        <w:tc>
          <w:tcPr>
            <w:tcW w:w="1793" w:type="pct"/>
            <w:gridSpan w:val="2"/>
            <w:tcBorders>
              <w:bottom w:val="single" w:sz="4" w:space="0" w:color="auto"/>
            </w:tcBorders>
          </w:tcPr>
          <w:p w:rsidR="00973E59" w:rsidRPr="00F1507D" w:rsidRDefault="00973E59" w:rsidP="00E122FB">
            <w:pPr>
              <w:keepNext/>
              <w:rPr>
                <w:rFonts w:ascii="Arial Narrow" w:hAnsi="Arial Narrow" w:cs="Arial"/>
                <w:b/>
                <w:sz w:val="20"/>
              </w:rPr>
            </w:pPr>
            <w:r w:rsidRPr="00F1507D">
              <w:rPr>
                <w:rFonts w:ascii="Arial Narrow" w:hAnsi="Arial Narrow" w:cs="Arial"/>
                <w:b/>
                <w:sz w:val="20"/>
              </w:rPr>
              <w:t>Proprietary Name and Manufacturer</w:t>
            </w:r>
          </w:p>
        </w:tc>
      </w:tr>
      <w:tr w:rsidR="00973E59" w:rsidRPr="005B6343" w:rsidTr="00973E59">
        <w:trPr>
          <w:cantSplit/>
        </w:trPr>
        <w:tc>
          <w:tcPr>
            <w:tcW w:w="1737" w:type="pct"/>
          </w:tcPr>
          <w:p w:rsidR="00973E59" w:rsidRPr="00F1507D" w:rsidRDefault="00973E59" w:rsidP="00E122FB">
            <w:pPr>
              <w:keepNext/>
              <w:ind w:left="-108"/>
              <w:jc w:val="both"/>
              <w:rPr>
                <w:rFonts w:ascii="Arial Narrow" w:hAnsi="Arial Narrow" w:cs="Arial"/>
                <w:smallCaps/>
                <w:sz w:val="20"/>
              </w:rPr>
            </w:pPr>
            <w:r w:rsidRPr="00F1507D">
              <w:rPr>
                <w:rFonts w:ascii="Arial Narrow" w:hAnsi="Arial Narrow" w:cs="Arial"/>
                <w:smallCaps/>
                <w:sz w:val="20"/>
              </w:rPr>
              <w:t>BUDESONIDE</w:t>
            </w:r>
          </w:p>
          <w:p w:rsidR="00973E59" w:rsidRPr="005B6343" w:rsidRDefault="00973E59" w:rsidP="00E122FB">
            <w:pPr>
              <w:keepNext/>
              <w:ind w:left="-108"/>
              <w:jc w:val="both"/>
              <w:rPr>
                <w:rFonts w:ascii="Arial Narrow" w:hAnsi="Arial Narrow" w:cs="Arial"/>
                <w:sz w:val="20"/>
              </w:rPr>
            </w:pPr>
            <w:r w:rsidRPr="005B6343">
              <w:rPr>
                <w:rFonts w:ascii="Arial Narrow" w:hAnsi="Arial Narrow" w:cs="Arial"/>
                <w:sz w:val="20"/>
              </w:rPr>
              <w:t>3 mg enteric capsule</w:t>
            </w:r>
          </w:p>
          <w:p w:rsidR="00973E59" w:rsidRPr="005B6343" w:rsidRDefault="00973E59" w:rsidP="00E122FB">
            <w:pPr>
              <w:keepNext/>
              <w:ind w:left="-108"/>
              <w:jc w:val="both"/>
              <w:rPr>
                <w:rFonts w:ascii="Arial Narrow" w:hAnsi="Arial Narrow" w:cs="Arial"/>
                <w:sz w:val="20"/>
              </w:rPr>
            </w:pPr>
          </w:p>
        </w:tc>
        <w:tc>
          <w:tcPr>
            <w:tcW w:w="383" w:type="pct"/>
            <w:gridSpan w:val="2"/>
          </w:tcPr>
          <w:p w:rsidR="00973E59" w:rsidRPr="005B6343" w:rsidRDefault="00973E59" w:rsidP="00E122FB">
            <w:pPr>
              <w:keepNext/>
              <w:rPr>
                <w:rFonts w:ascii="Arial Narrow" w:hAnsi="Arial Narrow" w:cs="Arial"/>
                <w:sz w:val="20"/>
              </w:rPr>
            </w:pPr>
            <w:r w:rsidRPr="005B6343">
              <w:rPr>
                <w:rFonts w:ascii="Arial Narrow" w:hAnsi="Arial Narrow" w:cs="Arial"/>
                <w:sz w:val="20"/>
              </w:rPr>
              <w:t>90</w:t>
            </w:r>
          </w:p>
        </w:tc>
        <w:tc>
          <w:tcPr>
            <w:tcW w:w="440" w:type="pct"/>
            <w:tcBorders>
              <w:top w:val="single" w:sz="4" w:space="0" w:color="auto"/>
            </w:tcBorders>
          </w:tcPr>
          <w:p w:rsidR="00973E59" w:rsidRPr="005B6343" w:rsidRDefault="00973E59" w:rsidP="00E122FB">
            <w:pPr>
              <w:keepNext/>
              <w:ind w:left="-108"/>
              <w:rPr>
                <w:rFonts w:ascii="Arial Narrow" w:hAnsi="Arial Narrow" w:cs="Arial"/>
                <w:i/>
                <w:strike/>
                <w:sz w:val="20"/>
              </w:rPr>
            </w:pPr>
            <w:r w:rsidRPr="005B6343">
              <w:rPr>
                <w:rFonts w:ascii="Arial Narrow" w:hAnsi="Arial Narrow" w:cs="Arial"/>
                <w:strike/>
                <w:sz w:val="20"/>
              </w:rPr>
              <w:t>2</w:t>
            </w:r>
            <w:r w:rsidRPr="005B6343">
              <w:rPr>
                <w:rFonts w:ascii="Arial Narrow" w:hAnsi="Arial Narrow" w:cs="Arial"/>
                <w:i/>
                <w:sz w:val="20"/>
              </w:rPr>
              <w:t>1</w:t>
            </w:r>
          </w:p>
        </w:tc>
        <w:tc>
          <w:tcPr>
            <w:tcW w:w="647" w:type="pct"/>
            <w:tcBorders>
              <w:top w:val="single" w:sz="4" w:space="0" w:color="auto"/>
            </w:tcBorders>
          </w:tcPr>
          <w:p w:rsidR="00973E59" w:rsidRPr="005B6343" w:rsidRDefault="00973E59" w:rsidP="00973E59">
            <w:pPr>
              <w:keepNext/>
              <w:rPr>
                <w:rFonts w:ascii="Arial Narrow" w:hAnsi="Arial Narrow" w:cs="Arial"/>
                <w:sz w:val="20"/>
              </w:rPr>
            </w:pPr>
            <w:r w:rsidRPr="005B6343">
              <w:rPr>
                <w:rFonts w:ascii="Arial Narrow" w:hAnsi="Arial Narrow" w:cs="Arial"/>
                <w:sz w:val="20"/>
              </w:rPr>
              <w:t>$</w:t>
            </w:r>
            <w:r w:rsidR="000836E1">
              <w:rPr>
                <w:rFonts w:ascii="Arial Narrow" w:hAnsi="Arial Narrow" w:cs="Arial"/>
                <w:noProof/>
                <w:color w:val="000000"/>
                <w:sz w:val="20"/>
                <w:highlight w:val="black"/>
              </w:rPr>
              <w:t>'''''''''''''''''</w:t>
            </w:r>
          </w:p>
        </w:tc>
        <w:tc>
          <w:tcPr>
            <w:tcW w:w="650" w:type="pct"/>
          </w:tcPr>
          <w:p w:rsidR="00973E59" w:rsidRPr="005B6343" w:rsidRDefault="00973E59" w:rsidP="00E122FB">
            <w:pPr>
              <w:keepNext/>
              <w:rPr>
                <w:rFonts w:ascii="Arial Narrow" w:hAnsi="Arial Narrow" w:cs="Arial"/>
                <w:sz w:val="20"/>
              </w:rPr>
            </w:pPr>
            <w:proofErr w:type="spellStart"/>
            <w:r w:rsidRPr="005B6343">
              <w:rPr>
                <w:rFonts w:ascii="Arial Narrow" w:hAnsi="Arial Narrow" w:cs="Arial"/>
                <w:sz w:val="20"/>
              </w:rPr>
              <w:t>Budenofalk</w:t>
            </w:r>
            <w:proofErr w:type="spellEnd"/>
            <w:r w:rsidRPr="005B6343">
              <w:rPr>
                <w:rFonts w:ascii="Arial Narrow" w:hAnsi="Arial Narrow" w:cs="Arial"/>
                <w:sz w:val="20"/>
              </w:rPr>
              <w:t>®</w:t>
            </w:r>
          </w:p>
        </w:tc>
        <w:tc>
          <w:tcPr>
            <w:tcW w:w="1143" w:type="pct"/>
          </w:tcPr>
          <w:p w:rsidR="00973E59" w:rsidRPr="005B6343" w:rsidRDefault="00973E59" w:rsidP="00E122FB">
            <w:pPr>
              <w:keepNext/>
              <w:rPr>
                <w:rFonts w:ascii="Arial Narrow" w:hAnsi="Arial Narrow" w:cs="Arial"/>
                <w:sz w:val="20"/>
              </w:rPr>
            </w:pPr>
            <w:r w:rsidRPr="005B6343">
              <w:rPr>
                <w:rFonts w:ascii="Arial Narrow" w:hAnsi="Arial Narrow" w:cs="Arial"/>
                <w:sz w:val="20"/>
              </w:rPr>
              <w:t>Orphan Australia Pty Ltd</w:t>
            </w:r>
          </w:p>
        </w:tc>
      </w:tr>
      <w:tr w:rsidR="001D2679" w:rsidRPr="005B6343" w:rsidTr="00973E59">
        <w:trPr>
          <w:cantSplit/>
        </w:trPr>
        <w:tc>
          <w:tcPr>
            <w:tcW w:w="1754" w:type="pct"/>
            <w:gridSpan w:val="2"/>
            <w:tcBorders>
              <w:top w:val="single" w:sz="4" w:space="0" w:color="auto"/>
              <w:left w:val="single" w:sz="4" w:space="0" w:color="auto"/>
              <w:bottom w:val="single" w:sz="4" w:space="0" w:color="auto"/>
              <w:right w:val="single" w:sz="4" w:space="0" w:color="auto"/>
            </w:tcBorders>
            <w:vAlign w:val="center"/>
          </w:tcPr>
          <w:p w:rsidR="001D2679" w:rsidRPr="005B6343" w:rsidRDefault="001D2679" w:rsidP="00E122FB">
            <w:pPr>
              <w:rPr>
                <w:rFonts w:ascii="Arial Narrow" w:hAnsi="Arial Narrow" w:cs="Arial"/>
                <w:b/>
                <w:sz w:val="20"/>
              </w:rPr>
            </w:pPr>
            <w:r w:rsidRPr="005B6343">
              <w:rPr>
                <w:rFonts w:ascii="Arial Narrow" w:hAnsi="Arial Narrow" w:cs="Arial"/>
                <w:b/>
                <w:sz w:val="20"/>
              </w:rPr>
              <w:t xml:space="preserve">Category/Program </w:t>
            </w:r>
          </w:p>
        </w:tc>
        <w:tc>
          <w:tcPr>
            <w:tcW w:w="3246" w:type="pct"/>
            <w:gridSpan w:val="5"/>
            <w:tcBorders>
              <w:top w:val="single" w:sz="4" w:space="0" w:color="auto"/>
              <w:left w:val="single" w:sz="4" w:space="0" w:color="auto"/>
              <w:bottom w:val="single" w:sz="4" w:space="0" w:color="auto"/>
              <w:right w:val="single" w:sz="4" w:space="0" w:color="auto"/>
            </w:tcBorders>
            <w:vAlign w:val="center"/>
          </w:tcPr>
          <w:p w:rsidR="001D2679" w:rsidRPr="00F32366" w:rsidRDefault="001D2679" w:rsidP="00F32366">
            <w:pPr>
              <w:rPr>
                <w:rFonts w:ascii="Arial Narrow" w:hAnsi="Arial Narrow"/>
                <w:sz w:val="20"/>
              </w:rPr>
            </w:pPr>
            <w:r w:rsidRPr="005B6343">
              <w:rPr>
                <w:rFonts w:ascii="Arial Narrow" w:hAnsi="Arial Narrow"/>
                <w:sz w:val="20"/>
              </w:rPr>
              <w:t>Section 85 (general schedule)</w:t>
            </w:r>
          </w:p>
        </w:tc>
      </w:tr>
      <w:tr w:rsidR="001D2679" w:rsidRPr="005B6343" w:rsidTr="00973E59">
        <w:trPr>
          <w:cantSplit/>
        </w:trPr>
        <w:tc>
          <w:tcPr>
            <w:tcW w:w="1754" w:type="pct"/>
            <w:gridSpan w:val="2"/>
            <w:tcBorders>
              <w:top w:val="single" w:sz="4" w:space="0" w:color="auto"/>
              <w:left w:val="single" w:sz="4" w:space="0" w:color="auto"/>
              <w:bottom w:val="single" w:sz="4" w:space="0" w:color="auto"/>
              <w:right w:val="single" w:sz="4" w:space="0" w:color="auto"/>
            </w:tcBorders>
            <w:vAlign w:val="center"/>
          </w:tcPr>
          <w:p w:rsidR="001D2679" w:rsidRPr="005B6343" w:rsidRDefault="001D2679" w:rsidP="00E122FB">
            <w:pPr>
              <w:rPr>
                <w:rFonts w:ascii="Arial Narrow" w:hAnsi="Arial Narrow" w:cs="Arial"/>
                <w:b/>
                <w:sz w:val="20"/>
              </w:rPr>
            </w:pPr>
            <w:r w:rsidRPr="005B6343">
              <w:rPr>
                <w:rFonts w:ascii="Arial Narrow" w:hAnsi="Arial Narrow" w:cs="Arial"/>
                <w:b/>
                <w:sz w:val="20"/>
              </w:rPr>
              <w:t>Prescriber type:</w:t>
            </w:r>
          </w:p>
        </w:tc>
        <w:tc>
          <w:tcPr>
            <w:tcW w:w="3246" w:type="pct"/>
            <w:gridSpan w:val="5"/>
            <w:tcBorders>
              <w:top w:val="single" w:sz="4" w:space="0" w:color="auto"/>
              <w:left w:val="single" w:sz="4" w:space="0" w:color="auto"/>
              <w:bottom w:val="single" w:sz="4" w:space="0" w:color="auto"/>
              <w:right w:val="single" w:sz="4" w:space="0" w:color="auto"/>
            </w:tcBorders>
            <w:vAlign w:val="center"/>
          </w:tcPr>
          <w:p w:rsidR="001D2679" w:rsidRPr="005B6343" w:rsidRDefault="001D2679" w:rsidP="00E122FB">
            <w:pPr>
              <w:rPr>
                <w:rFonts w:ascii="Arial Narrow" w:hAnsi="Arial Narrow" w:cs="Arial"/>
                <w:sz w:val="20"/>
              </w:rPr>
            </w:pPr>
            <w:r w:rsidRPr="005B6343">
              <w:rPr>
                <w:rFonts w:ascii="Arial Narrow" w:hAnsi="Arial Narrow" w:cs="Arial"/>
                <w:sz w:val="20"/>
              </w:rPr>
              <w:fldChar w:fldCharType="begin">
                <w:ffData>
                  <w:name w:val="Check5"/>
                  <w:enabled/>
                  <w:calcOnExit w:val="0"/>
                  <w:checkBox>
                    <w:sizeAuto/>
                    <w:default w:val="0"/>
                  </w:checkBox>
                </w:ffData>
              </w:fldChar>
            </w:r>
            <w:r w:rsidRPr="005B6343">
              <w:rPr>
                <w:rFonts w:ascii="Arial Narrow" w:hAnsi="Arial Narrow" w:cs="Arial"/>
                <w:sz w:val="20"/>
              </w:rPr>
              <w:instrText xml:space="preserve"> FORMCHECKBOX </w:instrText>
            </w:r>
            <w:r w:rsidR="002D0630">
              <w:rPr>
                <w:rFonts w:ascii="Arial Narrow" w:hAnsi="Arial Narrow" w:cs="Arial"/>
                <w:sz w:val="20"/>
              </w:rPr>
            </w:r>
            <w:r w:rsidR="002D0630">
              <w:rPr>
                <w:rFonts w:ascii="Arial Narrow" w:hAnsi="Arial Narrow" w:cs="Arial"/>
                <w:sz w:val="20"/>
              </w:rPr>
              <w:fldChar w:fldCharType="separate"/>
            </w:r>
            <w:r w:rsidRPr="005B6343">
              <w:rPr>
                <w:rFonts w:ascii="Arial Narrow" w:hAnsi="Arial Narrow" w:cs="Arial"/>
                <w:sz w:val="20"/>
              </w:rPr>
              <w:fldChar w:fldCharType="end"/>
            </w:r>
            <w:r w:rsidRPr="005B6343">
              <w:rPr>
                <w:rFonts w:ascii="Arial Narrow" w:hAnsi="Arial Narrow" w:cs="Arial"/>
                <w:sz w:val="20"/>
              </w:rPr>
              <w:t xml:space="preserve">Dental  </w:t>
            </w:r>
            <w:r w:rsidRPr="005B6343">
              <w:rPr>
                <w:rFonts w:ascii="Arial Narrow" w:hAnsi="Arial Narrow" w:cs="Arial"/>
                <w:sz w:val="20"/>
              </w:rPr>
              <w:fldChar w:fldCharType="begin">
                <w:ffData>
                  <w:name w:val=""/>
                  <w:enabled/>
                  <w:calcOnExit w:val="0"/>
                  <w:checkBox>
                    <w:sizeAuto/>
                    <w:default w:val="1"/>
                  </w:checkBox>
                </w:ffData>
              </w:fldChar>
            </w:r>
            <w:r w:rsidRPr="005B6343">
              <w:rPr>
                <w:rFonts w:ascii="Arial Narrow" w:hAnsi="Arial Narrow" w:cs="Arial"/>
                <w:sz w:val="20"/>
              </w:rPr>
              <w:instrText xml:space="preserve"> FORMCHECKBOX </w:instrText>
            </w:r>
            <w:r w:rsidR="002D0630">
              <w:rPr>
                <w:rFonts w:ascii="Arial Narrow" w:hAnsi="Arial Narrow" w:cs="Arial"/>
                <w:sz w:val="20"/>
              </w:rPr>
            </w:r>
            <w:r w:rsidR="002D0630">
              <w:rPr>
                <w:rFonts w:ascii="Arial Narrow" w:hAnsi="Arial Narrow" w:cs="Arial"/>
                <w:sz w:val="20"/>
              </w:rPr>
              <w:fldChar w:fldCharType="separate"/>
            </w:r>
            <w:r w:rsidRPr="005B6343">
              <w:rPr>
                <w:rFonts w:ascii="Arial Narrow" w:hAnsi="Arial Narrow" w:cs="Arial"/>
                <w:sz w:val="20"/>
              </w:rPr>
              <w:fldChar w:fldCharType="end"/>
            </w:r>
            <w:r w:rsidRPr="005B6343">
              <w:rPr>
                <w:rFonts w:ascii="Arial Narrow" w:hAnsi="Arial Narrow" w:cs="Arial"/>
                <w:sz w:val="20"/>
              </w:rPr>
              <w:t xml:space="preserve">Medical Practitioners  </w:t>
            </w:r>
            <w:r w:rsidRPr="005B6343">
              <w:rPr>
                <w:rFonts w:ascii="Arial Narrow" w:hAnsi="Arial Narrow" w:cs="Arial"/>
                <w:sz w:val="20"/>
              </w:rPr>
              <w:fldChar w:fldCharType="begin">
                <w:ffData>
                  <w:name w:val="Check3"/>
                  <w:enabled/>
                  <w:calcOnExit w:val="0"/>
                  <w:checkBox>
                    <w:sizeAuto/>
                    <w:default w:val="1"/>
                  </w:checkBox>
                </w:ffData>
              </w:fldChar>
            </w:r>
            <w:r w:rsidRPr="005B6343">
              <w:rPr>
                <w:rFonts w:ascii="Arial Narrow" w:hAnsi="Arial Narrow" w:cs="Arial"/>
                <w:sz w:val="20"/>
              </w:rPr>
              <w:instrText xml:space="preserve"> FORMCHECKBOX </w:instrText>
            </w:r>
            <w:r w:rsidR="002D0630">
              <w:rPr>
                <w:rFonts w:ascii="Arial Narrow" w:hAnsi="Arial Narrow" w:cs="Arial"/>
                <w:sz w:val="20"/>
              </w:rPr>
            </w:r>
            <w:r w:rsidR="002D0630">
              <w:rPr>
                <w:rFonts w:ascii="Arial Narrow" w:hAnsi="Arial Narrow" w:cs="Arial"/>
                <w:sz w:val="20"/>
              </w:rPr>
              <w:fldChar w:fldCharType="separate"/>
            </w:r>
            <w:r w:rsidRPr="005B6343">
              <w:rPr>
                <w:rFonts w:ascii="Arial Narrow" w:hAnsi="Arial Narrow" w:cs="Arial"/>
                <w:sz w:val="20"/>
              </w:rPr>
              <w:fldChar w:fldCharType="end"/>
            </w:r>
            <w:r w:rsidRPr="005B6343">
              <w:rPr>
                <w:rFonts w:ascii="Arial Narrow" w:hAnsi="Arial Narrow" w:cs="Arial"/>
                <w:sz w:val="20"/>
              </w:rPr>
              <w:t xml:space="preserve">Nurse practitioners  </w:t>
            </w:r>
            <w:r w:rsidRPr="005B6343">
              <w:rPr>
                <w:rFonts w:ascii="Arial Narrow" w:hAnsi="Arial Narrow" w:cs="Arial"/>
                <w:sz w:val="20"/>
              </w:rPr>
              <w:fldChar w:fldCharType="begin">
                <w:ffData>
                  <w:name w:val=""/>
                  <w:enabled/>
                  <w:calcOnExit w:val="0"/>
                  <w:checkBox>
                    <w:sizeAuto/>
                    <w:default w:val="0"/>
                  </w:checkBox>
                </w:ffData>
              </w:fldChar>
            </w:r>
            <w:r w:rsidRPr="005B6343">
              <w:rPr>
                <w:rFonts w:ascii="Arial Narrow" w:hAnsi="Arial Narrow" w:cs="Arial"/>
                <w:sz w:val="20"/>
              </w:rPr>
              <w:instrText xml:space="preserve"> FORMCHECKBOX </w:instrText>
            </w:r>
            <w:r w:rsidR="002D0630">
              <w:rPr>
                <w:rFonts w:ascii="Arial Narrow" w:hAnsi="Arial Narrow" w:cs="Arial"/>
                <w:sz w:val="20"/>
              </w:rPr>
            </w:r>
            <w:r w:rsidR="002D0630">
              <w:rPr>
                <w:rFonts w:ascii="Arial Narrow" w:hAnsi="Arial Narrow" w:cs="Arial"/>
                <w:sz w:val="20"/>
              </w:rPr>
              <w:fldChar w:fldCharType="separate"/>
            </w:r>
            <w:r w:rsidRPr="005B6343">
              <w:rPr>
                <w:rFonts w:ascii="Arial Narrow" w:hAnsi="Arial Narrow" w:cs="Arial"/>
                <w:sz w:val="20"/>
              </w:rPr>
              <w:fldChar w:fldCharType="end"/>
            </w:r>
            <w:r w:rsidRPr="005B6343">
              <w:rPr>
                <w:rFonts w:ascii="Arial Narrow" w:hAnsi="Arial Narrow" w:cs="Arial"/>
                <w:sz w:val="20"/>
              </w:rPr>
              <w:t>Optometrists</w:t>
            </w:r>
          </w:p>
          <w:p w:rsidR="001D2679" w:rsidRPr="00F32366" w:rsidRDefault="001D2679" w:rsidP="00F32366">
            <w:pPr>
              <w:rPr>
                <w:rFonts w:ascii="Arial Narrow" w:hAnsi="Arial Narrow" w:cs="Arial"/>
                <w:sz w:val="20"/>
              </w:rPr>
            </w:pPr>
            <w:r w:rsidRPr="005B6343">
              <w:rPr>
                <w:rFonts w:ascii="Arial Narrow" w:hAnsi="Arial Narrow" w:cs="Arial"/>
                <w:sz w:val="20"/>
              </w:rPr>
              <w:fldChar w:fldCharType="begin">
                <w:ffData>
                  <w:name w:val="Check5"/>
                  <w:enabled/>
                  <w:calcOnExit w:val="0"/>
                  <w:checkBox>
                    <w:sizeAuto/>
                    <w:default w:val="0"/>
                  </w:checkBox>
                </w:ffData>
              </w:fldChar>
            </w:r>
            <w:r w:rsidRPr="005B6343">
              <w:rPr>
                <w:rFonts w:ascii="Arial Narrow" w:hAnsi="Arial Narrow" w:cs="Arial"/>
                <w:sz w:val="20"/>
              </w:rPr>
              <w:instrText xml:space="preserve"> FORMCHECKBOX </w:instrText>
            </w:r>
            <w:r w:rsidR="002D0630">
              <w:rPr>
                <w:rFonts w:ascii="Arial Narrow" w:hAnsi="Arial Narrow" w:cs="Arial"/>
                <w:sz w:val="20"/>
              </w:rPr>
            </w:r>
            <w:r w:rsidR="002D0630">
              <w:rPr>
                <w:rFonts w:ascii="Arial Narrow" w:hAnsi="Arial Narrow" w:cs="Arial"/>
                <w:sz w:val="20"/>
              </w:rPr>
              <w:fldChar w:fldCharType="separate"/>
            </w:r>
            <w:r w:rsidRPr="005B6343">
              <w:rPr>
                <w:rFonts w:ascii="Arial Narrow" w:hAnsi="Arial Narrow" w:cs="Arial"/>
                <w:sz w:val="20"/>
              </w:rPr>
              <w:fldChar w:fldCharType="end"/>
            </w:r>
            <w:r w:rsidRPr="005B6343">
              <w:rPr>
                <w:rFonts w:ascii="Arial Narrow" w:hAnsi="Arial Narrow" w:cs="Arial"/>
                <w:sz w:val="20"/>
              </w:rPr>
              <w:t>Midwives</w:t>
            </w:r>
          </w:p>
        </w:tc>
      </w:tr>
      <w:tr w:rsidR="001D2679" w:rsidRPr="005B6343" w:rsidTr="00973E59">
        <w:trPr>
          <w:cantSplit/>
        </w:trPr>
        <w:tc>
          <w:tcPr>
            <w:tcW w:w="1754" w:type="pct"/>
            <w:gridSpan w:val="2"/>
            <w:tcBorders>
              <w:top w:val="single" w:sz="4" w:space="0" w:color="auto"/>
              <w:left w:val="single" w:sz="4" w:space="0" w:color="auto"/>
              <w:bottom w:val="single" w:sz="4" w:space="0" w:color="auto"/>
              <w:right w:val="single" w:sz="4" w:space="0" w:color="auto"/>
            </w:tcBorders>
            <w:vAlign w:val="center"/>
          </w:tcPr>
          <w:p w:rsidR="001D2679" w:rsidRPr="005B6343" w:rsidRDefault="001D2679" w:rsidP="00E122FB">
            <w:pPr>
              <w:rPr>
                <w:rFonts w:ascii="Arial Narrow" w:hAnsi="Arial Narrow" w:cs="Arial"/>
                <w:b/>
                <w:sz w:val="20"/>
              </w:rPr>
            </w:pPr>
            <w:r w:rsidRPr="005B6343">
              <w:rPr>
                <w:rFonts w:ascii="Arial Narrow" w:hAnsi="Arial Narrow" w:cs="Arial"/>
                <w:b/>
                <w:sz w:val="20"/>
              </w:rPr>
              <w:t>Severity:</w:t>
            </w:r>
          </w:p>
        </w:tc>
        <w:tc>
          <w:tcPr>
            <w:tcW w:w="3246" w:type="pct"/>
            <w:gridSpan w:val="5"/>
            <w:tcBorders>
              <w:top w:val="single" w:sz="4" w:space="0" w:color="auto"/>
              <w:left w:val="single" w:sz="4" w:space="0" w:color="auto"/>
              <w:bottom w:val="single" w:sz="4" w:space="0" w:color="auto"/>
              <w:right w:val="single" w:sz="4" w:space="0" w:color="auto"/>
            </w:tcBorders>
            <w:vAlign w:val="center"/>
          </w:tcPr>
          <w:p w:rsidR="001D2679" w:rsidRPr="00F32366" w:rsidRDefault="001D2679" w:rsidP="00F32366">
            <w:pPr>
              <w:rPr>
                <w:rFonts w:ascii="Arial Narrow" w:hAnsi="Arial Narrow"/>
                <w:sz w:val="20"/>
              </w:rPr>
            </w:pPr>
            <w:r w:rsidRPr="005B6343">
              <w:rPr>
                <w:rFonts w:ascii="Arial Narrow" w:hAnsi="Arial Narrow"/>
                <w:sz w:val="20"/>
              </w:rPr>
              <w:t xml:space="preserve">Mild to moderate </w:t>
            </w:r>
          </w:p>
        </w:tc>
      </w:tr>
      <w:tr w:rsidR="001D2679" w:rsidRPr="005B6343" w:rsidTr="00973E59">
        <w:trPr>
          <w:cantSplit/>
        </w:trPr>
        <w:tc>
          <w:tcPr>
            <w:tcW w:w="1754" w:type="pct"/>
            <w:gridSpan w:val="2"/>
            <w:tcBorders>
              <w:top w:val="single" w:sz="4" w:space="0" w:color="auto"/>
              <w:left w:val="single" w:sz="4" w:space="0" w:color="auto"/>
              <w:bottom w:val="single" w:sz="4" w:space="0" w:color="auto"/>
              <w:right w:val="single" w:sz="4" w:space="0" w:color="auto"/>
            </w:tcBorders>
            <w:vAlign w:val="center"/>
          </w:tcPr>
          <w:p w:rsidR="001D2679" w:rsidRPr="005B6343" w:rsidRDefault="001D2679" w:rsidP="00E122FB">
            <w:pPr>
              <w:rPr>
                <w:rFonts w:ascii="Arial Narrow" w:hAnsi="Arial Narrow" w:cs="Arial"/>
                <w:b/>
                <w:sz w:val="20"/>
              </w:rPr>
            </w:pPr>
            <w:r w:rsidRPr="005B6343">
              <w:rPr>
                <w:rFonts w:ascii="Arial Narrow" w:hAnsi="Arial Narrow" w:cs="Arial"/>
                <w:b/>
                <w:sz w:val="20"/>
              </w:rPr>
              <w:t>Condition:</w:t>
            </w:r>
          </w:p>
        </w:tc>
        <w:tc>
          <w:tcPr>
            <w:tcW w:w="3246" w:type="pct"/>
            <w:gridSpan w:val="5"/>
            <w:tcBorders>
              <w:top w:val="single" w:sz="4" w:space="0" w:color="auto"/>
              <w:left w:val="single" w:sz="4" w:space="0" w:color="auto"/>
              <w:bottom w:val="single" w:sz="4" w:space="0" w:color="auto"/>
              <w:right w:val="single" w:sz="4" w:space="0" w:color="auto"/>
            </w:tcBorders>
            <w:vAlign w:val="center"/>
          </w:tcPr>
          <w:p w:rsidR="001D2679" w:rsidRPr="00F32366" w:rsidRDefault="001D2679" w:rsidP="00F32366">
            <w:pPr>
              <w:rPr>
                <w:rFonts w:ascii="Arial Narrow" w:hAnsi="Arial Narrow"/>
                <w:sz w:val="20"/>
              </w:rPr>
            </w:pPr>
            <w:r w:rsidRPr="005B6343">
              <w:rPr>
                <w:rFonts w:ascii="Arial Narrow" w:hAnsi="Arial Narrow"/>
                <w:sz w:val="20"/>
              </w:rPr>
              <w:t>Crohn disease</w:t>
            </w:r>
          </w:p>
        </w:tc>
      </w:tr>
      <w:tr w:rsidR="001D2679" w:rsidRPr="005B6343" w:rsidTr="00973E59">
        <w:trPr>
          <w:cantSplit/>
        </w:trPr>
        <w:tc>
          <w:tcPr>
            <w:tcW w:w="1754" w:type="pct"/>
            <w:gridSpan w:val="2"/>
            <w:tcBorders>
              <w:top w:val="single" w:sz="4" w:space="0" w:color="auto"/>
              <w:left w:val="single" w:sz="4" w:space="0" w:color="auto"/>
              <w:bottom w:val="single" w:sz="4" w:space="0" w:color="auto"/>
              <w:right w:val="single" w:sz="4" w:space="0" w:color="auto"/>
            </w:tcBorders>
            <w:vAlign w:val="center"/>
          </w:tcPr>
          <w:p w:rsidR="001D2679" w:rsidRPr="005B6343" w:rsidRDefault="001D2679" w:rsidP="00E122FB">
            <w:pPr>
              <w:rPr>
                <w:rFonts w:ascii="Arial Narrow" w:hAnsi="Arial Narrow" w:cs="Arial"/>
                <w:b/>
                <w:sz w:val="20"/>
              </w:rPr>
            </w:pPr>
            <w:r w:rsidRPr="005B6343">
              <w:rPr>
                <w:rFonts w:ascii="Arial Narrow" w:hAnsi="Arial Narrow" w:cs="Arial"/>
                <w:b/>
                <w:sz w:val="20"/>
              </w:rPr>
              <w:t>PBS Indication:</w:t>
            </w:r>
          </w:p>
        </w:tc>
        <w:tc>
          <w:tcPr>
            <w:tcW w:w="3246" w:type="pct"/>
            <w:gridSpan w:val="5"/>
            <w:tcBorders>
              <w:top w:val="single" w:sz="4" w:space="0" w:color="auto"/>
              <w:left w:val="single" w:sz="4" w:space="0" w:color="auto"/>
              <w:bottom w:val="single" w:sz="4" w:space="0" w:color="auto"/>
              <w:right w:val="single" w:sz="4" w:space="0" w:color="auto"/>
            </w:tcBorders>
            <w:vAlign w:val="center"/>
          </w:tcPr>
          <w:p w:rsidR="001D2679" w:rsidRPr="00F32366" w:rsidRDefault="001D2679" w:rsidP="00F32366">
            <w:pPr>
              <w:rPr>
                <w:rFonts w:ascii="Arial Narrow" w:hAnsi="Arial Narrow"/>
                <w:sz w:val="20"/>
              </w:rPr>
            </w:pPr>
            <w:r w:rsidRPr="005B6343">
              <w:rPr>
                <w:rFonts w:ascii="Arial Narrow" w:hAnsi="Arial Narrow"/>
                <w:sz w:val="20"/>
              </w:rPr>
              <w:t xml:space="preserve">Mild to moderate Crohn disease </w:t>
            </w:r>
          </w:p>
        </w:tc>
      </w:tr>
      <w:tr w:rsidR="001D2679" w:rsidRPr="005B6343" w:rsidTr="00973E59">
        <w:trPr>
          <w:cantSplit/>
        </w:trPr>
        <w:tc>
          <w:tcPr>
            <w:tcW w:w="1754" w:type="pct"/>
            <w:gridSpan w:val="2"/>
            <w:tcBorders>
              <w:top w:val="single" w:sz="4" w:space="0" w:color="auto"/>
              <w:left w:val="single" w:sz="4" w:space="0" w:color="auto"/>
              <w:bottom w:val="single" w:sz="4" w:space="0" w:color="auto"/>
              <w:right w:val="single" w:sz="4" w:space="0" w:color="auto"/>
            </w:tcBorders>
            <w:vAlign w:val="center"/>
          </w:tcPr>
          <w:p w:rsidR="001D2679" w:rsidRPr="005B6343" w:rsidRDefault="001D2679" w:rsidP="00E122FB">
            <w:pPr>
              <w:rPr>
                <w:rFonts w:ascii="Arial Narrow" w:hAnsi="Arial Narrow" w:cs="Arial"/>
                <w:b/>
                <w:sz w:val="20"/>
              </w:rPr>
            </w:pPr>
            <w:r w:rsidRPr="005B6343">
              <w:rPr>
                <w:rFonts w:ascii="Arial Narrow" w:hAnsi="Arial Narrow" w:cs="Arial"/>
                <w:b/>
                <w:sz w:val="20"/>
              </w:rPr>
              <w:t>Restriction:</w:t>
            </w:r>
          </w:p>
          <w:p w:rsidR="001D2679" w:rsidRPr="005B6343" w:rsidRDefault="001D2679" w:rsidP="00E122FB">
            <w:pPr>
              <w:rPr>
                <w:rFonts w:ascii="Arial Narrow" w:hAnsi="Arial Narrow" w:cs="Arial"/>
                <w:sz w:val="20"/>
              </w:rPr>
            </w:pPr>
          </w:p>
        </w:tc>
        <w:tc>
          <w:tcPr>
            <w:tcW w:w="3246" w:type="pct"/>
            <w:gridSpan w:val="5"/>
            <w:tcBorders>
              <w:top w:val="single" w:sz="4" w:space="0" w:color="auto"/>
              <w:left w:val="single" w:sz="4" w:space="0" w:color="auto"/>
              <w:bottom w:val="single" w:sz="4" w:space="0" w:color="auto"/>
              <w:right w:val="single" w:sz="4" w:space="0" w:color="auto"/>
            </w:tcBorders>
            <w:vAlign w:val="center"/>
          </w:tcPr>
          <w:p w:rsidR="001D2679" w:rsidRPr="005B6343" w:rsidRDefault="001D2679" w:rsidP="00E122FB">
            <w:pPr>
              <w:rPr>
                <w:rFonts w:ascii="Arial Narrow" w:hAnsi="Arial Narrow" w:cs="Arial"/>
                <w:sz w:val="20"/>
              </w:rPr>
            </w:pPr>
            <w:r w:rsidRPr="005B6343">
              <w:rPr>
                <w:rFonts w:ascii="Arial Narrow" w:hAnsi="Arial Narrow" w:cs="Arial"/>
                <w:sz w:val="20"/>
              </w:rPr>
              <w:fldChar w:fldCharType="begin">
                <w:ffData>
                  <w:name w:val="Check1"/>
                  <w:enabled/>
                  <w:calcOnExit w:val="0"/>
                  <w:checkBox>
                    <w:sizeAuto/>
                    <w:default w:val="0"/>
                  </w:checkBox>
                </w:ffData>
              </w:fldChar>
            </w:r>
            <w:r w:rsidRPr="005B6343">
              <w:rPr>
                <w:rFonts w:ascii="Arial Narrow" w:hAnsi="Arial Narrow" w:cs="Arial"/>
                <w:sz w:val="20"/>
              </w:rPr>
              <w:instrText xml:space="preserve"> FORMCHECKBOX </w:instrText>
            </w:r>
            <w:r w:rsidR="002D0630">
              <w:rPr>
                <w:rFonts w:ascii="Arial Narrow" w:hAnsi="Arial Narrow" w:cs="Arial"/>
                <w:sz w:val="20"/>
              </w:rPr>
            </w:r>
            <w:r w:rsidR="002D0630">
              <w:rPr>
                <w:rFonts w:ascii="Arial Narrow" w:hAnsi="Arial Narrow" w:cs="Arial"/>
                <w:sz w:val="20"/>
              </w:rPr>
              <w:fldChar w:fldCharType="separate"/>
            </w:r>
            <w:r w:rsidRPr="005B6343">
              <w:rPr>
                <w:rFonts w:ascii="Arial Narrow" w:hAnsi="Arial Narrow" w:cs="Arial"/>
                <w:sz w:val="20"/>
              </w:rPr>
              <w:fldChar w:fldCharType="end"/>
            </w:r>
            <w:r w:rsidRPr="005B6343">
              <w:rPr>
                <w:rFonts w:ascii="Arial Narrow" w:hAnsi="Arial Narrow" w:cs="Arial"/>
                <w:sz w:val="20"/>
              </w:rPr>
              <w:t>Restricted benefit</w:t>
            </w:r>
          </w:p>
          <w:p w:rsidR="001D2679" w:rsidRPr="005B6343" w:rsidRDefault="001D2679" w:rsidP="00E122FB">
            <w:pPr>
              <w:rPr>
                <w:rFonts w:ascii="Arial Narrow" w:hAnsi="Arial Narrow" w:cs="Arial"/>
                <w:sz w:val="20"/>
              </w:rPr>
            </w:pPr>
            <w:r w:rsidRPr="005B6343">
              <w:rPr>
                <w:rFonts w:ascii="Arial Narrow" w:hAnsi="Arial Narrow" w:cs="Arial"/>
                <w:sz w:val="20"/>
              </w:rPr>
              <w:fldChar w:fldCharType="begin">
                <w:ffData>
                  <w:name w:val=""/>
                  <w:enabled/>
                  <w:calcOnExit w:val="0"/>
                  <w:checkBox>
                    <w:sizeAuto/>
                    <w:default w:val="0"/>
                  </w:checkBox>
                </w:ffData>
              </w:fldChar>
            </w:r>
            <w:r w:rsidRPr="005B6343">
              <w:rPr>
                <w:rFonts w:ascii="Arial Narrow" w:hAnsi="Arial Narrow" w:cs="Arial"/>
                <w:sz w:val="20"/>
              </w:rPr>
              <w:instrText xml:space="preserve"> FORMCHECKBOX </w:instrText>
            </w:r>
            <w:r w:rsidR="002D0630">
              <w:rPr>
                <w:rFonts w:ascii="Arial Narrow" w:hAnsi="Arial Narrow" w:cs="Arial"/>
                <w:sz w:val="20"/>
              </w:rPr>
            </w:r>
            <w:r w:rsidR="002D0630">
              <w:rPr>
                <w:rFonts w:ascii="Arial Narrow" w:hAnsi="Arial Narrow" w:cs="Arial"/>
                <w:sz w:val="20"/>
              </w:rPr>
              <w:fldChar w:fldCharType="separate"/>
            </w:r>
            <w:r w:rsidRPr="005B6343">
              <w:rPr>
                <w:rFonts w:ascii="Arial Narrow" w:hAnsi="Arial Narrow" w:cs="Arial"/>
                <w:sz w:val="20"/>
              </w:rPr>
              <w:fldChar w:fldCharType="end"/>
            </w:r>
            <w:r w:rsidRPr="005B6343">
              <w:rPr>
                <w:rFonts w:ascii="Arial Narrow" w:hAnsi="Arial Narrow" w:cs="Arial"/>
                <w:sz w:val="20"/>
              </w:rPr>
              <w:t>Authority Required - In Writing</w:t>
            </w:r>
          </w:p>
          <w:p w:rsidR="001D2679" w:rsidRPr="005B6343" w:rsidRDefault="001D2679" w:rsidP="00E122FB">
            <w:pPr>
              <w:rPr>
                <w:rFonts w:ascii="Arial Narrow" w:hAnsi="Arial Narrow" w:cs="Arial"/>
                <w:sz w:val="20"/>
              </w:rPr>
            </w:pPr>
            <w:r w:rsidRPr="005B6343">
              <w:rPr>
                <w:rFonts w:ascii="Arial Narrow" w:hAnsi="Arial Narrow" w:cs="Arial"/>
                <w:sz w:val="20"/>
              </w:rPr>
              <w:fldChar w:fldCharType="begin">
                <w:ffData>
                  <w:name w:val="Check3"/>
                  <w:enabled/>
                  <w:calcOnExit w:val="0"/>
                  <w:checkBox>
                    <w:sizeAuto/>
                    <w:default w:val="0"/>
                  </w:checkBox>
                </w:ffData>
              </w:fldChar>
            </w:r>
            <w:r w:rsidRPr="005B6343">
              <w:rPr>
                <w:rFonts w:ascii="Arial Narrow" w:hAnsi="Arial Narrow" w:cs="Arial"/>
                <w:sz w:val="20"/>
              </w:rPr>
              <w:instrText xml:space="preserve"> FORMCHECKBOX </w:instrText>
            </w:r>
            <w:r w:rsidR="002D0630">
              <w:rPr>
                <w:rFonts w:ascii="Arial Narrow" w:hAnsi="Arial Narrow" w:cs="Arial"/>
                <w:sz w:val="20"/>
              </w:rPr>
            </w:r>
            <w:r w:rsidR="002D0630">
              <w:rPr>
                <w:rFonts w:ascii="Arial Narrow" w:hAnsi="Arial Narrow" w:cs="Arial"/>
                <w:sz w:val="20"/>
              </w:rPr>
              <w:fldChar w:fldCharType="separate"/>
            </w:r>
            <w:r w:rsidRPr="005B6343">
              <w:rPr>
                <w:rFonts w:ascii="Arial Narrow" w:hAnsi="Arial Narrow" w:cs="Arial"/>
                <w:sz w:val="20"/>
              </w:rPr>
              <w:fldChar w:fldCharType="end"/>
            </w:r>
            <w:r w:rsidRPr="005B6343">
              <w:rPr>
                <w:rFonts w:ascii="Arial Narrow" w:hAnsi="Arial Narrow" w:cs="Arial"/>
                <w:sz w:val="20"/>
              </w:rPr>
              <w:t>Authority Required - Telephone</w:t>
            </w:r>
          </w:p>
          <w:p w:rsidR="001D2679" w:rsidRPr="005B6343" w:rsidRDefault="001D2679" w:rsidP="00E122FB">
            <w:pPr>
              <w:rPr>
                <w:rFonts w:ascii="Arial Narrow" w:hAnsi="Arial Narrow" w:cs="Arial"/>
                <w:sz w:val="20"/>
              </w:rPr>
            </w:pPr>
            <w:r w:rsidRPr="005B6343">
              <w:rPr>
                <w:rFonts w:ascii="Arial Narrow" w:hAnsi="Arial Narrow" w:cs="Arial"/>
                <w:sz w:val="20"/>
              </w:rPr>
              <w:fldChar w:fldCharType="begin">
                <w:ffData>
                  <w:name w:val=""/>
                  <w:enabled/>
                  <w:calcOnExit w:val="0"/>
                  <w:checkBox>
                    <w:sizeAuto/>
                    <w:default w:val="0"/>
                  </w:checkBox>
                </w:ffData>
              </w:fldChar>
            </w:r>
            <w:r w:rsidRPr="005B6343">
              <w:rPr>
                <w:rFonts w:ascii="Arial Narrow" w:hAnsi="Arial Narrow" w:cs="Arial"/>
                <w:sz w:val="20"/>
              </w:rPr>
              <w:instrText xml:space="preserve"> FORMCHECKBOX </w:instrText>
            </w:r>
            <w:r w:rsidR="002D0630">
              <w:rPr>
                <w:rFonts w:ascii="Arial Narrow" w:hAnsi="Arial Narrow" w:cs="Arial"/>
                <w:sz w:val="20"/>
              </w:rPr>
            </w:r>
            <w:r w:rsidR="002D0630">
              <w:rPr>
                <w:rFonts w:ascii="Arial Narrow" w:hAnsi="Arial Narrow" w:cs="Arial"/>
                <w:sz w:val="20"/>
              </w:rPr>
              <w:fldChar w:fldCharType="separate"/>
            </w:r>
            <w:r w:rsidRPr="005B6343">
              <w:rPr>
                <w:rFonts w:ascii="Arial Narrow" w:hAnsi="Arial Narrow" w:cs="Arial"/>
                <w:sz w:val="20"/>
              </w:rPr>
              <w:fldChar w:fldCharType="end"/>
            </w:r>
            <w:r w:rsidRPr="005B6343">
              <w:rPr>
                <w:rFonts w:ascii="Arial Narrow" w:hAnsi="Arial Narrow" w:cs="Arial"/>
                <w:sz w:val="20"/>
              </w:rPr>
              <w:t>Authority Required – Emergency</w:t>
            </w:r>
          </w:p>
          <w:p w:rsidR="001D2679" w:rsidRPr="005B6343" w:rsidRDefault="001D2679" w:rsidP="00E122FB">
            <w:pPr>
              <w:rPr>
                <w:rFonts w:ascii="Arial Narrow" w:hAnsi="Arial Narrow" w:cs="Arial"/>
                <w:sz w:val="20"/>
              </w:rPr>
            </w:pPr>
            <w:r w:rsidRPr="005B6343">
              <w:rPr>
                <w:rFonts w:ascii="Arial Narrow" w:hAnsi="Arial Narrow" w:cs="Arial"/>
                <w:sz w:val="20"/>
              </w:rPr>
              <w:fldChar w:fldCharType="begin">
                <w:ffData>
                  <w:name w:val="Check5"/>
                  <w:enabled/>
                  <w:calcOnExit w:val="0"/>
                  <w:checkBox>
                    <w:sizeAuto/>
                    <w:default w:val="0"/>
                  </w:checkBox>
                </w:ffData>
              </w:fldChar>
            </w:r>
            <w:r w:rsidRPr="005B6343">
              <w:rPr>
                <w:rFonts w:ascii="Arial Narrow" w:hAnsi="Arial Narrow" w:cs="Arial"/>
                <w:sz w:val="20"/>
              </w:rPr>
              <w:instrText xml:space="preserve"> FORMCHECKBOX </w:instrText>
            </w:r>
            <w:r w:rsidR="002D0630">
              <w:rPr>
                <w:rFonts w:ascii="Arial Narrow" w:hAnsi="Arial Narrow" w:cs="Arial"/>
                <w:sz w:val="20"/>
              </w:rPr>
            </w:r>
            <w:r w:rsidR="002D0630">
              <w:rPr>
                <w:rFonts w:ascii="Arial Narrow" w:hAnsi="Arial Narrow" w:cs="Arial"/>
                <w:sz w:val="20"/>
              </w:rPr>
              <w:fldChar w:fldCharType="separate"/>
            </w:r>
            <w:r w:rsidRPr="005B6343">
              <w:rPr>
                <w:rFonts w:ascii="Arial Narrow" w:hAnsi="Arial Narrow" w:cs="Arial"/>
                <w:sz w:val="20"/>
              </w:rPr>
              <w:fldChar w:fldCharType="end"/>
            </w:r>
            <w:r w:rsidRPr="005B6343">
              <w:rPr>
                <w:rFonts w:ascii="Arial Narrow" w:hAnsi="Arial Narrow" w:cs="Arial"/>
                <w:sz w:val="20"/>
              </w:rPr>
              <w:t>Authority Required - Electronic</w:t>
            </w:r>
          </w:p>
          <w:p w:rsidR="001D2679" w:rsidRPr="005B6343" w:rsidRDefault="001D2679" w:rsidP="00E122FB">
            <w:pPr>
              <w:rPr>
                <w:rFonts w:ascii="Arial Narrow" w:hAnsi="Arial Narrow"/>
                <w:sz w:val="20"/>
              </w:rPr>
            </w:pPr>
            <w:r w:rsidRPr="005B6343">
              <w:rPr>
                <w:rFonts w:ascii="Arial Narrow" w:hAnsi="Arial Narrow" w:cs="Arial"/>
                <w:sz w:val="20"/>
              </w:rPr>
              <w:fldChar w:fldCharType="begin">
                <w:ffData>
                  <w:name w:val="Check5"/>
                  <w:enabled/>
                  <w:calcOnExit w:val="0"/>
                  <w:checkBox>
                    <w:sizeAuto/>
                    <w:default w:val="1"/>
                  </w:checkBox>
                </w:ffData>
              </w:fldChar>
            </w:r>
            <w:r w:rsidRPr="005B6343">
              <w:rPr>
                <w:rFonts w:ascii="Arial Narrow" w:hAnsi="Arial Narrow" w:cs="Arial"/>
                <w:sz w:val="20"/>
              </w:rPr>
              <w:instrText xml:space="preserve"> FORMCHECKBOX </w:instrText>
            </w:r>
            <w:r w:rsidR="002D0630">
              <w:rPr>
                <w:rFonts w:ascii="Arial Narrow" w:hAnsi="Arial Narrow" w:cs="Arial"/>
                <w:sz w:val="20"/>
              </w:rPr>
            </w:r>
            <w:r w:rsidR="002D0630">
              <w:rPr>
                <w:rFonts w:ascii="Arial Narrow" w:hAnsi="Arial Narrow" w:cs="Arial"/>
                <w:sz w:val="20"/>
              </w:rPr>
              <w:fldChar w:fldCharType="separate"/>
            </w:r>
            <w:r w:rsidRPr="005B6343">
              <w:rPr>
                <w:rFonts w:ascii="Arial Narrow" w:hAnsi="Arial Narrow" w:cs="Arial"/>
                <w:sz w:val="20"/>
              </w:rPr>
              <w:fldChar w:fldCharType="end"/>
            </w:r>
            <w:r w:rsidRPr="005B6343">
              <w:rPr>
                <w:rFonts w:ascii="Arial Narrow" w:hAnsi="Arial Narrow" w:cs="Arial"/>
                <w:sz w:val="20"/>
              </w:rPr>
              <w:t>Streamlined</w:t>
            </w:r>
          </w:p>
        </w:tc>
      </w:tr>
      <w:tr w:rsidR="001D2679" w:rsidRPr="005B6343" w:rsidTr="00973E59">
        <w:trPr>
          <w:cantSplit/>
        </w:trPr>
        <w:tc>
          <w:tcPr>
            <w:tcW w:w="1754" w:type="pct"/>
            <w:gridSpan w:val="2"/>
            <w:tcBorders>
              <w:top w:val="single" w:sz="4" w:space="0" w:color="auto"/>
              <w:left w:val="single" w:sz="4" w:space="0" w:color="auto"/>
              <w:bottom w:val="single" w:sz="4" w:space="0" w:color="auto"/>
              <w:right w:val="single" w:sz="4" w:space="0" w:color="auto"/>
            </w:tcBorders>
            <w:vAlign w:val="center"/>
          </w:tcPr>
          <w:p w:rsidR="001D2679" w:rsidRPr="005B6343" w:rsidRDefault="001D2679" w:rsidP="00E122FB">
            <w:pPr>
              <w:rPr>
                <w:rFonts w:ascii="Arial Narrow" w:hAnsi="Arial Narrow" w:cs="Arial"/>
                <w:b/>
                <w:sz w:val="20"/>
              </w:rPr>
            </w:pPr>
            <w:r w:rsidRPr="005B6343">
              <w:rPr>
                <w:rFonts w:ascii="Arial Narrow" w:hAnsi="Arial Narrow" w:cs="Arial"/>
                <w:b/>
                <w:sz w:val="20"/>
              </w:rPr>
              <w:t>Clinical criteria:</w:t>
            </w:r>
          </w:p>
          <w:p w:rsidR="001D2679" w:rsidRPr="005B6343" w:rsidRDefault="001D2679" w:rsidP="00E122FB">
            <w:pPr>
              <w:rPr>
                <w:rFonts w:ascii="Arial Narrow" w:hAnsi="Arial Narrow" w:cs="Arial"/>
                <w:i/>
                <w:sz w:val="20"/>
              </w:rPr>
            </w:pPr>
          </w:p>
          <w:p w:rsidR="001D2679" w:rsidRPr="005B6343" w:rsidRDefault="001D2679" w:rsidP="00E122FB">
            <w:pPr>
              <w:rPr>
                <w:rFonts w:ascii="Arial Narrow" w:hAnsi="Arial Narrow" w:cs="Arial"/>
                <w:sz w:val="20"/>
              </w:rPr>
            </w:pPr>
          </w:p>
        </w:tc>
        <w:tc>
          <w:tcPr>
            <w:tcW w:w="3246" w:type="pct"/>
            <w:gridSpan w:val="5"/>
            <w:tcBorders>
              <w:top w:val="single" w:sz="4" w:space="0" w:color="auto"/>
              <w:left w:val="single" w:sz="4" w:space="0" w:color="auto"/>
              <w:bottom w:val="single" w:sz="4" w:space="0" w:color="auto"/>
              <w:right w:val="single" w:sz="4" w:space="0" w:color="auto"/>
            </w:tcBorders>
            <w:vAlign w:val="center"/>
          </w:tcPr>
          <w:p w:rsidR="001D2679" w:rsidRPr="005B6343" w:rsidRDefault="001D2679" w:rsidP="00E122FB">
            <w:pPr>
              <w:contextualSpacing/>
              <w:rPr>
                <w:rFonts w:ascii="Arial Narrow" w:hAnsi="Arial Narrow" w:cs="Arial"/>
                <w:sz w:val="20"/>
              </w:rPr>
            </w:pPr>
            <w:r w:rsidRPr="005B6343">
              <w:rPr>
                <w:rFonts w:ascii="Arial Narrow" w:hAnsi="Arial Narrow" w:cs="Arial"/>
                <w:sz w:val="20"/>
              </w:rPr>
              <w:t xml:space="preserve">The condition must affect the ileum, </w:t>
            </w:r>
          </w:p>
          <w:p w:rsidR="001D2679" w:rsidRPr="005B6343" w:rsidRDefault="001D2679" w:rsidP="00E122FB">
            <w:pPr>
              <w:contextualSpacing/>
              <w:rPr>
                <w:rFonts w:ascii="Arial Narrow" w:hAnsi="Arial Narrow" w:cs="Arial"/>
                <w:sz w:val="20"/>
              </w:rPr>
            </w:pPr>
            <w:r w:rsidRPr="005B6343">
              <w:rPr>
                <w:rFonts w:ascii="Arial Narrow" w:hAnsi="Arial Narrow" w:cs="Arial"/>
                <w:sz w:val="20"/>
              </w:rPr>
              <w:t>OR</w:t>
            </w:r>
          </w:p>
          <w:p w:rsidR="001D2679" w:rsidRPr="005B6343" w:rsidRDefault="001D2679" w:rsidP="00E122FB">
            <w:pPr>
              <w:contextualSpacing/>
              <w:rPr>
                <w:rFonts w:ascii="Arial Narrow" w:hAnsi="Arial Narrow" w:cs="Arial"/>
                <w:sz w:val="20"/>
              </w:rPr>
            </w:pPr>
            <w:r w:rsidRPr="005B6343">
              <w:rPr>
                <w:rFonts w:ascii="Arial Narrow" w:hAnsi="Arial Narrow" w:cs="Arial"/>
                <w:sz w:val="20"/>
              </w:rPr>
              <w:t>The condition must affect the ascending colon,</w:t>
            </w:r>
          </w:p>
          <w:p w:rsidR="001D2679" w:rsidRPr="005B6343" w:rsidRDefault="001D2679" w:rsidP="00E122FB">
            <w:pPr>
              <w:rPr>
                <w:rFonts w:ascii="Arial Narrow" w:hAnsi="Arial Narrow" w:cs="Arial"/>
                <w:sz w:val="20"/>
              </w:rPr>
            </w:pPr>
            <w:r w:rsidRPr="005B6343">
              <w:rPr>
                <w:rFonts w:ascii="Arial Narrow" w:hAnsi="Arial Narrow" w:cs="Arial"/>
                <w:sz w:val="20"/>
              </w:rPr>
              <w:t>OR</w:t>
            </w:r>
          </w:p>
          <w:p w:rsidR="001D2679" w:rsidRPr="005B6343" w:rsidRDefault="001D2679" w:rsidP="00E122FB">
            <w:pPr>
              <w:rPr>
                <w:rFonts w:ascii="Arial Narrow" w:hAnsi="Arial Narrow" w:cs="Arial"/>
                <w:sz w:val="20"/>
              </w:rPr>
            </w:pPr>
            <w:r w:rsidRPr="005B6343">
              <w:rPr>
                <w:rFonts w:ascii="Arial Narrow" w:hAnsi="Arial Narrow" w:cs="Arial"/>
                <w:sz w:val="20"/>
              </w:rPr>
              <w:t>The condition must affect the ileum and ascending colon.</w:t>
            </w:r>
          </w:p>
        </w:tc>
      </w:tr>
      <w:tr w:rsidR="001D2679" w:rsidRPr="005B6343" w:rsidTr="00973E59">
        <w:trPr>
          <w:cantSplit/>
        </w:trPr>
        <w:tc>
          <w:tcPr>
            <w:tcW w:w="1754" w:type="pct"/>
            <w:gridSpan w:val="2"/>
            <w:tcBorders>
              <w:top w:val="single" w:sz="4" w:space="0" w:color="auto"/>
              <w:left w:val="single" w:sz="4" w:space="0" w:color="auto"/>
              <w:bottom w:val="single" w:sz="4" w:space="0" w:color="auto"/>
              <w:right w:val="single" w:sz="4" w:space="0" w:color="auto"/>
            </w:tcBorders>
            <w:vAlign w:val="center"/>
          </w:tcPr>
          <w:p w:rsidR="001D2679" w:rsidRPr="005B6343" w:rsidRDefault="001D2679" w:rsidP="00E122FB">
            <w:pPr>
              <w:rPr>
                <w:rFonts w:ascii="Arial Narrow" w:hAnsi="Arial Narrow" w:cs="Arial"/>
                <w:b/>
                <w:sz w:val="20"/>
              </w:rPr>
            </w:pPr>
            <w:r w:rsidRPr="005B6343">
              <w:rPr>
                <w:rFonts w:ascii="Arial Narrow" w:hAnsi="Arial Narrow" w:cs="Arial"/>
                <w:b/>
                <w:sz w:val="20"/>
              </w:rPr>
              <w:t>Prescriber Instructions</w:t>
            </w:r>
          </w:p>
          <w:p w:rsidR="001D2679" w:rsidRPr="005B6343" w:rsidRDefault="001D2679" w:rsidP="00E122FB">
            <w:pPr>
              <w:rPr>
                <w:rFonts w:ascii="Arial Narrow" w:hAnsi="Arial Narrow" w:cs="Arial"/>
                <w:sz w:val="20"/>
              </w:rPr>
            </w:pPr>
          </w:p>
        </w:tc>
        <w:tc>
          <w:tcPr>
            <w:tcW w:w="3246" w:type="pct"/>
            <w:gridSpan w:val="5"/>
            <w:tcBorders>
              <w:top w:val="single" w:sz="4" w:space="0" w:color="auto"/>
              <w:left w:val="single" w:sz="4" w:space="0" w:color="auto"/>
              <w:bottom w:val="single" w:sz="4" w:space="0" w:color="auto"/>
              <w:right w:val="single" w:sz="4" w:space="0" w:color="auto"/>
            </w:tcBorders>
            <w:vAlign w:val="center"/>
          </w:tcPr>
          <w:p w:rsidR="001D2679" w:rsidRPr="005B6343" w:rsidRDefault="001D2679" w:rsidP="000E3835">
            <w:pPr>
              <w:contextualSpacing/>
              <w:rPr>
                <w:rFonts w:ascii="Arial Narrow" w:hAnsi="Arial Narrow" w:cs="Arial"/>
                <w:sz w:val="20"/>
              </w:rPr>
            </w:pPr>
            <w:r w:rsidRPr="005B6343">
              <w:rPr>
                <w:rFonts w:ascii="Arial Narrow" w:hAnsi="Arial Narrow" w:cs="Arial"/>
                <w:sz w:val="20"/>
              </w:rPr>
              <w:t xml:space="preserve">The total duration of therapy should be no more than </w:t>
            </w:r>
            <w:r w:rsidR="000E3835" w:rsidRPr="005B6343">
              <w:rPr>
                <w:rFonts w:ascii="Arial Narrow" w:hAnsi="Arial Narrow" w:cs="Arial"/>
                <w:strike/>
                <w:sz w:val="20"/>
              </w:rPr>
              <w:t>12</w:t>
            </w:r>
            <w:r w:rsidR="000E3835" w:rsidRPr="005B6343">
              <w:rPr>
                <w:rFonts w:ascii="Arial Narrow" w:hAnsi="Arial Narrow" w:cs="Arial"/>
                <w:i/>
                <w:sz w:val="20"/>
              </w:rPr>
              <w:t>10</w:t>
            </w:r>
            <w:r w:rsidR="000E3835" w:rsidRPr="005B6343">
              <w:rPr>
                <w:rFonts w:ascii="Arial Narrow" w:hAnsi="Arial Narrow" w:cs="Arial"/>
                <w:sz w:val="20"/>
              </w:rPr>
              <w:t xml:space="preserve"> </w:t>
            </w:r>
            <w:r w:rsidRPr="005B6343">
              <w:rPr>
                <w:rFonts w:ascii="Arial Narrow" w:hAnsi="Arial Narrow" w:cs="Arial"/>
                <w:sz w:val="20"/>
              </w:rPr>
              <w:t xml:space="preserve">weeks in any single course. </w:t>
            </w:r>
          </w:p>
        </w:tc>
      </w:tr>
      <w:tr w:rsidR="001D2679" w:rsidRPr="005B6343" w:rsidTr="00973E59">
        <w:trPr>
          <w:cantSplit/>
        </w:trPr>
        <w:tc>
          <w:tcPr>
            <w:tcW w:w="1754" w:type="pct"/>
            <w:gridSpan w:val="2"/>
            <w:tcBorders>
              <w:top w:val="single" w:sz="4" w:space="0" w:color="auto"/>
              <w:left w:val="single" w:sz="4" w:space="0" w:color="auto"/>
              <w:bottom w:val="single" w:sz="4" w:space="0" w:color="auto"/>
              <w:right w:val="single" w:sz="4" w:space="0" w:color="auto"/>
            </w:tcBorders>
            <w:vAlign w:val="center"/>
          </w:tcPr>
          <w:p w:rsidR="001D2679" w:rsidRPr="005B6343" w:rsidRDefault="001D2679" w:rsidP="00E122FB">
            <w:pPr>
              <w:rPr>
                <w:rFonts w:ascii="Arial Narrow" w:hAnsi="Arial Narrow" w:cs="Arial"/>
                <w:b/>
                <w:sz w:val="20"/>
              </w:rPr>
            </w:pPr>
            <w:r w:rsidRPr="005B6343">
              <w:rPr>
                <w:rFonts w:ascii="Arial Narrow" w:hAnsi="Arial Narrow" w:cs="Arial"/>
                <w:b/>
                <w:sz w:val="20"/>
              </w:rPr>
              <w:lastRenderedPageBreak/>
              <w:t>Administrative Advice</w:t>
            </w:r>
          </w:p>
        </w:tc>
        <w:tc>
          <w:tcPr>
            <w:tcW w:w="3246" w:type="pct"/>
            <w:gridSpan w:val="5"/>
            <w:tcBorders>
              <w:top w:val="single" w:sz="4" w:space="0" w:color="auto"/>
              <w:left w:val="single" w:sz="4" w:space="0" w:color="auto"/>
              <w:bottom w:val="single" w:sz="4" w:space="0" w:color="auto"/>
              <w:right w:val="single" w:sz="4" w:space="0" w:color="auto"/>
            </w:tcBorders>
            <w:vAlign w:val="center"/>
          </w:tcPr>
          <w:p w:rsidR="001D2679" w:rsidRPr="005B6343" w:rsidRDefault="001D2679" w:rsidP="00E122FB">
            <w:pPr>
              <w:rPr>
                <w:rFonts w:ascii="Arial Narrow" w:hAnsi="Arial Narrow" w:cs="Arial"/>
                <w:sz w:val="20"/>
              </w:rPr>
            </w:pPr>
            <w:r w:rsidRPr="005B6343">
              <w:rPr>
                <w:rFonts w:ascii="Arial Narrow" w:hAnsi="Arial Narrow" w:cs="Arial"/>
                <w:sz w:val="20"/>
              </w:rPr>
              <w:t xml:space="preserve">For prescribing by nurse practitioners as continuing therapy only, where the treatment of, and prescribing of medicine for, a patient has been initiated by a medical practitioner. Further information </w:t>
            </w:r>
            <w:proofErr w:type="gramStart"/>
            <w:r w:rsidRPr="005B6343">
              <w:rPr>
                <w:rFonts w:ascii="Arial Narrow" w:hAnsi="Arial Narrow" w:cs="Arial"/>
                <w:sz w:val="20"/>
              </w:rPr>
              <w:t>can be found</w:t>
            </w:r>
            <w:proofErr w:type="gramEnd"/>
            <w:r w:rsidRPr="005B6343">
              <w:rPr>
                <w:rFonts w:ascii="Arial Narrow" w:hAnsi="Arial Narrow" w:cs="Arial"/>
                <w:sz w:val="20"/>
              </w:rPr>
              <w:t xml:space="preserve"> in the Explanatory Notes for Nurse Practitioners.</w:t>
            </w:r>
          </w:p>
        </w:tc>
      </w:tr>
    </w:tbl>
    <w:p w:rsidR="00D1455A" w:rsidRPr="005B6343" w:rsidRDefault="00D1455A" w:rsidP="00082169">
      <w:pPr>
        <w:pStyle w:val="Heading2"/>
        <w:keepLines/>
        <w:spacing w:before="240" w:after="120"/>
        <w:rPr>
          <w:rFonts w:asciiTheme="minorHAnsi" w:eastAsiaTheme="majorEastAsia" w:hAnsiTheme="minorHAnsi" w:cstheme="majorBidi"/>
          <w:sz w:val="28"/>
          <w:szCs w:val="28"/>
          <w:lang w:eastAsia="en-US"/>
        </w:rPr>
      </w:pPr>
      <w:r w:rsidRPr="005B6343">
        <w:rPr>
          <w:rFonts w:asciiTheme="minorHAnsi" w:eastAsiaTheme="majorEastAsia" w:hAnsiTheme="minorHAnsi" w:cstheme="majorBidi"/>
          <w:sz w:val="28"/>
          <w:szCs w:val="28"/>
          <w:lang w:eastAsia="en-US"/>
        </w:rPr>
        <w:t xml:space="preserve">Secretariat comments </w:t>
      </w:r>
      <w:r w:rsidR="00A77613" w:rsidRPr="005B6343">
        <w:rPr>
          <w:rFonts w:asciiTheme="minorHAnsi" w:eastAsiaTheme="majorEastAsia" w:hAnsiTheme="minorHAnsi" w:cstheme="majorBidi"/>
          <w:sz w:val="28"/>
          <w:szCs w:val="28"/>
          <w:lang w:eastAsia="en-US"/>
        </w:rPr>
        <w:t>on the restriction</w:t>
      </w:r>
    </w:p>
    <w:p w:rsidR="003075A5" w:rsidRPr="005B6343" w:rsidRDefault="003075A5" w:rsidP="00D15D1B">
      <w:pPr>
        <w:pStyle w:val="ListParagraph"/>
        <w:numPr>
          <w:ilvl w:val="1"/>
          <w:numId w:val="14"/>
        </w:numPr>
        <w:spacing w:after="120"/>
        <w:contextualSpacing w:val="0"/>
        <w:rPr>
          <w:rFonts w:asciiTheme="minorHAnsi" w:eastAsiaTheme="minorHAnsi" w:hAnsiTheme="minorHAnsi" w:cstheme="minorBidi"/>
          <w:snapToGrid/>
          <w:sz w:val="24"/>
          <w:szCs w:val="22"/>
        </w:rPr>
      </w:pPr>
      <w:r w:rsidRPr="005B6343">
        <w:rPr>
          <w:rFonts w:asciiTheme="minorHAnsi" w:eastAsiaTheme="minorHAnsi" w:hAnsiTheme="minorHAnsi" w:cstheme="minorBidi"/>
          <w:snapToGrid/>
          <w:sz w:val="24"/>
          <w:szCs w:val="22"/>
        </w:rPr>
        <w:t xml:space="preserve">The number of repeats for </w:t>
      </w:r>
      <w:proofErr w:type="spellStart"/>
      <w:r w:rsidRPr="005B6343">
        <w:rPr>
          <w:rFonts w:asciiTheme="minorHAnsi" w:eastAsiaTheme="minorHAnsi" w:hAnsiTheme="minorHAnsi" w:cstheme="minorBidi"/>
          <w:snapToGrid/>
          <w:sz w:val="24"/>
          <w:szCs w:val="22"/>
        </w:rPr>
        <w:t>Budenofalk</w:t>
      </w:r>
      <w:proofErr w:type="spellEnd"/>
      <w:r w:rsidRPr="005B6343">
        <w:rPr>
          <w:rFonts w:asciiTheme="minorHAnsi" w:eastAsiaTheme="minorHAnsi" w:hAnsiTheme="minorHAnsi" w:cstheme="minorBidi"/>
          <w:snapToGrid/>
          <w:sz w:val="24"/>
          <w:szCs w:val="22"/>
        </w:rPr>
        <w:t xml:space="preserve"> </w:t>
      </w:r>
      <w:proofErr w:type="gramStart"/>
      <w:r w:rsidRPr="005B6343">
        <w:rPr>
          <w:rFonts w:asciiTheme="minorHAnsi" w:eastAsiaTheme="minorHAnsi" w:hAnsiTheme="minorHAnsi" w:cstheme="minorBidi"/>
          <w:snapToGrid/>
          <w:sz w:val="24"/>
          <w:szCs w:val="22"/>
        </w:rPr>
        <w:t>should be changed</w:t>
      </w:r>
      <w:proofErr w:type="gramEnd"/>
      <w:r w:rsidRPr="005B6343">
        <w:rPr>
          <w:rFonts w:asciiTheme="minorHAnsi" w:eastAsiaTheme="minorHAnsi" w:hAnsiTheme="minorHAnsi" w:cstheme="minorBidi"/>
          <w:snapToGrid/>
          <w:sz w:val="24"/>
          <w:szCs w:val="22"/>
        </w:rPr>
        <w:t xml:space="preserve"> from </w:t>
      </w:r>
      <w:r w:rsidR="005B6343">
        <w:rPr>
          <w:rFonts w:asciiTheme="minorHAnsi" w:eastAsiaTheme="minorHAnsi" w:hAnsiTheme="minorHAnsi" w:cstheme="minorBidi"/>
          <w:snapToGrid/>
          <w:sz w:val="24"/>
          <w:szCs w:val="22"/>
        </w:rPr>
        <w:t xml:space="preserve">two </w:t>
      </w:r>
      <w:r w:rsidRPr="005B6343">
        <w:rPr>
          <w:rFonts w:asciiTheme="minorHAnsi" w:eastAsiaTheme="minorHAnsi" w:hAnsiTheme="minorHAnsi" w:cstheme="minorBidi"/>
          <w:snapToGrid/>
          <w:sz w:val="24"/>
          <w:szCs w:val="22"/>
        </w:rPr>
        <w:t xml:space="preserve">repeats to </w:t>
      </w:r>
      <w:r w:rsidR="005B6343">
        <w:rPr>
          <w:rFonts w:asciiTheme="minorHAnsi" w:eastAsiaTheme="minorHAnsi" w:hAnsiTheme="minorHAnsi" w:cstheme="minorBidi"/>
          <w:snapToGrid/>
          <w:sz w:val="24"/>
          <w:szCs w:val="22"/>
        </w:rPr>
        <w:t>one</w:t>
      </w:r>
      <w:r w:rsidRPr="005B6343">
        <w:rPr>
          <w:rFonts w:asciiTheme="minorHAnsi" w:eastAsiaTheme="minorHAnsi" w:hAnsiTheme="minorHAnsi" w:cstheme="minorBidi"/>
          <w:snapToGrid/>
          <w:sz w:val="24"/>
          <w:szCs w:val="22"/>
        </w:rPr>
        <w:t xml:space="preserve"> repeat. The recommended dose for adults and the elderly is 9 mg budesonide once daily in the </w:t>
      </w:r>
      <w:r w:rsidR="005B6343" w:rsidRPr="005B6343">
        <w:rPr>
          <w:rFonts w:asciiTheme="minorHAnsi" w:eastAsiaTheme="minorHAnsi" w:hAnsiTheme="minorHAnsi" w:cstheme="minorBidi"/>
          <w:snapToGrid/>
          <w:sz w:val="24"/>
          <w:szCs w:val="22"/>
        </w:rPr>
        <w:t>morning</w:t>
      </w:r>
      <w:r w:rsidRPr="005B6343">
        <w:rPr>
          <w:rFonts w:asciiTheme="minorHAnsi" w:eastAsiaTheme="minorHAnsi" w:hAnsiTheme="minorHAnsi" w:cstheme="minorBidi"/>
          <w:snapToGrid/>
          <w:sz w:val="24"/>
          <w:szCs w:val="22"/>
        </w:rPr>
        <w:t xml:space="preserve"> or 3 mg budesonide </w:t>
      </w:r>
      <w:r w:rsidR="00E56537">
        <w:rPr>
          <w:rFonts w:asciiTheme="minorHAnsi" w:eastAsiaTheme="minorHAnsi" w:hAnsiTheme="minorHAnsi" w:cstheme="minorBidi"/>
          <w:snapToGrid/>
          <w:sz w:val="24"/>
          <w:szCs w:val="22"/>
        </w:rPr>
        <w:t>three</w:t>
      </w:r>
      <w:r w:rsidR="005B6343">
        <w:rPr>
          <w:rFonts w:asciiTheme="minorHAnsi" w:eastAsiaTheme="minorHAnsi" w:hAnsiTheme="minorHAnsi" w:cstheme="minorBidi"/>
          <w:snapToGrid/>
          <w:sz w:val="24"/>
          <w:szCs w:val="22"/>
        </w:rPr>
        <w:t xml:space="preserve"> </w:t>
      </w:r>
      <w:r w:rsidRPr="005B6343">
        <w:rPr>
          <w:rFonts w:asciiTheme="minorHAnsi" w:eastAsiaTheme="minorHAnsi" w:hAnsiTheme="minorHAnsi" w:cstheme="minorBidi"/>
          <w:snapToGrid/>
          <w:sz w:val="24"/>
          <w:szCs w:val="22"/>
        </w:rPr>
        <w:t xml:space="preserve">times daily. A script with </w:t>
      </w:r>
      <w:r w:rsidR="005B6343">
        <w:rPr>
          <w:rFonts w:asciiTheme="minorHAnsi" w:eastAsiaTheme="minorHAnsi" w:hAnsiTheme="minorHAnsi" w:cstheme="minorBidi"/>
          <w:snapToGrid/>
          <w:sz w:val="24"/>
          <w:szCs w:val="22"/>
        </w:rPr>
        <w:t xml:space="preserve">one </w:t>
      </w:r>
      <w:r w:rsidRPr="005B6343">
        <w:rPr>
          <w:rFonts w:asciiTheme="minorHAnsi" w:eastAsiaTheme="minorHAnsi" w:hAnsiTheme="minorHAnsi" w:cstheme="minorBidi"/>
          <w:snapToGrid/>
          <w:sz w:val="24"/>
          <w:szCs w:val="22"/>
        </w:rPr>
        <w:t xml:space="preserve">repeat will allow </w:t>
      </w:r>
      <w:r w:rsidR="00B50C40" w:rsidRPr="005B6343">
        <w:rPr>
          <w:rFonts w:asciiTheme="minorHAnsi" w:eastAsiaTheme="minorHAnsi" w:hAnsiTheme="minorHAnsi" w:cstheme="minorBidi"/>
          <w:snapToGrid/>
          <w:sz w:val="24"/>
          <w:szCs w:val="22"/>
        </w:rPr>
        <w:t xml:space="preserve">sufficient treatment for </w:t>
      </w:r>
      <w:r w:rsidR="005B6343">
        <w:rPr>
          <w:rFonts w:asciiTheme="minorHAnsi" w:eastAsiaTheme="minorHAnsi" w:hAnsiTheme="minorHAnsi" w:cstheme="minorBidi"/>
          <w:snapToGrid/>
          <w:sz w:val="24"/>
          <w:szCs w:val="22"/>
        </w:rPr>
        <w:t>eight</w:t>
      </w:r>
      <w:r w:rsidR="00B50C40" w:rsidRPr="005B6343">
        <w:rPr>
          <w:rFonts w:asciiTheme="minorHAnsi" w:eastAsiaTheme="minorHAnsi" w:hAnsiTheme="minorHAnsi" w:cstheme="minorBidi"/>
          <w:snapToGrid/>
          <w:sz w:val="24"/>
          <w:szCs w:val="22"/>
        </w:rPr>
        <w:t xml:space="preserve"> weeks, </w:t>
      </w:r>
      <w:r w:rsidRPr="005B6343">
        <w:rPr>
          <w:rFonts w:asciiTheme="minorHAnsi" w:eastAsiaTheme="minorHAnsi" w:hAnsiTheme="minorHAnsi" w:cstheme="minorBidi"/>
          <w:snapToGrid/>
          <w:sz w:val="24"/>
          <w:szCs w:val="22"/>
        </w:rPr>
        <w:t>the approved treatment duration</w:t>
      </w:r>
      <w:r w:rsidR="009F48E4" w:rsidRPr="005B6343">
        <w:rPr>
          <w:rFonts w:asciiTheme="minorHAnsi" w:eastAsiaTheme="minorHAnsi" w:hAnsiTheme="minorHAnsi" w:cstheme="minorBidi"/>
          <w:snapToGrid/>
          <w:sz w:val="24"/>
          <w:szCs w:val="22"/>
        </w:rPr>
        <w:t xml:space="preserve"> for </w:t>
      </w:r>
      <w:proofErr w:type="spellStart"/>
      <w:r w:rsidR="009F48E4" w:rsidRPr="005B6343">
        <w:rPr>
          <w:rFonts w:asciiTheme="minorHAnsi" w:eastAsiaTheme="minorHAnsi" w:hAnsiTheme="minorHAnsi" w:cstheme="minorBidi"/>
          <w:snapToGrid/>
          <w:sz w:val="24"/>
          <w:szCs w:val="22"/>
        </w:rPr>
        <w:t>Budenofalk</w:t>
      </w:r>
      <w:proofErr w:type="spellEnd"/>
      <w:r w:rsidRPr="005B6343">
        <w:rPr>
          <w:rFonts w:asciiTheme="minorHAnsi" w:eastAsiaTheme="minorHAnsi" w:hAnsiTheme="minorHAnsi" w:cstheme="minorBidi"/>
          <w:snapToGrid/>
          <w:sz w:val="24"/>
          <w:szCs w:val="22"/>
        </w:rPr>
        <w:t xml:space="preserve"> for acute C</w:t>
      </w:r>
      <w:r w:rsidR="00992543" w:rsidRPr="005B6343">
        <w:rPr>
          <w:rFonts w:asciiTheme="minorHAnsi" w:eastAsiaTheme="minorHAnsi" w:hAnsiTheme="minorHAnsi" w:cstheme="minorBidi"/>
          <w:snapToGrid/>
          <w:sz w:val="24"/>
          <w:szCs w:val="22"/>
        </w:rPr>
        <w:t>D</w:t>
      </w:r>
      <w:r w:rsidRPr="005B6343">
        <w:rPr>
          <w:rFonts w:asciiTheme="minorHAnsi" w:eastAsiaTheme="minorHAnsi" w:hAnsiTheme="minorHAnsi" w:cstheme="minorBidi"/>
          <w:snapToGrid/>
          <w:sz w:val="24"/>
          <w:szCs w:val="22"/>
        </w:rPr>
        <w:t xml:space="preserve">. </w:t>
      </w:r>
      <w:r w:rsidR="002D7777" w:rsidRPr="005B6343">
        <w:rPr>
          <w:rFonts w:asciiTheme="minorHAnsi" w:eastAsiaTheme="minorHAnsi" w:hAnsiTheme="minorHAnsi" w:cstheme="minorBidi"/>
          <w:snapToGrid/>
          <w:sz w:val="24"/>
          <w:szCs w:val="22"/>
        </w:rPr>
        <w:t>The pre-PBAC response noted that</w:t>
      </w:r>
      <w:r w:rsidR="00461F0E" w:rsidRPr="005B6343">
        <w:rPr>
          <w:rFonts w:asciiTheme="minorHAnsi" w:eastAsiaTheme="minorHAnsi" w:hAnsiTheme="minorHAnsi" w:cstheme="minorBidi"/>
          <w:snapToGrid/>
          <w:sz w:val="24"/>
          <w:szCs w:val="22"/>
        </w:rPr>
        <w:t xml:space="preserve"> this calculation did not take into account the </w:t>
      </w:r>
      <w:r w:rsidR="006410EC" w:rsidRPr="005B6343">
        <w:rPr>
          <w:rFonts w:asciiTheme="minorHAnsi" w:eastAsiaTheme="minorHAnsi" w:hAnsiTheme="minorHAnsi" w:cstheme="minorBidi"/>
          <w:snapToGrid/>
          <w:sz w:val="24"/>
          <w:szCs w:val="22"/>
        </w:rPr>
        <w:t>two-week</w:t>
      </w:r>
      <w:r w:rsidR="00461F0E" w:rsidRPr="005B6343">
        <w:rPr>
          <w:rFonts w:asciiTheme="minorHAnsi" w:eastAsiaTheme="minorHAnsi" w:hAnsiTheme="minorHAnsi" w:cstheme="minorBidi"/>
          <w:snapToGrid/>
          <w:sz w:val="24"/>
          <w:szCs w:val="22"/>
        </w:rPr>
        <w:t xml:space="preserve"> tapering period. B</w:t>
      </w:r>
      <w:r w:rsidR="002D7777" w:rsidRPr="005B6343">
        <w:rPr>
          <w:rFonts w:asciiTheme="minorHAnsi" w:eastAsiaTheme="minorHAnsi" w:hAnsiTheme="minorHAnsi" w:cstheme="minorBidi"/>
          <w:snapToGrid/>
          <w:sz w:val="24"/>
          <w:szCs w:val="22"/>
        </w:rPr>
        <w:t xml:space="preserve">ased on the approved Product Information (PI) for </w:t>
      </w:r>
      <w:proofErr w:type="spellStart"/>
      <w:r w:rsidR="002D7777" w:rsidRPr="005B6343">
        <w:rPr>
          <w:rFonts w:asciiTheme="minorHAnsi" w:eastAsiaTheme="minorHAnsi" w:hAnsiTheme="minorHAnsi" w:cstheme="minorBidi"/>
          <w:snapToGrid/>
          <w:sz w:val="24"/>
          <w:szCs w:val="22"/>
        </w:rPr>
        <w:t>Budenofalk</w:t>
      </w:r>
      <w:proofErr w:type="spellEnd"/>
      <w:r w:rsidR="002D7777" w:rsidRPr="005B6343">
        <w:rPr>
          <w:rFonts w:asciiTheme="minorHAnsi" w:eastAsiaTheme="minorHAnsi" w:hAnsiTheme="minorHAnsi" w:cstheme="minorBidi"/>
          <w:snapToGrid/>
          <w:sz w:val="24"/>
          <w:szCs w:val="22"/>
        </w:rPr>
        <w:t>, the treatment course would require 189 capsules altogether [(</w:t>
      </w:r>
      <w:proofErr w:type="gramStart"/>
      <w:r w:rsidR="002D7777" w:rsidRPr="005B6343">
        <w:rPr>
          <w:rFonts w:asciiTheme="minorHAnsi" w:eastAsiaTheme="minorHAnsi" w:hAnsiTheme="minorHAnsi" w:cstheme="minorBidi"/>
          <w:snapToGrid/>
          <w:sz w:val="24"/>
          <w:szCs w:val="22"/>
        </w:rPr>
        <w:t>3</w:t>
      </w:r>
      <w:proofErr w:type="gramEnd"/>
      <w:r w:rsidR="002D7777" w:rsidRPr="005B6343">
        <w:rPr>
          <w:rFonts w:asciiTheme="minorHAnsi" w:eastAsiaTheme="minorHAnsi" w:hAnsiTheme="minorHAnsi" w:cstheme="minorBidi"/>
          <w:snapToGrid/>
          <w:sz w:val="24"/>
          <w:szCs w:val="22"/>
        </w:rPr>
        <w:t xml:space="preserve"> capsules x 8 weeks)</w:t>
      </w:r>
      <w:r w:rsidR="006410EC">
        <w:rPr>
          <w:rFonts w:asciiTheme="minorHAnsi" w:eastAsiaTheme="minorHAnsi" w:hAnsiTheme="minorHAnsi" w:cstheme="minorBidi"/>
          <w:snapToGrid/>
          <w:sz w:val="24"/>
          <w:szCs w:val="22"/>
        </w:rPr>
        <w:t xml:space="preserve"> </w:t>
      </w:r>
      <w:r w:rsidR="002D7777" w:rsidRPr="005B6343">
        <w:rPr>
          <w:rFonts w:asciiTheme="minorHAnsi" w:eastAsiaTheme="minorHAnsi" w:hAnsiTheme="minorHAnsi" w:cstheme="minorBidi"/>
          <w:snapToGrid/>
          <w:sz w:val="24"/>
          <w:szCs w:val="22"/>
        </w:rPr>
        <w:t>+</w:t>
      </w:r>
      <w:r w:rsidR="006410EC">
        <w:rPr>
          <w:rFonts w:asciiTheme="minorHAnsi" w:eastAsiaTheme="minorHAnsi" w:hAnsiTheme="minorHAnsi" w:cstheme="minorBidi"/>
          <w:snapToGrid/>
          <w:sz w:val="24"/>
          <w:szCs w:val="22"/>
        </w:rPr>
        <w:t xml:space="preserve"> </w:t>
      </w:r>
      <w:r w:rsidR="002D7777" w:rsidRPr="005B6343">
        <w:rPr>
          <w:rFonts w:asciiTheme="minorHAnsi" w:eastAsiaTheme="minorHAnsi" w:hAnsiTheme="minorHAnsi" w:cstheme="minorBidi"/>
          <w:snapToGrid/>
          <w:sz w:val="24"/>
          <w:szCs w:val="22"/>
        </w:rPr>
        <w:t>(2 capsules x 1 week)</w:t>
      </w:r>
      <w:r w:rsidR="006410EC">
        <w:rPr>
          <w:rFonts w:asciiTheme="minorHAnsi" w:eastAsiaTheme="minorHAnsi" w:hAnsiTheme="minorHAnsi" w:cstheme="minorBidi"/>
          <w:snapToGrid/>
          <w:sz w:val="24"/>
          <w:szCs w:val="22"/>
        </w:rPr>
        <w:t xml:space="preserve"> </w:t>
      </w:r>
      <w:r w:rsidR="002D7777" w:rsidRPr="005B6343">
        <w:rPr>
          <w:rFonts w:asciiTheme="minorHAnsi" w:eastAsiaTheme="minorHAnsi" w:hAnsiTheme="minorHAnsi" w:cstheme="minorBidi"/>
          <w:snapToGrid/>
          <w:sz w:val="24"/>
          <w:szCs w:val="22"/>
        </w:rPr>
        <w:t>+</w:t>
      </w:r>
      <w:r w:rsidR="006410EC">
        <w:rPr>
          <w:rFonts w:asciiTheme="minorHAnsi" w:eastAsiaTheme="minorHAnsi" w:hAnsiTheme="minorHAnsi" w:cstheme="minorBidi"/>
          <w:snapToGrid/>
          <w:sz w:val="24"/>
          <w:szCs w:val="22"/>
        </w:rPr>
        <w:t xml:space="preserve"> </w:t>
      </w:r>
      <w:r w:rsidR="002D7777" w:rsidRPr="005B6343">
        <w:rPr>
          <w:rFonts w:asciiTheme="minorHAnsi" w:eastAsiaTheme="minorHAnsi" w:hAnsiTheme="minorHAnsi" w:cstheme="minorBidi"/>
          <w:snapToGrid/>
          <w:sz w:val="24"/>
          <w:szCs w:val="22"/>
        </w:rPr>
        <w:t>(1 capsule x 1</w:t>
      </w:r>
      <w:r w:rsidR="006410EC">
        <w:rPr>
          <w:rFonts w:asciiTheme="minorHAnsi" w:eastAsiaTheme="minorHAnsi" w:hAnsiTheme="minorHAnsi" w:cstheme="minorBidi"/>
          <w:snapToGrid/>
          <w:sz w:val="24"/>
          <w:szCs w:val="22"/>
        </w:rPr>
        <w:t xml:space="preserve"> </w:t>
      </w:r>
      <w:r w:rsidR="002D7777" w:rsidRPr="005B6343">
        <w:rPr>
          <w:rFonts w:asciiTheme="minorHAnsi" w:eastAsiaTheme="minorHAnsi" w:hAnsiTheme="minorHAnsi" w:cstheme="minorBidi"/>
          <w:snapToGrid/>
          <w:sz w:val="24"/>
          <w:szCs w:val="22"/>
        </w:rPr>
        <w:t xml:space="preserve">week)]. The PBAC considered the maximum repeat should </w:t>
      </w:r>
      <w:r w:rsidR="006410EC">
        <w:rPr>
          <w:rFonts w:asciiTheme="minorHAnsi" w:eastAsiaTheme="minorHAnsi" w:hAnsiTheme="minorHAnsi" w:cstheme="minorBidi"/>
          <w:snapToGrid/>
          <w:sz w:val="24"/>
          <w:szCs w:val="22"/>
        </w:rPr>
        <w:t xml:space="preserve">remain </w:t>
      </w:r>
      <w:r w:rsidR="002D7777" w:rsidRPr="005B6343">
        <w:rPr>
          <w:rFonts w:asciiTheme="minorHAnsi" w:eastAsiaTheme="minorHAnsi" w:hAnsiTheme="minorHAnsi" w:cstheme="minorBidi"/>
          <w:snapToGrid/>
          <w:sz w:val="24"/>
          <w:szCs w:val="22"/>
        </w:rPr>
        <w:t xml:space="preserve">at </w:t>
      </w:r>
      <w:r w:rsidR="006410EC">
        <w:rPr>
          <w:rFonts w:asciiTheme="minorHAnsi" w:eastAsiaTheme="minorHAnsi" w:hAnsiTheme="minorHAnsi" w:cstheme="minorBidi"/>
          <w:snapToGrid/>
          <w:sz w:val="24"/>
          <w:szCs w:val="22"/>
        </w:rPr>
        <w:t xml:space="preserve">two </w:t>
      </w:r>
      <w:r w:rsidR="002D7777" w:rsidRPr="005B6343">
        <w:rPr>
          <w:rFonts w:asciiTheme="minorHAnsi" w:eastAsiaTheme="minorHAnsi" w:hAnsiTheme="minorHAnsi" w:cstheme="minorBidi"/>
          <w:snapToGrid/>
          <w:sz w:val="24"/>
          <w:szCs w:val="22"/>
        </w:rPr>
        <w:t xml:space="preserve">repeats as originally requested. </w:t>
      </w:r>
    </w:p>
    <w:p w:rsidR="00AB16B9" w:rsidRPr="005B6343" w:rsidRDefault="00C75359" w:rsidP="00D15D1B">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5B6343">
        <w:rPr>
          <w:rFonts w:asciiTheme="minorHAnsi" w:eastAsiaTheme="minorHAnsi" w:hAnsiTheme="minorHAnsi" w:cstheme="minorBidi"/>
          <w:snapToGrid/>
          <w:sz w:val="24"/>
          <w:szCs w:val="22"/>
        </w:rPr>
        <w:t xml:space="preserve">The approved </w:t>
      </w:r>
      <w:r w:rsidR="009F48E4" w:rsidRPr="005B6343">
        <w:rPr>
          <w:rFonts w:asciiTheme="minorHAnsi" w:eastAsiaTheme="minorHAnsi" w:hAnsiTheme="minorHAnsi" w:cstheme="minorBidi"/>
          <w:snapToGrid/>
          <w:sz w:val="24"/>
          <w:szCs w:val="22"/>
        </w:rPr>
        <w:t xml:space="preserve">PI </w:t>
      </w:r>
      <w:r w:rsidRPr="005B6343">
        <w:rPr>
          <w:rFonts w:asciiTheme="minorHAnsi" w:eastAsiaTheme="minorHAnsi" w:hAnsiTheme="minorHAnsi" w:cstheme="minorBidi"/>
          <w:snapToGrid/>
          <w:sz w:val="24"/>
          <w:szCs w:val="22"/>
        </w:rPr>
        <w:t xml:space="preserve">for </w:t>
      </w:r>
      <w:proofErr w:type="spellStart"/>
      <w:r w:rsidRPr="005B6343">
        <w:rPr>
          <w:rFonts w:asciiTheme="minorHAnsi" w:eastAsiaTheme="minorHAnsi" w:hAnsiTheme="minorHAnsi" w:cstheme="minorBidi"/>
          <w:snapToGrid/>
          <w:sz w:val="24"/>
          <w:szCs w:val="22"/>
        </w:rPr>
        <w:t>Budenofalk</w:t>
      </w:r>
      <w:proofErr w:type="spellEnd"/>
      <w:r w:rsidRPr="005B6343">
        <w:rPr>
          <w:rFonts w:asciiTheme="minorHAnsi" w:eastAsiaTheme="minorHAnsi" w:hAnsiTheme="minorHAnsi" w:cstheme="minorBidi"/>
          <w:snapToGrid/>
          <w:sz w:val="24"/>
          <w:szCs w:val="22"/>
        </w:rPr>
        <w:t xml:space="preserve"> </w:t>
      </w:r>
      <w:r w:rsidR="00386E78" w:rsidRPr="005B6343">
        <w:rPr>
          <w:rFonts w:asciiTheme="minorHAnsi" w:eastAsiaTheme="minorHAnsi" w:hAnsiTheme="minorHAnsi" w:cstheme="minorBidi"/>
          <w:snapToGrid/>
          <w:sz w:val="24"/>
          <w:szCs w:val="22"/>
        </w:rPr>
        <w:t>states that it should be used for acute C</w:t>
      </w:r>
      <w:r w:rsidR="00992543" w:rsidRPr="005B6343">
        <w:rPr>
          <w:rFonts w:asciiTheme="minorHAnsi" w:eastAsiaTheme="minorHAnsi" w:hAnsiTheme="minorHAnsi" w:cstheme="minorBidi"/>
          <w:snapToGrid/>
          <w:sz w:val="24"/>
          <w:szCs w:val="22"/>
        </w:rPr>
        <w:t>D</w:t>
      </w:r>
      <w:r w:rsidR="00386E78" w:rsidRPr="005B6343">
        <w:rPr>
          <w:rFonts w:asciiTheme="minorHAnsi" w:eastAsiaTheme="minorHAnsi" w:hAnsiTheme="minorHAnsi" w:cstheme="minorBidi"/>
          <w:snapToGrid/>
          <w:sz w:val="24"/>
          <w:szCs w:val="22"/>
        </w:rPr>
        <w:t xml:space="preserve"> for </w:t>
      </w:r>
      <w:r w:rsidR="000D1715" w:rsidRPr="005B6343">
        <w:rPr>
          <w:rFonts w:asciiTheme="minorHAnsi" w:eastAsiaTheme="minorHAnsi" w:hAnsiTheme="minorHAnsi" w:cstheme="minorBidi"/>
          <w:snapToGrid/>
          <w:sz w:val="24"/>
          <w:szCs w:val="22"/>
        </w:rPr>
        <w:t>up to 10 weeks (</w:t>
      </w:r>
      <w:r w:rsidR="00386E78" w:rsidRPr="005B6343">
        <w:rPr>
          <w:rFonts w:asciiTheme="minorHAnsi" w:eastAsiaTheme="minorHAnsi" w:hAnsiTheme="minorHAnsi" w:cstheme="minorBidi"/>
          <w:snapToGrid/>
          <w:sz w:val="24"/>
          <w:szCs w:val="22"/>
        </w:rPr>
        <w:t>8 weeks</w:t>
      </w:r>
      <w:r w:rsidR="000D1715" w:rsidRPr="005B6343">
        <w:rPr>
          <w:rFonts w:asciiTheme="minorHAnsi" w:eastAsiaTheme="minorHAnsi" w:hAnsiTheme="minorHAnsi" w:cstheme="minorBidi"/>
          <w:snapToGrid/>
          <w:sz w:val="24"/>
          <w:szCs w:val="22"/>
        </w:rPr>
        <w:t xml:space="preserve"> treatment + 2 weeks tapering)</w:t>
      </w:r>
      <w:r w:rsidR="00386E78" w:rsidRPr="005B6343">
        <w:rPr>
          <w:rFonts w:asciiTheme="minorHAnsi" w:eastAsiaTheme="minorHAnsi" w:hAnsiTheme="minorHAnsi" w:cstheme="minorBidi"/>
          <w:snapToGrid/>
          <w:sz w:val="24"/>
          <w:szCs w:val="22"/>
        </w:rPr>
        <w:t xml:space="preserve">, whereas </w:t>
      </w:r>
      <w:proofErr w:type="spellStart"/>
      <w:r w:rsidR="00386E78" w:rsidRPr="005B6343">
        <w:rPr>
          <w:rFonts w:asciiTheme="minorHAnsi" w:eastAsiaTheme="minorHAnsi" w:hAnsiTheme="minorHAnsi" w:cstheme="minorBidi"/>
          <w:snapToGrid/>
          <w:sz w:val="24"/>
          <w:szCs w:val="22"/>
        </w:rPr>
        <w:t>Entocort</w:t>
      </w:r>
      <w:proofErr w:type="spellEnd"/>
      <w:r w:rsidR="00386E78" w:rsidRPr="005B6343">
        <w:rPr>
          <w:rFonts w:asciiTheme="minorHAnsi" w:eastAsiaTheme="minorHAnsi" w:hAnsiTheme="minorHAnsi" w:cstheme="minorBidi"/>
          <w:snapToGrid/>
          <w:sz w:val="24"/>
          <w:szCs w:val="22"/>
        </w:rPr>
        <w:t xml:space="preserve"> should be used no more than 12 weeks in a single course. </w:t>
      </w:r>
      <w:r w:rsidR="00B53B48" w:rsidRPr="005B6343">
        <w:rPr>
          <w:rFonts w:asciiTheme="minorHAnsi" w:eastAsiaTheme="minorHAnsi" w:hAnsiTheme="minorHAnsi" w:cstheme="minorBidi"/>
          <w:snapToGrid/>
          <w:sz w:val="24"/>
          <w:szCs w:val="22"/>
        </w:rPr>
        <w:t xml:space="preserve">The prescribing instructions for </w:t>
      </w:r>
      <w:proofErr w:type="spellStart"/>
      <w:r w:rsidR="00B53B48" w:rsidRPr="005B6343">
        <w:rPr>
          <w:rFonts w:asciiTheme="minorHAnsi" w:eastAsiaTheme="minorHAnsi" w:hAnsiTheme="minorHAnsi" w:cstheme="minorBidi"/>
          <w:snapToGrid/>
          <w:sz w:val="24"/>
          <w:szCs w:val="22"/>
        </w:rPr>
        <w:t>Entocort</w:t>
      </w:r>
      <w:proofErr w:type="spellEnd"/>
      <w:r w:rsidR="00B53B48" w:rsidRPr="005B6343">
        <w:rPr>
          <w:rFonts w:asciiTheme="minorHAnsi" w:eastAsiaTheme="minorHAnsi" w:hAnsiTheme="minorHAnsi" w:cstheme="minorBidi"/>
          <w:snapToGrid/>
          <w:sz w:val="24"/>
          <w:szCs w:val="22"/>
        </w:rPr>
        <w:t xml:space="preserve"> </w:t>
      </w:r>
      <w:r w:rsidR="006410EC" w:rsidRPr="005B6343">
        <w:rPr>
          <w:rFonts w:asciiTheme="minorHAnsi" w:eastAsiaTheme="minorHAnsi" w:hAnsiTheme="minorHAnsi" w:cstheme="minorBidi"/>
          <w:snapToGrid/>
          <w:sz w:val="24"/>
          <w:szCs w:val="22"/>
        </w:rPr>
        <w:t>state</w:t>
      </w:r>
      <w:r w:rsidR="006410EC">
        <w:rPr>
          <w:rFonts w:asciiTheme="minorHAnsi" w:eastAsiaTheme="minorHAnsi" w:hAnsiTheme="minorHAnsi" w:cstheme="minorBidi"/>
          <w:snapToGrid/>
          <w:sz w:val="24"/>
          <w:szCs w:val="22"/>
        </w:rPr>
        <w:t>s,</w:t>
      </w:r>
      <w:r w:rsidR="006410EC" w:rsidRPr="005B6343">
        <w:rPr>
          <w:rFonts w:asciiTheme="minorHAnsi" w:eastAsiaTheme="minorHAnsi" w:hAnsiTheme="minorHAnsi" w:cstheme="minorBidi"/>
          <w:snapToGrid/>
          <w:sz w:val="24"/>
          <w:szCs w:val="22"/>
        </w:rPr>
        <w:t xml:space="preserve"> </w:t>
      </w:r>
      <w:r w:rsidR="00F14586" w:rsidRPr="005B6343">
        <w:rPr>
          <w:rFonts w:asciiTheme="minorHAnsi" w:eastAsiaTheme="minorHAnsi" w:hAnsiTheme="minorHAnsi" w:cstheme="minorBidi"/>
          <w:snapToGrid/>
          <w:sz w:val="24"/>
          <w:szCs w:val="22"/>
        </w:rPr>
        <w:t>“The total duration of therapy should be no more than 12 weeks in any single course.” The PBAC consider</w:t>
      </w:r>
      <w:r w:rsidR="00FD3534" w:rsidRPr="005B6343">
        <w:rPr>
          <w:rFonts w:asciiTheme="minorHAnsi" w:eastAsiaTheme="minorHAnsi" w:hAnsiTheme="minorHAnsi" w:cstheme="minorBidi"/>
          <w:snapToGrid/>
          <w:sz w:val="24"/>
          <w:szCs w:val="22"/>
        </w:rPr>
        <w:t>ed that</w:t>
      </w:r>
      <w:r w:rsidR="00992543" w:rsidRPr="005B6343">
        <w:rPr>
          <w:rFonts w:asciiTheme="minorHAnsi" w:eastAsiaTheme="minorHAnsi" w:hAnsiTheme="minorHAnsi" w:cstheme="minorBidi"/>
          <w:snapToGrid/>
          <w:sz w:val="24"/>
          <w:szCs w:val="22"/>
        </w:rPr>
        <w:t>,</w:t>
      </w:r>
      <w:r w:rsidR="00000647" w:rsidRPr="005B6343">
        <w:rPr>
          <w:rFonts w:asciiTheme="minorHAnsi" w:eastAsiaTheme="minorHAnsi" w:hAnsiTheme="minorHAnsi" w:cstheme="minorBidi"/>
          <w:snapToGrid/>
          <w:sz w:val="24"/>
          <w:szCs w:val="22"/>
        </w:rPr>
        <w:t xml:space="preserve"> if both drugs </w:t>
      </w:r>
      <w:proofErr w:type="gramStart"/>
      <w:r w:rsidR="00000647" w:rsidRPr="005B6343">
        <w:rPr>
          <w:rFonts w:asciiTheme="minorHAnsi" w:eastAsiaTheme="minorHAnsi" w:hAnsiTheme="minorHAnsi" w:cstheme="minorBidi"/>
          <w:snapToGrid/>
          <w:sz w:val="24"/>
          <w:szCs w:val="22"/>
        </w:rPr>
        <w:t>are listed</w:t>
      </w:r>
      <w:proofErr w:type="gramEnd"/>
      <w:r w:rsidR="00000647" w:rsidRPr="005B6343">
        <w:rPr>
          <w:rFonts w:asciiTheme="minorHAnsi" w:eastAsiaTheme="minorHAnsi" w:hAnsiTheme="minorHAnsi" w:cstheme="minorBidi"/>
          <w:snapToGrid/>
          <w:sz w:val="24"/>
          <w:szCs w:val="22"/>
        </w:rPr>
        <w:t xml:space="preserve">, </w:t>
      </w:r>
      <w:r w:rsidR="005272B5" w:rsidRPr="005B6343">
        <w:rPr>
          <w:rFonts w:asciiTheme="minorHAnsi" w:eastAsiaTheme="minorHAnsi" w:hAnsiTheme="minorHAnsi" w:cstheme="minorBidi"/>
          <w:snapToGrid/>
          <w:sz w:val="24"/>
          <w:szCs w:val="22"/>
        </w:rPr>
        <w:t>each restriction should state the respective recommended maximum duration of therapy</w:t>
      </w:r>
      <w:r w:rsidR="00E62AB9" w:rsidRPr="005B6343">
        <w:rPr>
          <w:rFonts w:asciiTheme="minorHAnsi" w:eastAsiaTheme="minorHAnsi" w:hAnsiTheme="minorHAnsi" w:cstheme="minorBidi"/>
          <w:snapToGrid/>
          <w:sz w:val="24"/>
          <w:szCs w:val="22"/>
        </w:rPr>
        <w:t>.</w:t>
      </w:r>
    </w:p>
    <w:p w:rsidR="002F304D" w:rsidRPr="005B6343" w:rsidRDefault="002F304D" w:rsidP="00D15D1B">
      <w:pPr>
        <w:pStyle w:val="ListParagraph"/>
        <w:numPr>
          <w:ilvl w:val="1"/>
          <w:numId w:val="14"/>
        </w:numPr>
        <w:spacing w:after="120"/>
        <w:contextualSpacing w:val="0"/>
        <w:rPr>
          <w:rFonts w:asciiTheme="minorHAnsi" w:eastAsiaTheme="minorHAnsi" w:hAnsiTheme="minorHAnsi" w:cstheme="minorBidi"/>
          <w:snapToGrid/>
          <w:sz w:val="24"/>
          <w:szCs w:val="22"/>
        </w:rPr>
      </w:pPr>
      <w:r w:rsidRPr="005B6343">
        <w:rPr>
          <w:rFonts w:asciiTheme="minorHAnsi" w:eastAsiaTheme="minorHAnsi" w:hAnsiTheme="minorHAnsi" w:cstheme="minorBidi"/>
          <w:snapToGrid/>
          <w:sz w:val="24"/>
          <w:szCs w:val="22"/>
        </w:rPr>
        <w:t xml:space="preserve">The PBAC previously recommended that </w:t>
      </w:r>
      <w:proofErr w:type="spellStart"/>
      <w:r w:rsidR="00426DC8" w:rsidRPr="005B6343">
        <w:rPr>
          <w:rFonts w:asciiTheme="minorHAnsi" w:eastAsiaTheme="minorHAnsi" w:hAnsiTheme="minorHAnsi" w:cstheme="minorBidi"/>
          <w:snapToGrid/>
          <w:sz w:val="24"/>
          <w:szCs w:val="22"/>
        </w:rPr>
        <w:t>Entocort</w:t>
      </w:r>
      <w:proofErr w:type="spellEnd"/>
      <w:r w:rsidRPr="005B6343">
        <w:rPr>
          <w:rFonts w:asciiTheme="minorHAnsi" w:eastAsiaTheme="minorHAnsi" w:hAnsiTheme="minorHAnsi" w:cstheme="minorBidi"/>
          <w:snapToGrid/>
          <w:sz w:val="24"/>
          <w:szCs w:val="22"/>
        </w:rPr>
        <w:t xml:space="preserve"> be included as one of the prior systemic therapies that need to </w:t>
      </w:r>
      <w:proofErr w:type="gramStart"/>
      <w:r w:rsidRPr="005B6343">
        <w:rPr>
          <w:rFonts w:asciiTheme="minorHAnsi" w:eastAsiaTheme="minorHAnsi" w:hAnsiTheme="minorHAnsi" w:cstheme="minorBidi"/>
          <w:snapToGrid/>
          <w:sz w:val="24"/>
          <w:szCs w:val="22"/>
        </w:rPr>
        <w:t>be failed</w:t>
      </w:r>
      <w:proofErr w:type="gramEnd"/>
      <w:r w:rsidRPr="005B6343">
        <w:rPr>
          <w:rFonts w:asciiTheme="minorHAnsi" w:eastAsiaTheme="minorHAnsi" w:hAnsiTheme="minorHAnsi" w:cstheme="minorBidi"/>
          <w:snapToGrid/>
          <w:sz w:val="24"/>
          <w:szCs w:val="22"/>
        </w:rPr>
        <w:t xml:space="preserve"> prior to qualifying for subsidy of a biological medicine for severe CD. The PBAC noted that the flow-on restriction changes need</w:t>
      </w:r>
      <w:r w:rsidR="00992543" w:rsidRPr="005B6343">
        <w:rPr>
          <w:rFonts w:asciiTheme="minorHAnsi" w:eastAsiaTheme="minorHAnsi" w:hAnsiTheme="minorHAnsi" w:cstheme="minorBidi"/>
          <w:snapToGrid/>
          <w:sz w:val="24"/>
          <w:szCs w:val="22"/>
        </w:rPr>
        <w:t>ed</w:t>
      </w:r>
      <w:r w:rsidRPr="005B6343">
        <w:rPr>
          <w:rFonts w:asciiTheme="minorHAnsi" w:eastAsiaTheme="minorHAnsi" w:hAnsiTheme="minorHAnsi" w:cstheme="minorBidi"/>
          <w:snapToGrid/>
          <w:sz w:val="24"/>
          <w:szCs w:val="22"/>
        </w:rPr>
        <w:t xml:space="preserve"> to </w:t>
      </w:r>
      <w:proofErr w:type="gramStart"/>
      <w:r w:rsidRPr="005B6343">
        <w:rPr>
          <w:rFonts w:asciiTheme="minorHAnsi" w:eastAsiaTheme="minorHAnsi" w:hAnsiTheme="minorHAnsi" w:cstheme="minorBidi"/>
          <w:snapToGrid/>
          <w:sz w:val="24"/>
          <w:szCs w:val="22"/>
        </w:rPr>
        <w:t>be developed</w:t>
      </w:r>
      <w:proofErr w:type="gramEnd"/>
      <w:r w:rsidRPr="005B6343">
        <w:rPr>
          <w:rFonts w:asciiTheme="minorHAnsi" w:eastAsiaTheme="minorHAnsi" w:hAnsiTheme="minorHAnsi" w:cstheme="minorBidi"/>
          <w:snapToGrid/>
          <w:sz w:val="24"/>
          <w:szCs w:val="22"/>
        </w:rPr>
        <w:t xml:space="preserve"> for this including the appropriate dose and duration of treatment with budesonide (paragraph 7.12, item 7.11 budesonide July 2018 PSD). The PBAC </w:t>
      </w:r>
      <w:r w:rsidR="00880E99" w:rsidRPr="005B6343">
        <w:rPr>
          <w:rFonts w:asciiTheme="minorHAnsi" w:eastAsiaTheme="minorHAnsi" w:hAnsiTheme="minorHAnsi" w:cstheme="minorBidi"/>
          <w:snapToGrid/>
          <w:sz w:val="24"/>
          <w:szCs w:val="22"/>
        </w:rPr>
        <w:t>considered this</w:t>
      </w:r>
      <w:r w:rsidRPr="005B6343">
        <w:rPr>
          <w:rFonts w:asciiTheme="minorHAnsi" w:eastAsiaTheme="minorHAnsi" w:hAnsiTheme="minorHAnsi" w:cstheme="minorBidi"/>
          <w:snapToGrid/>
          <w:sz w:val="24"/>
          <w:szCs w:val="22"/>
        </w:rPr>
        <w:t xml:space="preserve"> flow-on </w:t>
      </w:r>
      <w:proofErr w:type="gramStart"/>
      <w:r w:rsidR="00880E99" w:rsidRPr="005B6343">
        <w:rPr>
          <w:rFonts w:asciiTheme="minorHAnsi" w:eastAsiaTheme="minorHAnsi" w:hAnsiTheme="minorHAnsi" w:cstheme="minorBidi"/>
          <w:snapToGrid/>
          <w:sz w:val="24"/>
          <w:szCs w:val="22"/>
        </w:rPr>
        <w:t xml:space="preserve">should also be </w:t>
      </w:r>
      <w:r w:rsidRPr="005B6343">
        <w:rPr>
          <w:rFonts w:asciiTheme="minorHAnsi" w:eastAsiaTheme="minorHAnsi" w:hAnsiTheme="minorHAnsi" w:cstheme="minorBidi"/>
          <w:snapToGrid/>
          <w:sz w:val="24"/>
          <w:szCs w:val="22"/>
        </w:rPr>
        <w:t>applie</w:t>
      </w:r>
      <w:r w:rsidR="00880E99" w:rsidRPr="005B6343">
        <w:rPr>
          <w:rFonts w:asciiTheme="minorHAnsi" w:eastAsiaTheme="minorHAnsi" w:hAnsiTheme="minorHAnsi" w:cstheme="minorBidi"/>
          <w:snapToGrid/>
          <w:sz w:val="24"/>
          <w:szCs w:val="22"/>
        </w:rPr>
        <w:t>d</w:t>
      </w:r>
      <w:proofErr w:type="gramEnd"/>
      <w:r w:rsidRPr="005B6343">
        <w:rPr>
          <w:rFonts w:asciiTheme="minorHAnsi" w:eastAsiaTheme="minorHAnsi" w:hAnsiTheme="minorHAnsi" w:cstheme="minorBidi"/>
          <w:snapToGrid/>
          <w:sz w:val="24"/>
          <w:szCs w:val="22"/>
        </w:rPr>
        <w:t xml:space="preserve"> to </w:t>
      </w:r>
      <w:proofErr w:type="spellStart"/>
      <w:r w:rsidRPr="005B6343">
        <w:rPr>
          <w:rFonts w:asciiTheme="minorHAnsi" w:eastAsiaTheme="minorHAnsi" w:hAnsiTheme="minorHAnsi" w:cstheme="minorBidi"/>
          <w:snapToGrid/>
          <w:sz w:val="24"/>
          <w:szCs w:val="22"/>
        </w:rPr>
        <w:t>Budenofalk</w:t>
      </w:r>
      <w:proofErr w:type="spellEnd"/>
      <w:r w:rsidRPr="005B6343">
        <w:rPr>
          <w:rFonts w:asciiTheme="minorHAnsi" w:eastAsiaTheme="minorHAnsi" w:hAnsiTheme="minorHAnsi" w:cstheme="minorBidi"/>
          <w:snapToGrid/>
          <w:sz w:val="24"/>
          <w:szCs w:val="22"/>
        </w:rPr>
        <w:t>.</w:t>
      </w:r>
    </w:p>
    <w:p w:rsidR="00A706B8" w:rsidRPr="005B6343" w:rsidRDefault="00C36E50" w:rsidP="00D15D1B">
      <w:pPr>
        <w:pStyle w:val="ListParagraph"/>
        <w:numPr>
          <w:ilvl w:val="1"/>
          <w:numId w:val="14"/>
        </w:numPr>
        <w:spacing w:after="120"/>
        <w:contextualSpacing w:val="0"/>
        <w:rPr>
          <w:rFonts w:asciiTheme="minorHAnsi" w:eastAsiaTheme="minorHAnsi" w:hAnsiTheme="minorHAnsi" w:cstheme="minorBidi"/>
          <w:snapToGrid/>
          <w:sz w:val="24"/>
          <w:szCs w:val="22"/>
        </w:rPr>
      </w:pPr>
      <w:r w:rsidRPr="005B6343">
        <w:rPr>
          <w:rFonts w:asciiTheme="minorHAnsi" w:eastAsiaTheme="minorHAnsi" w:hAnsiTheme="minorHAnsi" w:cstheme="minorBidi"/>
          <w:snapToGrid/>
          <w:sz w:val="24"/>
          <w:szCs w:val="22"/>
        </w:rPr>
        <w:t xml:space="preserve">The PBAC is asked to advise, under Section 101 (4AACD) of the </w:t>
      </w:r>
      <w:r w:rsidRPr="005B6343">
        <w:rPr>
          <w:rFonts w:asciiTheme="minorHAnsi" w:eastAsiaTheme="minorHAnsi" w:hAnsiTheme="minorHAnsi" w:cstheme="minorBidi"/>
          <w:i/>
          <w:snapToGrid/>
          <w:sz w:val="24"/>
          <w:szCs w:val="22"/>
        </w:rPr>
        <w:t>National Health Act</w:t>
      </w:r>
      <w:r w:rsidRPr="005B6343">
        <w:rPr>
          <w:rFonts w:asciiTheme="minorHAnsi" w:eastAsiaTheme="minorHAnsi" w:hAnsiTheme="minorHAnsi" w:cstheme="minorBidi"/>
          <w:snapToGrid/>
          <w:sz w:val="24"/>
          <w:szCs w:val="22"/>
        </w:rPr>
        <w:t xml:space="preserve">, if </w:t>
      </w:r>
      <w:proofErr w:type="spellStart"/>
      <w:r w:rsidRPr="005B6343">
        <w:rPr>
          <w:rFonts w:asciiTheme="minorHAnsi" w:eastAsiaTheme="minorHAnsi" w:hAnsiTheme="minorHAnsi" w:cstheme="minorBidi"/>
          <w:snapToGrid/>
          <w:sz w:val="24"/>
          <w:szCs w:val="22"/>
        </w:rPr>
        <w:t>Budenofalk</w:t>
      </w:r>
      <w:proofErr w:type="spellEnd"/>
      <w:r w:rsidRPr="005B6343">
        <w:rPr>
          <w:rFonts w:asciiTheme="minorHAnsi" w:eastAsiaTheme="minorHAnsi" w:hAnsiTheme="minorHAnsi" w:cstheme="minorBidi"/>
          <w:snapToGrid/>
          <w:sz w:val="24"/>
          <w:szCs w:val="22"/>
        </w:rPr>
        <w:t xml:space="preserve"> and </w:t>
      </w:r>
      <w:proofErr w:type="spellStart"/>
      <w:r w:rsidRPr="005B6343">
        <w:rPr>
          <w:rFonts w:asciiTheme="minorHAnsi" w:eastAsiaTheme="minorHAnsi" w:hAnsiTheme="minorHAnsi" w:cstheme="minorBidi"/>
          <w:snapToGrid/>
          <w:sz w:val="24"/>
          <w:szCs w:val="22"/>
        </w:rPr>
        <w:t>Entocort</w:t>
      </w:r>
      <w:proofErr w:type="spellEnd"/>
      <w:r w:rsidRPr="005B6343">
        <w:rPr>
          <w:rFonts w:asciiTheme="minorHAnsi" w:eastAsiaTheme="minorHAnsi" w:hAnsiTheme="minorHAnsi" w:cstheme="minorBidi"/>
          <w:snapToGrid/>
          <w:sz w:val="24"/>
          <w:szCs w:val="22"/>
        </w:rPr>
        <w:t xml:space="preserve"> should be considered equivalent for the purposes of substitution (i.e. ‘a’ flagged in the Schedule). </w:t>
      </w:r>
      <w:r w:rsidR="004E08F0" w:rsidRPr="005B6343">
        <w:rPr>
          <w:rFonts w:asciiTheme="minorHAnsi" w:eastAsiaTheme="minorHAnsi" w:hAnsiTheme="minorHAnsi" w:cstheme="minorBidi"/>
          <w:snapToGrid/>
          <w:sz w:val="24"/>
          <w:szCs w:val="24"/>
        </w:rPr>
        <w:t xml:space="preserve">The Secretariat noted that </w:t>
      </w:r>
      <w:proofErr w:type="spellStart"/>
      <w:r w:rsidR="004E08F0" w:rsidRPr="005B6343">
        <w:rPr>
          <w:rFonts w:asciiTheme="minorHAnsi" w:eastAsiaTheme="minorHAnsi" w:hAnsiTheme="minorHAnsi" w:cstheme="minorBidi"/>
          <w:snapToGrid/>
          <w:sz w:val="24"/>
          <w:szCs w:val="24"/>
        </w:rPr>
        <w:t>Budenofalk</w:t>
      </w:r>
      <w:proofErr w:type="spellEnd"/>
      <w:r w:rsidR="004E08F0" w:rsidRPr="005B6343">
        <w:rPr>
          <w:rFonts w:asciiTheme="minorHAnsi" w:eastAsiaTheme="minorHAnsi" w:hAnsiTheme="minorHAnsi" w:cstheme="minorBidi"/>
          <w:snapToGrid/>
          <w:sz w:val="24"/>
          <w:szCs w:val="24"/>
        </w:rPr>
        <w:t xml:space="preserve"> and </w:t>
      </w:r>
      <w:proofErr w:type="spellStart"/>
      <w:r w:rsidR="004E08F0" w:rsidRPr="005B6343">
        <w:rPr>
          <w:rFonts w:asciiTheme="minorHAnsi" w:eastAsiaTheme="minorHAnsi" w:hAnsiTheme="minorHAnsi" w:cstheme="minorBidi"/>
          <w:snapToGrid/>
          <w:sz w:val="24"/>
          <w:szCs w:val="24"/>
        </w:rPr>
        <w:t>Entocort</w:t>
      </w:r>
      <w:proofErr w:type="spellEnd"/>
      <w:r w:rsidR="004E08F0" w:rsidRPr="005B6343">
        <w:rPr>
          <w:rFonts w:asciiTheme="minorHAnsi" w:eastAsiaTheme="minorHAnsi" w:hAnsiTheme="minorHAnsi" w:cstheme="minorBidi"/>
          <w:snapToGrid/>
          <w:sz w:val="24"/>
          <w:szCs w:val="24"/>
        </w:rPr>
        <w:t xml:space="preserve"> have different capsule formulations. </w:t>
      </w:r>
      <w:proofErr w:type="spellStart"/>
      <w:r w:rsidR="004E08F0" w:rsidRPr="005B6343">
        <w:rPr>
          <w:rFonts w:asciiTheme="minorHAnsi" w:eastAsiaTheme="minorHAnsi" w:hAnsiTheme="minorHAnsi" w:cstheme="minorBidi"/>
          <w:snapToGrid/>
          <w:sz w:val="24"/>
          <w:szCs w:val="24"/>
        </w:rPr>
        <w:t>Budenofalk</w:t>
      </w:r>
      <w:proofErr w:type="spellEnd"/>
      <w:r w:rsidR="004E08F0" w:rsidRPr="005B6343">
        <w:rPr>
          <w:rFonts w:asciiTheme="minorHAnsi" w:eastAsiaTheme="minorHAnsi" w:hAnsiTheme="minorHAnsi" w:cstheme="minorBidi"/>
          <w:snapToGrid/>
          <w:sz w:val="24"/>
          <w:szCs w:val="24"/>
        </w:rPr>
        <w:t xml:space="preserve"> </w:t>
      </w:r>
      <w:proofErr w:type="gramStart"/>
      <w:r w:rsidR="004E08F0" w:rsidRPr="005B6343">
        <w:rPr>
          <w:rFonts w:asciiTheme="minorHAnsi" w:eastAsiaTheme="minorHAnsi" w:hAnsiTheme="minorHAnsi" w:cstheme="minorBidi"/>
          <w:snapToGrid/>
          <w:sz w:val="24"/>
          <w:szCs w:val="24"/>
        </w:rPr>
        <w:t>is described</w:t>
      </w:r>
      <w:proofErr w:type="gramEnd"/>
      <w:r w:rsidR="004E08F0" w:rsidRPr="005B6343">
        <w:rPr>
          <w:rFonts w:asciiTheme="minorHAnsi" w:eastAsiaTheme="minorHAnsi" w:hAnsiTheme="minorHAnsi" w:cstheme="minorBidi"/>
          <w:snapToGrid/>
          <w:sz w:val="24"/>
          <w:szCs w:val="24"/>
        </w:rPr>
        <w:t xml:space="preserve"> as an enteric capsule in the approved Product Information (PI) (p1). </w:t>
      </w:r>
      <w:proofErr w:type="spellStart"/>
      <w:r w:rsidR="004E08F0" w:rsidRPr="005B6343">
        <w:rPr>
          <w:rFonts w:asciiTheme="minorHAnsi" w:eastAsiaTheme="minorHAnsi" w:hAnsiTheme="minorHAnsi" w:cstheme="minorBidi"/>
          <w:snapToGrid/>
          <w:sz w:val="24"/>
          <w:szCs w:val="24"/>
        </w:rPr>
        <w:t>Entocort</w:t>
      </w:r>
      <w:proofErr w:type="spellEnd"/>
      <w:r w:rsidR="004E08F0" w:rsidRPr="005B6343">
        <w:rPr>
          <w:rFonts w:asciiTheme="minorHAnsi" w:eastAsiaTheme="minorHAnsi" w:hAnsiTheme="minorHAnsi" w:cstheme="minorBidi"/>
          <w:snapToGrid/>
          <w:sz w:val="24"/>
          <w:szCs w:val="24"/>
        </w:rPr>
        <w:t xml:space="preserve"> </w:t>
      </w:r>
      <w:proofErr w:type="gramStart"/>
      <w:r w:rsidR="004E08F0" w:rsidRPr="005B6343">
        <w:rPr>
          <w:rFonts w:asciiTheme="minorHAnsi" w:eastAsiaTheme="minorHAnsi" w:hAnsiTheme="minorHAnsi" w:cstheme="minorBidi"/>
          <w:snapToGrid/>
          <w:sz w:val="24"/>
          <w:szCs w:val="24"/>
        </w:rPr>
        <w:t>is described</w:t>
      </w:r>
      <w:proofErr w:type="gramEnd"/>
      <w:r w:rsidR="004E08F0" w:rsidRPr="005B6343">
        <w:rPr>
          <w:rFonts w:asciiTheme="minorHAnsi" w:eastAsiaTheme="minorHAnsi" w:hAnsiTheme="minorHAnsi" w:cstheme="minorBidi"/>
          <w:snapToGrid/>
          <w:sz w:val="24"/>
          <w:szCs w:val="24"/>
        </w:rPr>
        <w:t xml:space="preserve"> as a “hard gelatine capsule filled with gastric acid-resistant, prolonged release granules for oral use. The granules are practically insoluble in gastric juice and have prolonged release properties adjusted to release budesonide in th</w:t>
      </w:r>
      <w:r w:rsidR="00756BFD">
        <w:rPr>
          <w:rFonts w:asciiTheme="minorHAnsi" w:eastAsiaTheme="minorHAnsi" w:hAnsiTheme="minorHAnsi" w:cstheme="minorBidi"/>
          <w:snapToGrid/>
          <w:sz w:val="24"/>
          <w:szCs w:val="24"/>
        </w:rPr>
        <w:t>e ileum and the ascending colon</w:t>
      </w:r>
      <w:r w:rsidR="004E08F0" w:rsidRPr="005B6343">
        <w:rPr>
          <w:rFonts w:asciiTheme="minorHAnsi" w:eastAsiaTheme="minorHAnsi" w:hAnsiTheme="minorHAnsi" w:cstheme="minorBidi"/>
          <w:snapToGrid/>
          <w:sz w:val="24"/>
          <w:szCs w:val="24"/>
        </w:rPr>
        <w:t>” (</w:t>
      </w:r>
      <w:proofErr w:type="spellStart"/>
      <w:r w:rsidR="004E08F0" w:rsidRPr="005B6343">
        <w:rPr>
          <w:rFonts w:asciiTheme="minorHAnsi" w:eastAsiaTheme="minorHAnsi" w:hAnsiTheme="minorHAnsi" w:cstheme="minorBidi"/>
          <w:snapToGrid/>
          <w:sz w:val="24"/>
          <w:szCs w:val="24"/>
        </w:rPr>
        <w:t>Entocort</w:t>
      </w:r>
      <w:proofErr w:type="spellEnd"/>
      <w:r w:rsidR="004E08F0" w:rsidRPr="005B6343">
        <w:rPr>
          <w:rFonts w:asciiTheme="minorHAnsi" w:eastAsiaTheme="minorHAnsi" w:hAnsiTheme="minorHAnsi" w:cstheme="minorBidi"/>
          <w:snapToGrid/>
          <w:sz w:val="24"/>
          <w:szCs w:val="24"/>
        </w:rPr>
        <w:t xml:space="preserve"> approved PI, p1)</w:t>
      </w:r>
      <w:r w:rsidR="00756BFD">
        <w:rPr>
          <w:rFonts w:asciiTheme="minorHAnsi" w:eastAsiaTheme="minorHAnsi" w:hAnsiTheme="minorHAnsi" w:cstheme="minorBidi"/>
          <w:snapToGrid/>
          <w:sz w:val="24"/>
          <w:szCs w:val="24"/>
        </w:rPr>
        <w:t>.</w:t>
      </w:r>
      <w:r w:rsidR="004E08F0" w:rsidRPr="005B6343">
        <w:rPr>
          <w:rFonts w:asciiTheme="minorHAnsi" w:eastAsiaTheme="minorHAnsi" w:hAnsiTheme="minorHAnsi" w:cstheme="minorBidi"/>
          <w:snapToGrid/>
          <w:sz w:val="24"/>
          <w:szCs w:val="24"/>
        </w:rPr>
        <w:t xml:space="preserve"> The submission noted that the different formulation of </w:t>
      </w:r>
      <w:proofErr w:type="spellStart"/>
      <w:r w:rsidR="004E08F0" w:rsidRPr="005B6343">
        <w:rPr>
          <w:rFonts w:asciiTheme="minorHAnsi" w:eastAsiaTheme="minorHAnsi" w:hAnsiTheme="minorHAnsi" w:cstheme="minorBidi"/>
          <w:snapToGrid/>
          <w:sz w:val="24"/>
          <w:szCs w:val="24"/>
        </w:rPr>
        <w:t>Budenofalk</w:t>
      </w:r>
      <w:proofErr w:type="spellEnd"/>
      <w:r w:rsidR="004E08F0" w:rsidRPr="005B6343">
        <w:rPr>
          <w:rFonts w:asciiTheme="minorHAnsi" w:eastAsiaTheme="minorHAnsi" w:hAnsiTheme="minorHAnsi" w:cstheme="minorBidi"/>
          <w:snapToGrid/>
          <w:sz w:val="24"/>
          <w:szCs w:val="24"/>
        </w:rPr>
        <w:t xml:space="preserve"> and </w:t>
      </w:r>
      <w:proofErr w:type="spellStart"/>
      <w:r w:rsidR="004E08F0" w:rsidRPr="005B6343">
        <w:rPr>
          <w:rFonts w:asciiTheme="minorHAnsi" w:eastAsiaTheme="minorHAnsi" w:hAnsiTheme="minorHAnsi" w:cstheme="minorBidi"/>
          <w:snapToGrid/>
          <w:sz w:val="24"/>
          <w:szCs w:val="24"/>
        </w:rPr>
        <w:t>Entocort</w:t>
      </w:r>
      <w:proofErr w:type="spellEnd"/>
      <w:r w:rsidR="004E08F0" w:rsidRPr="005B6343">
        <w:rPr>
          <w:rFonts w:asciiTheme="minorHAnsi" w:eastAsiaTheme="minorHAnsi" w:hAnsiTheme="minorHAnsi" w:cstheme="minorBidi"/>
          <w:snapToGrid/>
          <w:sz w:val="24"/>
          <w:szCs w:val="24"/>
        </w:rPr>
        <w:t xml:space="preserve"> resulted in the two drugs having different drug release profiles and surface area coverage. The submission claimed that </w:t>
      </w:r>
      <w:proofErr w:type="spellStart"/>
      <w:r w:rsidR="004E08F0" w:rsidRPr="005B6343">
        <w:rPr>
          <w:rFonts w:asciiTheme="minorHAnsi" w:eastAsiaTheme="minorHAnsi" w:hAnsiTheme="minorHAnsi" w:cstheme="minorBidi"/>
          <w:snapToGrid/>
          <w:sz w:val="24"/>
          <w:szCs w:val="24"/>
        </w:rPr>
        <w:t>Budenofalk</w:t>
      </w:r>
      <w:proofErr w:type="spellEnd"/>
      <w:r w:rsidR="004E08F0" w:rsidRPr="005B6343">
        <w:rPr>
          <w:rFonts w:asciiTheme="minorHAnsi" w:eastAsiaTheme="minorHAnsi" w:hAnsiTheme="minorHAnsi" w:cstheme="minorBidi"/>
          <w:snapToGrid/>
          <w:sz w:val="24"/>
          <w:szCs w:val="24"/>
        </w:rPr>
        <w:t xml:space="preserve"> </w:t>
      </w:r>
      <w:proofErr w:type="gramStart"/>
      <w:r w:rsidR="004E08F0" w:rsidRPr="005B6343">
        <w:rPr>
          <w:rFonts w:asciiTheme="minorHAnsi" w:eastAsiaTheme="minorHAnsi" w:hAnsiTheme="minorHAnsi" w:cstheme="minorBidi"/>
          <w:snapToGrid/>
          <w:sz w:val="24"/>
          <w:szCs w:val="24"/>
        </w:rPr>
        <w:t xml:space="preserve">was more specifically targeted and provided greater coverage in the distal small intestine, suggesting the budesonide concentration in the ileocecal region from </w:t>
      </w:r>
      <w:proofErr w:type="spellStart"/>
      <w:r w:rsidR="004E08F0" w:rsidRPr="005B6343">
        <w:rPr>
          <w:rFonts w:asciiTheme="minorHAnsi" w:eastAsiaTheme="minorHAnsi" w:hAnsiTheme="minorHAnsi" w:cstheme="minorBidi"/>
          <w:snapToGrid/>
          <w:sz w:val="24"/>
          <w:szCs w:val="24"/>
        </w:rPr>
        <w:t>Budenofalk</w:t>
      </w:r>
      <w:proofErr w:type="spellEnd"/>
      <w:r w:rsidR="004E08F0" w:rsidRPr="005B6343">
        <w:rPr>
          <w:rFonts w:asciiTheme="minorHAnsi" w:eastAsiaTheme="minorHAnsi" w:hAnsiTheme="minorHAnsi" w:cstheme="minorBidi"/>
          <w:snapToGrid/>
          <w:sz w:val="24"/>
          <w:szCs w:val="24"/>
        </w:rPr>
        <w:t xml:space="preserve"> would be higher than </w:t>
      </w:r>
      <w:proofErr w:type="spellStart"/>
      <w:r w:rsidR="004E08F0" w:rsidRPr="005B6343">
        <w:rPr>
          <w:rFonts w:asciiTheme="minorHAnsi" w:eastAsiaTheme="minorHAnsi" w:hAnsiTheme="minorHAnsi" w:cstheme="minorBidi"/>
          <w:snapToGrid/>
          <w:sz w:val="24"/>
          <w:szCs w:val="24"/>
        </w:rPr>
        <w:t>Entocort</w:t>
      </w:r>
      <w:proofErr w:type="spellEnd"/>
      <w:proofErr w:type="gramEnd"/>
      <w:r w:rsidR="004E08F0" w:rsidRPr="005B6343">
        <w:rPr>
          <w:rFonts w:asciiTheme="minorHAnsi" w:eastAsiaTheme="minorHAnsi" w:hAnsiTheme="minorHAnsi" w:cstheme="minorBidi"/>
          <w:snapToGrid/>
          <w:sz w:val="24"/>
          <w:szCs w:val="24"/>
        </w:rPr>
        <w:t>. However, the submission noted that there is no data</w:t>
      </w:r>
      <w:r w:rsidR="004E08F0" w:rsidRPr="005B6343">
        <w:rPr>
          <w:rFonts w:asciiTheme="minorHAnsi" w:eastAsiaTheme="minorHAnsi" w:hAnsiTheme="minorHAnsi" w:cstheme="minorBidi"/>
          <w:snapToGrid/>
          <w:sz w:val="24"/>
          <w:szCs w:val="22"/>
        </w:rPr>
        <w:t xml:space="preserve"> available on the clinical effect resulting from these differences in </w:t>
      </w:r>
      <w:r w:rsidR="004E08F0" w:rsidRPr="005B6343">
        <w:rPr>
          <w:rFonts w:asciiTheme="minorHAnsi" w:eastAsiaTheme="minorHAnsi" w:hAnsiTheme="minorHAnsi" w:cstheme="minorBidi"/>
          <w:snapToGrid/>
          <w:sz w:val="24"/>
          <w:szCs w:val="22"/>
        </w:rPr>
        <w:lastRenderedPageBreak/>
        <w:t>formulation.</w:t>
      </w:r>
      <w:r w:rsidRPr="005B6343">
        <w:rPr>
          <w:rFonts w:asciiTheme="minorHAnsi" w:eastAsiaTheme="minorHAnsi" w:hAnsiTheme="minorHAnsi" w:cstheme="minorBidi"/>
          <w:snapToGrid/>
          <w:sz w:val="24"/>
          <w:szCs w:val="22"/>
        </w:rPr>
        <w:t xml:space="preserve"> The submission did not indicate if </w:t>
      </w:r>
      <w:proofErr w:type="spellStart"/>
      <w:r w:rsidRPr="005B6343">
        <w:rPr>
          <w:rFonts w:asciiTheme="minorHAnsi" w:eastAsiaTheme="minorHAnsi" w:hAnsiTheme="minorHAnsi" w:cstheme="minorBidi"/>
          <w:snapToGrid/>
          <w:sz w:val="24"/>
          <w:szCs w:val="22"/>
        </w:rPr>
        <w:t>Budenofalk</w:t>
      </w:r>
      <w:proofErr w:type="spellEnd"/>
      <w:r w:rsidRPr="005B6343">
        <w:rPr>
          <w:rFonts w:asciiTheme="minorHAnsi" w:eastAsiaTheme="minorHAnsi" w:hAnsiTheme="minorHAnsi" w:cstheme="minorBidi"/>
          <w:snapToGrid/>
          <w:sz w:val="24"/>
          <w:szCs w:val="22"/>
        </w:rPr>
        <w:t xml:space="preserve"> and </w:t>
      </w:r>
      <w:proofErr w:type="spellStart"/>
      <w:r w:rsidRPr="005B6343">
        <w:rPr>
          <w:rFonts w:asciiTheme="minorHAnsi" w:eastAsiaTheme="minorHAnsi" w:hAnsiTheme="minorHAnsi" w:cstheme="minorBidi"/>
          <w:snapToGrid/>
          <w:sz w:val="24"/>
          <w:szCs w:val="22"/>
        </w:rPr>
        <w:t>Entocort</w:t>
      </w:r>
      <w:proofErr w:type="spellEnd"/>
      <w:r w:rsidRPr="005B6343">
        <w:rPr>
          <w:rFonts w:asciiTheme="minorHAnsi" w:eastAsiaTheme="minorHAnsi" w:hAnsiTheme="minorHAnsi" w:cstheme="minorBidi"/>
          <w:snapToGrid/>
          <w:sz w:val="24"/>
          <w:szCs w:val="22"/>
        </w:rPr>
        <w:t xml:space="preserve"> </w:t>
      </w:r>
      <w:proofErr w:type="gramStart"/>
      <w:r w:rsidRPr="005B6343">
        <w:rPr>
          <w:rFonts w:asciiTheme="minorHAnsi" w:eastAsiaTheme="minorHAnsi" w:hAnsiTheme="minorHAnsi" w:cstheme="minorBidi"/>
          <w:snapToGrid/>
          <w:sz w:val="24"/>
          <w:szCs w:val="22"/>
        </w:rPr>
        <w:t>should be considered</w:t>
      </w:r>
      <w:proofErr w:type="gramEnd"/>
      <w:r w:rsidRPr="005B6343">
        <w:rPr>
          <w:rFonts w:asciiTheme="minorHAnsi" w:eastAsiaTheme="minorHAnsi" w:hAnsiTheme="minorHAnsi" w:cstheme="minorBidi"/>
          <w:snapToGrid/>
          <w:sz w:val="24"/>
          <w:szCs w:val="22"/>
        </w:rPr>
        <w:t xml:space="preserve"> bioequivalent. </w:t>
      </w:r>
    </w:p>
    <w:p w:rsidR="00D574DC" w:rsidRPr="005B6343" w:rsidRDefault="00D574DC" w:rsidP="00D15D1B">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5B6343">
        <w:rPr>
          <w:rFonts w:asciiTheme="minorHAnsi" w:eastAsiaTheme="minorHAnsi" w:hAnsiTheme="minorHAnsi" w:cstheme="minorBidi"/>
          <w:snapToGrid/>
          <w:sz w:val="24"/>
          <w:szCs w:val="22"/>
        </w:rPr>
        <w:t xml:space="preserve">The Secretariat noted that the requested restriction is simple as it </w:t>
      </w:r>
      <w:proofErr w:type="gramStart"/>
      <w:r w:rsidRPr="005B6343">
        <w:rPr>
          <w:rFonts w:asciiTheme="minorHAnsi" w:eastAsiaTheme="minorHAnsi" w:hAnsiTheme="minorHAnsi" w:cstheme="minorBidi"/>
          <w:snapToGrid/>
          <w:sz w:val="24"/>
          <w:szCs w:val="22"/>
        </w:rPr>
        <w:t>is based</w:t>
      </w:r>
      <w:proofErr w:type="gramEnd"/>
      <w:r w:rsidRPr="005B6343">
        <w:rPr>
          <w:rFonts w:asciiTheme="minorHAnsi" w:eastAsiaTheme="minorHAnsi" w:hAnsiTheme="minorHAnsi" w:cstheme="minorBidi"/>
          <w:snapToGrid/>
          <w:sz w:val="24"/>
          <w:szCs w:val="22"/>
        </w:rPr>
        <w:t xml:space="preserve"> on an existing restriction. </w:t>
      </w:r>
    </w:p>
    <w:p w:rsidR="004A26D9" w:rsidRDefault="004A26D9" w:rsidP="00D15D1B">
      <w:pPr>
        <w:spacing w:after="120"/>
        <w:rPr>
          <w:rFonts w:asciiTheme="minorHAnsi" w:hAnsiTheme="minorHAnsi"/>
          <w:i/>
        </w:rPr>
      </w:pPr>
      <w:r w:rsidRPr="005B6343">
        <w:rPr>
          <w:rFonts w:asciiTheme="minorHAnsi" w:hAnsiTheme="minorHAnsi"/>
          <w:i/>
        </w:rPr>
        <w:t>For more detail on PBAC’s view, see section 7 PBAC outcome.</w:t>
      </w:r>
    </w:p>
    <w:p w:rsidR="00C603D4" w:rsidRPr="005B6343" w:rsidRDefault="00CE10C4" w:rsidP="00D15D1B">
      <w:pPr>
        <w:pStyle w:val="PBACHeading1"/>
        <w:spacing w:before="240" w:after="120"/>
        <w:ind w:left="709" w:hanging="709"/>
        <w:rPr>
          <w:rFonts w:asciiTheme="minorHAnsi" w:hAnsiTheme="minorHAnsi"/>
          <w:sz w:val="32"/>
          <w:szCs w:val="32"/>
        </w:rPr>
      </w:pPr>
      <w:r w:rsidRPr="005B6343">
        <w:rPr>
          <w:rFonts w:asciiTheme="minorHAnsi" w:hAnsiTheme="minorHAnsi"/>
          <w:sz w:val="32"/>
          <w:szCs w:val="32"/>
        </w:rPr>
        <w:t>Background</w:t>
      </w:r>
    </w:p>
    <w:p w:rsidR="009744A7" w:rsidRPr="005B6343" w:rsidRDefault="00361A97" w:rsidP="00D15D1B">
      <w:pPr>
        <w:pStyle w:val="ListParagraph"/>
        <w:widowControl/>
        <w:numPr>
          <w:ilvl w:val="1"/>
          <w:numId w:val="14"/>
        </w:numPr>
        <w:spacing w:before="120" w:after="120"/>
        <w:contextualSpacing w:val="0"/>
        <w:rPr>
          <w:rFonts w:asciiTheme="minorHAnsi" w:eastAsiaTheme="minorHAnsi" w:hAnsiTheme="minorHAnsi" w:cstheme="minorHAnsi"/>
          <w:snapToGrid/>
          <w:sz w:val="24"/>
          <w:szCs w:val="24"/>
        </w:rPr>
      </w:pPr>
      <w:proofErr w:type="spellStart"/>
      <w:r w:rsidRPr="005B6343">
        <w:rPr>
          <w:rFonts w:asciiTheme="minorHAnsi" w:eastAsiaTheme="minorHAnsi" w:hAnsiTheme="minorHAnsi" w:cstheme="minorHAnsi"/>
          <w:snapToGrid/>
          <w:sz w:val="24"/>
          <w:szCs w:val="24"/>
        </w:rPr>
        <w:t>Budenofalk</w:t>
      </w:r>
      <w:proofErr w:type="spellEnd"/>
      <w:r w:rsidRPr="005B6343">
        <w:rPr>
          <w:rFonts w:asciiTheme="minorHAnsi" w:eastAsiaTheme="minorHAnsi" w:hAnsiTheme="minorHAnsi" w:cstheme="minorHAnsi"/>
          <w:snapToGrid/>
          <w:sz w:val="24"/>
          <w:szCs w:val="24"/>
        </w:rPr>
        <w:t xml:space="preserve"> </w:t>
      </w:r>
      <w:r w:rsidR="009744A7" w:rsidRPr="005B6343">
        <w:rPr>
          <w:rFonts w:asciiTheme="minorHAnsi" w:eastAsiaTheme="minorHAnsi" w:hAnsiTheme="minorHAnsi" w:cstheme="minorHAnsi"/>
          <w:snapToGrid/>
          <w:sz w:val="24"/>
          <w:szCs w:val="24"/>
        </w:rPr>
        <w:t>wa</w:t>
      </w:r>
      <w:r w:rsidR="00476245" w:rsidRPr="005B6343">
        <w:rPr>
          <w:rFonts w:asciiTheme="minorHAnsi" w:eastAsiaTheme="minorHAnsi" w:hAnsiTheme="minorHAnsi" w:cstheme="minorHAnsi"/>
          <w:snapToGrid/>
          <w:sz w:val="24"/>
          <w:szCs w:val="24"/>
        </w:rPr>
        <w:t xml:space="preserve">s TGA registered </w:t>
      </w:r>
      <w:r w:rsidR="009744A7" w:rsidRPr="005B6343">
        <w:rPr>
          <w:rFonts w:asciiTheme="minorHAnsi" w:eastAsiaTheme="minorHAnsi" w:hAnsiTheme="minorHAnsi" w:cstheme="minorHAnsi"/>
          <w:snapToGrid/>
          <w:sz w:val="24"/>
          <w:szCs w:val="24"/>
        </w:rPr>
        <w:t xml:space="preserve">on 12 June 2012 </w:t>
      </w:r>
      <w:r w:rsidR="008957D0" w:rsidRPr="005B6343">
        <w:rPr>
          <w:rFonts w:asciiTheme="minorHAnsi" w:eastAsiaTheme="minorHAnsi" w:hAnsiTheme="minorHAnsi" w:cstheme="minorHAnsi"/>
          <w:snapToGrid/>
          <w:sz w:val="24"/>
          <w:szCs w:val="24"/>
        </w:rPr>
        <w:t xml:space="preserve">for </w:t>
      </w:r>
      <w:r w:rsidRPr="005B6343">
        <w:rPr>
          <w:rFonts w:asciiTheme="minorHAnsi" w:eastAsiaTheme="minorHAnsi" w:hAnsiTheme="minorHAnsi" w:cstheme="minorHAnsi"/>
          <w:snapToGrid/>
          <w:sz w:val="24"/>
          <w:szCs w:val="24"/>
        </w:rPr>
        <w:t xml:space="preserve">induction of remission in patients with mild to moderately active </w:t>
      </w:r>
      <w:r w:rsidR="00560C19" w:rsidRPr="005B6343">
        <w:rPr>
          <w:rFonts w:asciiTheme="minorHAnsi" w:eastAsiaTheme="minorHAnsi" w:hAnsiTheme="minorHAnsi" w:cstheme="minorHAnsi"/>
          <w:snapToGrid/>
          <w:sz w:val="24"/>
          <w:szCs w:val="24"/>
        </w:rPr>
        <w:t xml:space="preserve">CD </w:t>
      </w:r>
      <w:r w:rsidRPr="005B6343">
        <w:rPr>
          <w:rFonts w:asciiTheme="minorHAnsi" w:eastAsiaTheme="minorHAnsi" w:hAnsiTheme="minorHAnsi" w:cstheme="minorHAnsi"/>
          <w:snapToGrid/>
          <w:sz w:val="24"/>
          <w:szCs w:val="24"/>
        </w:rPr>
        <w:t>affecting the ileum and/or the ascending colon</w:t>
      </w:r>
      <w:r w:rsidR="005E2F98" w:rsidRPr="005B6343">
        <w:rPr>
          <w:rFonts w:asciiTheme="minorHAnsi" w:eastAsiaTheme="minorHAnsi" w:hAnsiTheme="minorHAnsi" w:cstheme="minorHAnsi"/>
          <w:snapToGrid/>
          <w:sz w:val="24"/>
          <w:szCs w:val="24"/>
        </w:rPr>
        <w:t>.</w:t>
      </w:r>
      <w:r w:rsidR="008957D0" w:rsidRPr="005B6343">
        <w:rPr>
          <w:rFonts w:asciiTheme="minorHAnsi" w:eastAsiaTheme="minorHAnsi" w:hAnsiTheme="minorHAnsi" w:cstheme="minorHAnsi"/>
          <w:snapToGrid/>
          <w:sz w:val="24"/>
          <w:szCs w:val="24"/>
        </w:rPr>
        <w:t xml:space="preserve"> </w:t>
      </w:r>
    </w:p>
    <w:p w:rsidR="009A049B" w:rsidRPr="005B6343" w:rsidRDefault="004A1FC8" w:rsidP="00D15D1B">
      <w:pPr>
        <w:pStyle w:val="ListParagraph"/>
        <w:widowControl/>
        <w:numPr>
          <w:ilvl w:val="1"/>
          <w:numId w:val="14"/>
        </w:numPr>
        <w:spacing w:after="120"/>
        <w:contextualSpacing w:val="0"/>
        <w:rPr>
          <w:rFonts w:asciiTheme="minorHAnsi" w:hAnsiTheme="minorHAnsi"/>
          <w:sz w:val="24"/>
          <w:szCs w:val="24"/>
        </w:rPr>
      </w:pPr>
      <w:r w:rsidRPr="005B6343">
        <w:rPr>
          <w:rFonts w:asciiTheme="minorHAnsi" w:hAnsiTheme="minorHAnsi"/>
          <w:sz w:val="24"/>
          <w:szCs w:val="22"/>
        </w:rPr>
        <w:t xml:space="preserve">Budesonide in this presentation </w:t>
      </w:r>
      <w:proofErr w:type="gramStart"/>
      <w:r w:rsidRPr="005B6343">
        <w:rPr>
          <w:rFonts w:asciiTheme="minorHAnsi" w:hAnsiTheme="minorHAnsi"/>
          <w:sz w:val="24"/>
          <w:szCs w:val="22"/>
        </w:rPr>
        <w:t xml:space="preserve">has </w:t>
      </w:r>
      <w:r w:rsidR="009A049B" w:rsidRPr="005B6343">
        <w:rPr>
          <w:rFonts w:asciiTheme="minorHAnsi" w:hAnsiTheme="minorHAnsi"/>
          <w:sz w:val="24"/>
          <w:szCs w:val="22"/>
        </w:rPr>
        <w:t xml:space="preserve">not </w:t>
      </w:r>
      <w:r w:rsidRPr="005B6343">
        <w:rPr>
          <w:rFonts w:asciiTheme="minorHAnsi" w:hAnsiTheme="minorHAnsi"/>
          <w:sz w:val="24"/>
          <w:szCs w:val="22"/>
        </w:rPr>
        <w:t>been considered</w:t>
      </w:r>
      <w:proofErr w:type="gramEnd"/>
      <w:r w:rsidRPr="005B6343">
        <w:rPr>
          <w:rFonts w:asciiTheme="minorHAnsi" w:hAnsiTheme="minorHAnsi"/>
          <w:sz w:val="24"/>
          <w:szCs w:val="22"/>
        </w:rPr>
        <w:t xml:space="preserve"> by the PBAC previously.</w:t>
      </w:r>
    </w:p>
    <w:p w:rsidR="004A1FC8" w:rsidRPr="00C026A5" w:rsidRDefault="004A1FC8" w:rsidP="00D15D1B">
      <w:pPr>
        <w:pStyle w:val="ListParagraph"/>
        <w:widowControl/>
        <w:numPr>
          <w:ilvl w:val="1"/>
          <w:numId w:val="14"/>
        </w:numPr>
        <w:spacing w:after="120"/>
        <w:contextualSpacing w:val="0"/>
        <w:rPr>
          <w:rFonts w:asciiTheme="minorHAnsi" w:hAnsiTheme="minorHAnsi"/>
          <w:sz w:val="24"/>
          <w:szCs w:val="24"/>
        </w:rPr>
      </w:pPr>
      <w:proofErr w:type="spellStart"/>
      <w:r w:rsidRPr="005B6343">
        <w:rPr>
          <w:rFonts w:asciiTheme="minorHAnsi" w:hAnsiTheme="minorHAnsi"/>
          <w:sz w:val="24"/>
          <w:szCs w:val="22"/>
        </w:rPr>
        <w:t>Budenofalk</w:t>
      </w:r>
      <w:proofErr w:type="spellEnd"/>
      <w:r w:rsidRPr="005B6343">
        <w:rPr>
          <w:rFonts w:asciiTheme="minorHAnsi" w:hAnsiTheme="minorHAnsi"/>
          <w:sz w:val="24"/>
          <w:szCs w:val="22"/>
        </w:rPr>
        <w:t xml:space="preserve"> </w:t>
      </w:r>
      <w:proofErr w:type="gramStart"/>
      <w:r w:rsidR="00317BD9" w:rsidRPr="005B6343">
        <w:rPr>
          <w:rFonts w:asciiTheme="minorHAnsi" w:hAnsiTheme="minorHAnsi"/>
          <w:sz w:val="24"/>
          <w:szCs w:val="22"/>
        </w:rPr>
        <w:t>is currently listed</w:t>
      </w:r>
      <w:proofErr w:type="gramEnd"/>
      <w:r w:rsidR="00317BD9" w:rsidRPr="005B6343">
        <w:rPr>
          <w:rFonts w:asciiTheme="minorHAnsi" w:hAnsiTheme="minorHAnsi"/>
          <w:sz w:val="24"/>
          <w:szCs w:val="22"/>
        </w:rPr>
        <w:t xml:space="preserve"> on the PBS </w:t>
      </w:r>
      <w:r w:rsidRPr="005B6343">
        <w:rPr>
          <w:rFonts w:asciiTheme="minorHAnsi" w:hAnsiTheme="minorHAnsi"/>
          <w:sz w:val="24"/>
          <w:szCs w:val="22"/>
        </w:rPr>
        <w:t xml:space="preserve">in the </w:t>
      </w:r>
      <w:r w:rsidR="004D3C85" w:rsidRPr="005B6343">
        <w:rPr>
          <w:rFonts w:asciiTheme="minorHAnsi" w:hAnsiTheme="minorHAnsi"/>
          <w:sz w:val="24"/>
          <w:szCs w:val="22"/>
        </w:rPr>
        <w:t>presentation</w:t>
      </w:r>
      <w:r w:rsidRPr="005B6343">
        <w:rPr>
          <w:rFonts w:asciiTheme="minorHAnsi" w:hAnsiTheme="minorHAnsi"/>
          <w:sz w:val="24"/>
          <w:szCs w:val="22"/>
        </w:rPr>
        <w:t xml:space="preserve"> of a foam enema</w:t>
      </w:r>
      <w:r w:rsidR="00AD5BD7" w:rsidRPr="005B6343">
        <w:rPr>
          <w:rFonts w:asciiTheme="minorHAnsi" w:hAnsiTheme="minorHAnsi"/>
          <w:sz w:val="24"/>
          <w:szCs w:val="22"/>
        </w:rPr>
        <w:t xml:space="preserve"> </w:t>
      </w:r>
      <w:r w:rsidR="00051F89" w:rsidRPr="005B6343">
        <w:rPr>
          <w:rFonts w:asciiTheme="minorHAnsi" w:hAnsiTheme="minorHAnsi"/>
          <w:sz w:val="24"/>
          <w:szCs w:val="22"/>
        </w:rPr>
        <w:t>as an</w:t>
      </w:r>
      <w:r w:rsidRPr="005B6343">
        <w:rPr>
          <w:rFonts w:asciiTheme="minorHAnsi" w:hAnsiTheme="minorHAnsi"/>
          <w:sz w:val="24"/>
          <w:szCs w:val="22"/>
        </w:rPr>
        <w:t xml:space="preserve"> unrestricted benefit listing for ulcerative colitis.</w:t>
      </w:r>
    </w:p>
    <w:p w:rsidR="00CE10C4" w:rsidRPr="005B6343" w:rsidRDefault="006436CD" w:rsidP="00D15D1B">
      <w:pPr>
        <w:pStyle w:val="PBACHeading1"/>
        <w:spacing w:before="240" w:after="120"/>
        <w:ind w:left="709" w:hanging="709"/>
        <w:rPr>
          <w:rFonts w:asciiTheme="minorHAnsi" w:hAnsiTheme="minorHAnsi"/>
          <w:sz w:val="32"/>
          <w:szCs w:val="32"/>
        </w:rPr>
      </w:pPr>
      <w:r w:rsidRPr="005B6343">
        <w:rPr>
          <w:rFonts w:asciiTheme="minorHAnsi" w:hAnsiTheme="minorHAnsi"/>
          <w:sz w:val="32"/>
          <w:szCs w:val="32"/>
        </w:rPr>
        <w:t xml:space="preserve">Population and disease </w:t>
      </w:r>
    </w:p>
    <w:p w:rsidR="003C51FD" w:rsidRPr="002A6C4B" w:rsidRDefault="003C51FD" w:rsidP="00D15D1B">
      <w:pPr>
        <w:pStyle w:val="ListParagraph"/>
        <w:widowControl/>
        <w:numPr>
          <w:ilvl w:val="1"/>
          <w:numId w:val="14"/>
        </w:numPr>
        <w:spacing w:after="120"/>
        <w:contextualSpacing w:val="0"/>
        <w:rPr>
          <w:rFonts w:asciiTheme="minorHAnsi" w:hAnsiTheme="minorHAnsi"/>
          <w:bCs/>
          <w:sz w:val="24"/>
          <w:szCs w:val="24"/>
        </w:rPr>
      </w:pPr>
      <w:r w:rsidRPr="002A6C4B">
        <w:rPr>
          <w:rFonts w:asciiTheme="minorHAnsi" w:hAnsiTheme="minorHAnsi"/>
          <w:bCs/>
          <w:sz w:val="24"/>
          <w:szCs w:val="24"/>
        </w:rPr>
        <w:t xml:space="preserve">The clinical place of </w:t>
      </w:r>
      <w:proofErr w:type="spellStart"/>
      <w:r w:rsidRPr="002A6C4B">
        <w:rPr>
          <w:rFonts w:asciiTheme="minorHAnsi" w:hAnsiTheme="minorHAnsi"/>
          <w:bCs/>
          <w:sz w:val="24"/>
          <w:szCs w:val="24"/>
        </w:rPr>
        <w:t>Budenofalk</w:t>
      </w:r>
      <w:proofErr w:type="spellEnd"/>
      <w:r w:rsidRPr="002A6C4B">
        <w:rPr>
          <w:rFonts w:asciiTheme="minorHAnsi" w:hAnsiTheme="minorHAnsi"/>
          <w:bCs/>
          <w:sz w:val="24"/>
          <w:szCs w:val="24"/>
        </w:rPr>
        <w:t xml:space="preserve"> in mild to moderate CD is </w:t>
      </w:r>
      <w:r w:rsidR="00B23EEF" w:rsidRPr="002A6C4B">
        <w:rPr>
          <w:rFonts w:asciiTheme="minorHAnsi" w:hAnsiTheme="minorHAnsi"/>
          <w:bCs/>
          <w:sz w:val="24"/>
          <w:szCs w:val="24"/>
        </w:rPr>
        <w:t xml:space="preserve">likely to be in the first or second line treatment of mild to moderate CD. This is </w:t>
      </w:r>
      <w:r w:rsidR="004D3C85" w:rsidRPr="002A6C4B">
        <w:rPr>
          <w:rFonts w:asciiTheme="minorHAnsi" w:hAnsiTheme="minorHAnsi"/>
          <w:bCs/>
          <w:sz w:val="24"/>
          <w:szCs w:val="24"/>
        </w:rPr>
        <w:t>the same</w:t>
      </w:r>
      <w:r w:rsidR="00915630" w:rsidRPr="002A6C4B">
        <w:rPr>
          <w:rFonts w:asciiTheme="minorHAnsi" w:hAnsiTheme="minorHAnsi"/>
          <w:bCs/>
          <w:sz w:val="24"/>
          <w:szCs w:val="24"/>
        </w:rPr>
        <w:t xml:space="preserve"> </w:t>
      </w:r>
      <w:r w:rsidR="004D3C85" w:rsidRPr="002A6C4B">
        <w:rPr>
          <w:rFonts w:asciiTheme="minorHAnsi" w:hAnsiTheme="minorHAnsi"/>
          <w:bCs/>
          <w:sz w:val="24"/>
          <w:szCs w:val="24"/>
        </w:rPr>
        <w:t xml:space="preserve">clinical place </w:t>
      </w:r>
      <w:r w:rsidR="006410EC">
        <w:rPr>
          <w:rFonts w:asciiTheme="minorHAnsi" w:hAnsiTheme="minorHAnsi"/>
          <w:bCs/>
          <w:sz w:val="24"/>
          <w:szCs w:val="24"/>
        </w:rPr>
        <w:t xml:space="preserve">in therapy </w:t>
      </w:r>
      <w:r w:rsidR="004D3C85" w:rsidRPr="002A6C4B">
        <w:rPr>
          <w:rFonts w:asciiTheme="minorHAnsi" w:hAnsiTheme="minorHAnsi"/>
          <w:bCs/>
          <w:sz w:val="24"/>
          <w:szCs w:val="24"/>
        </w:rPr>
        <w:t xml:space="preserve">that </w:t>
      </w:r>
      <w:proofErr w:type="gramStart"/>
      <w:r w:rsidR="007A6943" w:rsidRPr="002A6C4B">
        <w:rPr>
          <w:rFonts w:asciiTheme="minorHAnsi" w:hAnsiTheme="minorHAnsi"/>
          <w:bCs/>
          <w:sz w:val="24"/>
          <w:szCs w:val="24"/>
        </w:rPr>
        <w:t>was accepted</w:t>
      </w:r>
      <w:proofErr w:type="gramEnd"/>
      <w:r w:rsidR="007A6943" w:rsidRPr="002A6C4B">
        <w:rPr>
          <w:rFonts w:asciiTheme="minorHAnsi" w:hAnsiTheme="minorHAnsi"/>
          <w:bCs/>
          <w:sz w:val="24"/>
          <w:szCs w:val="24"/>
        </w:rPr>
        <w:t xml:space="preserve"> in the consideration of </w:t>
      </w:r>
      <w:proofErr w:type="spellStart"/>
      <w:r w:rsidRPr="002A6C4B">
        <w:rPr>
          <w:rFonts w:asciiTheme="minorHAnsi" w:hAnsiTheme="minorHAnsi"/>
          <w:bCs/>
          <w:sz w:val="24"/>
          <w:szCs w:val="24"/>
        </w:rPr>
        <w:t>Entocort</w:t>
      </w:r>
      <w:proofErr w:type="spellEnd"/>
      <w:r w:rsidR="007A6943" w:rsidRPr="002A6C4B">
        <w:rPr>
          <w:rFonts w:asciiTheme="minorHAnsi" w:hAnsiTheme="minorHAnsi"/>
          <w:bCs/>
          <w:sz w:val="24"/>
          <w:szCs w:val="24"/>
        </w:rPr>
        <w:t xml:space="preserve"> in November 2017</w:t>
      </w:r>
      <w:r w:rsidR="000B0CEC" w:rsidRPr="002A6C4B">
        <w:rPr>
          <w:rFonts w:asciiTheme="minorHAnsi" w:hAnsiTheme="minorHAnsi"/>
          <w:bCs/>
          <w:sz w:val="24"/>
          <w:szCs w:val="24"/>
        </w:rPr>
        <w:t>.</w:t>
      </w:r>
    </w:p>
    <w:p w:rsidR="004A26D9" w:rsidRDefault="004A26D9" w:rsidP="00D15D1B">
      <w:pPr>
        <w:spacing w:after="120"/>
        <w:rPr>
          <w:rFonts w:asciiTheme="minorHAnsi" w:hAnsiTheme="minorHAnsi"/>
          <w:i/>
        </w:rPr>
      </w:pPr>
      <w:r w:rsidRPr="005B6343">
        <w:rPr>
          <w:rFonts w:asciiTheme="minorHAnsi" w:hAnsiTheme="minorHAnsi"/>
          <w:i/>
        </w:rPr>
        <w:t>For more detail on PBAC’s view, see section 7 PBAC outcome.</w:t>
      </w:r>
    </w:p>
    <w:p w:rsidR="005A3173" w:rsidRPr="005B6343" w:rsidRDefault="005A3173" w:rsidP="00D15D1B">
      <w:pPr>
        <w:pStyle w:val="PBACHeading1"/>
        <w:spacing w:before="240" w:after="120"/>
        <w:ind w:left="709" w:hanging="709"/>
        <w:rPr>
          <w:rFonts w:asciiTheme="minorHAnsi" w:hAnsiTheme="minorHAnsi"/>
          <w:sz w:val="32"/>
          <w:szCs w:val="32"/>
        </w:rPr>
      </w:pPr>
      <w:r w:rsidRPr="005B6343">
        <w:rPr>
          <w:rFonts w:asciiTheme="minorHAnsi" w:hAnsiTheme="minorHAnsi"/>
          <w:sz w:val="32"/>
          <w:szCs w:val="32"/>
        </w:rPr>
        <w:t>Comparator</w:t>
      </w:r>
    </w:p>
    <w:p w:rsidR="00A04732" w:rsidRPr="005B6343" w:rsidRDefault="00FF2801" w:rsidP="00D15D1B">
      <w:pPr>
        <w:pStyle w:val="ListParagraph"/>
        <w:widowControl/>
        <w:numPr>
          <w:ilvl w:val="1"/>
          <w:numId w:val="14"/>
        </w:numPr>
        <w:spacing w:after="120"/>
        <w:contextualSpacing w:val="0"/>
        <w:rPr>
          <w:rFonts w:asciiTheme="minorHAnsi" w:hAnsiTheme="minorHAnsi"/>
          <w:sz w:val="24"/>
          <w:szCs w:val="24"/>
        </w:rPr>
      </w:pPr>
      <w:r w:rsidRPr="005B6343">
        <w:rPr>
          <w:rFonts w:asciiTheme="minorHAnsi" w:eastAsiaTheme="minorHAnsi" w:hAnsiTheme="minorHAnsi" w:cstheme="minorBidi"/>
          <w:snapToGrid/>
          <w:sz w:val="24"/>
          <w:szCs w:val="22"/>
        </w:rPr>
        <w:t>The minor submission nominated</w:t>
      </w:r>
      <w:r w:rsidR="00A04732" w:rsidRPr="005B6343">
        <w:rPr>
          <w:rFonts w:asciiTheme="minorHAnsi" w:eastAsiaTheme="minorHAnsi" w:hAnsiTheme="minorHAnsi" w:cstheme="minorBidi"/>
          <w:snapToGrid/>
          <w:sz w:val="24"/>
          <w:szCs w:val="22"/>
        </w:rPr>
        <w:t xml:space="preserve"> </w:t>
      </w:r>
      <w:proofErr w:type="spellStart"/>
      <w:r w:rsidR="00A04732" w:rsidRPr="005B6343">
        <w:rPr>
          <w:rFonts w:asciiTheme="minorHAnsi" w:eastAsiaTheme="minorHAnsi" w:hAnsiTheme="minorHAnsi" w:cstheme="minorBidi"/>
          <w:snapToGrid/>
          <w:sz w:val="24"/>
          <w:szCs w:val="22"/>
        </w:rPr>
        <w:t>Entocort</w:t>
      </w:r>
      <w:proofErr w:type="spellEnd"/>
      <w:r w:rsidR="00A04732" w:rsidRPr="005B6343">
        <w:rPr>
          <w:rFonts w:asciiTheme="minorHAnsi" w:eastAsiaTheme="minorHAnsi" w:hAnsiTheme="minorHAnsi" w:cstheme="minorBidi"/>
          <w:snapToGrid/>
          <w:sz w:val="24"/>
          <w:szCs w:val="22"/>
        </w:rPr>
        <w:t xml:space="preserve"> </w:t>
      </w:r>
      <w:r w:rsidR="00B9290A" w:rsidRPr="005B6343">
        <w:rPr>
          <w:rFonts w:asciiTheme="minorHAnsi" w:eastAsiaTheme="minorHAnsi" w:hAnsiTheme="minorHAnsi" w:cstheme="minorBidi"/>
          <w:snapToGrid/>
          <w:sz w:val="24"/>
          <w:szCs w:val="22"/>
        </w:rPr>
        <w:t xml:space="preserve">as the main </w:t>
      </w:r>
      <w:r w:rsidR="00A04732" w:rsidRPr="005B6343">
        <w:rPr>
          <w:rFonts w:asciiTheme="minorHAnsi" w:eastAsiaTheme="minorHAnsi" w:hAnsiTheme="minorHAnsi" w:cstheme="minorBidi"/>
          <w:snapToGrid/>
          <w:sz w:val="24"/>
          <w:szCs w:val="22"/>
        </w:rPr>
        <w:t>comparator.</w:t>
      </w:r>
      <w:r w:rsidR="009A049B" w:rsidRPr="005B6343">
        <w:rPr>
          <w:rFonts w:asciiTheme="minorHAnsi" w:eastAsiaTheme="minorHAnsi" w:hAnsiTheme="minorHAnsi" w:cstheme="minorBidi"/>
          <w:snapToGrid/>
          <w:sz w:val="24"/>
          <w:szCs w:val="22"/>
        </w:rPr>
        <w:t xml:space="preserve"> </w:t>
      </w:r>
      <w:r w:rsidR="005374E2" w:rsidRPr="006410EC">
        <w:rPr>
          <w:rFonts w:asciiTheme="minorHAnsi" w:eastAsiaTheme="minorHAnsi" w:hAnsiTheme="minorHAnsi" w:cstheme="minorBidi"/>
          <w:snapToGrid/>
          <w:sz w:val="24"/>
          <w:szCs w:val="22"/>
        </w:rPr>
        <w:t xml:space="preserve">The PBAC considered this </w:t>
      </w:r>
      <w:proofErr w:type="gramStart"/>
      <w:r w:rsidR="005374E2" w:rsidRPr="006410EC">
        <w:rPr>
          <w:rFonts w:asciiTheme="minorHAnsi" w:eastAsiaTheme="minorHAnsi" w:hAnsiTheme="minorHAnsi" w:cstheme="minorBidi"/>
          <w:snapToGrid/>
          <w:sz w:val="24"/>
          <w:szCs w:val="22"/>
        </w:rPr>
        <w:t xml:space="preserve">to be </w:t>
      </w:r>
      <w:r w:rsidR="009A049B" w:rsidRPr="005B6343">
        <w:rPr>
          <w:rFonts w:asciiTheme="minorHAnsi" w:eastAsiaTheme="minorHAnsi" w:hAnsiTheme="minorHAnsi" w:cstheme="minorBidi"/>
          <w:snapToGrid/>
          <w:sz w:val="24"/>
          <w:szCs w:val="22"/>
        </w:rPr>
        <w:t>appropriate</w:t>
      </w:r>
      <w:proofErr w:type="gramEnd"/>
      <w:r w:rsidR="009A049B" w:rsidRPr="005B6343">
        <w:rPr>
          <w:rFonts w:asciiTheme="minorHAnsi" w:eastAsiaTheme="minorHAnsi" w:hAnsiTheme="minorHAnsi" w:cstheme="minorBidi"/>
          <w:snapToGrid/>
          <w:sz w:val="24"/>
          <w:szCs w:val="22"/>
        </w:rPr>
        <w:t xml:space="preserve"> as it </w:t>
      </w:r>
      <w:r w:rsidR="00CC3DBD" w:rsidRPr="005B6343">
        <w:rPr>
          <w:rFonts w:asciiTheme="minorHAnsi" w:eastAsiaTheme="minorHAnsi" w:hAnsiTheme="minorHAnsi" w:cstheme="minorBidi"/>
          <w:snapToGrid/>
          <w:sz w:val="24"/>
          <w:szCs w:val="22"/>
        </w:rPr>
        <w:t xml:space="preserve">is </w:t>
      </w:r>
      <w:r w:rsidR="009A049B" w:rsidRPr="005B6343">
        <w:rPr>
          <w:rFonts w:asciiTheme="minorHAnsi" w:eastAsiaTheme="minorHAnsi" w:hAnsiTheme="minorHAnsi" w:cstheme="minorBidi"/>
          <w:snapToGrid/>
          <w:sz w:val="24"/>
          <w:szCs w:val="22"/>
        </w:rPr>
        <w:t xml:space="preserve">a near market competitor. </w:t>
      </w:r>
    </w:p>
    <w:p w:rsidR="00180713" w:rsidRPr="005B6343" w:rsidRDefault="009A049B" w:rsidP="00D15D1B">
      <w:pPr>
        <w:pStyle w:val="ListParagraph"/>
        <w:widowControl/>
        <w:numPr>
          <w:ilvl w:val="1"/>
          <w:numId w:val="14"/>
        </w:numPr>
        <w:spacing w:before="120" w:after="120"/>
        <w:contextualSpacing w:val="0"/>
        <w:rPr>
          <w:rFonts w:asciiTheme="minorHAnsi" w:hAnsiTheme="minorHAnsi"/>
          <w:sz w:val="24"/>
          <w:szCs w:val="22"/>
        </w:rPr>
      </w:pPr>
      <w:proofErr w:type="spellStart"/>
      <w:r w:rsidRPr="005B6343">
        <w:rPr>
          <w:rFonts w:asciiTheme="minorHAnsi" w:hAnsiTheme="minorHAnsi"/>
          <w:sz w:val="24"/>
          <w:szCs w:val="22"/>
        </w:rPr>
        <w:t>Entocort</w:t>
      </w:r>
      <w:proofErr w:type="spellEnd"/>
      <w:r w:rsidRPr="005B6343">
        <w:rPr>
          <w:rFonts w:asciiTheme="minorHAnsi" w:hAnsiTheme="minorHAnsi"/>
          <w:sz w:val="24"/>
          <w:szCs w:val="22"/>
        </w:rPr>
        <w:t xml:space="preserve">, in the form of a modified release capsule, </w:t>
      </w:r>
      <w:proofErr w:type="gramStart"/>
      <w:r w:rsidRPr="005B6343">
        <w:rPr>
          <w:rFonts w:asciiTheme="minorHAnsi" w:hAnsiTheme="minorHAnsi"/>
          <w:sz w:val="24"/>
          <w:szCs w:val="22"/>
        </w:rPr>
        <w:t>was considered</w:t>
      </w:r>
      <w:proofErr w:type="gramEnd"/>
      <w:r w:rsidRPr="005B6343">
        <w:rPr>
          <w:rFonts w:asciiTheme="minorHAnsi" w:hAnsiTheme="minorHAnsi"/>
          <w:sz w:val="24"/>
          <w:szCs w:val="22"/>
        </w:rPr>
        <w:t xml:space="preserve"> by the PBAC at its November 2017 meeting and July 2018 meeting. The PBAC recommended the listing of </w:t>
      </w:r>
      <w:proofErr w:type="spellStart"/>
      <w:r w:rsidR="008615C7" w:rsidRPr="005B6343">
        <w:rPr>
          <w:rFonts w:asciiTheme="minorHAnsi" w:hAnsiTheme="minorHAnsi"/>
          <w:sz w:val="24"/>
          <w:szCs w:val="22"/>
        </w:rPr>
        <w:t>Entocort</w:t>
      </w:r>
      <w:proofErr w:type="spellEnd"/>
      <w:r w:rsidR="008615C7" w:rsidRPr="005B6343">
        <w:rPr>
          <w:rFonts w:asciiTheme="minorHAnsi" w:hAnsiTheme="minorHAnsi"/>
          <w:sz w:val="24"/>
          <w:szCs w:val="22"/>
        </w:rPr>
        <w:t xml:space="preserve"> in July 2018 on a cost-</w:t>
      </w:r>
      <w:r w:rsidRPr="005B6343">
        <w:rPr>
          <w:rFonts w:asciiTheme="minorHAnsi" w:hAnsiTheme="minorHAnsi"/>
          <w:sz w:val="24"/>
          <w:szCs w:val="22"/>
        </w:rPr>
        <w:t xml:space="preserve">minimisation basis against a weighted mixed comparator </w:t>
      </w:r>
      <w:r w:rsidR="00B23A26" w:rsidRPr="005B6343">
        <w:rPr>
          <w:rFonts w:asciiTheme="minorHAnsi" w:hAnsiTheme="minorHAnsi"/>
          <w:sz w:val="24"/>
          <w:szCs w:val="22"/>
        </w:rPr>
        <w:t xml:space="preserve">of </w:t>
      </w:r>
      <w:proofErr w:type="spellStart"/>
      <w:r w:rsidR="00B23A26" w:rsidRPr="005B6343">
        <w:rPr>
          <w:rFonts w:asciiTheme="minorHAnsi" w:hAnsiTheme="minorHAnsi"/>
          <w:sz w:val="24"/>
          <w:szCs w:val="22"/>
        </w:rPr>
        <w:t>mesalazine</w:t>
      </w:r>
      <w:proofErr w:type="spellEnd"/>
      <w:r w:rsidR="00B23A26" w:rsidRPr="005B6343">
        <w:rPr>
          <w:rFonts w:asciiTheme="minorHAnsi" w:hAnsiTheme="minorHAnsi"/>
          <w:sz w:val="24"/>
          <w:szCs w:val="22"/>
        </w:rPr>
        <w:t xml:space="preserve"> and prednisolone. </w:t>
      </w:r>
      <w:r w:rsidR="0024709B" w:rsidRPr="005B6343">
        <w:rPr>
          <w:rFonts w:asciiTheme="minorHAnsi" w:hAnsiTheme="minorHAnsi"/>
          <w:sz w:val="24"/>
          <w:szCs w:val="22"/>
        </w:rPr>
        <w:t>T</w:t>
      </w:r>
      <w:r w:rsidR="00B23A26" w:rsidRPr="005B6343">
        <w:rPr>
          <w:rFonts w:asciiTheme="minorHAnsi" w:hAnsiTheme="minorHAnsi"/>
          <w:sz w:val="24"/>
          <w:szCs w:val="22"/>
        </w:rPr>
        <w:t xml:space="preserve">he PBAC did not agree </w:t>
      </w:r>
      <w:r w:rsidR="0024709B" w:rsidRPr="005B6343">
        <w:rPr>
          <w:rFonts w:asciiTheme="minorHAnsi" w:hAnsiTheme="minorHAnsi"/>
          <w:sz w:val="24"/>
          <w:szCs w:val="22"/>
        </w:rPr>
        <w:t xml:space="preserve">that </w:t>
      </w:r>
      <w:r w:rsidR="00B23A26" w:rsidRPr="005B6343">
        <w:rPr>
          <w:rFonts w:asciiTheme="minorHAnsi" w:hAnsiTheme="minorHAnsi"/>
          <w:sz w:val="24"/>
          <w:szCs w:val="22"/>
        </w:rPr>
        <w:t>the calculation of the weighted price presented in the minor resubmission was appropriate</w:t>
      </w:r>
      <w:r w:rsidR="006410EC">
        <w:rPr>
          <w:rFonts w:asciiTheme="minorHAnsi" w:hAnsiTheme="minorHAnsi"/>
          <w:sz w:val="24"/>
          <w:szCs w:val="22"/>
        </w:rPr>
        <w:t xml:space="preserve">. The PBAC </w:t>
      </w:r>
      <w:r w:rsidR="00B23A26" w:rsidRPr="006410EC">
        <w:rPr>
          <w:rFonts w:asciiTheme="minorHAnsi" w:hAnsiTheme="minorHAnsi"/>
          <w:sz w:val="24"/>
          <w:szCs w:val="22"/>
        </w:rPr>
        <w:t xml:space="preserve">considered that, unless </w:t>
      </w:r>
      <w:proofErr w:type="gramStart"/>
      <w:r w:rsidR="00B23A26" w:rsidRPr="006410EC">
        <w:rPr>
          <w:rFonts w:asciiTheme="minorHAnsi" w:hAnsiTheme="minorHAnsi"/>
          <w:sz w:val="24"/>
          <w:szCs w:val="22"/>
        </w:rPr>
        <w:t>more robust current data</w:t>
      </w:r>
      <w:proofErr w:type="gramEnd"/>
      <w:r w:rsidR="00B23A26" w:rsidRPr="006410EC">
        <w:rPr>
          <w:rFonts w:asciiTheme="minorHAnsi" w:hAnsiTheme="minorHAnsi"/>
          <w:sz w:val="24"/>
          <w:szCs w:val="22"/>
        </w:rPr>
        <w:t xml:space="preserve"> becomes available, a weighting that allows for one-fifth to one quarter, but closer to one-fifth, of use in which </w:t>
      </w:r>
      <w:proofErr w:type="spellStart"/>
      <w:r w:rsidR="00B23A26" w:rsidRPr="006410EC">
        <w:rPr>
          <w:rFonts w:asciiTheme="minorHAnsi" w:hAnsiTheme="minorHAnsi"/>
          <w:sz w:val="24"/>
          <w:szCs w:val="22"/>
        </w:rPr>
        <w:t>mesalazine</w:t>
      </w:r>
      <w:proofErr w:type="spellEnd"/>
      <w:r w:rsidR="00B23A26" w:rsidRPr="006410EC">
        <w:rPr>
          <w:rFonts w:asciiTheme="minorHAnsi" w:hAnsiTheme="minorHAnsi"/>
          <w:sz w:val="24"/>
          <w:szCs w:val="22"/>
        </w:rPr>
        <w:t xml:space="preserve"> is the alternative therapy may be more appropriate, with the corresponding weighting for prednisolone applied accordingly (paragraph 7.4, </w:t>
      </w:r>
      <w:r w:rsidR="00B23A26" w:rsidRPr="005B6343">
        <w:rPr>
          <w:rFonts w:asciiTheme="minorHAnsi" w:eastAsiaTheme="minorHAnsi" w:hAnsiTheme="minorHAnsi" w:cstheme="minorBidi"/>
          <w:snapToGrid/>
          <w:sz w:val="24"/>
          <w:szCs w:val="22"/>
        </w:rPr>
        <w:t>budesonide (</w:t>
      </w:r>
      <w:proofErr w:type="spellStart"/>
      <w:r w:rsidR="00B23A26" w:rsidRPr="005B6343">
        <w:rPr>
          <w:rFonts w:asciiTheme="minorHAnsi" w:eastAsiaTheme="minorHAnsi" w:hAnsiTheme="minorHAnsi" w:cstheme="minorBidi"/>
          <w:snapToGrid/>
          <w:sz w:val="24"/>
          <w:szCs w:val="22"/>
        </w:rPr>
        <w:t>Entocort</w:t>
      </w:r>
      <w:proofErr w:type="spellEnd"/>
      <w:r w:rsidR="00B23A26" w:rsidRPr="005B6343">
        <w:rPr>
          <w:rFonts w:asciiTheme="minorHAnsi" w:eastAsiaTheme="minorHAnsi" w:hAnsiTheme="minorHAnsi" w:cstheme="minorBidi"/>
          <w:snapToGrid/>
          <w:sz w:val="24"/>
          <w:szCs w:val="22"/>
        </w:rPr>
        <w:t>) Public Summary Document (PSD), July 2018)</w:t>
      </w:r>
      <w:r w:rsidR="0024709B" w:rsidRPr="005B6343">
        <w:rPr>
          <w:rFonts w:asciiTheme="minorHAnsi" w:eastAsiaTheme="minorHAnsi" w:hAnsiTheme="minorHAnsi" w:cstheme="minorBidi"/>
          <w:snapToGrid/>
          <w:sz w:val="24"/>
          <w:szCs w:val="22"/>
        </w:rPr>
        <w:t>.</w:t>
      </w:r>
      <w:r w:rsidR="00B23A26" w:rsidRPr="005B6343">
        <w:rPr>
          <w:rFonts w:asciiTheme="minorHAnsi" w:hAnsiTheme="minorHAnsi"/>
          <w:sz w:val="24"/>
          <w:szCs w:val="22"/>
        </w:rPr>
        <w:t xml:space="preserve"> </w:t>
      </w:r>
    </w:p>
    <w:p w:rsidR="004A26D9" w:rsidRDefault="004A26D9" w:rsidP="00D15D1B">
      <w:pPr>
        <w:spacing w:before="120" w:after="120"/>
        <w:rPr>
          <w:rFonts w:asciiTheme="minorHAnsi" w:hAnsiTheme="minorHAnsi"/>
          <w:i/>
        </w:rPr>
      </w:pPr>
      <w:r w:rsidRPr="005B6343">
        <w:rPr>
          <w:rFonts w:asciiTheme="minorHAnsi" w:hAnsiTheme="minorHAnsi"/>
          <w:i/>
        </w:rPr>
        <w:t>For more detail on PBAC’s view, see section 7 PBAC outcome.</w:t>
      </w:r>
    </w:p>
    <w:p w:rsidR="00BB7EC3" w:rsidRPr="005B6343" w:rsidRDefault="008D7A41" w:rsidP="00D15D1B">
      <w:pPr>
        <w:pStyle w:val="Heading1"/>
        <w:keepNext/>
        <w:keepLines/>
        <w:widowControl/>
        <w:numPr>
          <w:ilvl w:val="0"/>
          <w:numId w:val="14"/>
        </w:numPr>
        <w:spacing w:before="240" w:after="120"/>
        <w:ind w:left="709" w:hanging="709"/>
        <w:contextualSpacing w:val="0"/>
        <w:jc w:val="left"/>
        <w:rPr>
          <w:rFonts w:asciiTheme="minorHAnsi" w:hAnsiTheme="minorHAnsi"/>
          <w:sz w:val="32"/>
          <w:szCs w:val="32"/>
        </w:rPr>
      </w:pPr>
      <w:r w:rsidRPr="005B6343">
        <w:rPr>
          <w:rFonts w:asciiTheme="minorHAnsi" w:hAnsiTheme="minorHAnsi"/>
          <w:sz w:val="32"/>
          <w:szCs w:val="32"/>
        </w:rPr>
        <w:t>C</w:t>
      </w:r>
      <w:r w:rsidR="00D84934" w:rsidRPr="005B6343">
        <w:rPr>
          <w:rFonts w:asciiTheme="minorHAnsi" w:hAnsiTheme="minorHAnsi"/>
          <w:sz w:val="32"/>
          <w:szCs w:val="32"/>
        </w:rPr>
        <w:t>onsideration of the evidence</w:t>
      </w:r>
    </w:p>
    <w:p w:rsidR="004A26D9" w:rsidRPr="005B6343" w:rsidRDefault="004A26D9" w:rsidP="00D15D1B">
      <w:pPr>
        <w:widowControl w:val="0"/>
        <w:spacing w:before="240" w:after="120"/>
        <w:jc w:val="both"/>
        <w:outlineLvl w:val="1"/>
        <w:rPr>
          <w:rFonts w:asciiTheme="minorHAnsi" w:hAnsiTheme="minorHAnsi" w:cs="Arial"/>
          <w:b/>
          <w:bCs/>
          <w:i/>
          <w:snapToGrid w:val="0"/>
          <w:sz w:val="28"/>
          <w:szCs w:val="28"/>
        </w:rPr>
      </w:pPr>
      <w:r w:rsidRPr="005B6343">
        <w:rPr>
          <w:rFonts w:asciiTheme="minorHAnsi" w:hAnsiTheme="minorHAnsi" w:cs="Arial"/>
          <w:b/>
          <w:bCs/>
          <w:i/>
          <w:snapToGrid w:val="0"/>
          <w:sz w:val="28"/>
          <w:szCs w:val="28"/>
        </w:rPr>
        <w:t>Sponsor hearing</w:t>
      </w:r>
    </w:p>
    <w:p w:rsidR="004A26D9" w:rsidRPr="005B6343" w:rsidRDefault="004A26D9" w:rsidP="00D15D1B">
      <w:pPr>
        <w:widowControl w:val="0"/>
        <w:numPr>
          <w:ilvl w:val="1"/>
          <w:numId w:val="5"/>
        </w:numPr>
        <w:spacing w:after="120"/>
        <w:jc w:val="both"/>
        <w:rPr>
          <w:rFonts w:asciiTheme="minorHAnsi" w:hAnsiTheme="minorHAnsi" w:cs="Arial"/>
          <w:bCs/>
          <w:snapToGrid w:val="0"/>
        </w:rPr>
      </w:pPr>
      <w:r w:rsidRPr="005B6343">
        <w:rPr>
          <w:rFonts w:asciiTheme="minorHAnsi" w:hAnsiTheme="minorHAnsi" w:cs="Arial"/>
          <w:bCs/>
          <w:snapToGrid w:val="0"/>
        </w:rPr>
        <w:t>There was no hearing for this ite</w:t>
      </w:r>
      <w:r w:rsidR="004E08F0" w:rsidRPr="005B6343">
        <w:rPr>
          <w:rFonts w:asciiTheme="minorHAnsi" w:hAnsiTheme="minorHAnsi" w:cs="Arial"/>
          <w:bCs/>
          <w:snapToGrid w:val="0"/>
        </w:rPr>
        <w:t>m as it was a minor submission.</w:t>
      </w:r>
    </w:p>
    <w:p w:rsidR="004A26D9" w:rsidRPr="005B6343" w:rsidRDefault="004A26D9" w:rsidP="00D15D1B">
      <w:pPr>
        <w:widowControl w:val="0"/>
        <w:spacing w:before="240" w:after="120"/>
        <w:jc w:val="both"/>
        <w:outlineLvl w:val="1"/>
        <w:rPr>
          <w:rFonts w:asciiTheme="minorHAnsi" w:hAnsiTheme="minorHAnsi" w:cs="Arial"/>
          <w:b/>
          <w:bCs/>
          <w:i/>
          <w:snapToGrid w:val="0"/>
          <w:sz w:val="28"/>
          <w:szCs w:val="28"/>
        </w:rPr>
      </w:pPr>
      <w:r w:rsidRPr="005B6343">
        <w:rPr>
          <w:rFonts w:asciiTheme="minorHAnsi" w:hAnsiTheme="minorHAnsi" w:cs="Arial"/>
          <w:b/>
          <w:bCs/>
          <w:i/>
          <w:snapToGrid w:val="0"/>
          <w:sz w:val="28"/>
          <w:szCs w:val="28"/>
        </w:rPr>
        <w:lastRenderedPageBreak/>
        <w:t>Consumer comments</w:t>
      </w:r>
    </w:p>
    <w:p w:rsidR="004A26D9" w:rsidRPr="005B6343" w:rsidRDefault="004A26D9" w:rsidP="00D15D1B">
      <w:pPr>
        <w:widowControl w:val="0"/>
        <w:numPr>
          <w:ilvl w:val="1"/>
          <w:numId w:val="5"/>
        </w:numPr>
        <w:spacing w:after="120"/>
        <w:jc w:val="both"/>
        <w:rPr>
          <w:rFonts w:asciiTheme="minorHAnsi" w:hAnsiTheme="minorHAnsi" w:cs="Arial"/>
          <w:bCs/>
          <w:snapToGrid w:val="0"/>
        </w:rPr>
      </w:pPr>
      <w:r w:rsidRPr="005B6343">
        <w:rPr>
          <w:rFonts w:asciiTheme="minorHAnsi" w:hAnsiTheme="minorHAnsi" w:cs="Arial"/>
          <w:bCs/>
          <w:snapToGrid w:val="0"/>
        </w:rPr>
        <w:t>The PBAC noted and wel</w:t>
      </w:r>
      <w:r w:rsidR="00F94A6C" w:rsidRPr="005B6343">
        <w:rPr>
          <w:rFonts w:asciiTheme="minorHAnsi" w:hAnsiTheme="minorHAnsi" w:cs="Arial"/>
          <w:bCs/>
          <w:snapToGrid w:val="0"/>
        </w:rPr>
        <w:t>comed the input from an individual (1</w:t>
      </w:r>
      <w:r w:rsidRPr="005B6343">
        <w:rPr>
          <w:rFonts w:asciiTheme="minorHAnsi" w:hAnsiTheme="minorHAnsi" w:cs="Arial"/>
          <w:bCs/>
          <w:snapToGrid w:val="0"/>
        </w:rPr>
        <w:t>) via the Consumer Comments</w:t>
      </w:r>
      <w:r w:rsidR="00F92ED4" w:rsidRPr="005B6343">
        <w:rPr>
          <w:rFonts w:asciiTheme="minorHAnsi" w:hAnsiTheme="minorHAnsi" w:cs="Arial"/>
          <w:bCs/>
          <w:snapToGrid w:val="0"/>
        </w:rPr>
        <w:t xml:space="preserve"> facility on the PBS website. The comment</w:t>
      </w:r>
      <w:r w:rsidRPr="005B6343">
        <w:rPr>
          <w:rFonts w:asciiTheme="minorHAnsi" w:hAnsiTheme="minorHAnsi" w:cs="Arial"/>
          <w:bCs/>
          <w:snapToGrid w:val="0"/>
        </w:rPr>
        <w:t xml:space="preserve"> described</w:t>
      </w:r>
      <w:r w:rsidR="00E32519" w:rsidRPr="005B6343">
        <w:rPr>
          <w:rFonts w:asciiTheme="minorHAnsi" w:hAnsiTheme="minorHAnsi" w:cs="Arial"/>
          <w:bCs/>
          <w:snapToGrid w:val="0"/>
        </w:rPr>
        <w:t xml:space="preserve"> that </w:t>
      </w:r>
      <w:r w:rsidR="00F41EB8" w:rsidRPr="005B6343">
        <w:rPr>
          <w:rFonts w:asciiTheme="minorHAnsi" w:hAnsiTheme="minorHAnsi" w:cs="Arial"/>
          <w:bCs/>
          <w:snapToGrid w:val="0"/>
        </w:rPr>
        <w:t>the condition had a significantly large impact on their life when it advanced from mild to moderate disease including more hospital stays and day procedure visits. The comment described</w:t>
      </w:r>
      <w:r w:rsidRPr="005B6343">
        <w:rPr>
          <w:rFonts w:asciiTheme="minorHAnsi" w:hAnsiTheme="minorHAnsi" w:cs="Arial"/>
          <w:bCs/>
          <w:snapToGrid w:val="0"/>
        </w:rPr>
        <w:t xml:space="preserve"> </w:t>
      </w:r>
      <w:r w:rsidR="00F92ED4" w:rsidRPr="005B6343">
        <w:rPr>
          <w:rFonts w:asciiTheme="minorHAnsi" w:hAnsiTheme="minorHAnsi" w:cs="Arial"/>
          <w:bCs/>
          <w:snapToGrid w:val="0"/>
        </w:rPr>
        <w:t xml:space="preserve">benefits with </w:t>
      </w:r>
      <w:proofErr w:type="gramStart"/>
      <w:r w:rsidR="00F92ED4" w:rsidRPr="005B6343">
        <w:rPr>
          <w:rFonts w:asciiTheme="minorHAnsi" w:hAnsiTheme="minorHAnsi" w:cs="Arial"/>
          <w:bCs/>
          <w:snapToGrid w:val="0"/>
        </w:rPr>
        <w:t>being treated</w:t>
      </w:r>
      <w:proofErr w:type="gramEnd"/>
      <w:r w:rsidR="00F92ED4" w:rsidRPr="005B6343">
        <w:rPr>
          <w:rFonts w:asciiTheme="minorHAnsi" w:hAnsiTheme="minorHAnsi" w:cs="Arial"/>
          <w:bCs/>
          <w:snapToGrid w:val="0"/>
        </w:rPr>
        <w:t xml:space="preserve"> with budesonide </w:t>
      </w:r>
      <w:r w:rsidRPr="005B6343">
        <w:rPr>
          <w:rFonts w:asciiTheme="minorHAnsi" w:hAnsiTheme="minorHAnsi" w:cs="Arial"/>
          <w:bCs/>
          <w:snapToGrid w:val="0"/>
        </w:rPr>
        <w:t xml:space="preserve">including </w:t>
      </w:r>
      <w:r w:rsidR="00F92ED4" w:rsidRPr="005B6343">
        <w:rPr>
          <w:rFonts w:asciiTheme="minorHAnsi" w:hAnsiTheme="minorHAnsi" w:cs="Arial"/>
          <w:bCs/>
          <w:snapToGrid w:val="0"/>
        </w:rPr>
        <w:t>it being able to control flare-ups</w:t>
      </w:r>
      <w:r w:rsidR="000A69DC" w:rsidRPr="005B6343">
        <w:rPr>
          <w:rFonts w:asciiTheme="minorHAnsi" w:hAnsiTheme="minorHAnsi" w:cs="Arial"/>
          <w:bCs/>
          <w:snapToGrid w:val="0"/>
        </w:rPr>
        <w:t xml:space="preserve"> and it</w:t>
      </w:r>
      <w:r w:rsidR="00F92ED4" w:rsidRPr="005B6343">
        <w:rPr>
          <w:rFonts w:asciiTheme="minorHAnsi" w:hAnsiTheme="minorHAnsi" w:cs="Arial"/>
          <w:bCs/>
          <w:snapToGrid w:val="0"/>
        </w:rPr>
        <w:t xml:space="preserve"> had less side effects </w:t>
      </w:r>
      <w:r w:rsidR="000A69DC" w:rsidRPr="005B6343">
        <w:rPr>
          <w:rFonts w:asciiTheme="minorHAnsi" w:hAnsiTheme="minorHAnsi" w:cs="Arial"/>
          <w:bCs/>
          <w:snapToGrid w:val="0"/>
        </w:rPr>
        <w:t>compared to prednisolone</w:t>
      </w:r>
      <w:r w:rsidR="00F92ED4" w:rsidRPr="005B6343">
        <w:rPr>
          <w:rFonts w:asciiTheme="minorHAnsi" w:hAnsiTheme="minorHAnsi" w:cs="Arial"/>
          <w:bCs/>
          <w:snapToGrid w:val="0"/>
        </w:rPr>
        <w:t xml:space="preserve">. </w:t>
      </w:r>
      <w:r w:rsidR="000A69DC" w:rsidRPr="005B6343">
        <w:rPr>
          <w:rFonts w:asciiTheme="minorHAnsi" w:hAnsiTheme="minorHAnsi" w:cs="Arial"/>
          <w:bCs/>
          <w:snapToGrid w:val="0"/>
        </w:rPr>
        <w:t xml:space="preserve">Cost </w:t>
      </w:r>
      <w:proofErr w:type="gramStart"/>
      <w:r w:rsidR="000A69DC" w:rsidRPr="005B6343">
        <w:rPr>
          <w:rFonts w:asciiTheme="minorHAnsi" w:hAnsiTheme="minorHAnsi" w:cs="Arial"/>
          <w:bCs/>
          <w:snapToGrid w:val="0"/>
        </w:rPr>
        <w:t>was also identified</w:t>
      </w:r>
      <w:proofErr w:type="gramEnd"/>
      <w:r w:rsidR="000A69DC" w:rsidRPr="005B6343">
        <w:rPr>
          <w:rFonts w:asciiTheme="minorHAnsi" w:hAnsiTheme="minorHAnsi" w:cs="Arial"/>
          <w:bCs/>
          <w:snapToGrid w:val="0"/>
        </w:rPr>
        <w:t xml:space="preserve"> in the comment as a significant factor for this condition.</w:t>
      </w:r>
      <w:r w:rsidRPr="005B6343">
        <w:rPr>
          <w:rFonts w:asciiTheme="minorHAnsi" w:hAnsiTheme="minorHAnsi" w:cs="Arial"/>
          <w:bCs/>
          <w:snapToGrid w:val="0"/>
        </w:rPr>
        <w:t xml:space="preserve"> </w:t>
      </w:r>
    </w:p>
    <w:p w:rsidR="004A26D9" w:rsidRPr="005B6343" w:rsidRDefault="004A26D9" w:rsidP="00D15D1B">
      <w:pPr>
        <w:widowControl w:val="0"/>
        <w:numPr>
          <w:ilvl w:val="1"/>
          <w:numId w:val="5"/>
        </w:numPr>
        <w:spacing w:after="120"/>
        <w:jc w:val="both"/>
        <w:rPr>
          <w:rFonts w:asciiTheme="minorHAnsi" w:hAnsiTheme="minorHAnsi" w:cs="Arial"/>
          <w:bCs/>
          <w:snapToGrid w:val="0"/>
        </w:rPr>
      </w:pPr>
      <w:r w:rsidRPr="005B6343">
        <w:rPr>
          <w:rFonts w:asciiTheme="minorHAnsi" w:hAnsiTheme="minorHAnsi" w:cs="Arial"/>
          <w:bCs/>
          <w:snapToGrid w:val="0"/>
        </w:rPr>
        <w:t xml:space="preserve">The PBAC </w:t>
      </w:r>
      <w:r w:rsidR="00587821" w:rsidRPr="005B6343">
        <w:rPr>
          <w:rFonts w:asciiTheme="minorHAnsi" w:hAnsiTheme="minorHAnsi"/>
        </w:rPr>
        <w:t>noted the consumer comment highlighted the clinical need for treatment options in mild to moderate CD</w:t>
      </w:r>
      <w:r w:rsidR="00F41EB8" w:rsidRPr="005B6343">
        <w:rPr>
          <w:rFonts w:asciiTheme="minorHAnsi" w:hAnsiTheme="minorHAnsi" w:cs="Arial"/>
          <w:bCs/>
          <w:snapToGrid w:val="0"/>
        </w:rPr>
        <w:t>.</w:t>
      </w:r>
    </w:p>
    <w:p w:rsidR="00423318" w:rsidRPr="005B6343" w:rsidRDefault="00423318" w:rsidP="00D15D1B">
      <w:pPr>
        <w:pStyle w:val="Heading2"/>
        <w:keepLines/>
        <w:spacing w:before="240" w:after="120"/>
        <w:rPr>
          <w:rFonts w:asciiTheme="minorHAnsi" w:eastAsiaTheme="majorEastAsia" w:hAnsiTheme="minorHAnsi" w:cstheme="majorBidi"/>
          <w:sz w:val="28"/>
          <w:szCs w:val="28"/>
          <w:lang w:eastAsia="en-US"/>
        </w:rPr>
      </w:pPr>
      <w:r w:rsidRPr="005B6343">
        <w:rPr>
          <w:rFonts w:asciiTheme="minorHAnsi" w:eastAsiaTheme="majorEastAsia" w:hAnsiTheme="minorHAnsi" w:cstheme="majorBidi"/>
          <w:sz w:val="28"/>
          <w:szCs w:val="28"/>
          <w:lang w:eastAsia="en-US"/>
        </w:rPr>
        <w:t>Clinical trials</w:t>
      </w:r>
    </w:p>
    <w:p w:rsidR="008615C7" w:rsidRPr="005B6343" w:rsidRDefault="008615C7" w:rsidP="00D15D1B">
      <w:pPr>
        <w:pStyle w:val="ListParagraph"/>
        <w:widowControl/>
        <w:numPr>
          <w:ilvl w:val="1"/>
          <w:numId w:val="14"/>
        </w:numPr>
        <w:spacing w:before="120" w:after="120"/>
        <w:contextualSpacing w:val="0"/>
        <w:rPr>
          <w:rFonts w:asciiTheme="minorHAnsi" w:eastAsiaTheme="minorHAnsi" w:hAnsiTheme="minorHAnsi" w:cstheme="minorBidi"/>
          <w:snapToGrid/>
          <w:sz w:val="24"/>
          <w:szCs w:val="22"/>
        </w:rPr>
      </w:pPr>
      <w:r w:rsidRPr="005B6343">
        <w:rPr>
          <w:rFonts w:asciiTheme="minorHAnsi" w:eastAsiaTheme="minorHAnsi" w:hAnsiTheme="minorHAnsi" w:cstheme="minorBidi"/>
          <w:snapToGrid/>
          <w:sz w:val="24"/>
          <w:szCs w:val="22"/>
        </w:rPr>
        <w:t xml:space="preserve">As a minor submission, no clinical trials </w:t>
      </w:r>
      <w:proofErr w:type="gramStart"/>
      <w:r w:rsidRPr="005B6343">
        <w:rPr>
          <w:rFonts w:asciiTheme="minorHAnsi" w:eastAsiaTheme="minorHAnsi" w:hAnsiTheme="minorHAnsi" w:cstheme="minorBidi"/>
          <w:snapToGrid/>
          <w:sz w:val="24"/>
          <w:szCs w:val="22"/>
        </w:rPr>
        <w:t>were presented</w:t>
      </w:r>
      <w:proofErr w:type="gramEnd"/>
      <w:r w:rsidRPr="005B6343">
        <w:rPr>
          <w:rFonts w:asciiTheme="minorHAnsi" w:eastAsiaTheme="minorHAnsi" w:hAnsiTheme="minorHAnsi" w:cstheme="minorBidi"/>
          <w:snapToGrid/>
          <w:sz w:val="24"/>
          <w:szCs w:val="22"/>
        </w:rPr>
        <w:t xml:space="preserve"> in the submission.</w:t>
      </w:r>
    </w:p>
    <w:p w:rsidR="005A3173" w:rsidRPr="005B6343" w:rsidRDefault="005A3173" w:rsidP="00D15D1B">
      <w:pPr>
        <w:pStyle w:val="Heading2"/>
        <w:keepLines/>
        <w:spacing w:before="240" w:after="120"/>
        <w:rPr>
          <w:rFonts w:asciiTheme="minorHAnsi" w:eastAsiaTheme="majorEastAsia" w:hAnsiTheme="minorHAnsi" w:cstheme="majorBidi"/>
          <w:sz w:val="28"/>
          <w:szCs w:val="28"/>
          <w:lang w:eastAsia="en-US"/>
        </w:rPr>
      </w:pPr>
      <w:r w:rsidRPr="005B6343">
        <w:rPr>
          <w:rFonts w:asciiTheme="minorHAnsi" w:eastAsiaTheme="majorEastAsia" w:hAnsiTheme="minorHAnsi" w:cstheme="majorBidi"/>
          <w:sz w:val="28"/>
          <w:szCs w:val="28"/>
          <w:lang w:eastAsia="en-US"/>
        </w:rPr>
        <w:t>Economic analysis</w:t>
      </w:r>
    </w:p>
    <w:p w:rsidR="002C69CC" w:rsidRPr="005B6343" w:rsidRDefault="0004001F" w:rsidP="00D15D1B">
      <w:pPr>
        <w:pStyle w:val="ListParagraph"/>
        <w:widowControl/>
        <w:numPr>
          <w:ilvl w:val="1"/>
          <w:numId w:val="14"/>
        </w:numPr>
        <w:spacing w:after="120"/>
        <w:contextualSpacing w:val="0"/>
        <w:rPr>
          <w:rFonts w:asciiTheme="minorHAnsi" w:hAnsiTheme="minorHAnsi"/>
          <w:sz w:val="24"/>
          <w:szCs w:val="24"/>
        </w:rPr>
      </w:pPr>
      <w:r w:rsidRPr="005B6343">
        <w:rPr>
          <w:rFonts w:asciiTheme="minorHAnsi" w:hAnsiTheme="minorHAnsi"/>
          <w:sz w:val="24"/>
          <w:szCs w:val="24"/>
        </w:rPr>
        <w:t xml:space="preserve">The minor presented a cost-minimisation approach against </w:t>
      </w:r>
      <w:proofErr w:type="spellStart"/>
      <w:r w:rsidRPr="005B6343">
        <w:rPr>
          <w:rFonts w:asciiTheme="minorHAnsi" w:hAnsiTheme="minorHAnsi"/>
          <w:sz w:val="24"/>
          <w:szCs w:val="24"/>
        </w:rPr>
        <w:t>Entocort</w:t>
      </w:r>
      <w:proofErr w:type="spellEnd"/>
      <w:r w:rsidRPr="005B6343">
        <w:rPr>
          <w:rFonts w:asciiTheme="minorHAnsi" w:hAnsiTheme="minorHAnsi"/>
          <w:sz w:val="24"/>
          <w:szCs w:val="24"/>
        </w:rPr>
        <w:t xml:space="preserve">. </w:t>
      </w:r>
    </w:p>
    <w:p w:rsidR="00795F76" w:rsidRPr="005B6343" w:rsidRDefault="00AC5D09" w:rsidP="00D15D1B">
      <w:pPr>
        <w:pStyle w:val="ListParagraph"/>
        <w:widowControl/>
        <w:numPr>
          <w:ilvl w:val="1"/>
          <w:numId w:val="14"/>
        </w:numPr>
        <w:spacing w:after="120"/>
        <w:contextualSpacing w:val="0"/>
        <w:rPr>
          <w:rFonts w:asciiTheme="minorHAnsi" w:hAnsiTheme="minorHAnsi"/>
          <w:sz w:val="24"/>
          <w:szCs w:val="24"/>
        </w:rPr>
      </w:pPr>
      <w:r w:rsidRPr="005B6343">
        <w:rPr>
          <w:rFonts w:asciiTheme="minorHAnsi" w:hAnsiTheme="minorHAnsi"/>
          <w:sz w:val="24"/>
          <w:szCs w:val="24"/>
        </w:rPr>
        <w:t xml:space="preserve">The submission could not take into account the pricing arrangement for </w:t>
      </w:r>
      <w:proofErr w:type="spellStart"/>
      <w:r w:rsidR="006410EC" w:rsidRPr="005B6343">
        <w:rPr>
          <w:rFonts w:asciiTheme="minorHAnsi" w:hAnsiTheme="minorHAnsi"/>
          <w:sz w:val="24"/>
          <w:szCs w:val="24"/>
        </w:rPr>
        <w:t>Entocort</w:t>
      </w:r>
      <w:proofErr w:type="spellEnd"/>
      <w:r w:rsidR="006410EC" w:rsidRPr="005B6343">
        <w:rPr>
          <w:rFonts w:asciiTheme="minorHAnsi" w:hAnsiTheme="minorHAnsi"/>
          <w:sz w:val="24"/>
          <w:szCs w:val="24"/>
        </w:rPr>
        <w:t>,</w:t>
      </w:r>
      <w:r w:rsidRPr="005B6343">
        <w:rPr>
          <w:rFonts w:asciiTheme="minorHAnsi" w:hAnsiTheme="minorHAnsi"/>
          <w:sz w:val="24"/>
          <w:szCs w:val="24"/>
        </w:rPr>
        <w:t xml:space="preserve"> as </w:t>
      </w:r>
      <w:r w:rsidR="00317BD9" w:rsidRPr="005B6343">
        <w:rPr>
          <w:rFonts w:asciiTheme="minorHAnsi" w:hAnsiTheme="minorHAnsi"/>
          <w:sz w:val="24"/>
          <w:szCs w:val="24"/>
        </w:rPr>
        <w:t xml:space="preserve">the information </w:t>
      </w:r>
      <w:r w:rsidRPr="005B6343">
        <w:rPr>
          <w:rFonts w:asciiTheme="minorHAnsi" w:hAnsiTheme="minorHAnsi"/>
          <w:sz w:val="24"/>
          <w:szCs w:val="24"/>
        </w:rPr>
        <w:t xml:space="preserve">is </w:t>
      </w:r>
      <w:r w:rsidR="00317BD9" w:rsidRPr="005B6343">
        <w:rPr>
          <w:rFonts w:asciiTheme="minorHAnsi" w:hAnsiTheme="minorHAnsi"/>
          <w:sz w:val="24"/>
          <w:szCs w:val="24"/>
        </w:rPr>
        <w:t xml:space="preserve">not </w:t>
      </w:r>
      <w:r w:rsidRPr="005B6343">
        <w:rPr>
          <w:rFonts w:asciiTheme="minorHAnsi" w:hAnsiTheme="minorHAnsi"/>
          <w:sz w:val="24"/>
          <w:szCs w:val="24"/>
        </w:rPr>
        <w:t xml:space="preserve">publicly </w:t>
      </w:r>
      <w:r w:rsidR="00317BD9" w:rsidRPr="005B6343">
        <w:rPr>
          <w:rFonts w:asciiTheme="minorHAnsi" w:hAnsiTheme="minorHAnsi"/>
          <w:sz w:val="24"/>
          <w:szCs w:val="24"/>
        </w:rPr>
        <w:t>available</w:t>
      </w:r>
      <w:r w:rsidRPr="005B6343">
        <w:rPr>
          <w:rFonts w:asciiTheme="minorHAnsi" w:hAnsiTheme="minorHAnsi"/>
          <w:sz w:val="24"/>
          <w:szCs w:val="24"/>
        </w:rPr>
        <w:t xml:space="preserve">. Therefore, the submission based </w:t>
      </w:r>
      <w:r w:rsidR="004F3EEB" w:rsidRPr="005B6343">
        <w:rPr>
          <w:rFonts w:asciiTheme="minorHAnsi" w:hAnsiTheme="minorHAnsi"/>
          <w:sz w:val="24"/>
          <w:szCs w:val="24"/>
        </w:rPr>
        <w:t>its projections for</w:t>
      </w:r>
      <w:r w:rsidR="00795F76" w:rsidRPr="005B6343">
        <w:rPr>
          <w:rFonts w:asciiTheme="minorHAnsi" w:hAnsiTheme="minorHAnsi"/>
          <w:sz w:val="24"/>
          <w:szCs w:val="24"/>
        </w:rPr>
        <w:t xml:space="preserve"> </w:t>
      </w:r>
      <w:proofErr w:type="spellStart"/>
      <w:r w:rsidR="00795F76" w:rsidRPr="005B6343">
        <w:rPr>
          <w:rFonts w:asciiTheme="minorHAnsi" w:hAnsiTheme="minorHAnsi"/>
          <w:sz w:val="24"/>
          <w:szCs w:val="24"/>
        </w:rPr>
        <w:t>Entocort</w:t>
      </w:r>
      <w:proofErr w:type="spellEnd"/>
      <w:r w:rsidR="00795F76" w:rsidRPr="005B6343">
        <w:rPr>
          <w:rFonts w:asciiTheme="minorHAnsi" w:hAnsiTheme="minorHAnsi"/>
          <w:sz w:val="24"/>
          <w:szCs w:val="24"/>
        </w:rPr>
        <w:t xml:space="preserve"> </w:t>
      </w:r>
      <w:r w:rsidR="004F3EEB" w:rsidRPr="005B6343">
        <w:rPr>
          <w:rFonts w:asciiTheme="minorHAnsi" w:hAnsiTheme="minorHAnsi"/>
          <w:sz w:val="24"/>
          <w:szCs w:val="24"/>
        </w:rPr>
        <w:t xml:space="preserve">on </w:t>
      </w:r>
      <w:r w:rsidR="00795F76" w:rsidRPr="005B6343">
        <w:rPr>
          <w:rFonts w:asciiTheme="minorHAnsi" w:hAnsiTheme="minorHAnsi"/>
          <w:sz w:val="24"/>
          <w:szCs w:val="24"/>
        </w:rPr>
        <w:t xml:space="preserve">the </w:t>
      </w:r>
      <w:r w:rsidR="00A146EF" w:rsidRPr="005B6343">
        <w:rPr>
          <w:rFonts w:asciiTheme="minorHAnsi" w:hAnsiTheme="minorHAnsi"/>
          <w:sz w:val="24"/>
          <w:szCs w:val="24"/>
        </w:rPr>
        <w:t>budesonide (</w:t>
      </w:r>
      <w:proofErr w:type="spellStart"/>
      <w:r w:rsidR="00A146EF" w:rsidRPr="005B6343">
        <w:rPr>
          <w:rFonts w:asciiTheme="minorHAnsi" w:hAnsiTheme="minorHAnsi"/>
          <w:sz w:val="24"/>
          <w:szCs w:val="24"/>
        </w:rPr>
        <w:t>Entocort</w:t>
      </w:r>
      <w:proofErr w:type="spellEnd"/>
      <w:r w:rsidR="00A146EF" w:rsidRPr="005B6343">
        <w:rPr>
          <w:rFonts w:asciiTheme="minorHAnsi" w:hAnsiTheme="minorHAnsi"/>
          <w:sz w:val="24"/>
          <w:szCs w:val="24"/>
        </w:rPr>
        <w:t>) PSD</w:t>
      </w:r>
      <w:r w:rsidR="00795F76" w:rsidRPr="005B6343">
        <w:rPr>
          <w:rFonts w:asciiTheme="minorHAnsi" w:hAnsiTheme="minorHAnsi"/>
          <w:sz w:val="24"/>
          <w:szCs w:val="24"/>
        </w:rPr>
        <w:t xml:space="preserve"> </w:t>
      </w:r>
      <w:r w:rsidR="004F3EEB" w:rsidRPr="005B6343">
        <w:rPr>
          <w:rFonts w:asciiTheme="minorHAnsi" w:hAnsiTheme="minorHAnsi"/>
          <w:sz w:val="24"/>
          <w:szCs w:val="24"/>
        </w:rPr>
        <w:t xml:space="preserve">from the </w:t>
      </w:r>
      <w:r w:rsidR="00795F76" w:rsidRPr="005B6343">
        <w:rPr>
          <w:rFonts w:asciiTheme="minorHAnsi" w:hAnsiTheme="minorHAnsi"/>
          <w:sz w:val="24"/>
          <w:szCs w:val="24"/>
        </w:rPr>
        <w:t xml:space="preserve">July 2018 </w:t>
      </w:r>
      <w:r w:rsidR="004F3EEB" w:rsidRPr="005B6343">
        <w:rPr>
          <w:rFonts w:asciiTheme="minorHAnsi" w:hAnsiTheme="minorHAnsi"/>
          <w:sz w:val="24"/>
          <w:szCs w:val="24"/>
        </w:rPr>
        <w:t>meeting.</w:t>
      </w:r>
      <w:r w:rsidR="0072695F" w:rsidRPr="005B6343">
        <w:rPr>
          <w:rFonts w:asciiTheme="minorHAnsi" w:hAnsiTheme="minorHAnsi"/>
          <w:sz w:val="24"/>
          <w:szCs w:val="24"/>
        </w:rPr>
        <w:t xml:space="preserve"> </w:t>
      </w:r>
    </w:p>
    <w:p w:rsidR="002743A0" w:rsidRPr="005B6343" w:rsidRDefault="003A2B54" w:rsidP="00D15D1B">
      <w:pPr>
        <w:pStyle w:val="ListParagraph"/>
        <w:widowControl/>
        <w:numPr>
          <w:ilvl w:val="1"/>
          <w:numId w:val="14"/>
        </w:numPr>
        <w:spacing w:after="120"/>
        <w:contextualSpacing w:val="0"/>
        <w:rPr>
          <w:rFonts w:asciiTheme="minorHAnsi" w:hAnsiTheme="minorHAnsi"/>
          <w:sz w:val="24"/>
          <w:szCs w:val="24"/>
        </w:rPr>
      </w:pPr>
      <w:r w:rsidRPr="005B6343">
        <w:rPr>
          <w:rFonts w:asciiTheme="minorHAnsi" w:hAnsiTheme="minorHAnsi"/>
          <w:sz w:val="24"/>
          <w:szCs w:val="24"/>
        </w:rPr>
        <w:t>The submission proposed an AEMP of $</w:t>
      </w:r>
      <w:r w:rsidR="000836E1">
        <w:rPr>
          <w:rFonts w:asciiTheme="minorHAnsi" w:hAnsiTheme="minorHAnsi"/>
          <w:noProof/>
          <w:color w:val="000000"/>
          <w:sz w:val="24"/>
          <w:szCs w:val="24"/>
          <w:highlight w:val="black"/>
        </w:rPr>
        <w:t>''''''''''''</w:t>
      </w:r>
      <w:r w:rsidR="004F3EEB" w:rsidRPr="005B6343">
        <w:rPr>
          <w:rFonts w:asciiTheme="minorHAnsi" w:hAnsiTheme="minorHAnsi"/>
          <w:sz w:val="24"/>
          <w:szCs w:val="24"/>
        </w:rPr>
        <w:t xml:space="preserve"> for </w:t>
      </w:r>
      <w:proofErr w:type="spellStart"/>
      <w:r w:rsidR="004F3EEB" w:rsidRPr="005B6343">
        <w:rPr>
          <w:rFonts w:asciiTheme="minorHAnsi" w:hAnsiTheme="minorHAnsi"/>
          <w:sz w:val="24"/>
          <w:szCs w:val="24"/>
        </w:rPr>
        <w:t>Budenofalk</w:t>
      </w:r>
      <w:proofErr w:type="spellEnd"/>
      <w:r w:rsidRPr="005B6343">
        <w:rPr>
          <w:rFonts w:asciiTheme="minorHAnsi" w:hAnsiTheme="minorHAnsi"/>
          <w:sz w:val="24"/>
          <w:szCs w:val="24"/>
        </w:rPr>
        <w:t>. T</w:t>
      </w:r>
      <w:r w:rsidR="004F3EEB" w:rsidRPr="005B6343">
        <w:rPr>
          <w:rFonts w:asciiTheme="minorHAnsi" w:hAnsiTheme="minorHAnsi"/>
          <w:sz w:val="24"/>
          <w:szCs w:val="24"/>
        </w:rPr>
        <w:t xml:space="preserve">he </w:t>
      </w:r>
      <w:r w:rsidR="00B77537" w:rsidRPr="005B6343">
        <w:rPr>
          <w:rFonts w:asciiTheme="minorHAnsi" w:hAnsiTheme="minorHAnsi"/>
          <w:sz w:val="24"/>
          <w:szCs w:val="24"/>
        </w:rPr>
        <w:t>price</w:t>
      </w:r>
      <w:r w:rsidR="004F3EEB" w:rsidRPr="005B6343">
        <w:rPr>
          <w:rFonts w:asciiTheme="minorHAnsi" w:hAnsiTheme="minorHAnsi"/>
          <w:sz w:val="24"/>
          <w:szCs w:val="24"/>
        </w:rPr>
        <w:t>s</w:t>
      </w:r>
      <w:r w:rsidR="00B77537" w:rsidRPr="005B6343">
        <w:rPr>
          <w:rFonts w:asciiTheme="minorHAnsi" w:hAnsiTheme="minorHAnsi"/>
          <w:sz w:val="24"/>
          <w:szCs w:val="24"/>
        </w:rPr>
        <w:t xml:space="preserve"> of </w:t>
      </w:r>
      <w:r w:rsidR="004F3EEB" w:rsidRPr="005B6343">
        <w:rPr>
          <w:rFonts w:asciiTheme="minorHAnsi" w:hAnsiTheme="minorHAnsi"/>
          <w:sz w:val="24"/>
          <w:szCs w:val="24"/>
        </w:rPr>
        <w:t>the mixed comparators</w:t>
      </w:r>
      <w:r w:rsidR="004E19DF" w:rsidRPr="005B6343">
        <w:rPr>
          <w:rFonts w:asciiTheme="minorHAnsi" w:hAnsiTheme="minorHAnsi"/>
          <w:sz w:val="24"/>
          <w:szCs w:val="24"/>
        </w:rPr>
        <w:t xml:space="preserve"> for </w:t>
      </w:r>
      <w:proofErr w:type="spellStart"/>
      <w:r w:rsidR="004E19DF" w:rsidRPr="005B6343">
        <w:rPr>
          <w:rFonts w:asciiTheme="minorHAnsi" w:hAnsiTheme="minorHAnsi"/>
          <w:sz w:val="24"/>
          <w:szCs w:val="24"/>
        </w:rPr>
        <w:t>Entocort</w:t>
      </w:r>
      <w:proofErr w:type="spellEnd"/>
      <w:r w:rsidR="004F3EEB" w:rsidRPr="005B6343">
        <w:rPr>
          <w:rFonts w:asciiTheme="minorHAnsi" w:hAnsiTheme="minorHAnsi"/>
          <w:sz w:val="24"/>
          <w:szCs w:val="24"/>
        </w:rPr>
        <w:t xml:space="preserve">, </w:t>
      </w:r>
      <w:proofErr w:type="spellStart"/>
      <w:r w:rsidRPr="005B6343">
        <w:rPr>
          <w:rFonts w:asciiTheme="minorHAnsi" w:hAnsiTheme="minorHAnsi"/>
          <w:sz w:val="24"/>
          <w:szCs w:val="24"/>
        </w:rPr>
        <w:t>mesalazine</w:t>
      </w:r>
      <w:proofErr w:type="spellEnd"/>
      <w:r w:rsidR="00B77537" w:rsidRPr="005B6343">
        <w:rPr>
          <w:rFonts w:asciiTheme="minorHAnsi" w:hAnsiTheme="minorHAnsi"/>
          <w:sz w:val="24"/>
          <w:szCs w:val="24"/>
        </w:rPr>
        <w:t xml:space="preserve"> and prednisolone</w:t>
      </w:r>
      <w:r w:rsidRPr="005B6343">
        <w:rPr>
          <w:rFonts w:asciiTheme="minorHAnsi" w:hAnsiTheme="minorHAnsi"/>
          <w:sz w:val="24"/>
          <w:szCs w:val="24"/>
        </w:rPr>
        <w:t xml:space="preserve">, </w:t>
      </w:r>
      <w:proofErr w:type="gramStart"/>
      <w:r w:rsidR="004E19DF" w:rsidRPr="005B6343">
        <w:rPr>
          <w:rFonts w:asciiTheme="minorHAnsi" w:hAnsiTheme="minorHAnsi"/>
          <w:sz w:val="24"/>
          <w:szCs w:val="24"/>
        </w:rPr>
        <w:t>were used</w:t>
      </w:r>
      <w:proofErr w:type="gramEnd"/>
      <w:r w:rsidR="004E19DF" w:rsidRPr="005B6343">
        <w:rPr>
          <w:rFonts w:asciiTheme="minorHAnsi" w:hAnsiTheme="minorHAnsi"/>
          <w:sz w:val="24"/>
          <w:szCs w:val="24"/>
        </w:rPr>
        <w:t xml:space="preserve"> to estimate the price</w:t>
      </w:r>
      <w:r w:rsidR="00BF4DB6" w:rsidRPr="005B6343">
        <w:rPr>
          <w:rFonts w:asciiTheme="minorHAnsi" w:hAnsiTheme="minorHAnsi"/>
          <w:sz w:val="24"/>
          <w:szCs w:val="24"/>
        </w:rPr>
        <w:t xml:space="preserve"> for </w:t>
      </w:r>
      <w:proofErr w:type="spellStart"/>
      <w:r w:rsidR="00BF4DB6" w:rsidRPr="005B6343">
        <w:rPr>
          <w:rFonts w:asciiTheme="minorHAnsi" w:hAnsiTheme="minorHAnsi"/>
          <w:sz w:val="24"/>
          <w:szCs w:val="24"/>
        </w:rPr>
        <w:t>Budenofalk</w:t>
      </w:r>
      <w:proofErr w:type="spellEnd"/>
      <w:r w:rsidR="00060B4A" w:rsidRPr="005B6343">
        <w:rPr>
          <w:rFonts w:asciiTheme="minorHAnsi" w:hAnsiTheme="minorHAnsi"/>
          <w:sz w:val="24"/>
          <w:szCs w:val="24"/>
        </w:rPr>
        <w:t xml:space="preserve">. </w:t>
      </w:r>
      <w:r w:rsidR="00973E59" w:rsidRPr="005B6343">
        <w:rPr>
          <w:rFonts w:asciiTheme="minorHAnsi" w:hAnsiTheme="minorHAnsi"/>
          <w:sz w:val="24"/>
          <w:szCs w:val="24"/>
        </w:rPr>
        <w:t xml:space="preserve">The </w:t>
      </w:r>
      <w:r w:rsidR="004A4B37" w:rsidRPr="005B6343">
        <w:rPr>
          <w:rFonts w:asciiTheme="minorHAnsi" w:hAnsiTheme="minorHAnsi"/>
          <w:sz w:val="24"/>
          <w:szCs w:val="24"/>
        </w:rPr>
        <w:t xml:space="preserve">submission expressed the </w:t>
      </w:r>
      <w:r w:rsidR="00973E59" w:rsidRPr="005B6343">
        <w:rPr>
          <w:rFonts w:asciiTheme="minorHAnsi" w:hAnsiTheme="minorHAnsi"/>
          <w:sz w:val="24"/>
          <w:szCs w:val="24"/>
        </w:rPr>
        <w:t>sponsor</w:t>
      </w:r>
      <w:r w:rsidR="004A4B37" w:rsidRPr="005B6343">
        <w:rPr>
          <w:rFonts w:asciiTheme="minorHAnsi" w:hAnsiTheme="minorHAnsi"/>
          <w:sz w:val="24"/>
          <w:szCs w:val="24"/>
        </w:rPr>
        <w:t>’s</w:t>
      </w:r>
      <w:r w:rsidR="00973E59" w:rsidRPr="005B6343">
        <w:rPr>
          <w:rFonts w:asciiTheme="minorHAnsi" w:hAnsiTheme="minorHAnsi"/>
          <w:sz w:val="24"/>
          <w:szCs w:val="24"/>
        </w:rPr>
        <w:t xml:space="preserve"> </w:t>
      </w:r>
      <w:r w:rsidR="004A4B37" w:rsidRPr="005B6343">
        <w:rPr>
          <w:rFonts w:asciiTheme="minorHAnsi" w:hAnsiTheme="minorHAnsi"/>
          <w:sz w:val="24"/>
          <w:szCs w:val="24"/>
        </w:rPr>
        <w:t xml:space="preserve">willingness </w:t>
      </w:r>
      <w:r w:rsidR="002D6D1A" w:rsidRPr="005B6343">
        <w:rPr>
          <w:rFonts w:asciiTheme="minorHAnsi" w:hAnsiTheme="minorHAnsi"/>
          <w:sz w:val="24"/>
          <w:szCs w:val="24"/>
        </w:rPr>
        <w:t>to consider an alternative pricing offer</w:t>
      </w:r>
      <w:r w:rsidR="00973E59" w:rsidRPr="005B6343">
        <w:rPr>
          <w:rFonts w:asciiTheme="minorHAnsi" w:hAnsiTheme="minorHAnsi"/>
          <w:sz w:val="24"/>
          <w:szCs w:val="24"/>
        </w:rPr>
        <w:t xml:space="preserve"> if </w:t>
      </w:r>
      <w:r w:rsidR="004A4B37" w:rsidRPr="005B6343">
        <w:rPr>
          <w:rFonts w:asciiTheme="minorHAnsi" w:hAnsiTheme="minorHAnsi"/>
          <w:sz w:val="24"/>
          <w:szCs w:val="24"/>
        </w:rPr>
        <w:t xml:space="preserve">a positive </w:t>
      </w:r>
      <w:r w:rsidR="00973E59" w:rsidRPr="005B6343">
        <w:rPr>
          <w:rFonts w:asciiTheme="minorHAnsi" w:hAnsiTheme="minorHAnsi"/>
          <w:sz w:val="24"/>
          <w:szCs w:val="24"/>
        </w:rPr>
        <w:t xml:space="preserve">PBAC </w:t>
      </w:r>
      <w:r w:rsidR="004A4B37" w:rsidRPr="005B6343">
        <w:rPr>
          <w:rFonts w:asciiTheme="minorHAnsi" w:hAnsiTheme="minorHAnsi"/>
          <w:sz w:val="24"/>
          <w:szCs w:val="24"/>
        </w:rPr>
        <w:t xml:space="preserve">recommendation </w:t>
      </w:r>
      <w:proofErr w:type="gramStart"/>
      <w:r w:rsidR="004A4B37" w:rsidRPr="005B6343">
        <w:rPr>
          <w:rFonts w:asciiTheme="minorHAnsi" w:hAnsiTheme="minorHAnsi"/>
          <w:sz w:val="24"/>
          <w:szCs w:val="24"/>
        </w:rPr>
        <w:t>was received</w:t>
      </w:r>
      <w:proofErr w:type="gramEnd"/>
      <w:r w:rsidR="002D6D1A" w:rsidRPr="005B6343">
        <w:rPr>
          <w:rFonts w:asciiTheme="minorHAnsi" w:hAnsiTheme="minorHAnsi"/>
          <w:sz w:val="24"/>
          <w:szCs w:val="24"/>
        </w:rPr>
        <w:t xml:space="preserve">. </w:t>
      </w:r>
    </w:p>
    <w:p w:rsidR="00847ACA" w:rsidRPr="005B6343" w:rsidRDefault="00847ACA" w:rsidP="00D15D1B">
      <w:pPr>
        <w:pStyle w:val="ListParagraph"/>
        <w:widowControl/>
        <w:numPr>
          <w:ilvl w:val="1"/>
          <w:numId w:val="14"/>
        </w:numPr>
        <w:spacing w:after="120"/>
        <w:contextualSpacing w:val="0"/>
        <w:rPr>
          <w:rFonts w:asciiTheme="minorHAnsi" w:hAnsiTheme="minorHAnsi"/>
          <w:sz w:val="24"/>
          <w:szCs w:val="24"/>
        </w:rPr>
      </w:pPr>
      <w:r w:rsidRPr="005B6343">
        <w:rPr>
          <w:rFonts w:asciiTheme="minorHAnsi" w:hAnsiTheme="minorHAnsi"/>
          <w:sz w:val="24"/>
          <w:szCs w:val="24"/>
        </w:rPr>
        <w:t xml:space="preserve">No </w:t>
      </w:r>
      <w:proofErr w:type="spellStart"/>
      <w:r w:rsidRPr="005B6343">
        <w:rPr>
          <w:rFonts w:asciiTheme="minorHAnsi" w:hAnsiTheme="minorHAnsi"/>
          <w:sz w:val="24"/>
          <w:szCs w:val="24"/>
        </w:rPr>
        <w:t>equi</w:t>
      </w:r>
      <w:proofErr w:type="spellEnd"/>
      <w:r w:rsidRPr="005B6343">
        <w:rPr>
          <w:rFonts w:asciiTheme="minorHAnsi" w:hAnsiTheme="minorHAnsi"/>
          <w:sz w:val="24"/>
          <w:szCs w:val="24"/>
        </w:rPr>
        <w:t xml:space="preserve">-effective dose </w:t>
      </w:r>
      <w:proofErr w:type="gramStart"/>
      <w:r w:rsidRPr="005B6343">
        <w:rPr>
          <w:rFonts w:asciiTheme="minorHAnsi" w:hAnsiTheme="minorHAnsi"/>
          <w:sz w:val="24"/>
          <w:szCs w:val="24"/>
        </w:rPr>
        <w:t>was nominated</w:t>
      </w:r>
      <w:proofErr w:type="gramEnd"/>
      <w:r w:rsidRPr="005B6343">
        <w:rPr>
          <w:rFonts w:asciiTheme="minorHAnsi" w:hAnsiTheme="minorHAnsi"/>
          <w:sz w:val="24"/>
          <w:szCs w:val="24"/>
        </w:rPr>
        <w:t xml:space="preserve"> by the submission. The PBAC considered that </w:t>
      </w:r>
      <w:proofErr w:type="spellStart"/>
      <w:r w:rsidRPr="005B6343">
        <w:rPr>
          <w:rFonts w:asciiTheme="minorHAnsi" w:hAnsiTheme="minorHAnsi"/>
          <w:sz w:val="24"/>
          <w:szCs w:val="24"/>
        </w:rPr>
        <w:t>Budenofalk</w:t>
      </w:r>
      <w:proofErr w:type="spellEnd"/>
      <w:r w:rsidRPr="005B6343">
        <w:rPr>
          <w:rFonts w:asciiTheme="minorHAnsi" w:hAnsiTheme="minorHAnsi"/>
          <w:sz w:val="24"/>
          <w:szCs w:val="24"/>
        </w:rPr>
        <w:t xml:space="preserve"> was non-inferior in terms of comparative effectiveness and safety to </w:t>
      </w:r>
      <w:proofErr w:type="spellStart"/>
      <w:r w:rsidRPr="005B6343">
        <w:rPr>
          <w:rFonts w:asciiTheme="minorHAnsi" w:hAnsiTheme="minorHAnsi"/>
          <w:sz w:val="24"/>
          <w:szCs w:val="24"/>
        </w:rPr>
        <w:t>Entocort</w:t>
      </w:r>
      <w:proofErr w:type="spellEnd"/>
      <w:r w:rsidRPr="005B6343">
        <w:rPr>
          <w:rFonts w:asciiTheme="minorHAnsi" w:hAnsiTheme="minorHAnsi"/>
          <w:sz w:val="24"/>
          <w:szCs w:val="24"/>
        </w:rPr>
        <w:t xml:space="preserve"> and therefore considered that the </w:t>
      </w:r>
      <w:proofErr w:type="spellStart"/>
      <w:r w:rsidRPr="005B6343">
        <w:rPr>
          <w:rFonts w:asciiTheme="minorHAnsi" w:hAnsiTheme="minorHAnsi"/>
          <w:sz w:val="24"/>
          <w:szCs w:val="24"/>
        </w:rPr>
        <w:t>equi</w:t>
      </w:r>
      <w:proofErr w:type="spellEnd"/>
      <w:r w:rsidRPr="005B6343">
        <w:rPr>
          <w:rFonts w:asciiTheme="minorHAnsi" w:hAnsiTheme="minorHAnsi"/>
          <w:sz w:val="24"/>
          <w:szCs w:val="24"/>
        </w:rPr>
        <w:t>-effective doses to be:</w:t>
      </w:r>
    </w:p>
    <w:p w:rsidR="00585155" w:rsidRPr="005B6343" w:rsidRDefault="00585155" w:rsidP="00D15D1B">
      <w:pPr>
        <w:pStyle w:val="ListParagraph"/>
        <w:numPr>
          <w:ilvl w:val="0"/>
          <w:numId w:val="20"/>
        </w:numPr>
        <w:spacing w:after="120"/>
        <w:rPr>
          <w:rFonts w:asciiTheme="minorHAnsi" w:hAnsiTheme="minorHAnsi"/>
          <w:sz w:val="24"/>
          <w:szCs w:val="24"/>
        </w:rPr>
      </w:pPr>
      <w:proofErr w:type="spellStart"/>
      <w:r w:rsidRPr="005B6343">
        <w:rPr>
          <w:rFonts w:asciiTheme="minorHAnsi" w:hAnsiTheme="minorHAnsi"/>
          <w:sz w:val="24"/>
          <w:szCs w:val="24"/>
        </w:rPr>
        <w:t>Budenofalk</w:t>
      </w:r>
      <w:proofErr w:type="spellEnd"/>
      <w:r w:rsidRPr="005B6343">
        <w:rPr>
          <w:rFonts w:asciiTheme="minorHAnsi" w:hAnsiTheme="minorHAnsi"/>
          <w:sz w:val="24"/>
          <w:szCs w:val="24"/>
        </w:rPr>
        <w:t>® brand of budesonide 9 mg/day for 8 weeks followed by 6 mg/day for 1 week, and then 3 mg/day for 1 week;</w:t>
      </w:r>
    </w:p>
    <w:p w:rsidR="00585155" w:rsidRPr="005B6343" w:rsidRDefault="00585155" w:rsidP="00D15D1B">
      <w:pPr>
        <w:pStyle w:val="ListParagraph"/>
        <w:numPr>
          <w:ilvl w:val="0"/>
          <w:numId w:val="20"/>
        </w:numPr>
        <w:spacing w:after="120"/>
        <w:rPr>
          <w:rFonts w:asciiTheme="minorHAnsi" w:hAnsiTheme="minorHAnsi"/>
          <w:sz w:val="24"/>
          <w:szCs w:val="24"/>
        </w:rPr>
      </w:pPr>
      <w:proofErr w:type="spellStart"/>
      <w:r w:rsidRPr="005B6343">
        <w:rPr>
          <w:rFonts w:asciiTheme="minorHAnsi" w:hAnsiTheme="minorHAnsi"/>
          <w:sz w:val="24"/>
          <w:szCs w:val="24"/>
        </w:rPr>
        <w:t>Entocort</w:t>
      </w:r>
      <w:proofErr w:type="spellEnd"/>
      <w:r w:rsidRPr="005B6343">
        <w:rPr>
          <w:rFonts w:asciiTheme="minorHAnsi" w:hAnsiTheme="minorHAnsi"/>
          <w:sz w:val="24"/>
          <w:szCs w:val="24"/>
        </w:rPr>
        <w:t>® brand of budesonide 9 mg/day for 9 weeks followed by 4.5 mg/day for 3 weeks;</w:t>
      </w:r>
    </w:p>
    <w:p w:rsidR="00847ACA" w:rsidRPr="005B6343" w:rsidRDefault="00847ACA" w:rsidP="00D15D1B">
      <w:pPr>
        <w:pStyle w:val="ListParagraph"/>
        <w:numPr>
          <w:ilvl w:val="0"/>
          <w:numId w:val="20"/>
        </w:numPr>
        <w:spacing w:after="120"/>
        <w:rPr>
          <w:rFonts w:asciiTheme="minorHAnsi" w:hAnsiTheme="minorHAnsi"/>
          <w:sz w:val="24"/>
          <w:szCs w:val="24"/>
        </w:rPr>
      </w:pPr>
      <w:proofErr w:type="spellStart"/>
      <w:r w:rsidRPr="005B6343">
        <w:rPr>
          <w:rFonts w:asciiTheme="minorHAnsi" w:hAnsiTheme="minorHAnsi"/>
          <w:sz w:val="24"/>
          <w:szCs w:val="24"/>
        </w:rPr>
        <w:t>Pentasa</w:t>
      </w:r>
      <w:proofErr w:type="spellEnd"/>
      <w:r w:rsidRPr="005B6343">
        <w:rPr>
          <w:rFonts w:asciiTheme="minorHAnsi" w:hAnsiTheme="minorHAnsi"/>
          <w:sz w:val="24"/>
          <w:szCs w:val="24"/>
        </w:rPr>
        <w:t xml:space="preserve">® brands of </w:t>
      </w:r>
      <w:proofErr w:type="spellStart"/>
      <w:r w:rsidRPr="005B6343">
        <w:rPr>
          <w:rFonts w:asciiTheme="minorHAnsi" w:hAnsiTheme="minorHAnsi"/>
          <w:sz w:val="24"/>
          <w:szCs w:val="24"/>
        </w:rPr>
        <w:t>mesalazine</w:t>
      </w:r>
      <w:proofErr w:type="spellEnd"/>
      <w:r w:rsidRPr="005B6343">
        <w:rPr>
          <w:rFonts w:asciiTheme="minorHAnsi" w:hAnsiTheme="minorHAnsi"/>
          <w:sz w:val="24"/>
          <w:szCs w:val="24"/>
        </w:rPr>
        <w:t xml:space="preserve"> 4 g/day for 12 weeks;</w:t>
      </w:r>
    </w:p>
    <w:p w:rsidR="004F5663" w:rsidRDefault="00847ACA" w:rsidP="00D15D1B">
      <w:pPr>
        <w:pStyle w:val="ListParagraph"/>
        <w:widowControl/>
        <w:numPr>
          <w:ilvl w:val="0"/>
          <w:numId w:val="20"/>
        </w:numPr>
        <w:spacing w:after="120"/>
        <w:ind w:left="1434" w:hanging="357"/>
        <w:contextualSpacing w:val="0"/>
        <w:rPr>
          <w:rFonts w:asciiTheme="minorHAnsi" w:hAnsiTheme="minorHAnsi"/>
          <w:sz w:val="24"/>
          <w:szCs w:val="24"/>
        </w:rPr>
      </w:pPr>
      <w:proofErr w:type="spellStart"/>
      <w:r w:rsidRPr="005B6343">
        <w:rPr>
          <w:rFonts w:asciiTheme="minorHAnsi" w:hAnsiTheme="minorHAnsi"/>
          <w:sz w:val="24"/>
          <w:szCs w:val="24"/>
        </w:rPr>
        <w:t>Salofalk</w:t>
      </w:r>
      <w:proofErr w:type="spellEnd"/>
      <w:r w:rsidRPr="005B6343">
        <w:rPr>
          <w:rFonts w:asciiTheme="minorHAnsi" w:hAnsiTheme="minorHAnsi"/>
          <w:sz w:val="24"/>
          <w:szCs w:val="24"/>
        </w:rPr>
        <w:t xml:space="preserve">® brands of </w:t>
      </w:r>
      <w:proofErr w:type="spellStart"/>
      <w:r w:rsidRPr="005B6343">
        <w:rPr>
          <w:rFonts w:asciiTheme="minorHAnsi" w:hAnsiTheme="minorHAnsi"/>
          <w:sz w:val="24"/>
          <w:szCs w:val="24"/>
        </w:rPr>
        <w:t>mesalazine</w:t>
      </w:r>
      <w:proofErr w:type="spellEnd"/>
      <w:r w:rsidRPr="005B6343">
        <w:rPr>
          <w:rFonts w:asciiTheme="minorHAnsi" w:hAnsiTheme="minorHAnsi"/>
          <w:sz w:val="24"/>
          <w:szCs w:val="24"/>
        </w:rPr>
        <w:t xml:space="preserve"> 4.5 g/day for 8 weeks followed by a 3 g/day for 4 weeks; and</w:t>
      </w:r>
    </w:p>
    <w:p w:rsidR="00847ACA" w:rsidRPr="005B6343" w:rsidRDefault="00847ACA" w:rsidP="00D15D1B">
      <w:pPr>
        <w:pStyle w:val="ListParagraph"/>
        <w:widowControl/>
        <w:numPr>
          <w:ilvl w:val="0"/>
          <w:numId w:val="20"/>
        </w:numPr>
        <w:spacing w:after="120"/>
        <w:ind w:left="1434" w:hanging="357"/>
        <w:contextualSpacing w:val="0"/>
        <w:rPr>
          <w:rFonts w:asciiTheme="minorHAnsi" w:hAnsiTheme="minorHAnsi"/>
          <w:sz w:val="24"/>
          <w:szCs w:val="24"/>
        </w:rPr>
      </w:pPr>
      <w:proofErr w:type="gramStart"/>
      <w:r w:rsidRPr="005B6343">
        <w:rPr>
          <w:rFonts w:asciiTheme="minorHAnsi" w:hAnsiTheme="minorHAnsi"/>
          <w:sz w:val="24"/>
          <w:szCs w:val="24"/>
        </w:rPr>
        <w:t>prednisolone</w:t>
      </w:r>
      <w:proofErr w:type="gramEnd"/>
      <w:r w:rsidRPr="005B6343">
        <w:rPr>
          <w:rFonts w:asciiTheme="minorHAnsi" w:hAnsiTheme="minorHAnsi"/>
          <w:sz w:val="24"/>
          <w:szCs w:val="24"/>
        </w:rPr>
        <w:t xml:space="preserve"> 25 mg/day for 8 weeks followed by 5 mg/day for 4 weeks.</w:t>
      </w:r>
    </w:p>
    <w:p w:rsidR="003C2FB5" w:rsidRPr="005B6343" w:rsidRDefault="00A55FEE" w:rsidP="00D15D1B">
      <w:pPr>
        <w:pStyle w:val="Heading2"/>
        <w:keepLines/>
        <w:spacing w:before="240" w:after="120"/>
        <w:rPr>
          <w:rFonts w:asciiTheme="minorHAnsi" w:eastAsiaTheme="majorEastAsia" w:hAnsiTheme="minorHAnsi" w:cstheme="majorBidi"/>
          <w:sz w:val="28"/>
          <w:szCs w:val="28"/>
          <w:lang w:eastAsia="en-US"/>
        </w:rPr>
      </w:pPr>
      <w:r w:rsidRPr="005B6343">
        <w:rPr>
          <w:rFonts w:asciiTheme="minorHAnsi" w:eastAsiaTheme="majorEastAsia" w:hAnsiTheme="minorHAnsi" w:cstheme="majorBidi"/>
          <w:sz w:val="28"/>
          <w:szCs w:val="28"/>
          <w:lang w:eastAsia="en-US"/>
        </w:rPr>
        <w:lastRenderedPageBreak/>
        <w:t>Drug cost/patient/</w:t>
      </w:r>
      <w:r w:rsidR="00BD67AD" w:rsidRPr="005B6343">
        <w:rPr>
          <w:rFonts w:asciiTheme="minorHAnsi" w:eastAsiaTheme="majorEastAsia" w:hAnsiTheme="minorHAnsi" w:cstheme="majorBidi"/>
          <w:sz w:val="28"/>
          <w:szCs w:val="28"/>
          <w:lang w:eastAsia="en-US"/>
        </w:rPr>
        <w:t>course</w:t>
      </w:r>
    </w:p>
    <w:p w:rsidR="00A55FEE" w:rsidRPr="005B6343" w:rsidRDefault="004E19DF" w:rsidP="00D15D1B">
      <w:pPr>
        <w:pStyle w:val="ListParagraph"/>
        <w:widowControl/>
        <w:numPr>
          <w:ilvl w:val="1"/>
          <w:numId w:val="14"/>
        </w:numPr>
        <w:spacing w:after="120"/>
        <w:contextualSpacing w:val="0"/>
        <w:rPr>
          <w:rFonts w:asciiTheme="minorHAnsi" w:eastAsiaTheme="minorHAnsi" w:hAnsiTheme="minorHAnsi" w:cstheme="minorHAnsi"/>
          <w:snapToGrid/>
          <w:sz w:val="24"/>
          <w:szCs w:val="24"/>
        </w:rPr>
      </w:pPr>
      <w:r w:rsidRPr="005B6343">
        <w:rPr>
          <w:rFonts w:asciiTheme="minorHAnsi" w:eastAsiaTheme="minorHAnsi" w:hAnsiTheme="minorHAnsi" w:cstheme="minorHAnsi"/>
          <w:snapToGrid/>
          <w:sz w:val="24"/>
          <w:szCs w:val="24"/>
        </w:rPr>
        <w:t xml:space="preserve">The estimated drug cost/patient/course </w:t>
      </w:r>
      <w:r w:rsidR="00250FF9" w:rsidRPr="005B6343">
        <w:rPr>
          <w:rFonts w:asciiTheme="minorHAnsi" w:eastAsiaTheme="minorHAnsi" w:hAnsiTheme="minorHAnsi" w:cstheme="minorHAnsi"/>
          <w:snapToGrid/>
          <w:sz w:val="24"/>
          <w:szCs w:val="24"/>
        </w:rPr>
        <w:t xml:space="preserve">would </w:t>
      </w:r>
      <w:r w:rsidRPr="005B6343">
        <w:rPr>
          <w:rFonts w:asciiTheme="minorHAnsi" w:eastAsiaTheme="minorHAnsi" w:hAnsiTheme="minorHAnsi" w:cstheme="minorHAnsi"/>
          <w:snapToGrid/>
          <w:sz w:val="24"/>
          <w:szCs w:val="24"/>
        </w:rPr>
        <w:t>be $</w:t>
      </w:r>
      <w:r w:rsidR="000836E1">
        <w:rPr>
          <w:rFonts w:asciiTheme="minorHAnsi" w:eastAsiaTheme="minorHAnsi" w:hAnsiTheme="minorHAnsi" w:cstheme="minorHAnsi"/>
          <w:noProof/>
          <w:snapToGrid/>
          <w:color w:val="000000"/>
          <w:sz w:val="24"/>
          <w:szCs w:val="24"/>
          <w:highlight w:val="black"/>
        </w:rPr>
        <w:t>''''''''''''</w:t>
      </w:r>
      <w:r w:rsidRPr="005B6343">
        <w:rPr>
          <w:rFonts w:asciiTheme="minorHAnsi" w:eastAsiaTheme="minorHAnsi" w:hAnsiTheme="minorHAnsi" w:cstheme="minorHAnsi"/>
          <w:snapToGrid/>
          <w:sz w:val="24"/>
          <w:szCs w:val="24"/>
        </w:rPr>
        <w:t xml:space="preserve">, based on a </w:t>
      </w:r>
      <w:r w:rsidR="009D539A" w:rsidRPr="005B6343">
        <w:rPr>
          <w:rFonts w:asciiTheme="minorHAnsi" w:eastAsiaTheme="minorHAnsi" w:hAnsiTheme="minorHAnsi" w:cstheme="minorHAnsi"/>
          <w:snapToGrid/>
          <w:sz w:val="24"/>
          <w:szCs w:val="24"/>
        </w:rPr>
        <w:t xml:space="preserve">10 </w:t>
      </w:r>
      <w:r w:rsidRPr="005B6343">
        <w:rPr>
          <w:rFonts w:asciiTheme="minorHAnsi" w:eastAsiaTheme="minorHAnsi" w:hAnsiTheme="minorHAnsi" w:cstheme="minorHAnsi"/>
          <w:snapToGrid/>
          <w:sz w:val="24"/>
          <w:szCs w:val="24"/>
        </w:rPr>
        <w:t>week course</w:t>
      </w:r>
      <w:r w:rsidR="00A75896" w:rsidRPr="005B6343">
        <w:rPr>
          <w:rFonts w:asciiTheme="minorHAnsi" w:eastAsiaTheme="minorHAnsi" w:hAnsiTheme="minorHAnsi" w:cstheme="minorHAnsi"/>
          <w:snapToGrid/>
          <w:sz w:val="24"/>
          <w:szCs w:val="24"/>
        </w:rPr>
        <w:t xml:space="preserve"> of </w:t>
      </w:r>
      <w:proofErr w:type="spellStart"/>
      <w:r w:rsidR="00A75896" w:rsidRPr="005B6343">
        <w:rPr>
          <w:rFonts w:asciiTheme="minorHAnsi" w:eastAsiaTheme="minorHAnsi" w:hAnsiTheme="minorHAnsi" w:cstheme="minorHAnsi"/>
          <w:snapToGrid/>
          <w:sz w:val="24"/>
          <w:szCs w:val="24"/>
        </w:rPr>
        <w:t>Budenofalk</w:t>
      </w:r>
      <w:proofErr w:type="spellEnd"/>
      <w:r w:rsidR="0030554C" w:rsidRPr="005B6343">
        <w:rPr>
          <w:rFonts w:asciiTheme="minorHAnsi" w:eastAsiaTheme="minorHAnsi" w:hAnsiTheme="minorHAnsi" w:cstheme="minorHAnsi"/>
          <w:snapToGrid/>
          <w:sz w:val="24"/>
          <w:szCs w:val="24"/>
        </w:rPr>
        <w:t xml:space="preserve"> </w:t>
      </w:r>
      <w:r w:rsidR="009D539A" w:rsidRPr="005B6343">
        <w:rPr>
          <w:rFonts w:asciiTheme="minorHAnsi" w:eastAsiaTheme="minorHAnsi" w:hAnsiTheme="minorHAnsi" w:cstheme="minorHAnsi"/>
          <w:snapToGrid/>
          <w:sz w:val="24"/>
          <w:szCs w:val="24"/>
        </w:rPr>
        <w:t xml:space="preserve">which includes 2 weeks of tapering treatment and also accounts for wastage </w:t>
      </w:r>
      <w:r w:rsidR="0030554C" w:rsidRPr="005B6343">
        <w:rPr>
          <w:rFonts w:asciiTheme="minorHAnsi" w:eastAsiaTheme="minorHAnsi" w:hAnsiTheme="minorHAnsi" w:cstheme="minorHAnsi"/>
          <w:snapToGrid/>
          <w:sz w:val="24"/>
          <w:szCs w:val="24"/>
        </w:rPr>
        <w:t>(DPMQ= $</w:t>
      </w:r>
      <w:r w:rsidR="000836E1">
        <w:rPr>
          <w:rFonts w:asciiTheme="minorHAnsi" w:eastAsiaTheme="minorHAnsi" w:hAnsiTheme="minorHAnsi" w:cstheme="minorHAnsi"/>
          <w:noProof/>
          <w:snapToGrid/>
          <w:color w:val="000000"/>
          <w:sz w:val="24"/>
          <w:szCs w:val="24"/>
          <w:highlight w:val="black"/>
        </w:rPr>
        <w:t>'''''''''''''</w:t>
      </w:r>
      <w:r w:rsidR="0030554C" w:rsidRPr="005B6343">
        <w:rPr>
          <w:rFonts w:asciiTheme="minorHAnsi" w:eastAsiaTheme="minorHAnsi" w:hAnsiTheme="minorHAnsi" w:cstheme="minorHAnsi"/>
          <w:snapToGrid/>
          <w:sz w:val="24"/>
          <w:szCs w:val="24"/>
        </w:rPr>
        <w:t xml:space="preserve"> * </w:t>
      </w:r>
      <w:r w:rsidR="009D539A" w:rsidRPr="005B6343">
        <w:rPr>
          <w:rFonts w:asciiTheme="minorHAnsi" w:eastAsiaTheme="minorHAnsi" w:hAnsiTheme="minorHAnsi" w:cstheme="minorHAnsi"/>
          <w:snapToGrid/>
          <w:sz w:val="24"/>
          <w:szCs w:val="24"/>
        </w:rPr>
        <w:t xml:space="preserve">3 </w:t>
      </w:r>
      <w:r w:rsidR="00250FF9" w:rsidRPr="005B6343">
        <w:rPr>
          <w:rFonts w:asciiTheme="minorHAnsi" w:eastAsiaTheme="minorHAnsi" w:hAnsiTheme="minorHAnsi" w:cstheme="minorHAnsi"/>
          <w:snapToGrid/>
          <w:sz w:val="24"/>
          <w:szCs w:val="24"/>
        </w:rPr>
        <w:t>packs)</w:t>
      </w:r>
      <w:r w:rsidRPr="005B6343">
        <w:rPr>
          <w:rFonts w:asciiTheme="minorHAnsi" w:eastAsiaTheme="minorHAnsi" w:hAnsiTheme="minorHAnsi" w:cstheme="minorHAnsi"/>
          <w:snapToGrid/>
          <w:sz w:val="24"/>
          <w:szCs w:val="24"/>
        </w:rPr>
        <w:t>.</w:t>
      </w:r>
      <w:r w:rsidR="00250FF9" w:rsidRPr="005B6343">
        <w:rPr>
          <w:rFonts w:asciiTheme="minorHAnsi" w:eastAsiaTheme="minorHAnsi" w:hAnsiTheme="minorHAnsi" w:cstheme="minorHAnsi"/>
          <w:snapToGrid/>
          <w:sz w:val="24"/>
          <w:szCs w:val="24"/>
        </w:rPr>
        <w:t xml:space="preserve"> </w:t>
      </w:r>
    </w:p>
    <w:p w:rsidR="005A3173" w:rsidRPr="005B6343" w:rsidRDefault="005A3173" w:rsidP="00D15D1B">
      <w:pPr>
        <w:pStyle w:val="Heading2"/>
        <w:keepLines/>
        <w:spacing w:before="240" w:after="120"/>
        <w:rPr>
          <w:rFonts w:asciiTheme="minorHAnsi" w:eastAsiaTheme="majorEastAsia" w:hAnsiTheme="minorHAnsi" w:cstheme="majorBidi"/>
          <w:sz w:val="28"/>
          <w:szCs w:val="28"/>
          <w:lang w:eastAsia="en-US"/>
        </w:rPr>
      </w:pPr>
      <w:r w:rsidRPr="005B6343">
        <w:rPr>
          <w:rFonts w:asciiTheme="minorHAnsi" w:eastAsiaTheme="majorEastAsia" w:hAnsiTheme="minorHAnsi" w:cstheme="majorBidi"/>
          <w:sz w:val="28"/>
          <w:szCs w:val="28"/>
          <w:lang w:eastAsia="en-US"/>
        </w:rPr>
        <w:t>Estimated PBS usage &amp; financial implications</w:t>
      </w:r>
    </w:p>
    <w:p w:rsidR="003C70FB" w:rsidRDefault="008D11DB" w:rsidP="00D15D1B">
      <w:pPr>
        <w:pStyle w:val="ListParagraph"/>
        <w:widowControl/>
        <w:numPr>
          <w:ilvl w:val="1"/>
          <w:numId w:val="14"/>
        </w:numPr>
        <w:spacing w:after="120"/>
        <w:contextualSpacing w:val="0"/>
        <w:rPr>
          <w:rFonts w:asciiTheme="minorHAnsi" w:hAnsiTheme="minorHAnsi"/>
          <w:sz w:val="24"/>
          <w:szCs w:val="24"/>
        </w:rPr>
      </w:pPr>
      <w:r w:rsidRPr="005B6343">
        <w:rPr>
          <w:rFonts w:asciiTheme="minorHAnsi" w:hAnsiTheme="minorHAnsi"/>
          <w:sz w:val="24"/>
          <w:szCs w:val="24"/>
        </w:rPr>
        <w:t xml:space="preserve">Table 3 presents the estimated use and financial implications of </w:t>
      </w:r>
      <w:proofErr w:type="spellStart"/>
      <w:r w:rsidRPr="005B6343">
        <w:rPr>
          <w:rFonts w:asciiTheme="minorHAnsi" w:hAnsiTheme="minorHAnsi"/>
          <w:sz w:val="24"/>
          <w:szCs w:val="24"/>
        </w:rPr>
        <w:t>Budenofalk</w:t>
      </w:r>
      <w:proofErr w:type="spellEnd"/>
      <w:r w:rsidRPr="005B6343">
        <w:rPr>
          <w:rFonts w:asciiTheme="minorHAnsi" w:hAnsiTheme="minorHAnsi"/>
          <w:sz w:val="24"/>
          <w:szCs w:val="24"/>
        </w:rPr>
        <w:t>.</w:t>
      </w:r>
      <w:r w:rsidR="00F3689E" w:rsidRPr="005B6343">
        <w:rPr>
          <w:rFonts w:asciiTheme="minorHAnsi" w:hAnsiTheme="minorHAnsi"/>
          <w:sz w:val="24"/>
          <w:szCs w:val="24"/>
        </w:rPr>
        <w:t xml:space="preserve"> </w:t>
      </w:r>
      <w:r w:rsidR="00250FF9" w:rsidRPr="005B6343">
        <w:rPr>
          <w:rFonts w:asciiTheme="minorHAnsi" w:hAnsiTheme="minorHAnsi"/>
          <w:sz w:val="24"/>
          <w:szCs w:val="24"/>
        </w:rPr>
        <w:t>The submission</w:t>
      </w:r>
      <w:r w:rsidR="0072333D" w:rsidRPr="005B6343">
        <w:rPr>
          <w:rFonts w:asciiTheme="minorHAnsi" w:hAnsiTheme="minorHAnsi"/>
          <w:sz w:val="24"/>
          <w:szCs w:val="24"/>
        </w:rPr>
        <w:t xml:space="preserve"> stated that there would be </w:t>
      </w:r>
      <w:r w:rsidR="00250FF9" w:rsidRPr="005B6343">
        <w:rPr>
          <w:rFonts w:asciiTheme="minorHAnsi" w:hAnsiTheme="minorHAnsi"/>
          <w:sz w:val="24"/>
          <w:szCs w:val="24"/>
        </w:rPr>
        <w:t>no financial implications to the PBS</w:t>
      </w:r>
      <w:r w:rsidRPr="005B6343">
        <w:rPr>
          <w:rFonts w:asciiTheme="minorHAnsi" w:hAnsiTheme="minorHAnsi"/>
          <w:sz w:val="24"/>
          <w:szCs w:val="24"/>
        </w:rPr>
        <w:t xml:space="preserve"> given that </w:t>
      </w:r>
      <w:proofErr w:type="spellStart"/>
      <w:r w:rsidR="00250FF9" w:rsidRPr="005B6343">
        <w:rPr>
          <w:rFonts w:asciiTheme="minorHAnsi" w:hAnsiTheme="minorHAnsi"/>
          <w:sz w:val="24"/>
          <w:szCs w:val="24"/>
        </w:rPr>
        <w:t>Budenofalk</w:t>
      </w:r>
      <w:proofErr w:type="spellEnd"/>
      <w:r w:rsidR="00250FF9" w:rsidRPr="005B6343">
        <w:rPr>
          <w:rFonts w:asciiTheme="minorHAnsi" w:hAnsiTheme="minorHAnsi"/>
          <w:sz w:val="24"/>
          <w:szCs w:val="24"/>
        </w:rPr>
        <w:t xml:space="preserve"> </w:t>
      </w:r>
      <w:r w:rsidR="005B34EF" w:rsidRPr="005B6343">
        <w:rPr>
          <w:rFonts w:asciiTheme="minorHAnsi" w:hAnsiTheme="minorHAnsi"/>
          <w:sz w:val="24"/>
          <w:szCs w:val="24"/>
        </w:rPr>
        <w:t xml:space="preserve">and </w:t>
      </w:r>
      <w:proofErr w:type="spellStart"/>
      <w:r w:rsidR="00250FF9" w:rsidRPr="005B6343">
        <w:rPr>
          <w:rFonts w:asciiTheme="minorHAnsi" w:hAnsiTheme="minorHAnsi"/>
          <w:sz w:val="24"/>
          <w:szCs w:val="24"/>
        </w:rPr>
        <w:t>Entocort</w:t>
      </w:r>
      <w:proofErr w:type="spellEnd"/>
      <w:r w:rsidR="005B34EF" w:rsidRPr="005B6343">
        <w:rPr>
          <w:rFonts w:asciiTheme="minorHAnsi" w:hAnsiTheme="minorHAnsi"/>
          <w:sz w:val="24"/>
          <w:szCs w:val="24"/>
        </w:rPr>
        <w:t xml:space="preserve"> had the same indication and dosing</w:t>
      </w:r>
      <w:r w:rsidR="00250FF9" w:rsidRPr="005B6343">
        <w:rPr>
          <w:rFonts w:asciiTheme="minorHAnsi" w:hAnsiTheme="minorHAnsi"/>
          <w:sz w:val="24"/>
          <w:szCs w:val="24"/>
        </w:rPr>
        <w:t>.</w:t>
      </w:r>
      <w:r w:rsidR="0072333D" w:rsidRPr="005B6343">
        <w:rPr>
          <w:rFonts w:asciiTheme="minorHAnsi" w:hAnsiTheme="minorHAnsi"/>
          <w:sz w:val="24"/>
          <w:szCs w:val="24"/>
        </w:rPr>
        <w:t xml:space="preserve"> The </w:t>
      </w:r>
      <w:r w:rsidR="00356221" w:rsidRPr="005B6343">
        <w:rPr>
          <w:rFonts w:asciiTheme="minorHAnsi" w:hAnsiTheme="minorHAnsi"/>
          <w:sz w:val="24"/>
          <w:szCs w:val="24"/>
        </w:rPr>
        <w:t xml:space="preserve">total patient estimates </w:t>
      </w:r>
      <w:r w:rsidRPr="005B6343">
        <w:rPr>
          <w:rFonts w:asciiTheme="minorHAnsi" w:hAnsiTheme="minorHAnsi"/>
          <w:sz w:val="24"/>
          <w:szCs w:val="24"/>
        </w:rPr>
        <w:t xml:space="preserve">in the submission </w:t>
      </w:r>
      <w:proofErr w:type="gramStart"/>
      <w:r w:rsidR="00356221" w:rsidRPr="005B6343">
        <w:rPr>
          <w:rFonts w:asciiTheme="minorHAnsi" w:hAnsiTheme="minorHAnsi"/>
          <w:sz w:val="24"/>
          <w:szCs w:val="24"/>
        </w:rPr>
        <w:t>were based</w:t>
      </w:r>
      <w:proofErr w:type="gramEnd"/>
      <w:r w:rsidR="00356221" w:rsidRPr="005B6343">
        <w:rPr>
          <w:rFonts w:asciiTheme="minorHAnsi" w:hAnsiTheme="minorHAnsi"/>
          <w:sz w:val="24"/>
          <w:szCs w:val="24"/>
        </w:rPr>
        <w:t xml:space="preserve"> </w:t>
      </w:r>
      <w:r w:rsidR="0072333D" w:rsidRPr="005B6343">
        <w:rPr>
          <w:rFonts w:asciiTheme="minorHAnsi" w:hAnsiTheme="minorHAnsi"/>
          <w:sz w:val="24"/>
          <w:szCs w:val="24"/>
        </w:rPr>
        <w:t xml:space="preserve">on assumptions used in the </w:t>
      </w:r>
      <w:proofErr w:type="spellStart"/>
      <w:r w:rsidR="0072333D" w:rsidRPr="005B6343">
        <w:rPr>
          <w:rFonts w:asciiTheme="minorHAnsi" w:hAnsiTheme="minorHAnsi"/>
          <w:sz w:val="24"/>
          <w:szCs w:val="24"/>
        </w:rPr>
        <w:t>Entocort</w:t>
      </w:r>
      <w:proofErr w:type="spellEnd"/>
      <w:r w:rsidR="009E2305" w:rsidRPr="005B6343">
        <w:rPr>
          <w:rFonts w:asciiTheme="minorHAnsi" w:hAnsiTheme="minorHAnsi"/>
          <w:sz w:val="24"/>
          <w:szCs w:val="24"/>
        </w:rPr>
        <w:t xml:space="preserve"> consideration</w:t>
      </w:r>
      <w:r w:rsidR="0072333D" w:rsidRPr="005B6343">
        <w:rPr>
          <w:rFonts w:asciiTheme="minorHAnsi" w:hAnsiTheme="minorHAnsi"/>
          <w:sz w:val="24"/>
          <w:szCs w:val="24"/>
        </w:rPr>
        <w:t xml:space="preserve"> from July 201</w:t>
      </w:r>
      <w:r w:rsidR="00356221" w:rsidRPr="005B6343">
        <w:rPr>
          <w:rFonts w:asciiTheme="minorHAnsi" w:hAnsiTheme="minorHAnsi"/>
          <w:sz w:val="24"/>
          <w:szCs w:val="24"/>
        </w:rPr>
        <w:t xml:space="preserve">8 and </w:t>
      </w:r>
      <w:r w:rsidR="00ED75CD" w:rsidRPr="005B6343">
        <w:rPr>
          <w:rFonts w:asciiTheme="minorHAnsi" w:hAnsiTheme="minorHAnsi"/>
          <w:sz w:val="24"/>
          <w:szCs w:val="24"/>
        </w:rPr>
        <w:t xml:space="preserve">the </w:t>
      </w:r>
      <w:r w:rsidR="00B87742" w:rsidRPr="005B6343">
        <w:rPr>
          <w:rFonts w:asciiTheme="minorHAnsi" w:hAnsiTheme="minorHAnsi"/>
          <w:sz w:val="24"/>
          <w:szCs w:val="24"/>
        </w:rPr>
        <w:t xml:space="preserve">estimated </w:t>
      </w:r>
      <w:r w:rsidR="00A633CE" w:rsidRPr="005B6343">
        <w:rPr>
          <w:rFonts w:asciiTheme="minorHAnsi" w:hAnsiTheme="minorHAnsi"/>
          <w:sz w:val="24"/>
          <w:szCs w:val="24"/>
        </w:rPr>
        <w:t xml:space="preserve">patient growth rate was </w:t>
      </w:r>
      <w:r w:rsidR="00ED75CD" w:rsidRPr="005B6343">
        <w:rPr>
          <w:rFonts w:asciiTheme="minorHAnsi" w:hAnsiTheme="minorHAnsi"/>
          <w:sz w:val="24"/>
          <w:szCs w:val="24"/>
        </w:rPr>
        <w:t>from</w:t>
      </w:r>
      <w:r w:rsidR="009E2305" w:rsidRPr="005B6343">
        <w:rPr>
          <w:rFonts w:asciiTheme="minorHAnsi" w:hAnsiTheme="minorHAnsi"/>
          <w:sz w:val="24"/>
          <w:szCs w:val="24"/>
        </w:rPr>
        <w:t xml:space="preserve"> </w:t>
      </w:r>
      <w:r w:rsidR="00356221" w:rsidRPr="005B6343">
        <w:rPr>
          <w:rFonts w:asciiTheme="minorHAnsi" w:hAnsiTheme="minorHAnsi"/>
          <w:sz w:val="24"/>
          <w:szCs w:val="24"/>
        </w:rPr>
        <w:t>ABS</w:t>
      </w:r>
      <w:r w:rsidR="00B87742" w:rsidRPr="005B6343">
        <w:rPr>
          <w:rFonts w:asciiTheme="minorHAnsi" w:hAnsiTheme="minorHAnsi"/>
          <w:sz w:val="24"/>
          <w:szCs w:val="24"/>
        </w:rPr>
        <w:t xml:space="preserve"> data</w:t>
      </w:r>
      <w:r w:rsidR="0072333D" w:rsidRPr="005B6343">
        <w:rPr>
          <w:rFonts w:asciiTheme="minorHAnsi" w:hAnsiTheme="minorHAnsi"/>
          <w:sz w:val="24"/>
          <w:szCs w:val="24"/>
        </w:rPr>
        <w:t>.</w:t>
      </w:r>
      <w:r w:rsidR="005B34EF" w:rsidRPr="005B6343">
        <w:rPr>
          <w:rFonts w:asciiTheme="minorHAnsi" w:hAnsiTheme="minorHAnsi"/>
          <w:sz w:val="24"/>
          <w:szCs w:val="24"/>
        </w:rPr>
        <w:t xml:space="preserve"> </w:t>
      </w:r>
    </w:p>
    <w:p w:rsidR="005B34EF" w:rsidRPr="005B6343" w:rsidRDefault="005B34EF" w:rsidP="006F68CF">
      <w:pPr>
        <w:rPr>
          <w:rFonts w:ascii="Arial Narrow" w:hAnsi="Arial Narrow"/>
          <w:b/>
          <w:sz w:val="20"/>
          <w:szCs w:val="20"/>
        </w:rPr>
      </w:pPr>
      <w:r w:rsidRPr="005B6343">
        <w:rPr>
          <w:rFonts w:ascii="Arial Narrow" w:hAnsi="Arial Narrow"/>
          <w:b/>
          <w:sz w:val="20"/>
          <w:szCs w:val="20"/>
        </w:rPr>
        <w:t>Table 3: Estimated use and financial implications</w:t>
      </w:r>
    </w:p>
    <w:tbl>
      <w:tblPr>
        <w:tblStyle w:val="TableGrid"/>
        <w:tblW w:w="5000" w:type="pct"/>
        <w:tblLook w:val="04A0" w:firstRow="1" w:lastRow="0" w:firstColumn="1" w:lastColumn="0" w:noHBand="0" w:noVBand="1"/>
        <w:tblCaption w:val="Estimated use and financial implications"/>
      </w:tblPr>
      <w:tblGrid>
        <w:gridCol w:w="1968"/>
        <w:gridCol w:w="1089"/>
        <w:gridCol w:w="1091"/>
        <w:gridCol w:w="1217"/>
        <w:gridCol w:w="1217"/>
        <w:gridCol w:w="1217"/>
        <w:gridCol w:w="1217"/>
      </w:tblGrid>
      <w:tr w:rsidR="00502EB0" w:rsidRPr="005B6343" w:rsidTr="0072333D">
        <w:trPr>
          <w:tblHeader/>
        </w:trPr>
        <w:tc>
          <w:tcPr>
            <w:tcW w:w="1091" w:type="pct"/>
            <w:tcBorders>
              <w:top w:val="single" w:sz="4" w:space="0" w:color="auto"/>
              <w:left w:val="single" w:sz="4" w:space="0" w:color="auto"/>
              <w:bottom w:val="single" w:sz="4" w:space="0" w:color="auto"/>
              <w:right w:val="single" w:sz="4" w:space="0" w:color="auto"/>
            </w:tcBorders>
            <w:shd w:val="clear" w:color="auto" w:fill="auto"/>
            <w:hideMark/>
          </w:tcPr>
          <w:p w:rsidR="00502EB0" w:rsidRPr="005B6343" w:rsidRDefault="00502EB0" w:rsidP="00E122FB">
            <w:pPr>
              <w:pStyle w:val="TableText0"/>
              <w:keepNext/>
              <w:keepLines/>
              <w:rPr>
                <w:rFonts w:ascii="Arial Narrow" w:hAnsi="Arial Narrow" w:cs="Arial"/>
                <w:b/>
                <w:sz w:val="20"/>
                <w:szCs w:val="20"/>
              </w:rPr>
            </w:pPr>
          </w:p>
        </w:tc>
        <w:tc>
          <w:tcPr>
            <w:tcW w:w="604" w:type="pct"/>
            <w:tcBorders>
              <w:top w:val="single" w:sz="4" w:space="0" w:color="auto"/>
              <w:left w:val="single" w:sz="4" w:space="0" w:color="auto"/>
              <w:bottom w:val="single" w:sz="4" w:space="0" w:color="auto"/>
              <w:right w:val="single" w:sz="4" w:space="0" w:color="auto"/>
            </w:tcBorders>
            <w:shd w:val="clear" w:color="auto" w:fill="auto"/>
            <w:hideMark/>
          </w:tcPr>
          <w:p w:rsidR="00502EB0" w:rsidRPr="005B6343" w:rsidRDefault="00502EB0" w:rsidP="00E122FB">
            <w:pPr>
              <w:pStyle w:val="TableText0"/>
              <w:keepNext/>
              <w:keepLines/>
              <w:jc w:val="center"/>
              <w:rPr>
                <w:rFonts w:ascii="Arial Narrow" w:hAnsi="Arial Narrow" w:cs="Arial"/>
                <w:b/>
                <w:sz w:val="20"/>
                <w:szCs w:val="20"/>
              </w:rPr>
            </w:pPr>
            <w:r w:rsidRPr="005B6343">
              <w:rPr>
                <w:rFonts w:ascii="Arial Narrow" w:hAnsi="Arial Narrow" w:cs="Arial"/>
                <w:b/>
                <w:sz w:val="20"/>
                <w:szCs w:val="20"/>
              </w:rPr>
              <w:t>Year 1</w:t>
            </w:r>
          </w:p>
        </w:tc>
        <w:tc>
          <w:tcPr>
            <w:tcW w:w="605" w:type="pct"/>
            <w:tcBorders>
              <w:top w:val="single" w:sz="4" w:space="0" w:color="auto"/>
              <w:left w:val="single" w:sz="4" w:space="0" w:color="auto"/>
              <w:bottom w:val="single" w:sz="4" w:space="0" w:color="auto"/>
              <w:right w:val="single" w:sz="4" w:space="0" w:color="auto"/>
            </w:tcBorders>
            <w:shd w:val="clear" w:color="auto" w:fill="auto"/>
            <w:hideMark/>
          </w:tcPr>
          <w:p w:rsidR="00502EB0" w:rsidRPr="005B6343" w:rsidRDefault="00502EB0" w:rsidP="00E122FB">
            <w:pPr>
              <w:pStyle w:val="TableText0"/>
              <w:keepNext/>
              <w:keepLines/>
              <w:jc w:val="center"/>
              <w:rPr>
                <w:rFonts w:ascii="Arial Narrow" w:hAnsi="Arial Narrow" w:cs="Arial"/>
                <w:b/>
                <w:sz w:val="20"/>
                <w:szCs w:val="20"/>
              </w:rPr>
            </w:pPr>
            <w:r w:rsidRPr="005B6343">
              <w:rPr>
                <w:rFonts w:ascii="Arial Narrow" w:hAnsi="Arial Narrow" w:cs="Arial"/>
                <w:b/>
                <w:sz w:val="20"/>
                <w:szCs w:val="20"/>
              </w:rPr>
              <w:t>Year 2</w:t>
            </w:r>
          </w:p>
        </w:tc>
        <w:tc>
          <w:tcPr>
            <w:tcW w:w="675" w:type="pct"/>
            <w:tcBorders>
              <w:top w:val="single" w:sz="4" w:space="0" w:color="auto"/>
              <w:left w:val="single" w:sz="4" w:space="0" w:color="auto"/>
              <w:bottom w:val="single" w:sz="4" w:space="0" w:color="auto"/>
              <w:right w:val="single" w:sz="4" w:space="0" w:color="auto"/>
            </w:tcBorders>
            <w:shd w:val="clear" w:color="auto" w:fill="auto"/>
            <w:hideMark/>
          </w:tcPr>
          <w:p w:rsidR="00502EB0" w:rsidRPr="005B6343" w:rsidRDefault="00502EB0" w:rsidP="00E122FB">
            <w:pPr>
              <w:pStyle w:val="TableText0"/>
              <w:keepNext/>
              <w:keepLines/>
              <w:jc w:val="center"/>
              <w:rPr>
                <w:rFonts w:ascii="Arial Narrow" w:hAnsi="Arial Narrow" w:cs="Arial"/>
                <w:b/>
                <w:sz w:val="20"/>
                <w:szCs w:val="20"/>
              </w:rPr>
            </w:pPr>
            <w:r w:rsidRPr="005B6343">
              <w:rPr>
                <w:rFonts w:ascii="Arial Narrow" w:hAnsi="Arial Narrow" w:cs="Arial"/>
                <w:b/>
                <w:sz w:val="20"/>
                <w:szCs w:val="20"/>
              </w:rPr>
              <w:t>Year 3</w:t>
            </w:r>
          </w:p>
        </w:tc>
        <w:tc>
          <w:tcPr>
            <w:tcW w:w="675" w:type="pct"/>
            <w:tcBorders>
              <w:top w:val="single" w:sz="4" w:space="0" w:color="auto"/>
              <w:left w:val="single" w:sz="4" w:space="0" w:color="auto"/>
              <w:bottom w:val="single" w:sz="4" w:space="0" w:color="auto"/>
              <w:right w:val="single" w:sz="4" w:space="0" w:color="auto"/>
            </w:tcBorders>
            <w:shd w:val="clear" w:color="auto" w:fill="auto"/>
            <w:hideMark/>
          </w:tcPr>
          <w:p w:rsidR="00502EB0" w:rsidRPr="005B6343" w:rsidRDefault="00502EB0" w:rsidP="00E122FB">
            <w:pPr>
              <w:pStyle w:val="TableText0"/>
              <w:keepNext/>
              <w:keepLines/>
              <w:jc w:val="center"/>
              <w:rPr>
                <w:rFonts w:ascii="Arial Narrow" w:hAnsi="Arial Narrow" w:cs="Arial"/>
                <w:b/>
                <w:sz w:val="20"/>
                <w:szCs w:val="20"/>
              </w:rPr>
            </w:pPr>
            <w:r w:rsidRPr="005B6343">
              <w:rPr>
                <w:rFonts w:ascii="Arial Narrow" w:hAnsi="Arial Narrow" w:cs="Arial"/>
                <w:b/>
                <w:sz w:val="20"/>
                <w:szCs w:val="20"/>
              </w:rPr>
              <w:t>Year 4</w:t>
            </w:r>
          </w:p>
        </w:tc>
        <w:tc>
          <w:tcPr>
            <w:tcW w:w="675" w:type="pct"/>
            <w:tcBorders>
              <w:top w:val="single" w:sz="4" w:space="0" w:color="auto"/>
              <w:left w:val="single" w:sz="4" w:space="0" w:color="auto"/>
              <w:bottom w:val="single" w:sz="4" w:space="0" w:color="auto"/>
              <w:right w:val="single" w:sz="4" w:space="0" w:color="auto"/>
            </w:tcBorders>
            <w:shd w:val="clear" w:color="auto" w:fill="auto"/>
            <w:hideMark/>
          </w:tcPr>
          <w:p w:rsidR="00502EB0" w:rsidRPr="005B6343" w:rsidRDefault="00502EB0" w:rsidP="00E122FB">
            <w:pPr>
              <w:pStyle w:val="TableText0"/>
              <w:keepNext/>
              <w:keepLines/>
              <w:jc w:val="center"/>
              <w:rPr>
                <w:rFonts w:ascii="Arial Narrow" w:hAnsi="Arial Narrow" w:cs="Arial"/>
                <w:b/>
                <w:sz w:val="20"/>
                <w:szCs w:val="20"/>
              </w:rPr>
            </w:pPr>
            <w:r w:rsidRPr="005B6343">
              <w:rPr>
                <w:rFonts w:ascii="Arial Narrow" w:hAnsi="Arial Narrow" w:cs="Arial"/>
                <w:b/>
                <w:sz w:val="20"/>
                <w:szCs w:val="20"/>
              </w:rPr>
              <w:t>Year 5</w:t>
            </w:r>
          </w:p>
        </w:tc>
        <w:tc>
          <w:tcPr>
            <w:tcW w:w="675" w:type="pct"/>
            <w:tcBorders>
              <w:top w:val="single" w:sz="4" w:space="0" w:color="auto"/>
              <w:left w:val="single" w:sz="4" w:space="0" w:color="auto"/>
              <w:bottom w:val="single" w:sz="4" w:space="0" w:color="auto"/>
              <w:right w:val="single" w:sz="4" w:space="0" w:color="auto"/>
            </w:tcBorders>
          </w:tcPr>
          <w:p w:rsidR="00502EB0" w:rsidRPr="005B6343" w:rsidRDefault="00502EB0" w:rsidP="00E122FB">
            <w:pPr>
              <w:pStyle w:val="TableText0"/>
              <w:keepNext/>
              <w:keepLines/>
              <w:jc w:val="center"/>
              <w:rPr>
                <w:rFonts w:ascii="Arial Narrow" w:hAnsi="Arial Narrow" w:cs="Arial"/>
                <w:b/>
                <w:sz w:val="20"/>
                <w:szCs w:val="20"/>
              </w:rPr>
            </w:pPr>
            <w:r w:rsidRPr="005B6343">
              <w:rPr>
                <w:rFonts w:ascii="Arial Narrow" w:hAnsi="Arial Narrow" w:cs="Arial"/>
                <w:b/>
                <w:sz w:val="20"/>
                <w:szCs w:val="20"/>
              </w:rPr>
              <w:t>Year 6</w:t>
            </w:r>
          </w:p>
        </w:tc>
      </w:tr>
      <w:tr w:rsidR="0072333D" w:rsidRPr="005B6343" w:rsidTr="0072333D">
        <w:tc>
          <w:tcPr>
            <w:tcW w:w="1091" w:type="pct"/>
            <w:tcBorders>
              <w:top w:val="single" w:sz="4" w:space="0" w:color="auto"/>
              <w:left w:val="single" w:sz="4" w:space="0" w:color="auto"/>
              <w:bottom w:val="single" w:sz="4" w:space="0" w:color="auto"/>
              <w:right w:val="single" w:sz="4" w:space="0" w:color="auto"/>
            </w:tcBorders>
            <w:shd w:val="clear" w:color="auto" w:fill="auto"/>
            <w:vAlign w:val="center"/>
          </w:tcPr>
          <w:p w:rsidR="0072333D" w:rsidRPr="005B6343" w:rsidRDefault="0072333D" w:rsidP="0072333D">
            <w:pPr>
              <w:pStyle w:val="TableText0"/>
              <w:keepNext/>
              <w:keepLines/>
              <w:rPr>
                <w:rFonts w:ascii="Arial Narrow" w:hAnsi="Arial Narrow" w:cs="Arial"/>
                <w:sz w:val="20"/>
                <w:szCs w:val="20"/>
              </w:rPr>
            </w:pPr>
            <w:r w:rsidRPr="005B6343">
              <w:rPr>
                <w:rFonts w:ascii="Arial Narrow" w:hAnsi="Arial Narrow" w:cs="Arial"/>
                <w:bCs/>
                <w:color w:val="000000"/>
                <w:sz w:val="20"/>
                <w:szCs w:val="20"/>
              </w:rPr>
              <w:t>Estimated script volume - PBS</w:t>
            </w:r>
          </w:p>
        </w:tc>
        <w:tc>
          <w:tcPr>
            <w:tcW w:w="604" w:type="pct"/>
            <w:tcBorders>
              <w:top w:val="single" w:sz="4" w:space="0" w:color="auto"/>
              <w:left w:val="single" w:sz="4" w:space="0" w:color="auto"/>
              <w:bottom w:val="single" w:sz="4" w:space="0" w:color="auto"/>
              <w:right w:val="single" w:sz="4" w:space="0" w:color="auto"/>
            </w:tcBorders>
            <w:shd w:val="clear" w:color="auto" w:fill="auto"/>
            <w:vAlign w:val="center"/>
          </w:tcPr>
          <w:p w:rsidR="0072333D" w:rsidRPr="000836E1" w:rsidRDefault="000836E1" w:rsidP="0072333D">
            <w:pPr>
              <w:pStyle w:val="TableText0"/>
              <w:keepNext/>
              <w:keepLines/>
              <w:jc w:val="center"/>
              <w:rPr>
                <w:rFonts w:ascii="Arial Narrow" w:hAnsi="Arial Narrow" w:cs="Arial"/>
                <w:bCs/>
                <w:color w:val="000000"/>
                <w:sz w:val="20"/>
                <w:szCs w:val="20"/>
                <w:highlight w:val="black"/>
              </w:rPr>
            </w:pPr>
            <w:r>
              <w:rPr>
                <w:rFonts w:ascii="Arial Narrow" w:hAnsi="Arial Narrow" w:cs="Arial"/>
                <w:noProof/>
                <w:color w:val="000000"/>
                <w:sz w:val="20"/>
                <w:szCs w:val="20"/>
                <w:highlight w:val="black"/>
              </w:rPr>
              <w:t>''''''''''''''</w:t>
            </w:r>
            <w:r w:rsidR="0072333D" w:rsidRPr="000836E1">
              <w:rPr>
                <w:rFonts w:ascii="Arial Narrow" w:hAnsi="Arial Narrow" w:cs="Arial"/>
                <w:color w:val="000000"/>
                <w:sz w:val="20"/>
                <w:szCs w:val="20"/>
                <w:highlight w:val="black"/>
              </w:rPr>
              <w:t xml:space="preserve"> </w:t>
            </w:r>
          </w:p>
        </w:tc>
        <w:tc>
          <w:tcPr>
            <w:tcW w:w="605" w:type="pct"/>
            <w:tcBorders>
              <w:top w:val="single" w:sz="4" w:space="0" w:color="auto"/>
              <w:left w:val="single" w:sz="4" w:space="0" w:color="auto"/>
              <w:bottom w:val="single" w:sz="4" w:space="0" w:color="auto"/>
              <w:right w:val="single" w:sz="4" w:space="0" w:color="auto"/>
            </w:tcBorders>
            <w:shd w:val="clear" w:color="auto" w:fill="auto"/>
            <w:vAlign w:val="center"/>
          </w:tcPr>
          <w:p w:rsidR="0072333D" w:rsidRPr="000836E1" w:rsidRDefault="000836E1" w:rsidP="0072333D">
            <w:pPr>
              <w:pStyle w:val="TableText0"/>
              <w:keepNext/>
              <w:keepLines/>
              <w:jc w:val="center"/>
              <w:rPr>
                <w:rFonts w:ascii="Arial Narrow" w:hAnsi="Arial Narrow" w:cs="Arial"/>
                <w:bCs/>
                <w:color w:val="000000"/>
                <w:sz w:val="20"/>
                <w:szCs w:val="20"/>
                <w:highlight w:val="black"/>
              </w:rPr>
            </w:pPr>
            <w:r>
              <w:rPr>
                <w:rFonts w:ascii="Arial Narrow" w:hAnsi="Arial Narrow" w:cs="Arial"/>
                <w:noProof/>
                <w:color w:val="000000"/>
                <w:sz w:val="20"/>
                <w:szCs w:val="20"/>
                <w:highlight w:val="black"/>
              </w:rPr>
              <w:t>'''''''''''''</w:t>
            </w:r>
            <w:r w:rsidR="0072333D" w:rsidRPr="000836E1">
              <w:rPr>
                <w:rFonts w:ascii="Arial Narrow" w:hAnsi="Arial Narrow" w:cs="Arial"/>
                <w:color w:val="000000"/>
                <w:sz w:val="20"/>
                <w:szCs w:val="20"/>
                <w:highlight w:val="black"/>
              </w:rPr>
              <w:t xml:space="preserve"> </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72333D" w:rsidRPr="000836E1" w:rsidRDefault="000836E1" w:rsidP="0072333D">
            <w:pPr>
              <w:pStyle w:val="TableText0"/>
              <w:keepNext/>
              <w:keepLines/>
              <w:jc w:val="center"/>
              <w:rPr>
                <w:rFonts w:ascii="Arial Narrow" w:hAnsi="Arial Narrow" w:cs="Arial"/>
                <w:bCs/>
                <w:color w:val="000000"/>
                <w:sz w:val="20"/>
                <w:szCs w:val="20"/>
                <w:highlight w:val="black"/>
              </w:rPr>
            </w:pPr>
            <w:r>
              <w:rPr>
                <w:rFonts w:ascii="Arial Narrow" w:hAnsi="Arial Narrow" w:cs="Arial"/>
                <w:noProof/>
                <w:color w:val="000000"/>
                <w:sz w:val="20"/>
                <w:szCs w:val="20"/>
                <w:highlight w:val="black"/>
              </w:rPr>
              <w:t>'''''''''''''</w:t>
            </w:r>
            <w:r w:rsidR="0072333D" w:rsidRPr="000836E1">
              <w:rPr>
                <w:rFonts w:ascii="Arial Narrow" w:hAnsi="Arial Narrow" w:cs="Arial"/>
                <w:color w:val="000000"/>
                <w:sz w:val="20"/>
                <w:szCs w:val="20"/>
                <w:highlight w:val="black"/>
              </w:rPr>
              <w:t xml:space="preserve"> </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72333D" w:rsidRPr="000836E1" w:rsidRDefault="000836E1" w:rsidP="0072333D">
            <w:pPr>
              <w:pStyle w:val="TableText0"/>
              <w:keepNext/>
              <w:keepLines/>
              <w:jc w:val="center"/>
              <w:rPr>
                <w:rFonts w:ascii="Arial Narrow" w:hAnsi="Arial Narrow" w:cs="Arial"/>
                <w:bCs/>
                <w:color w:val="000000"/>
                <w:sz w:val="20"/>
                <w:szCs w:val="20"/>
                <w:highlight w:val="black"/>
              </w:rPr>
            </w:pPr>
            <w:r>
              <w:rPr>
                <w:rFonts w:ascii="Arial Narrow" w:hAnsi="Arial Narrow" w:cs="Arial"/>
                <w:noProof/>
                <w:color w:val="000000"/>
                <w:sz w:val="20"/>
                <w:szCs w:val="20"/>
                <w:highlight w:val="black"/>
              </w:rPr>
              <w:t>'''''''''''''''''</w:t>
            </w:r>
            <w:r w:rsidR="0072333D" w:rsidRPr="000836E1">
              <w:rPr>
                <w:rFonts w:ascii="Arial Narrow" w:hAnsi="Arial Narrow" w:cs="Arial"/>
                <w:color w:val="000000"/>
                <w:sz w:val="20"/>
                <w:szCs w:val="20"/>
                <w:highlight w:val="black"/>
              </w:rPr>
              <w:t xml:space="preserve"> </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72333D" w:rsidRPr="000836E1" w:rsidRDefault="000836E1" w:rsidP="0072333D">
            <w:pPr>
              <w:pStyle w:val="TableText0"/>
              <w:keepNext/>
              <w:keepLines/>
              <w:jc w:val="center"/>
              <w:rPr>
                <w:rFonts w:ascii="Arial Narrow" w:hAnsi="Arial Narrow" w:cs="Arial"/>
                <w:bCs/>
                <w:color w:val="000000"/>
                <w:sz w:val="20"/>
                <w:szCs w:val="20"/>
                <w:highlight w:val="black"/>
              </w:rPr>
            </w:pPr>
            <w:r>
              <w:rPr>
                <w:rFonts w:ascii="Arial Narrow" w:hAnsi="Arial Narrow" w:cs="Arial"/>
                <w:noProof/>
                <w:color w:val="000000"/>
                <w:sz w:val="20"/>
                <w:szCs w:val="20"/>
                <w:highlight w:val="black"/>
              </w:rPr>
              <w:t>'''''''''''''''''</w:t>
            </w:r>
            <w:r w:rsidR="0072333D" w:rsidRPr="000836E1">
              <w:rPr>
                <w:rFonts w:ascii="Arial Narrow" w:hAnsi="Arial Narrow" w:cs="Arial"/>
                <w:color w:val="000000"/>
                <w:sz w:val="20"/>
                <w:szCs w:val="20"/>
                <w:highlight w:val="black"/>
              </w:rPr>
              <w:t xml:space="preserve"> </w:t>
            </w:r>
          </w:p>
        </w:tc>
        <w:tc>
          <w:tcPr>
            <w:tcW w:w="675" w:type="pct"/>
            <w:tcBorders>
              <w:top w:val="single" w:sz="4" w:space="0" w:color="auto"/>
              <w:left w:val="single" w:sz="4" w:space="0" w:color="auto"/>
              <w:bottom w:val="single" w:sz="4" w:space="0" w:color="auto"/>
              <w:right w:val="single" w:sz="4" w:space="0" w:color="auto"/>
            </w:tcBorders>
            <w:vAlign w:val="center"/>
          </w:tcPr>
          <w:p w:rsidR="0072333D" w:rsidRPr="000836E1" w:rsidRDefault="000836E1" w:rsidP="0072333D">
            <w:pPr>
              <w:pStyle w:val="TableText0"/>
              <w:keepNext/>
              <w:keepLines/>
              <w:jc w:val="center"/>
              <w:rPr>
                <w:rFonts w:ascii="Arial Narrow" w:hAnsi="Arial Narrow" w:cs="Arial"/>
                <w:bCs/>
                <w:color w:val="000000"/>
                <w:sz w:val="20"/>
                <w:szCs w:val="20"/>
                <w:highlight w:val="black"/>
              </w:rPr>
            </w:pPr>
            <w:r>
              <w:rPr>
                <w:rFonts w:ascii="Arial Narrow" w:hAnsi="Arial Narrow" w:cs="Arial"/>
                <w:noProof/>
                <w:color w:val="000000"/>
                <w:sz w:val="20"/>
                <w:szCs w:val="20"/>
                <w:highlight w:val="black"/>
              </w:rPr>
              <w:t>'''''''''''''''''</w:t>
            </w:r>
            <w:r w:rsidR="0072333D" w:rsidRPr="000836E1">
              <w:rPr>
                <w:rFonts w:ascii="Arial Narrow" w:hAnsi="Arial Narrow" w:cs="Arial"/>
                <w:color w:val="000000"/>
                <w:sz w:val="20"/>
                <w:szCs w:val="20"/>
                <w:highlight w:val="black"/>
              </w:rPr>
              <w:t xml:space="preserve"> </w:t>
            </w:r>
          </w:p>
        </w:tc>
      </w:tr>
      <w:tr w:rsidR="0072333D" w:rsidRPr="005B6343" w:rsidTr="00782A62">
        <w:tc>
          <w:tcPr>
            <w:tcW w:w="1091" w:type="pct"/>
            <w:tcBorders>
              <w:top w:val="single" w:sz="4" w:space="0" w:color="auto"/>
              <w:left w:val="single" w:sz="4" w:space="0" w:color="auto"/>
              <w:bottom w:val="single" w:sz="4" w:space="0" w:color="auto"/>
              <w:right w:val="single" w:sz="4" w:space="0" w:color="auto"/>
            </w:tcBorders>
            <w:shd w:val="clear" w:color="auto" w:fill="auto"/>
            <w:vAlign w:val="center"/>
          </w:tcPr>
          <w:p w:rsidR="0072333D" w:rsidRPr="005B6343" w:rsidRDefault="0072333D" w:rsidP="0072333D">
            <w:pPr>
              <w:pStyle w:val="TableText0"/>
              <w:keepNext/>
              <w:keepLines/>
              <w:rPr>
                <w:rFonts w:ascii="Arial Narrow" w:hAnsi="Arial Narrow" w:cs="Arial"/>
                <w:sz w:val="20"/>
                <w:szCs w:val="20"/>
              </w:rPr>
            </w:pPr>
            <w:r w:rsidRPr="005B6343">
              <w:rPr>
                <w:rFonts w:ascii="Arial Narrow" w:hAnsi="Arial Narrow" w:cs="Arial"/>
                <w:bCs/>
                <w:color w:val="000000"/>
                <w:sz w:val="20"/>
                <w:szCs w:val="20"/>
              </w:rPr>
              <w:t>Estimated script volume - RPBS</w:t>
            </w:r>
          </w:p>
        </w:tc>
        <w:tc>
          <w:tcPr>
            <w:tcW w:w="604" w:type="pct"/>
            <w:tcBorders>
              <w:top w:val="single" w:sz="4" w:space="0" w:color="auto"/>
              <w:left w:val="single" w:sz="4" w:space="0" w:color="auto"/>
              <w:bottom w:val="single" w:sz="4" w:space="0" w:color="auto"/>
              <w:right w:val="single" w:sz="4" w:space="0" w:color="auto"/>
            </w:tcBorders>
            <w:shd w:val="clear" w:color="auto" w:fill="auto"/>
            <w:vAlign w:val="center"/>
          </w:tcPr>
          <w:p w:rsidR="0072333D" w:rsidRPr="000836E1" w:rsidRDefault="000836E1" w:rsidP="0072333D">
            <w:pPr>
              <w:pStyle w:val="TableText0"/>
              <w:keepNext/>
              <w:keepLines/>
              <w:jc w:val="center"/>
              <w:rPr>
                <w:rFonts w:ascii="Arial Narrow" w:hAnsi="Arial Narrow" w:cs="Arial"/>
                <w:bCs/>
                <w:color w:val="000000"/>
                <w:sz w:val="20"/>
                <w:szCs w:val="20"/>
                <w:highlight w:val="black"/>
              </w:rPr>
            </w:pPr>
            <w:r>
              <w:rPr>
                <w:rFonts w:ascii="Arial Narrow" w:hAnsi="Arial Narrow" w:cs="Arial"/>
                <w:noProof/>
                <w:color w:val="000000"/>
                <w:sz w:val="20"/>
                <w:szCs w:val="20"/>
                <w:highlight w:val="black"/>
              </w:rPr>
              <w:t>''''''</w:t>
            </w:r>
            <w:r w:rsidR="0072333D" w:rsidRPr="000836E1">
              <w:rPr>
                <w:rFonts w:ascii="Arial Narrow" w:hAnsi="Arial Narrow" w:cs="Arial"/>
                <w:color w:val="000000"/>
                <w:sz w:val="20"/>
                <w:szCs w:val="20"/>
                <w:highlight w:val="black"/>
              </w:rPr>
              <w:t xml:space="preserve"> </w:t>
            </w:r>
          </w:p>
        </w:tc>
        <w:tc>
          <w:tcPr>
            <w:tcW w:w="605" w:type="pct"/>
            <w:tcBorders>
              <w:top w:val="single" w:sz="4" w:space="0" w:color="auto"/>
              <w:left w:val="single" w:sz="4" w:space="0" w:color="auto"/>
              <w:bottom w:val="single" w:sz="4" w:space="0" w:color="auto"/>
              <w:right w:val="single" w:sz="4" w:space="0" w:color="auto"/>
            </w:tcBorders>
            <w:shd w:val="clear" w:color="auto" w:fill="auto"/>
            <w:vAlign w:val="center"/>
          </w:tcPr>
          <w:p w:rsidR="0072333D" w:rsidRPr="000836E1" w:rsidRDefault="000836E1" w:rsidP="0072333D">
            <w:pPr>
              <w:pStyle w:val="TableText0"/>
              <w:keepNext/>
              <w:keepLines/>
              <w:jc w:val="center"/>
              <w:rPr>
                <w:rFonts w:ascii="Arial Narrow" w:hAnsi="Arial Narrow" w:cs="Arial"/>
                <w:bCs/>
                <w:color w:val="000000"/>
                <w:sz w:val="20"/>
                <w:szCs w:val="20"/>
                <w:highlight w:val="black"/>
              </w:rPr>
            </w:pPr>
            <w:r>
              <w:rPr>
                <w:rFonts w:ascii="Arial Narrow" w:hAnsi="Arial Narrow" w:cs="Arial"/>
                <w:noProof/>
                <w:color w:val="000000"/>
                <w:sz w:val="20"/>
                <w:szCs w:val="20"/>
                <w:highlight w:val="black"/>
              </w:rPr>
              <w:t>''''''</w:t>
            </w:r>
            <w:r w:rsidR="0072333D" w:rsidRPr="000836E1">
              <w:rPr>
                <w:rFonts w:ascii="Arial Narrow" w:hAnsi="Arial Narrow" w:cs="Arial"/>
                <w:color w:val="000000"/>
                <w:sz w:val="20"/>
                <w:szCs w:val="20"/>
                <w:highlight w:val="black"/>
              </w:rPr>
              <w:t xml:space="preserve"> </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72333D" w:rsidRPr="000836E1" w:rsidRDefault="000836E1" w:rsidP="0072333D">
            <w:pPr>
              <w:pStyle w:val="TableText0"/>
              <w:keepNext/>
              <w:keepLines/>
              <w:jc w:val="center"/>
              <w:rPr>
                <w:rFonts w:ascii="Arial Narrow" w:hAnsi="Arial Narrow" w:cs="Arial"/>
                <w:bCs/>
                <w:color w:val="000000"/>
                <w:sz w:val="20"/>
                <w:szCs w:val="20"/>
                <w:highlight w:val="black"/>
              </w:rPr>
            </w:pPr>
            <w:r>
              <w:rPr>
                <w:rFonts w:ascii="Arial Narrow" w:hAnsi="Arial Narrow" w:cs="Arial"/>
                <w:noProof/>
                <w:color w:val="000000"/>
                <w:sz w:val="20"/>
                <w:szCs w:val="20"/>
                <w:highlight w:val="black"/>
              </w:rPr>
              <w:t>'''''</w:t>
            </w:r>
            <w:r w:rsidR="0072333D" w:rsidRPr="000836E1">
              <w:rPr>
                <w:rFonts w:ascii="Arial Narrow" w:hAnsi="Arial Narrow" w:cs="Arial"/>
                <w:color w:val="000000"/>
                <w:sz w:val="20"/>
                <w:szCs w:val="20"/>
                <w:highlight w:val="black"/>
              </w:rPr>
              <w:t xml:space="preserve"> </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72333D" w:rsidRPr="000836E1" w:rsidRDefault="000836E1" w:rsidP="0072333D">
            <w:pPr>
              <w:pStyle w:val="TableText0"/>
              <w:keepNext/>
              <w:keepLines/>
              <w:jc w:val="center"/>
              <w:rPr>
                <w:rFonts w:ascii="Arial Narrow" w:hAnsi="Arial Narrow" w:cs="Arial"/>
                <w:bCs/>
                <w:color w:val="000000"/>
                <w:sz w:val="20"/>
                <w:szCs w:val="20"/>
                <w:highlight w:val="black"/>
              </w:rPr>
            </w:pPr>
            <w:r>
              <w:rPr>
                <w:rFonts w:ascii="Arial Narrow" w:hAnsi="Arial Narrow" w:cs="Arial"/>
                <w:noProof/>
                <w:color w:val="000000"/>
                <w:sz w:val="20"/>
                <w:szCs w:val="20"/>
                <w:highlight w:val="black"/>
              </w:rPr>
              <w:t>''''''</w:t>
            </w:r>
            <w:r w:rsidR="0072333D" w:rsidRPr="000836E1">
              <w:rPr>
                <w:rFonts w:ascii="Arial Narrow" w:hAnsi="Arial Narrow" w:cs="Arial"/>
                <w:color w:val="000000"/>
                <w:sz w:val="20"/>
                <w:szCs w:val="20"/>
                <w:highlight w:val="black"/>
              </w:rPr>
              <w:t xml:space="preserve"> </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72333D" w:rsidRPr="000836E1" w:rsidRDefault="000836E1" w:rsidP="0072333D">
            <w:pPr>
              <w:pStyle w:val="TableText0"/>
              <w:keepNext/>
              <w:keepLines/>
              <w:jc w:val="center"/>
              <w:rPr>
                <w:rFonts w:ascii="Arial Narrow" w:hAnsi="Arial Narrow" w:cs="Arial"/>
                <w:bCs/>
                <w:color w:val="000000"/>
                <w:sz w:val="20"/>
                <w:szCs w:val="20"/>
                <w:highlight w:val="black"/>
              </w:rPr>
            </w:pPr>
            <w:r>
              <w:rPr>
                <w:rFonts w:ascii="Arial Narrow" w:hAnsi="Arial Narrow" w:cs="Arial"/>
                <w:noProof/>
                <w:color w:val="000000"/>
                <w:sz w:val="20"/>
                <w:szCs w:val="20"/>
                <w:highlight w:val="black"/>
              </w:rPr>
              <w:t>'''''</w:t>
            </w:r>
            <w:r w:rsidR="0072333D" w:rsidRPr="000836E1">
              <w:rPr>
                <w:rFonts w:ascii="Arial Narrow" w:hAnsi="Arial Narrow" w:cs="Arial"/>
                <w:color w:val="000000"/>
                <w:sz w:val="20"/>
                <w:szCs w:val="20"/>
                <w:highlight w:val="black"/>
              </w:rPr>
              <w:t xml:space="preserve"> </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72333D" w:rsidRPr="000836E1" w:rsidRDefault="000836E1" w:rsidP="0072333D">
            <w:pPr>
              <w:pStyle w:val="TableText0"/>
              <w:keepNext/>
              <w:keepLines/>
              <w:jc w:val="center"/>
              <w:rPr>
                <w:rFonts w:ascii="Arial Narrow" w:hAnsi="Arial Narrow" w:cs="Arial"/>
                <w:bCs/>
                <w:color w:val="000000"/>
                <w:sz w:val="20"/>
                <w:szCs w:val="20"/>
                <w:highlight w:val="black"/>
              </w:rPr>
            </w:pPr>
            <w:r>
              <w:rPr>
                <w:rFonts w:ascii="Arial Narrow" w:hAnsi="Arial Narrow" w:cs="Arial"/>
                <w:noProof/>
                <w:color w:val="000000"/>
                <w:sz w:val="20"/>
                <w:szCs w:val="20"/>
                <w:highlight w:val="black"/>
              </w:rPr>
              <w:t>'''''''</w:t>
            </w:r>
            <w:r w:rsidR="0072333D" w:rsidRPr="000836E1">
              <w:rPr>
                <w:rFonts w:ascii="Arial Narrow" w:hAnsi="Arial Narrow" w:cs="Arial"/>
                <w:color w:val="000000"/>
                <w:sz w:val="20"/>
                <w:szCs w:val="20"/>
                <w:highlight w:val="black"/>
              </w:rPr>
              <w:t xml:space="preserve"> </w:t>
            </w:r>
          </w:p>
        </w:tc>
      </w:tr>
      <w:tr w:rsidR="0072333D" w:rsidRPr="005B6343" w:rsidTr="00782A62">
        <w:tc>
          <w:tcPr>
            <w:tcW w:w="1091" w:type="pct"/>
            <w:tcBorders>
              <w:top w:val="single" w:sz="4" w:space="0" w:color="auto"/>
              <w:left w:val="single" w:sz="4" w:space="0" w:color="auto"/>
              <w:bottom w:val="single" w:sz="4" w:space="0" w:color="auto"/>
              <w:right w:val="single" w:sz="4" w:space="0" w:color="auto"/>
            </w:tcBorders>
            <w:shd w:val="clear" w:color="auto" w:fill="auto"/>
            <w:vAlign w:val="center"/>
          </w:tcPr>
          <w:p w:rsidR="0072333D" w:rsidRPr="005B6343" w:rsidRDefault="0072333D" w:rsidP="0072333D">
            <w:pPr>
              <w:pStyle w:val="TableText0"/>
              <w:keepNext/>
              <w:keepLines/>
              <w:rPr>
                <w:rFonts w:ascii="Arial Narrow" w:hAnsi="Arial Narrow" w:cs="Arial"/>
                <w:sz w:val="20"/>
                <w:szCs w:val="20"/>
              </w:rPr>
            </w:pPr>
            <w:r w:rsidRPr="005B6343">
              <w:rPr>
                <w:rFonts w:ascii="Arial Narrow" w:hAnsi="Arial Narrow" w:cs="Arial"/>
                <w:b/>
                <w:bCs/>
                <w:color w:val="000000"/>
                <w:sz w:val="20"/>
                <w:szCs w:val="20"/>
              </w:rPr>
              <w:t>Estimated volume of proposed medicine</w:t>
            </w:r>
          </w:p>
        </w:tc>
        <w:tc>
          <w:tcPr>
            <w:tcW w:w="604" w:type="pct"/>
            <w:tcBorders>
              <w:top w:val="single" w:sz="4" w:space="0" w:color="auto"/>
              <w:left w:val="single" w:sz="4" w:space="0" w:color="auto"/>
              <w:bottom w:val="single" w:sz="4" w:space="0" w:color="auto"/>
              <w:right w:val="single" w:sz="4" w:space="0" w:color="auto"/>
            </w:tcBorders>
            <w:shd w:val="clear" w:color="auto" w:fill="auto"/>
            <w:vAlign w:val="center"/>
          </w:tcPr>
          <w:p w:rsidR="0072333D" w:rsidRPr="000836E1" w:rsidRDefault="000836E1" w:rsidP="0072333D">
            <w:pPr>
              <w:pStyle w:val="TableText0"/>
              <w:keepNext/>
              <w:keepLines/>
              <w:jc w:val="center"/>
              <w:rPr>
                <w:rFonts w:ascii="Arial Narrow" w:hAnsi="Arial Narrow" w:cs="Arial"/>
                <w:bCs/>
                <w:color w:val="000000"/>
                <w:sz w:val="20"/>
                <w:szCs w:val="20"/>
                <w:highlight w:val="black"/>
              </w:rPr>
            </w:pPr>
            <w:r>
              <w:rPr>
                <w:rFonts w:ascii="Arial Narrow" w:hAnsi="Arial Narrow" w:cs="Arial"/>
                <w:noProof/>
                <w:color w:val="000000"/>
                <w:sz w:val="20"/>
                <w:szCs w:val="20"/>
                <w:highlight w:val="black"/>
              </w:rPr>
              <w:t>'''''''''''''''</w:t>
            </w:r>
            <w:r w:rsidR="0072333D" w:rsidRPr="000836E1">
              <w:rPr>
                <w:rFonts w:ascii="Arial Narrow" w:hAnsi="Arial Narrow" w:cs="Arial"/>
                <w:color w:val="000000"/>
                <w:sz w:val="20"/>
                <w:szCs w:val="20"/>
                <w:highlight w:val="black"/>
              </w:rPr>
              <w:t xml:space="preserve"> </w:t>
            </w:r>
          </w:p>
        </w:tc>
        <w:tc>
          <w:tcPr>
            <w:tcW w:w="605" w:type="pct"/>
            <w:tcBorders>
              <w:top w:val="single" w:sz="4" w:space="0" w:color="auto"/>
              <w:left w:val="single" w:sz="4" w:space="0" w:color="auto"/>
              <w:bottom w:val="single" w:sz="4" w:space="0" w:color="auto"/>
              <w:right w:val="single" w:sz="4" w:space="0" w:color="auto"/>
            </w:tcBorders>
            <w:shd w:val="clear" w:color="auto" w:fill="auto"/>
            <w:vAlign w:val="center"/>
          </w:tcPr>
          <w:p w:rsidR="0072333D" w:rsidRPr="000836E1" w:rsidRDefault="000836E1" w:rsidP="0072333D">
            <w:pPr>
              <w:pStyle w:val="TableText0"/>
              <w:keepNext/>
              <w:keepLines/>
              <w:jc w:val="center"/>
              <w:rPr>
                <w:rFonts w:ascii="Arial Narrow" w:hAnsi="Arial Narrow" w:cs="Arial"/>
                <w:bCs/>
                <w:color w:val="000000"/>
                <w:sz w:val="20"/>
                <w:szCs w:val="20"/>
                <w:highlight w:val="black"/>
              </w:rPr>
            </w:pPr>
            <w:r>
              <w:rPr>
                <w:rFonts w:ascii="Arial Narrow" w:hAnsi="Arial Narrow" w:cs="Arial"/>
                <w:noProof/>
                <w:color w:val="000000"/>
                <w:sz w:val="20"/>
                <w:szCs w:val="20"/>
                <w:highlight w:val="black"/>
              </w:rPr>
              <w:t>''''''''''''''</w:t>
            </w:r>
            <w:r w:rsidR="0072333D" w:rsidRPr="000836E1">
              <w:rPr>
                <w:rFonts w:ascii="Arial Narrow" w:hAnsi="Arial Narrow" w:cs="Arial"/>
                <w:color w:val="000000"/>
                <w:sz w:val="20"/>
                <w:szCs w:val="20"/>
                <w:highlight w:val="black"/>
              </w:rPr>
              <w:t xml:space="preserve"> </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72333D" w:rsidRPr="000836E1" w:rsidRDefault="000836E1" w:rsidP="0072333D">
            <w:pPr>
              <w:pStyle w:val="TableText0"/>
              <w:keepNext/>
              <w:keepLines/>
              <w:jc w:val="center"/>
              <w:rPr>
                <w:rFonts w:ascii="Arial Narrow" w:hAnsi="Arial Narrow" w:cs="Arial"/>
                <w:bCs/>
                <w:color w:val="000000"/>
                <w:sz w:val="20"/>
                <w:szCs w:val="20"/>
                <w:highlight w:val="black"/>
              </w:rPr>
            </w:pPr>
            <w:r>
              <w:rPr>
                <w:rFonts w:ascii="Arial Narrow" w:hAnsi="Arial Narrow" w:cs="Arial"/>
                <w:noProof/>
                <w:color w:val="000000"/>
                <w:sz w:val="20"/>
                <w:szCs w:val="20"/>
                <w:highlight w:val="black"/>
              </w:rPr>
              <w:t>''''''''''''</w:t>
            </w:r>
            <w:r w:rsidR="0072333D" w:rsidRPr="000836E1">
              <w:rPr>
                <w:rFonts w:ascii="Arial Narrow" w:hAnsi="Arial Narrow" w:cs="Arial"/>
                <w:color w:val="000000"/>
                <w:sz w:val="20"/>
                <w:szCs w:val="20"/>
                <w:highlight w:val="black"/>
              </w:rPr>
              <w:t xml:space="preserve"> </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72333D" w:rsidRPr="000836E1" w:rsidRDefault="000836E1" w:rsidP="0072333D">
            <w:pPr>
              <w:pStyle w:val="TableText0"/>
              <w:keepNext/>
              <w:keepLines/>
              <w:jc w:val="center"/>
              <w:rPr>
                <w:rFonts w:ascii="Arial Narrow" w:hAnsi="Arial Narrow" w:cs="Arial"/>
                <w:bCs/>
                <w:color w:val="000000"/>
                <w:sz w:val="20"/>
                <w:szCs w:val="20"/>
                <w:highlight w:val="black"/>
              </w:rPr>
            </w:pPr>
            <w:r>
              <w:rPr>
                <w:rFonts w:ascii="Arial Narrow" w:hAnsi="Arial Narrow" w:cs="Arial"/>
                <w:noProof/>
                <w:color w:val="000000"/>
                <w:sz w:val="20"/>
                <w:szCs w:val="20"/>
                <w:highlight w:val="black"/>
              </w:rPr>
              <w:t>'''''''''''''''</w:t>
            </w:r>
            <w:r w:rsidR="0072333D" w:rsidRPr="000836E1">
              <w:rPr>
                <w:rFonts w:ascii="Arial Narrow" w:hAnsi="Arial Narrow" w:cs="Arial"/>
                <w:color w:val="000000"/>
                <w:sz w:val="20"/>
                <w:szCs w:val="20"/>
                <w:highlight w:val="black"/>
              </w:rPr>
              <w:t xml:space="preserve"> </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72333D" w:rsidRPr="000836E1" w:rsidRDefault="000836E1" w:rsidP="0072333D">
            <w:pPr>
              <w:pStyle w:val="TableText0"/>
              <w:keepNext/>
              <w:keepLines/>
              <w:jc w:val="center"/>
              <w:rPr>
                <w:rFonts w:ascii="Arial Narrow" w:hAnsi="Arial Narrow" w:cs="Arial"/>
                <w:bCs/>
                <w:color w:val="000000"/>
                <w:sz w:val="20"/>
                <w:szCs w:val="20"/>
                <w:highlight w:val="black"/>
              </w:rPr>
            </w:pPr>
            <w:r>
              <w:rPr>
                <w:rFonts w:ascii="Arial Narrow" w:hAnsi="Arial Narrow" w:cs="Arial"/>
                <w:noProof/>
                <w:color w:val="000000"/>
                <w:sz w:val="20"/>
                <w:szCs w:val="20"/>
                <w:highlight w:val="black"/>
              </w:rPr>
              <w:t>''''''''''''''''''</w:t>
            </w:r>
            <w:r w:rsidR="0072333D" w:rsidRPr="000836E1">
              <w:rPr>
                <w:rFonts w:ascii="Arial Narrow" w:hAnsi="Arial Narrow" w:cs="Arial"/>
                <w:color w:val="000000"/>
                <w:sz w:val="20"/>
                <w:szCs w:val="20"/>
                <w:highlight w:val="black"/>
              </w:rPr>
              <w:t xml:space="preserve"> </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72333D" w:rsidRPr="000836E1" w:rsidRDefault="000836E1" w:rsidP="0072333D">
            <w:pPr>
              <w:pStyle w:val="TableText0"/>
              <w:keepNext/>
              <w:keepLines/>
              <w:jc w:val="center"/>
              <w:rPr>
                <w:rFonts w:ascii="Arial Narrow" w:hAnsi="Arial Narrow" w:cs="Arial"/>
                <w:bCs/>
                <w:color w:val="000000"/>
                <w:sz w:val="20"/>
                <w:szCs w:val="20"/>
                <w:highlight w:val="black"/>
              </w:rPr>
            </w:pPr>
            <w:r>
              <w:rPr>
                <w:rFonts w:ascii="Arial Narrow" w:hAnsi="Arial Narrow" w:cs="Arial"/>
                <w:noProof/>
                <w:color w:val="000000"/>
                <w:sz w:val="20"/>
                <w:szCs w:val="20"/>
                <w:highlight w:val="black"/>
              </w:rPr>
              <w:t>'''''''''''''''''</w:t>
            </w:r>
            <w:r w:rsidR="0072333D" w:rsidRPr="000836E1">
              <w:rPr>
                <w:rFonts w:ascii="Arial Narrow" w:hAnsi="Arial Narrow" w:cs="Arial"/>
                <w:color w:val="000000"/>
                <w:sz w:val="20"/>
                <w:szCs w:val="20"/>
                <w:highlight w:val="black"/>
              </w:rPr>
              <w:t xml:space="preserve"> </w:t>
            </w:r>
          </w:p>
        </w:tc>
      </w:tr>
      <w:tr w:rsidR="0072333D" w:rsidRPr="005B6343" w:rsidTr="00782A62">
        <w:tc>
          <w:tcPr>
            <w:tcW w:w="1091" w:type="pct"/>
            <w:tcBorders>
              <w:top w:val="single" w:sz="4" w:space="0" w:color="auto"/>
              <w:left w:val="single" w:sz="4" w:space="0" w:color="auto"/>
              <w:bottom w:val="single" w:sz="4" w:space="0" w:color="auto"/>
              <w:right w:val="single" w:sz="4" w:space="0" w:color="auto"/>
            </w:tcBorders>
            <w:shd w:val="clear" w:color="auto" w:fill="auto"/>
            <w:vAlign w:val="center"/>
          </w:tcPr>
          <w:p w:rsidR="0072333D" w:rsidRPr="005B6343" w:rsidRDefault="0072333D" w:rsidP="0072333D">
            <w:pPr>
              <w:pStyle w:val="TableText0"/>
              <w:keepNext/>
              <w:keepLines/>
              <w:rPr>
                <w:rFonts w:ascii="Arial Narrow" w:hAnsi="Arial Narrow" w:cs="Arial"/>
                <w:sz w:val="20"/>
                <w:szCs w:val="20"/>
              </w:rPr>
            </w:pPr>
            <w:r w:rsidRPr="005B6343">
              <w:rPr>
                <w:rFonts w:ascii="Arial Narrow" w:hAnsi="Arial Narrow" w:cs="Arial"/>
                <w:bCs/>
                <w:color w:val="000000"/>
                <w:sz w:val="20"/>
                <w:szCs w:val="20"/>
              </w:rPr>
              <w:t>Cost to PBS</w:t>
            </w:r>
          </w:p>
        </w:tc>
        <w:tc>
          <w:tcPr>
            <w:tcW w:w="604" w:type="pct"/>
            <w:tcBorders>
              <w:top w:val="single" w:sz="4" w:space="0" w:color="auto"/>
              <w:left w:val="single" w:sz="4" w:space="0" w:color="auto"/>
              <w:bottom w:val="single" w:sz="4" w:space="0" w:color="auto"/>
              <w:right w:val="single" w:sz="4" w:space="0" w:color="auto"/>
            </w:tcBorders>
            <w:shd w:val="clear" w:color="auto" w:fill="auto"/>
            <w:vAlign w:val="center"/>
          </w:tcPr>
          <w:p w:rsidR="0072333D" w:rsidRPr="005B6343" w:rsidRDefault="0072333D" w:rsidP="0072333D">
            <w:pPr>
              <w:pStyle w:val="TableText0"/>
              <w:keepNext/>
              <w:keepLines/>
              <w:jc w:val="center"/>
              <w:rPr>
                <w:rFonts w:ascii="Arial Narrow" w:hAnsi="Arial Narrow" w:cs="Arial"/>
                <w:bCs/>
                <w:color w:val="000000"/>
                <w:sz w:val="20"/>
                <w:szCs w:val="20"/>
              </w:rPr>
            </w:pPr>
            <w:r w:rsidRPr="005B6343">
              <w:rPr>
                <w:rFonts w:ascii="Arial Narrow" w:hAnsi="Arial Narrow" w:cs="Arial"/>
                <w:color w:val="000000"/>
                <w:sz w:val="20"/>
                <w:szCs w:val="20"/>
              </w:rPr>
              <w:t>$</w:t>
            </w:r>
            <w:r w:rsidR="000836E1">
              <w:rPr>
                <w:rFonts w:ascii="Arial Narrow" w:hAnsi="Arial Narrow" w:cs="Arial"/>
                <w:noProof/>
                <w:color w:val="000000"/>
                <w:sz w:val="20"/>
                <w:szCs w:val="20"/>
                <w:highlight w:val="black"/>
              </w:rPr>
              <w:t>''''''''''''''''''</w:t>
            </w:r>
          </w:p>
        </w:tc>
        <w:tc>
          <w:tcPr>
            <w:tcW w:w="605" w:type="pct"/>
            <w:tcBorders>
              <w:top w:val="single" w:sz="4" w:space="0" w:color="auto"/>
              <w:left w:val="single" w:sz="4" w:space="0" w:color="auto"/>
              <w:bottom w:val="single" w:sz="4" w:space="0" w:color="auto"/>
              <w:right w:val="single" w:sz="4" w:space="0" w:color="auto"/>
            </w:tcBorders>
            <w:shd w:val="clear" w:color="auto" w:fill="auto"/>
            <w:vAlign w:val="center"/>
          </w:tcPr>
          <w:p w:rsidR="0072333D" w:rsidRPr="005B6343" w:rsidRDefault="0072333D" w:rsidP="0072333D">
            <w:pPr>
              <w:pStyle w:val="TableText0"/>
              <w:keepNext/>
              <w:keepLines/>
              <w:jc w:val="center"/>
              <w:rPr>
                <w:rFonts w:ascii="Arial Narrow" w:hAnsi="Arial Narrow" w:cs="Arial"/>
                <w:bCs/>
                <w:color w:val="000000"/>
                <w:sz w:val="20"/>
                <w:szCs w:val="20"/>
              </w:rPr>
            </w:pPr>
            <w:r w:rsidRPr="005B6343">
              <w:rPr>
                <w:rFonts w:ascii="Arial Narrow" w:hAnsi="Arial Narrow" w:cs="Arial"/>
                <w:color w:val="000000"/>
                <w:sz w:val="20"/>
                <w:szCs w:val="20"/>
              </w:rPr>
              <w:t>$</w:t>
            </w:r>
            <w:r w:rsidR="000836E1">
              <w:rPr>
                <w:rFonts w:ascii="Arial Narrow" w:hAnsi="Arial Narrow" w:cs="Arial"/>
                <w:noProof/>
                <w:color w:val="000000"/>
                <w:sz w:val="20"/>
                <w:szCs w:val="20"/>
                <w:highlight w:val="black"/>
              </w:rPr>
              <w:t>''''''''''''''''''</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72333D" w:rsidRPr="005B6343" w:rsidRDefault="0072333D" w:rsidP="0072333D">
            <w:pPr>
              <w:pStyle w:val="TableText0"/>
              <w:keepNext/>
              <w:keepLines/>
              <w:jc w:val="center"/>
              <w:rPr>
                <w:rFonts w:ascii="Arial Narrow" w:hAnsi="Arial Narrow" w:cs="Arial"/>
                <w:bCs/>
                <w:color w:val="000000"/>
                <w:sz w:val="20"/>
                <w:szCs w:val="20"/>
              </w:rPr>
            </w:pPr>
            <w:r w:rsidRPr="005B6343">
              <w:rPr>
                <w:rFonts w:ascii="Arial Narrow" w:hAnsi="Arial Narrow" w:cs="Arial"/>
                <w:color w:val="000000"/>
                <w:sz w:val="20"/>
                <w:szCs w:val="20"/>
              </w:rPr>
              <w:t>$</w:t>
            </w:r>
            <w:r w:rsidR="000836E1">
              <w:rPr>
                <w:rFonts w:ascii="Arial Narrow" w:hAnsi="Arial Narrow" w:cs="Arial"/>
                <w:noProof/>
                <w:color w:val="000000"/>
                <w:sz w:val="20"/>
                <w:szCs w:val="20"/>
                <w:highlight w:val="black"/>
              </w:rPr>
              <w:t>''''''''''''''''''''''''''</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72333D" w:rsidRPr="005B6343" w:rsidRDefault="0072333D" w:rsidP="0072333D">
            <w:pPr>
              <w:pStyle w:val="TableText0"/>
              <w:keepNext/>
              <w:keepLines/>
              <w:jc w:val="center"/>
              <w:rPr>
                <w:rFonts w:ascii="Arial Narrow" w:hAnsi="Arial Narrow" w:cs="Arial"/>
                <w:bCs/>
                <w:color w:val="000000"/>
                <w:sz w:val="20"/>
                <w:szCs w:val="20"/>
              </w:rPr>
            </w:pPr>
            <w:r w:rsidRPr="005B6343">
              <w:rPr>
                <w:rFonts w:ascii="Arial Narrow" w:hAnsi="Arial Narrow" w:cs="Arial"/>
                <w:color w:val="000000"/>
                <w:sz w:val="20"/>
                <w:szCs w:val="20"/>
              </w:rPr>
              <w:t>$</w:t>
            </w:r>
            <w:r w:rsidR="000836E1">
              <w:rPr>
                <w:rFonts w:ascii="Arial Narrow" w:hAnsi="Arial Narrow" w:cs="Arial"/>
                <w:noProof/>
                <w:color w:val="000000"/>
                <w:sz w:val="20"/>
                <w:szCs w:val="20"/>
                <w:highlight w:val="black"/>
              </w:rPr>
              <w:t>'''''''''''''''''''''''''</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72333D" w:rsidRPr="005B6343" w:rsidRDefault="0072333D" w:rsidP="0072333D">
            <w:pPr>
              <w:pStyle w:val="TableText0"/>
              <w:keepNext/>
              <w:keepLines/>
              <w:jc w:val="center"/>
              <w:rPr>
                <w:rFonts w:ascii="Arial Narrow" w:hAnsi="Arial Narrow" w:cs="Arial"/>
                <w:bCs/>
                <w:color w:val="000000"/>
                <w:sz w:val="20"/>
                <w:szCs w:val="20"/>
              </w:rPr>
            </w:pPr>
            <w:r w:rsidRPr="005B6343">
              <w:rPr>
                <w:rFonts w:ascii="Arial Narrow" w:hAnsi="Arial Narrow" w:cs="Arial"/>
                <w:color w:val="000000"/>
                <w:sz w:val="20"/>
                <w:szCs w:val="20"/>
              </w:rPr>
              <w:t>$</w:t>
            </w:r>
            <w:r w:rsidR="000836E1">
              <w:rPr>
                <w:rFonts w:ascii="Arial Narrow" w:hAnsi="Arial Narrow" w:cs="Arial"/>
                <w:noProof/>
                <w:color w:val="000000"/>
                <w:sz w:val="20"/>
                <w:szCs w:val="20"/>
                <w:highlight w:val="black"/>
              </w:rPr>
              <w:t>'''''''''''''''''''''''</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72333D" w:rsidRPr="005B6343" w:rsidRDefault="0072333D" w:rsidP="0072333D">
            <w:pPr>
              <w:pStyle w:val="TableText0"/>
              <w:keepNext/>
              <w:keepLines/>
              <w:jc w:val="center"/>
              <w:rPr>
                <w:rFonts w:ascii="Arial Narrow" w:hAnsi="Arial Narrow" w:cs="Arial"/>
                <w:bCs/>
                <w:color w:val="000000"/>
                <w:sz w:val="20"/>
                <w:szCs w:val="20"/>
              </w:rPr>
            </w:pPr>
            <w:r w:rsidRPr="005B6343">
              <w:rPr>
                <w:rFonts w:ascii="Arial Narrow" w:hAnsi="Arial Narrow" w:cs="Arial"/>
                <w:color w:val="000000"/>
                <w:sz w:val="20"/>
                <w:szCs w:val="20"/>
              </w:rPr>
              <w:t>$</w:t>
            </w:r>
            <w:r w:rsidR="000836E1">
              <w:rPr>
                <w:rFonts w:ascii="Arial Narrow" w:hAnsi="Arial Narrow" w:cs="Arial"/>
                <w:noProof/>
                <w:color w:val="000000"/>
                <w:sz w:val="20"/>
                <w:szCs w:val="20"/>
                <w:highlight w:val="black"/>
              </w:rPr>
              <w:t>''''''''''''''''''''''''''</w:t>
            </w:r>
          </w:p>
        </w:tc>
      </w:tr>
      <w:tr w:rsidR="0072333D" w:rsidRPr="005B6343" w:rsidTr="00782A62">
        <w:tc>
          <w:tcPr>
            <w:tcW w:w="1091" w:type="pct"/>
            <w:tcBorders>
              <w:top w:val="single" w:sz="4" w:space="0" w:color="auto"/>
              <w:left w:val="single" w:sz="4" w:space="0" w:color="auto"/>
              <w:bottom w:val="single" w:sz="4" w:space="0" w:color="auto"/>
              <w:right w:val="single" w:sz="4" w:space="0" w:color="auto"/>
            </w:tcBorders>
            <w:shd w:val="clear" w:color="auto" w:fill="auto"/>
            <w:vAlign w:val="center"/>
          </w:tcPr>
          <w:p w:rsidR="0072333D" w:rsidRPr="005B6343" w:rsidRDefault="0072333D" w:rsidP="0072333D">
            <w:pPr>
              <w:pStyle w:val="TableText0"/>
              <w:keepNext/>
              <w:keepLines/>
              <w:rPr>
                <w:rFonts w:ascii="Arial Narrow" w:hAnsi="Arial Narrow" w:cs="Arial"/>
                <w:sz w:val="20"/>
                <w:szCs w:val="20"/>
              </w:rPr>
            </w:pPr>
            <w:r w:rsidRPr="005B6343">
              <w:rPr>
                <w:rFonts w:ascii="Arial Narrow" w:hAnsi="Arial Narrow" w:cs="Arial"/>
                <w:bCs/>
                <w:color w:val="000000"/>
                <w:sz w:val="20"/>
                <w:szCs w:val="20"/>
              </w:rPr>
              <w:t>Less co-payments</w:t>
            </w:r>
          </w:p>
        </w:tc>
        <w:tc>
          <w:tcPr>
            <w:tcW w:w="604" w:type="pct"/>
            <w:tcBorders>
              <w:top w:val="single" w:sz="4" w:space="0" w:color="auto"/>
              <w:left w:val="single" w:sz="4" w:space="0" w:color="auto"/>
              <w:bottom w:val="single" w:sz="4" w:space="0" w:color="auto"/>
              <w:right w:val="single" w:sz="4" w:space="0" w:color="auto"/>
            </w:tcBorders>
            <w:shd w:val="clear" w:color="auto" w:fill="auto"/>
            <w:vAlign w:val="center"/>
          </w:tcPr>
          <w:p w:rsidR="0072333D" w:rsidRPr="005B6343" w:rsidRDefault="0072333D" w:rsidP="0072333D">
            <w:pPr>
              <w:pStyle w:val="TableText0"/>
              <w:keepNext/>
              <w:keepLines/>
              <w:jc w:val="center"/>
              <w:rPr>
                <w:rFonts w:ascii="Arial Narrow" w:hAnsi="Arial Narrow" w:cs="Arial"/>
                <w:bCs/>
                <w:sz w:val="20"/>
                <w:szCs w:val="20"/>
              </w:rPr>
            </w:pPr>
            <w:r w:rsidRPr="005B6343">
              <w:rPr>
                <w:rFonts w:ascii="Arial Narrow" w:hAnsi="Arial Narrow" w:cs="Arial"/>
                <w:sz w:val="20"/>
                <w:szCs w:val="20"/>
              </w:rPr>
              <w:t>-$</w:t>
            </w:r>
            <w:r w:rsidR="000836E1">
              <w:rPr>
                <w:rFonts w:ascii="Arial Narrow" w:hAnsi="Arial Narrow" w:cs="Arial"/>
                <w:noProof/>
                <w:color w:val="000000"/>
                <w:sz w:val="20"/>
                <w:szCs w:val="20"/>
                <w:highlight w:val="black"/>
              </w:rPr>
              <w:t>'''''''''''''''''''</w:t>
            </w:r>
          </w:p>
        </w:tc>
        <w:tc>
          <w:tcPr>
            <w:tcW w:w="605" w:type="pct"/>
            <w:tcBorders>
              <w:top w:val="single" w:sz="4" w:space="0" w:color="auto"/>
              <w:left w:val="single" w:sz="4" w:space="0" w:color="auto"/>
              <w:bottom w:val="single" w:sz="4" w:space="0" w:color="auto"/>
              <w:right w:val="single" w:sz="4" w:space="0" w:color="auto"/>
            </w:tcBorders>
            <w:shd w:val="clear" w:color="auto" w:fill="auto"/>
            <w:vAlign w:val="center"/>
          </w:tcPr>
          <w:p w:rsidR="0072333D" w:rsidRPr="005B6343" w:rsidRDefault="0072333D" w:rsidP="0072333D">
            <w:pPr>
              <w:pStyle w:val="TableText0"/>
              <w:keepNext/>
              <w:keepLines/>
              <w:jc w:val="center"/>
              <w:rPr>
                <w:rFonts w:ascii="Arial Narrow" w:hAnsi="Arial Narrow" w:cs="Arial"/>
                <w:bCs/>
                <w:sz w:val="20"/>
                <w:szCs w:val="20"/>
              </w:rPr>
            </w:pPr>
            <w:r w:rsidRPr="005B6343">
              <w:rPr>
                <w:rFonts w:ascii="Arial Narrow" w:hAnsi="Arial Narrow" w:cs="Arial"/>
                <w:sz w:val="20"/>
                <w:szCs w:val="20"/>
              </w:rPr>
              <w:t>-$</w:t>
            </w:r>
            <w:r w:rsidR="000836E1">
              <w:rPr>
                <w:rFonts w:ascii="Arial Narrow" w:hAnsi="Arial Narrow" w:cs="Arial"/>
                <w:noProof/>
                <w:color w:val="000000"/>
                <w:sz w:val="20"/>
                <w:szCs w:val="20"/>
                <w:highlight w:val="black"/>
              </w:rPr>
              <w:t>'''''''''''''''''''''</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72333D" w:rsidRPr="005B6343" w:rsidRDefault="0072333D" w:rsidP="0072333D">
            <w:pPr>
              <w:pStyle w:val="TableText0"/>
              <w:keepNext/>
              <w:keepLines/>
              <w:jc w:val="center"/>
              <w:rPr>
                <w:rFonts w:ascii="Arial Narrow" w:hAnsi="Arial Narrow" w:cs="Arial"/>
                <w:bCs/>
                <w:sz w:val="20"/>
                <w:szCs w:val="20"/>
              </w:rPr>
            </w:pPr>
            <w:r w:rsidRPr="005B6343">
              <w:rPr>
                <w:rFonts w:ascii="Arial Narrow" w:hAnsi="Arial Narrow" w:cs="Arial"/>
                <w:sz w:val="20"/>
                <w:szCs w:val="20"/>
              </w:rPr>
              <w:t>-$</w:t>
            </w:r>
            <w:r w:rsidR="000836E1">
              <w:rPr>
                <w:rFonts w:ascii="Arial Narrow" w:hAnsi="Arial Narrow" w:cs="Arial"/>
                <w:noProof/>
                <w:color w:val="000000"/>
                <w:sz w:val="20"/>
                <w:szCs w:val="20"/>
                <w:highlight w:val="black"/>
              </w:rPr>
              <w:t>'''''''''''''''''''''</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72333D" w:rsidRPr="005B6343" w:rsidRDefault="0072333D" w:rsidP="0072333D">
            <w:pPr>
              <w:pStyle w:val="TableText0"/>
              <w:keepNext/>
              <w:keepLines/>
              <w:jc w:val="center"/>
              <w:rPr>
                <w:rFonts w:ascii="Arial Narrow" w:hAnsi="Arial Narrow" w:cs="Arial"/>
                <w:bCs/>
                <w:sz w:val="20"/>
                <w:szCs w:val="20"/>
              </w:rPr>
            </w:pPr>
            <w:r w:rsidRPr="005B6343">
              <w:rPr>
                <w:rFonts w:ascii="Arial Narrow" w:hAnsi="Arial Narrow" w:cs="Arial"/>
                <w:sz w:val="20"/>
                <w:szCs w:val="20"/>
              </w:rPr>
              <w:t>-$</w:t>
            </w:r>
            <w:r w:rsidR="000836E1">
              <w:rPr>
                <w:rFonts w:ascii="Arial Narrow" w:hAnsi="Arial Narrow" w:cs="Arial"/>
                <w:noProof/>
                <w:color w:val="000000"/>
                <w:sz w:val="20"/>
                <w:szCs w:val="20"/>
                <w:highlight w:val="black"/>
              </w:rPr>
              <w:t>''''''''''''''''''''</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72333D" w:rsidRPr="005B6343" w:rsidRDefault="0072333D" w:rsidP="0072333D">
            <w:pPr>
              <w:pStyle w:val="TableText0"/>
              <w:keepNext/>
              <w:keepLines/>
              <w:jc w:val="center"/>
              <w:rPr>
                <w:rFonts w:ascii="Arial Narrow" w:hAnsi="Arial Narrow" w:cs="Arial"/>
                <w:bCs/>
                <w:sz w:val="20"/>
                <w:szCs w:val="20"/>
              </w:rPr>
            </w:pPr>
            <w:r w:rsidRPr="005B6343">
              <w:rPr>
                <w:rFonts w:ascii="Arial Narrow" w:hAnsi="Arial Narrow" w:cs="Arial"/>
                <w:sz w:val="20"/>
                <w:szCs w:val="20"/>
              </w:rPr>
              <w:t>-$</w:t>
            </w:r>
            <w:r w:rsidR="000836E1">
              <w:rPr>
                <w:rFonts w:ascii="Arial Narrow" w:hAnsi="Arial Narrow" w:cs="Arial"/>
                <w:noProof/>
                <w:color w:val="000000"/>
                <w:sz w:val="20"/>
                <w:szCs w:val="20"/>
                <w:highlight w:val="black"/>
              </w:rPr>
              <w:t>'''''''''''''''''''''</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72333D" w:rsidRPr="005B6343" w:rsidRDefault="0072333D" w:rsidP="0072333D">
            <w:pPr>
              <w:pStyle w:val="TableText0"/>
              <w:keepNext/>
              <w:keepLines/>
              <w:jc w:val="center"/>
              <w:rPr>
                <w:rFonts w:ascii="Arial Narrow" w:hAnsi="Arial Narrow" w:cs="Arial"/>
                <w:bCs/>
                <w:sz w:val="20"/>
                <w:szCs w:val="20"/>
              </w:rPr>
            </w:pPr>
            <w:r w:rsidRPr="005B6343">
              <w:rPr>
                <w:rFonts w:ascii="Arial Narrow" w:hAnsi="Arial Narrow" w:cs="Arial"/>
                <w:sz w:val="20"/>
                <w:szCs w:val="20"/>
              </w:rPr>
              <w:t>-$</w:t>
            </w:r>
            <w:r w:rsidR="000836E1">
              <w:rPr>
                <w:rFonts w:ascii="Arial Narrow" w:hAnsi="Arial Narrow" w:cs="Arial"/>
                <w:noProof/>
                <w:color w:val="000000"/>
                <w:sz w:val="20"/>
                <w:szCs w:val="20"/>
                <w:highlight w:val="black"/>
              </w:rPr>
              <w:t>''''''''''''''''''''</w:t>
            </w:r>
          </w:p>
        </w:tc>
      </w:tr>
      <w:tr w:rsidR="0072333D" w:rsidRPr="005B6343" w:rsidTr="00782A62">
        <w:tc>
          <w:tcPr>
            <w:tcW w:w="1091" w:type="pct"/>
            <w:tcBorders>
              <w:top w:val="single" w:sz="4" w:space="0" w:color="auto"/>
              <w:left w:val="single" w:sz="4" w:space="0" w:color="auto"/>
              <w:bottom w:val="single" w:sz="4" w:space="0" w:color="auto"/>
              <w:right w:val="single" w:sz="4" w:space="0" w:color="auto"/>
            </w:tcBorders>
            <w:shd w:val="clear" w:color="auto" w:fill="auto"/>
            <w:vAlign w:val="bottom"/>
          </w:tcPr>
          <w:p w:rsidR="0072333D" w:rsidRPr="005B6343" w:rsidRDefault="0072333D" w:rsidP="0072333D">
            <w:pPr>
              <w:pStyle w:val="TableText0"/>
              <w:keepNext/>
              <w:keepLines/>
              <w:rPr>
                <w:rFonts w:ascii="Arial Narrow" w:hAnsi="Arial Narrow"/>
                <w:b/>
                <w:sz w:val="20"/>
                <w:szCs w:val="20"/>
              </w:rPr>
            </w:pPr>
            <w:r w:rsidRPr="005B6343">
              <w:rPr>
                <w:rFonts w:ascii="Arial Narrow" w:hAnsi="Arial Narrow" w:cs="Arial"/>
                <w:b/>
                <w:sz w:val="20"/>
                <w:szCs w:val="20"/>
              </w:rPr>
              <w:t>Net cost to PBS</w:t>
            </w:r>
          </w:p>
        </w:tc>
        <w:tc>
          <w:tcPr>
            <w:tcW w:w="604" w:type="pct"/>
            <w:tcBorders>
              <w:top w:val="single" w:sz="4" w:space="0" w:color="auto"/>
              <w:left w:val="single" w:sz="4" w:space="0" w:color="auto"/>
              <w:bottom w:val="single" w:sz="4" w:space="0" w:color="auto"/>
              <w:right w:val="single" w:sz="4" w:space="0" w:color="auto"/>
            </w:tcBorders>
            <w:shd w:val="clear" w:color="auto" w:fill="auto"/>
            <w:vAlign w:val="center"/>
          </w:tcPr>
          <w:p w:rsidR="0072333D" w:rsidRPr="005B6343" w:rsidRDefault="0072333D" w:rsidP="0072333D">
            <w:pPr>
              <w:pStyle w:val="TableText0"/>
              <w:keepNext/>
              <w:keepLines/>
              <w:jc w:val="center"/>
              <w:rPr>
                <w:rFonts w:ascii="Arial Narrow" w:hAnsi="Arial Narrow" w:cs="Arial"/>
                <w:bCs/>
                <w:color w:val="000000"/>
                <w:sz w:val="20"/>
                <w:szCs w:val="20"/>
              </w:rPr>
            </w:pPr>
            <w:r w:rsidRPr="005B6343">
              <w:rPr>
                <w:rFonts w:ascii="Arial Narrow" w:hAnsi="Arial Narrow" w:cs="Arial"/>
                <w:bCs/>
                <w:color w:val="000000"/>
                <w:sz w:val="20"/>
                <w:szCs w:val="20"/>
              </w:rPr>
              <w:t>$</w:t>
            </w:r>
            <w:r w:rsidR="000836E1">
              <w:rPr>
                <w:rFonts w:ascii="Arial Narrow" w:hAnsi="Arial Narrow" w:cs="Arial"/>
                <w:bCs/>
                <w:noProof/>
                <w:color w:val="000000"/>
                <w:sz w:val="20"/>
                <w:szCs w:val="20"/>
                <w:highlight w:val="black"/>
              </w:rPr>
              <w:t>''''''''''''''''''''</w:t>
            </w:r>
          </w:p>
        </w:tc>
        <w:tc>
          <w:tcPr>
            <w:tcW w:w="605" w:type="pct"/>
            <w:tcBorders>
              <w:top w:val="single" w:sz="4" w:space="0" w:color="auto"/>
              <w:left w:val="single" w:sz="4" w:space="0" w:color="auto"/>
              <w:bottom w:val="single" w:sz="4" w:space="0" w:color="auto"/>
              <w:right w:val="single" w:sz="4" w:space="0" w:color="auto"/>
            </w:tcBorders>
            <w:shd w:val="clear" w:color="auto" w:fill="auto"/>
            <w:vAlign w:val="center"/>
          </w:tcPr>
          <w:p w:rsidR="0072333D" w:rsidRPr="005B6343" w:rsidRDefault="0072333D" w:rsidP="0072333D">
            <w:pPr>
              <w:pStyle w:val="TableText0"/>
              <w:keepNext/>
              <w:keepLines/>
              <w:jc w:val="center"/>
              <w:rPr>
                <w:rFonts w:ascii="Arial Narrow" w:hAnsi="Arial Narrow" w:cs="Arial"/>
                <w:bCs/>
                <w:color w:val="000000"/>
                <w:sz w:val="20"/>
                <w:szCs w:val="20"/>
              </w:rPr>
            </w:pPr>
            <w:r w:rsidRPr="005B6343">
              <w:rPr>
                <w:rFonts w:ascii="Arial Narrow" w:hAnsi="Arial Narrow" w:cs="Arial"/>
                <w:bCs/>
                <w:color w:val="000000"/>
                <w:sz w:val="20"/>
                <w:szCs w:val="20"/>
              </w:rPr>
              <w:t>$</w:t>
            </w:r>
            <w:r w:rsidR="000836E1">
              <w:rPr>
                <w:rFonts w:ascii="Arial Narrow" w:hAnsi="Arial Narrow" w:cs="Arial"/>
                <w:bCs/>
                <w:noProof/>
                <w:color w:val="000000"/>
                <w:sz w:val="20"/>
                <w:szCs w:val="20"/>
                <w:highlight w:val="black"/>
              </w:rPr>
              <w:t>''''''''''''''''''</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72333D" w:rsidRPr="005B6343" w:rsidRDefault="0072333D" w:rsidP="0072333D">
            <w:pPr>
              <w:pStyle w:val="TableText0"/>
              <w:keepNext/>
              <w:keepLines/>
              <w:jc w:val="center"/>
              <w:rPr>
                <w:rFonts w:ascii="Arial Narrow" w:hAnsi="Arial Narrow" w:cs="Arial"/>
                <w:bCs/>
                <w:color w:val="000000"/>
                <w:sz w:val="20"/>
                <w:szCs w:val="20"/>
              </w:rPr>
            </w:pPr>
            <w:r w:rsidRPr="005B6343">
              <w:rPr>
                <w:rFonts w:ascii="Arial Narrow" w:hAnsi="Arial Narrow" w:cs="Arial"/>
                <w:bCs/>
                <w:color w:val="000000"/>
                <w:sz w:val="20"/>
                <w:szCs w:val="20"/>
              </w:rPr>
              <w:t>$</w:t>
            </w:r>
            <w:r w:rsidR="000836E1">
              <w:rPr>
                <w:rFonts w:ascii="Arial Narrow" w:hAnsi="Arial Narrow" w:cs="Arial"/>
                <w:bCs/>
                <w:noProof/>
                <w:color w:val="000000"/>
                <w:sz w:val="20"/>
                <w:szCs w:val="20"/>
                <w:highlight w:val="black"/>
              </w:rPr>
              <w:t>'''''''''''''''''''</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72333D" w:rsidRPr="005B6343" w:rsidRDefault="0072333D" w:rsidP="0072333D">
            <w:pPr>
              <w:pStyle w:val="TableText0"/>
              <w:keepNext/>
              <w:keepLines/>
              <w:jc w:val="center"/>
              <w:rPr>
                <w:rFonts w:ascii="Arial Narrow" w:hAnsi="Arial Narrow" w:cs="Arial"/>
                <w:bCs/>
                <w:color w:val="000000"/>
                <w:sz w:val="20"/>
                <w:szCs w:val="20"/>
              </w:rPr>
            </w:pPr>
            <w:r w:rsidRPr="005B6343">
              <w:rPr>
                <w:rFonts w:ascii="Arial Narrow" w:hAnsi="Arial Narrow" w:cs="Arial"/>
                <w:bCs/>
                <w:color w:val="000000"/>
                <w:sz w:val="20"/>
                <w:szCs w:val="20"/>
              </w:rPr>
              <w:t>$</w:t>
            </w:r>
            <w:r w:rsidR="000836E1">
              <w:rPr>
                <w:rFonts w:ascii="Arial Narrow" w:hAnsi="Arial Narrow" w:cs="Arial"/>
                <w:bCs/>
                <w:noProof/>
                <w:color w:val="000000"/>
                <w:sz w:val="20"/>
                <w:szCs w:val="20"/>
                <w:highlight w:val="black"/>
              </w:rPr>
              <w:t>'''''''''''''''''''''''''</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72333D" w:rsidRPr="005B6343" w:rsidRDefault="0072333D" w:rsidP="0072333D">
            <w:pPr>
              <w:pStyle w:val="TableText0"/>
              <w:keepNext/>
              <w:keepLines/>
              <w:jc w:val="center"/>
              <w:rPr>
                <w:rFonts w:ascii="Arial Narrow" w:hAnsi="Arial Narrow" w:cs="Arial"/>
                <w:bCs/>
                <w:color w:val="000000"/>
                <w:sz w:val="20"/>
                <w:szCs w:val="20"/>
              </w:rPr>
            </w:pPr>
            <w:r w:rsidRPr="005B6343">
              <w:rPr>
                <w:rFonts w:ascii="Arial Narrow" w:hAnsi="Arial Narrow" w:cs="Arial"/>
                <w:bCs/>
                <w:color w:val="000000"/>
                <w:sz w:val="20"/>
                <w:szCs w:val="20"/>
              </w:rPr>
              <w:t>$</w:t>
            </w:r>
            <w:r w:rsidR="000836E1">
              <w:rPr>
                <w:rFonts w:ascii="Arial Narrow" w:hAnsi="Arial Narrow" w:cs="Arial"/>
                <w:bCs/>
                <w:noProof/>
                <w:color w:val="000000"/>
                <w:sz w:val="20"/>
                <w:szCs w:val="20"/>
                <w:highlight w:val="black"/>
              </w:rPr>
              <w:t>''''''''''''''''''''''''</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72333D" w:rsidRPr="005B6343" w:rsidRDefault="0072333D" w:rsidP="0072333D">
            <w:pPr>
              <w:pStyle w:val="TableText0"/>
              <w:keepNext/>
              <w:keepLines/>
              <w:jc w:val="center"/>
              <w:rPr>
                <w:rFonts w:ascii="Arial Narrow" w:hAnsi="Arial Narrow" w:cs="Arial"/>
                <w:bCs/>
                <w:color w:val="000000"/>
                <w:sz w:val="20"/>
                <w:szCs w:val="20"/>
              </w:rPr>
            </w:pPr>
            <w:r w:rsidRPr="005B6343">
              <w:rPr>
                <w:rFonts w:ascii="Arial Narrow" w:hAnsi="Arial Narrow" w:cs="Arial"/>
                <w:bCs/>
                <w:color w:val="000000"/>
                <w:sz w:val="20"/>
                <w:szCs w:val="20"/>
              </w:rPr>
              <w:t>$</w:t>
            </w:r>
            <w:r w:rsidR="000836E1">
              <w:rPr>
                <w:rFonts w:ascii="Arial Narrow" w:hAnsi="Arial Narrow" w:cs="Arial"/>
                <w:bCs/>
                <w:noProof/>
                <w:color w:val="000000"/>
                <w:sz w:val="20"/>
                <w:szCs w:val="20"/>
                <w:highlight w:val="black"/>
              </w:rPr>
              <w:t>''''''''''''''''''''''''''</w:t>
            </w:r>
          </w:p>
        </w:tc>
      </w:tr>
      <w:tr w:rsidR="0072333D" w:rsidRPr="005B6343" w:rsidTr="00782A62">
        <w:tc>
          <w:tcPr>
            <w:tcW w:w="1091" w:type="pct"/>
            <w:tcBorders>
              <w:top w:val="single" w:sz="4" w:space="0" w:color="auto"/>
              <w:left w:val="single" w:sz="4" w:space="0" w:color="auto"/>
              <w:bottom w:val="single" w:sz="4" w:space="0" w:color="auto"/>
              <w:right w:val="single" w:sz="4" w:space="0" w:color="auto"/>
            </w:tcBorders>
            <w:shd w:val="clear" w:color="auto" w:fill="auto"/>
          </w:tcPr>
          <w:p w:rsidR="0072333D" w:rsidRPr="005B6343" w:rsidRDefault="0072333D" w:rsidP="0072333D">
            <w:pPr>
              <w:pStyle w:val="TableText0"/>
              <w:keepNext/>
              <w:keepLines/>
              <w:rPr>
                <w:rFonts w:ascii="Arial Narrow" w:hAnsi="Arial Narrow"/>
                <w:sz w:val="20"/>
                <w:szCs w:val="20"/>
              </w:rPr>
            </w:pPr>
            <w:r w:rsidRPr="005B6343">
              <w:rPr>
                <w:rFonts w:ascii="Arial Narrow" w:hAnsi="Arial Narrow"/>
                <w:sz w:val="20"/>
                <w:szCs w:val="20"/>
              </w:rPr>
              <w:t>Cost to RPBS</w:t>
            </w:r>
          </w:p>
        </w:tc>
        <w:tc>
          <w:tcPr>
            <w:tcW w:w="604" w:type="pct"/>
            <w:tcBorders>
              <w:top w:val="single" w:sz="4" w:space="0" w:color="auto"/>
              <w:left w:val="single" w:sz="4" w:space="0" w:color="auto"/>
              <w:bottom w:val="single" w:sz="4" w:space="0" w:color="auto"/>
              <w:right w:val="single" w:sz="4" w:space="0" w:color="auto"/>
            </w:tcBorders>
            <w:shd w:val="clear" w:color="auto" w:fill="auto"/>
          </w:tcPr>
          <w:p w:rsidR="0072333D" w:rsidRPr="005B6343" w:rsidRDefault="0072333D" w:rsidP="0072333D">
            <w:pPr>
              <w:pStyle w:val="TableText0"/>
              <w:keepNext/>
              <w:keepLines/>
              <w:jc w:val="center"/>
              <w:rPr>
                <w:rFonts w:ascii="Arial Narrow" w:hAnsi="Arial Narrow" w:cs="Arial"/>
                <w:bCs/>
                <w:color w:val="000000"/>
                <w:sz w:val="20"/>
                <w:szCs w:val="20"/>
              </w:rPr>
            </w:pPr>
            <w:r w:rsidRPr="005B6343">
              <w:rPr>
                <w:rFonts w:ascii="Arial Narrow" w:hAnsi="Arial Narrow"/>
                <w:sz w:val="20"/>
                <w:szCs w:val="20"/>
              </w:rPr>
              <w:t>$</w:t>
            </w:r>
            <w:r w:rsidR="000836E1">
              <w:rPr>
                <w:rFonts w:ascii="Arial Narrow" w:hAnsi="Arial Narrow"/>
                <w:noProof/>
                <w:color w:val="000000"/>
                <w:sz w:val="20"/>
                <w:szCs w:val="20"/>
                <w:highlight w:val="black"/>
              </w:rPr>
              <w:t>'''''''''''''''</w:t>
            </w:r>
          </w:p>
        </w:tc>
        <w:tc>
          <w:tcPr>
            <w:tcW w:w="605" w:type="pct"/>
            <w:tcBorders>
              <w:top w:val="single" w:sz="4" w:space="0" w:color="auto"/>
              <w:left w:val="single" w:sz="4" w:space="0" w:color="auto"/>
              <w:bottom w:val="single" w:sz="4" w:space="0" w:color="auto"/>
              <w:right w:val="single" w:sz="4" w:space="0" w:color="auto"/>
            </w:tcBorders>
            <w:shd w:val="clear" w:color="auto" w:fill="auto"/>
          </w:tcPr>
          <w:p w:rsidR="0072333D" w:rsidRPr="005B6343" w:rsidRDefault="0072333D" w:rsidP="0072333D">
            <w:pPr>
              <w:pStyle w:val="TableText0"/>
              <w:keepNext/>
              <w:keepLines/>
              <w:jc w:val="center"/>
              <w:rPr>
                <w:rFonts w:ascii="Arial Narrow" w:hAnsi="Arial Narrow" w:cs="Arial"/>
                <w:bCs/>
                <w:color w:val="000000"/>
                <w:sz w:val="20"/>
                <w:szCs w:val="20"/>
              </w:rPr>
            </w:pPr>
            <w:r w:rsidRPr="005B6343">
              <w:rPr>
                <w:rFonts w:ascii="Arial Narrow" w:hAnsi="Arial Narrow"/>
                <w:sz w:val="20"/>
                <w:szCs w:val="20"/>
              </w:rPr>
              <w:t>$</w:t>
            </w:r>
            <w:r w:rsidR="000836E1">
              <w:rPr>
                <w:rFonts w:ascii="Arial Narrow" w:hAnsi="Arial Narrow"/>
                <w:noProof/>
                <w:color w:val="000000"/>
                <w:sz w:val="20"/>
                <w:szCs w:val="20"/>
                <w:highlight w:val="black"/>
              </w:rPr>
              <w:t>''''''''''''''</w:t>
            </w:r>
          </w:p>
        </w:tc>
        <w:tc>
          <w:tcPr>
            <w:tcW w:w="675" w:type="pct"/>
            <w:tcBorders>
              <w:top w:val="single" w:sz="4" w:space="0" w:color="auto"/>
              <w:left w:val="single" w:sz="4" w:space="0" w:color="auto"/>
              <w:bottom w:val="single" w:sz="4" w:space="0" w:color="auto"/>
              <w:right w:val="single" w:sz="4" w:space="0" w:color="auto"/>
            </w:tcBorders>
            <w:shd w:val="clear" w:color="auto" w:fill="auto"/>
          </w:tcPr>
          <w:p w:rsidR="0072333D" w:rsidRPr="005B6343" w:rsidRDefault="0072333D" w:rsidP="0072333D">
            <w:pPr>
              <w:pStyle w:val="TableText0"/>
              <w:keepNext/>
              <w:keepLines/>
              <w:jc w:val="center"/>
              <w:rPr>
                <w:rFonts w:ascii="Arial Narrow" w:hAnsi="Arial Narrow" w:cs="Arial"/>
                <w:bCs/>
                <w:color w:val="000000"/>
                <w:sz w:val="20"/>
                <w:szCs w:val="20"/>
              </w:rPr>
            </w:pPr>
            <w:r w:rsidRPr="005B6343">
              <w:rPr>
                <w:rFonts w:ascii="Arial Narrow" w:hAnsi="Arial Narrow"/>
                <w:sz w:val="20"/>
                <w:szCs w:val="20"/>
              </w:rPr>
              <w:t>$</w:t>
            </w:r>
            <w:r w:rsidR="000836E1">
              <w:rPr>
                <w:rFonts w:ascii="Arial Narrow" w:hAnsi="Arial Narrow"/>
                <w:noProof/>
                <w:color w:val="000000"/>
                <w:sz w:val="20"/>
                <w:szCs w:val="20"/>
                <w:highlight w:val="black"/>
              </w:rPr>
              <w:t>'''''''''''''''</w:t>
            </w:r>
          </w:p>
        </w:tc>
        <w:tc>
          <w:tcPr>
            <w:tcW w:w="675" w:type="pct"/>
            <w:tcBorders>
              <w:top w:val="single" w:sz="4" w:space="0" w:color="auto"/>
              <w:left w:val="single" w:sz="4" w:space="0" w:color="auto"/>
              <w:bottom w:val="single" w:sz="4" w:space="0" w:color="auto"/>
              <w:right w:val="single" w:sz="4" w:space="0" w:color="auto"/>
            </w:tcBorders>
            <w:shd w:val="clear" w:color="auto" w:fill="auto"/>
          </w:tcPr>
          <w:p w:rsidR="0072333D" w:rsidRPr="005B6343" w:rsidRDefault="0072333D" w:rsidP="0072333D">
            <w:pPr>
              <w:pStyle w:val="TableText0"/>
              <w:keepNext/>
              <w:keepLines/>
              <w:jc w:val="center"/>
              <w:rPr>
                <w:rFonts w:ascii="Arial Narrow" w:hAnsi="Arial Narrow" w:cs="Arial"/>
                <w:bCs/>
                <w:color w:val="000000"/>
                <w:sz w:val="20"/>
                <w:szCs w:val="20"/>
              </w:rPr>
            </w:pPr>
            <w:r w:rsidRPr="005B6343">
              <w:rPr>
                <w:rFonts w:ascii="Arial Narrow" w:hAnsi="Arial Narrow"/>
                <w:sz w:val="20"/>
                <w:szCs w:val="20"/>
              </w:rPr>
              <w:t>$</w:t>
            </w:r>
            <w:r w:rsidR="000836E1">
              <w:rPr>
                <w:rFonts w:ascii="Arial Narrow" w:hAnsi="Arial Narrow"/>
                <w:noProof/>
                <w:color w:val="000000"/>
                <w:sz w:val="20"/>
                <w:szCs w:val="20"/>
                <w:highlight w:val="black"/>
              </w:rPr>
              <w:t>''''''''''''''''</w:t>
            </w:r>
          </w:p>
        </w:tc>
        <w:tc>
          <w:tcPr>
            <w:tcW w:w="675" w:type="pct"/>
            <w:tcBorders>
              <w:top w:val="single" w:sz="4" w:space="0" w:color="auto"/>
              <w:left w:val="single" w:sz="4" w:space="0" w:color="auto"/>
              <w:bottom w:val="single" w:sz="4" w:space="0" w:color="auto"/>
              <w:right w:val="single" w:sz="4" w:space="0" w:color="auto"/>
            </w:tcBorders>
            <w:shd w:val="clear" w:color="auto" w:fill="auto"/>
          </w:tcPr>
          <w:p w:rsidR="0072333D" w:rsidRPr="005B6343" w:rsidRDefault="0072333D" w:rsidP="0072333D">
            <w:pPr>
              <w:pStyle w:val="TableText0"/>
              <w:keepNext/>
              <w:keepLines/>
              <w:jc w:val="center"/>
              <w:rPr>
                <w:rFonts w:ascii="Arial Narrow" w:hAnsi="Arial Narrow" w:cs="Arial"/>
                <w:bCs/>
                <w:color w:val="000000"/>
                <w:sz w:val="20"/>
                <w:szCs w:val="20"/>
              </w:rPr>
            </w:pPr>
            <w:r w:rsidRPr="005B6343">
              <w:rPr>
                <w:rFonts w:ascii="Arial Narrow" w:hAnsi="Arial Narrow"/>
                <w:sz w:val="20"/>
                <w:szCs w:val="20"/>
              </w:rPr>
              <w:t>$</w:t>
            </w:r>
            <w:r w:rsidR="000836E1">
              <w:rPr>
                <w:rFonts w:ascii="Arial Narrow" w:hAnsi="Arial Narrow"/>
                <w:noProof/>
                <w:color w:val="000000"/>
                <w:sz w:val="20"/>
                <w:szCs w:val="20"/>
                <w:highlight w:val="black"/>
              </w:rPr>
              <w:t>''''''''''''''''</w:t>
            </w:r>
          </w:p>
        </w:tc>
        <w:tc>
          <w:tcPr>
            <w:tcW w:w="675" w:type="pct"/>
            <w:tcBorders>
              <w:top w:val="single" w:sz="4" w:space="0" w:color="auto"/>
              <w:left w:val="single" w:sz="4" w:space="0" w:color="auto"/>
              <w:bottom w:val="single" w:sz="4" w:space="0" w:color="auto"/>
              <w:right w:val="single" w:sz="4" w:space="0" w:color="auto"/>
            </w:tcBorders>
            <w:shd w:val="clear" w:color="auto" w:fill="auto"/>
          </w:tcPr>
          <w:p w:rsidR="0072333D" w:rsidRPr="005B6343" w:rsidRDefault="0072333D" w:rsidP="0072333D">
            <w:pPr>
              <w:pStyle w:val="TableText0"/>
              <w:keepNext/>
              <w:keepLines/>
              <w:jc w:val="center"/>
              <w:rPr>
                <w:rFonts w:ascii="Arial Narrow" w:hAnsi="Arial Narrow" w:cs="Arial"/>
                <w:bCs/>
                <w:color w:val="000000"/>
                <w:sz w:val="20"/>
                <w:szCs w:val="20"/>
              </w:rPr>
            </w:pPr>
            <w:r w:rsidRPr="005B6343">
              <w:rPr>
                <w:rFonts w:ascii="Arial Narrow" w:hAnsi="Arial Narrow"/>
                <w:sz w:val="20"/>
                <w:szCs w:val="20"/>
              </w:rPr>
              <w:t>$</w:t>
            </w:r>
            <w:r w:rsidR="000836E1">
              <w:rPr>
                <w:rFonts w:ascii="Arial Narrow" w:hAnsi="Arial Narrow"/>
                <w:noProof/>
                <w:color w:val="000000"/>
                <w:sz w:val="20"/>
                <w:szCs w:val="20"/>
                <w:highlight w:val="black"/>
              </w:rPr>
              <w:t>''''''''''''''''</w:t>
            </w:r>
          </w:p>
        </w:tc>
      </w:tr>
      <w:tr w:rsidR="0072333D" w:rsidRPr="005B6343" w:rsidTr="00782A62">
        <w:tc>
          <w:tcPr>
            <w:tcW w:w="1091" w:type="pct"/>
            <w:tcBorders>
              <w:top w:val="single" w:sz="4" w:space="0" w:color="auto"/>
              <w:left w:val="single" w:sz="4" w:space="0" w:color="auto"/>
              <w:bottom w:val="single" w:sz="4" w:space="0" w:color="auto"/>
              <w:right w:val="single" w:sz="4" w:space="0" w:color="auto"/>
            </w:tcBorders>
            <w:shd w:val="clear" w:color="auto" w:fill="auto"/>
          </w:tcPr>
          <w:p w:rsidR="0072333D" w:rsidRPr="005B6343" w:rsidRDefault="0072333D" w:rsidP="0072333D">
            <w:pPr>
              <w:pStyle w:val="TableText0"/>
              <w:keepNext/>
              <w:keepLines/>
              <w:rPr>
                <w:rFonts w:ascii="Arial Narrow" w:hAnsi="Arial Narrow"/>
                <w:sz w:val="20"/>
                <w:szCs w:val="20"/>
              </w:rPr>
            </w:pPr>
            <w:r w:rsidRPr="005B6343">
              <w:rPr>
                <w:rFonts w:ascii="Arial Narrow" w:hAnsi="Arial Narrow"/>
                <w:sz w:val="20"/>
                <w:szCs w:val="20"/>
              </w:rPr>
              <w:t>Less co-payments</w:t>
            </w:r>
          </w:p>
        </w:tc>
        <w:tc>
          <w:tcPr>
            <w:tcW w:w="604" w:type="pct"/>
            <w:tcBorders>
              <w:top w:val="single" w:sz="4" w:space="0" w:color="auto"/>
              <w:left w:val="single" w:sz="4" w:space="0" w:color="auto"/>
              <w:bottom w:val="single" w:sz="4" w:space="0" w:color="auto"/>
              <w:right w:val="single" w:sz="4" w:space="0" w:color="auto"/>
            </w:tcBorders>
            <w:shd w:val="clear" w:color="auto" w:fill="auto"/>
          </w:tcPr>
          <w:p w:rsidR="0072333D" w:rsidRPr="005B6343" w:rsidRDefault="0072333D" w:rsidP="0072333D">
            <w:pPr>
              <w:pStyle w:val="TableText0"/>
              <w:keepNext/>
              <w:keepLines/>
              <w:jc w:val="center"/>
              <w:rPr>
                <w:rFonts w:ascii="Arial Narrow" w:hAnsi="Arial Narrow" w:cs="Arial"/>
                <w:bCs/>
                <w:color w:val="000000"/>
                <w:sz w:val="20"/>
                <w:szCs w:val="20"/>
              </w:rPr>
            </w:pPr>
            <w:r w:rsidRPr="005B6343">
              <w:rPr>
                <w:rFonts w:ascii="Arial Narrow" w:hAnsi="Arial Narrow"/>
                <w:sz w:val="20"/>
                <w:szCs w:val="20"/>
              </w:rPr>
              <w:t>-$</w:t>
            </w:r>
            <w:r w:rsidR="000836E1">
              <w:rPr>
                <w:rFonts w:ascii="Arial Narrow" w:hAnsi="Arial Narrow"/>
                <w:noProof/>
                <w:color w:val="000000"/>
                <w:sz w:val="20"/>
                <w:szCs w:val="20"/>
                <w:highlight w:val="black"/>
              </w:rPr>
              <w:t>'''''''''</w:t>
            </w:r>
          </w:p>
        </w:tc>
        <w:tc>
          <w:tcPr>
            <w:tcW w:w="605" w:type="pct"/>
            <w:tcBorders>
              <w:top w:val="single" w:sz="4" w:space="0" w:color="auto"/>
              <w:left w:val="single" w:sz="4" w:space="0" w:color="auto"/>
              <w:bottom w:val="single" w:sz="4" w:space="0" w:color="auto"/>
              <w:right w:val="single" w:sz="4" w:space="0" w:color="auto"/>
            </w:tcBorders>
            <w:shd w:val="clear" w:color="auto" w:fill="auto"/>
          </w:tcPr>
          <w:p w:rsidR="0072333D" w:rsidRPr="005B6343" w:rsidRDefault="0072333D" w:rsidP="0072333D">
            <w:pPr>
              <w:pStyle w:val="TableText0"/>
              <w:keepNext/>
              <w:keepLines/>
              <w:jc w:val="center"/>
              <w:rPr>
                <w:rFonts w:ascii="Arial Narrow" w:hAnsi="Arial Narrow" w:cs="Arial"/>
                <w:bCs/>
                <w:color w:val="000000"/>
                <w:sz w:val="20"/>
                <w:szCs w:val="20"/>
              </w:rPr>
            </w:pPr>
            <w:r w:rsidRPr="005B6343">
              <w:rPr>
                <w:rFonts w:ascii="Arial Narrow" w:hAnsi="Arial Narrow"/>
                <w:sz w:val="20"/>
                <w:szCs w:val="20"/>
              </w:rPr>
              <w:t>-$</w:t>
            </w:r>
            <w:r w:rsidR="000836E1">
              <w:rPr>
                <w:rFonts w:ascii="Arial Narrow" w:hAnsi="Arial Narrow"/>
                <w:noProof/>
                <w:color w:val="000000"/>
                <w:sz w:val="20"/>
                <w:szCs w:val="20"/>
                <w:highlight w:val="black"/>
              </w:rPr>
              <w:t>'''''''''</w:t>
            </w:r>
          </w:p>
        </w:tc>
        <w:tc>
          <w:tcPr>
            <w:tcW w:w="675" w:type="pct"/>
            <w:tcBorders>
              <w:top w:val="single" w:sz="4" w:space="0" w:color="auto"/>
              <w:left w:val="single" w:sz="4" w:space="0" w:color="auto"/>
              <w:bottom w:val="single" w:sz="4" w:space="0" w:color="auto"/>
              <w:right w:val="single" w:sz="4" w:space="0" w:color="auto"/>
            </w:tcBorders>
            <w:shd w:val="clear" w:color="auto" w:fill="auto"/>
          </w:tcPr>
          <w:p w:rsidR="0072333D" w:rsidRPr="005B6343" w:rsidRDefault="0072333D" w:rsidP="0072333D">
            <w:pPr>
              <w:pStyle w:val="TableText0"/>
              <w:keepNext/>
              <w:keepLines/>
              <w:jc w:val="center"/>
              <w:rPr>
                <w:rFonts w:ascii="Arial Narrow" w:hAnsi="Arial Narrow" w:cs="Arial"/>
                <w:bCs/>
                <w:color w:val="000000"/>
                <w:sz w:val="20"/>
                <w:szCs w:val="20"/>
              </w:rPr>
            </w:pPr>
            <w:r w:rsidRPr="005B6343">
              <w:rPr>
                <w:rFonts w:ascii="Arial Narrow" w:hAnsi="Arial Narrow"/>
                <w:sz w:val="20"/>
                <w:szCs w:val="20"/>
              </w:rPr>
              <w:t>-$</w:t>
            </w:r>
            <w:r w:rsidR="000836E1">
              <w:rPr>
                <w:rFonts w:ascii="Arial Narrow" w:hAnsi="Arial Narrow"/>
                <w:noProof/>
                <w:color w:val="000000"/>
                <w:sz w:val="20"/>
                <w:szCs w:val="20"/>
                <w:highlight w:val="black"/>
              </w:rPr>
              <w:t>'''''''''</w:t>
            </w:r>
          </w:p>
        </w:tc>
        <w:tc>
          <w:tcPr>
            <w:tcW w:w="675" w:type="pct"/>
            <w:tcBorders>
              <w:top w:val="single" w:sz="4" w:space="0" w:color="auto"/>
              <w:left w:val="single" w:sz="4" w:space="0" w:color="auto"/>
              <w:bottom w:val="single" w:sz="4" w:space="0" w:color="auto"/>
              <w:right w:val="single" w:sz="4" w:space="0" w:color="auto"/>
            </w:tcBorders>
            <w:shd w:val="clear" w:color="auto" w:fill="auto"/>
          </w:tcPr>
          <w:p w:rsidR="0072333D" w:rsidRPr="005B6343" w:rsidRDefault="0072333D" w:rsidP="0072333D">
            <w:pPr>
              <w:pStyle w:val="TableText0"/>
              <w:keepNext/>
              <w:keepLines/>
              <w:jc w:val="center"/>
              <w:rPr>
                <w:rFonts w:ascii="Arial Narrow" w:hAnsi="Arial Narrow" w:cs="Arial"/>
                <w:bCs/>
                <w:color w:val="000000"/>
                <w:sz w:val="20"/>
                <w:szCs w:val="20"/>
              </w:rPr>
            </w:pPr>
            <w:r w:rsidRPr="005B6343">
              <w:rPr>
                <w:rFonts w:ascii="Arial Narrow" w:hAnsi="Arial Narrow"/>
                <w:sz w:val="20"/>
                <w:szCs w:val="20"/>
              </w:rPr>
              <w:t>-$</w:t>
            </w:r>
            <w:r w:rsidR="000836E1">
              <w:rPr>
                <w:rFonts w:ascii="Arial Narrow" w:hAnsi="Arial Narrow"/>
                <w:noProof/>
                <w:color w:val="000000"/>
                <w:sz w:val="20"/>
                <w:szCs w:val="20"/>
                <w:highlight w:val="black"/>
              </w:rPr>
              <w:t>'''''''''</w:t>
            </w:r>
          </w:p>
        </w:tc>
        <w:tc>
          <w:tcPr>
            <w:tcW w:w="675" w:type="pct"/>
            <w:tcBorders>
              <w:top w:val="single" w:sz="4" w:space="0" w:color="auto"/>
              <w:left w:val="single" w:sz="4" w:space="0" w:color="auto"/>
              <w:bottom w:val="single" w:sz="4" w:space="0" w:color="auto"/>
              <w:right w:val="single" w:sz="4" w:space="0" w:color="auto"/>
            </w:tcBorders>
            <w:shd w:val="clear" w:color="auto" w:fill="auto"/>
          </w:tcPr>
          <w:p w:rsidR="0072333D" w:rsidRPr="005B6343" w:rsidRDefault="0072333D" w:rsidP="0072333D">
            <w:pPr>
              <w:pStyle w:val="TableText0"/>
              <w:keepNext/>
              <w:keepLines/>
              <w:jc w:val="center"/>
              <w:rPr>
                <w:rFonts w:ascii="Arial Narrow" w:hAnsi="Arial Narrow" w:cs="Arial"/>
                <w:bCs/>
                <w:color w:val="000000"/>
                <w:sz w:val="20"/>
                <w:szCs w:val="20"/>
              </w:rPr>
            </w:pPr>
            <w:r w:rsidRPr="005B6343">
              <w:rPr>
                <w:rFonts w:ascii="Arial Narrow" w:hAnsi="Arial Narrow"/>
                <w:sz w:val="20"/>
                <w:szCs w:val="20"/>
              </w:rPr>
              <w:t>-$</w:t>
            </w:r>
            <w:r w:rsidR="000836E1">
              <w:rPr>
                <w:rFonts w:ascii="Arial Narrow" w:hAnsi="Arial Narrow"/>
                <w:noProof/>
                <w:color w:val="000000"/>
                <w:sz w:val="20"/>
                <w:szCs w:val="20"/>
                <w:highlight w:val="black"/>
              </w:rPr>
              <w:t>'''''''''</w:t>
            </w:r>
          </w:p>
        </w:tc>
        <w:tc>
          <w:tcPr>
            <w:tcW w:w="675" w:type="pct"/>
            <w:tcBorders>
              <w:top w:val="single" w:sz="4" w:space="0" w:color="auto"/>
              <w:left w:val="single" w:sz="4" w:space="0" w:color="auto"/>
              <w:bottom w:val="single" w:sz="4" w:space="0" w:color="auto"/>
              <w:right w:val="single" w:sz="4" w:space="0" w:color="auto"/>
            </w:tcBorders>
            <w:shd w:val="clear" w:color="auto" w:fill="auto"/>
          </w:tcPr>
          <w:p w:rsidR="0072333D" w:rsidRPr="005B6343" w:rsidRDefault="0072333D" w:rsidP="0072333D">
            <w:pPr>
              <w:pStyle w:val="TableText0"/>
              <w:keepNext/>
              <w:keepLines/>
              <w:jc w:val="center"/>
              <w:rPr>
                <w:rFonts w:ascii="Arial Narrow" w:hAnsi="Arial Narrow" w:cs="Arial"/>
                <w:bCs/>
                <w:color w:val="000000"/>
                <w:sz w:val="20"/>
                <w:szCs w:val="20"/>
              </w:rPr>
            </w:pPr>
            <w:r w:rsidRPr="005B6343">
              <w:rPr>
                <w:rFonts w:ascii="Arial Narrow" w:hAnsi="Arial Narrow"/>
                <w:sz w:val="20"/>
                <w:szCs w:val="20"/>
              </w:rPr>
              <w:t>-$</w:t>
            </w:r>
            <w:r w:rsidR="000836E1">
              <w:rPr>
                <w:rFonts w:ascii="Arial Narrow" w:hAnsi="Arial Narrow"/>
                <w:noProof/>
                <w:color w:val="000000"/>
                <w:sz w:val="20"/>
                <w:szCs w:val="20"/>
                <w:highlight w:val="black"/>
              </w:rPr>
              <w:t>'''</w:t>
            </w:r>
            <w:r w:rsidR="00B448D3">
              <w:rPr>
                <w:rFonts w:ascii="Arial Narrow" w:hAnsi="Arial Narrow"/>
                <w:noProof/>
                <w:color w:val="000000"/>
                <w:sz w:val="20"/>
                <w:szCs w:val="20"/>
                <w:highlight w:val="black"/>
              </w:rPr>
              <w:t>''''''</w:t>
            </w:r>
          </w:p>
        </w:tc>
      </w:tr>
      <w:tr w:rsidR="0072333D" w:rsidRPr="005B6343" w:rsidTr="00782A62">
        <w:tc>
          <w:tcPr>
            <w:tcW w:w="1091" w:type="pct"/>
            <w:tcBorders>
              <w:top w:val="single" w:sz="4" w:space="0" w:color="auto"/>
              <w:left w:val="single" w:sz="4" w:space="0" w:color="auto"/>
              <w:bottom w:val="single" w:sz="4" w:space="0" w:color="auto"/>
              <w:right w:val="single" w:sz="4" w:space="0" w:color="auto"/>
            </w:tcBorders>
            <w:shd w:val="clear" w:color="auto" w:fill="auto"/>
          </w:tcPr>
          <w:p w:rsidR="0072333D" w:rsidRPr="005B6343" w:rsidRDefault="0072333D" w:rsidP="0072333D">
            <w:pPr>
              <w:pStyle w:val="TableText0"/>
              <w:keepNext/>
              <w:keepLines/>
              <w:rPr>
                <w:rFonts w:ascii="Arial Narrow" w:hAnsi="Arial Narrow" w:cs="Arial"/>
                <w:b/>
                <w:sz w:val="20"/>
                <w:szCs w:val="20"/>
              </w:rPr>
            </w:pPr>
            <w:r w:rsidRPr="005B6343">
              <w:rPr>
                <w:rFonts w:ascii="Arial Narrow" w:hAnsi="Arial Narrow"/>
                <w:b/>
                <w:sz w:val="20"/>
                <w:szCs w:val="20"/>
              </w:rPr>
              <w:t>Net cost to RPBS</w:t>
            </w:r>
          </w:p>
        </w:tc>
        <w:tc>
          <w:tcPr>
            <w:tcW w:w="604" w:type="pct"/>
            <w:tcBorders>
              <w:top w:val="single" w:sz="4" w:space="0" w:color="auto"/>
              <w:left w:val="single" w:sz="4" w:space="0" w:color="auto"/>
              <w:bottom w:val="single" w:sz="4" w:space="0" w:color="auto"/>
              <w:right w:val="single" w:sz="4" w:space="0" w:color="auto"/>
            </w:tcBorders>
            <w:shd w:val="clear" w:color="auto" w:fill="auto"/>
            <w:vAlign w:val="center"/>
          </w:tcPr>
          <w:p w:rsidR="0072333D" w:rsidRPr="005B6343" w:rsidRDefault="0072333D" w:rsidP="0072333D">
            <w:pPr>
              <w:pStyle w:val="TableText0"/>
              <w:keepNext/>
              <w:keepLines/>
              <w:jc w:val="center"/>
              <w:rPr>
                <w:rFonts w:ascii="Arial Narrow" w:hAnsi="Arial Narrow" w:cs="Arial"/>
                <w:sz w:val="20"/>
                <w:szCs w:val="20"/>
              </w:rPr>
            </w:pPr>
            <w:r w:rsidRPr="005B6343">
              <w:rPr>
                <w:rFonts w:ascii="Arial Narrow" w:hAnsi="Arial Narrow" w:cs="Arial"/>
                <w:bCs/>
                <w:color w:val="000000"/>
                <w:sz w:val="20"/>
                <w:szCs w:val="20"/>
              </w:rPr>
              <w:t>$</w:t>
            </w:r>
            <w:r w:rsidR="000836E1">
              <w:rPr>
                <w:rFonts w:ascii="Arial Narrow" w:hAnsi="Arial Narrow" w:cs="Arial"/>
                <w:bCs/>
                <w:noProof/>
                <w:color w:val="000000"/>
                <w:sz w:val="20"/>
                <w:szCs w:val="20"/>
                <w:highlight w:val="black"/>
              </w:rPr>
              <w:t>'''''''''''''</w:t>
            </w:r>
          </w:p>
        </w:tc>
        <w:tc>
          <w:tcPr>
            <w:tcW w:w="605" w:type="pct"/>
            <w:tcBorders>
              <w:top w:val="single" w:sz="4" w:space="0" w:color="auto"/>
              <w:left w:val="single" w:sz="4" w:space="0" w:color="auto"/>
              <w:bottom w:val="single" w:sz="4" w:space="0" w:color="auto"/>
              <w:right w:val="single" w:sz="4" w:space="0" w:color="auto"/>
            </w:tcBorders>
            <w:shd w:val="clear" w:color="auto" w:fill="auto"/>
            <w:vAlign w:val="center"/>
          </w:tcPr>
          <w:p w:rsidR="0072333D" w:rsidRPr="005B6343" w:rsidRDefault="0072333D" w:rsidP="0072333D">
            <w:pPr>
              <w:pStyle w:val="TableText0"/>
              <w:keepNext/>
              <w:keepLines/>
              <w:jc w:val="center"/>
              <w:rPr>
                <w:rFonts w:ascii="Arial Narrow" w:hAnsi="Arial Narrow" w:cs="Arial"/>
                <w:sz w:val="20"/>
                <w:szCs w:val="20"/>
              </w:rPr>
            </w:pPr>
            <w:r w:rsidRPr="005B6343">
              <w:rPr>
                <w:rFonts w:ascii="Arial Narrow" w:hAnsi="Arial Narrow" w:cs="Arial"/>
                <w:bCs/>
                <w:color w:val="000000"/>
                <w:sz w:val="20"/>
                <w:szCs w:val="20"/>
              </w:rPr>
              <w:t>$</w:t>
            </w:r>
            <w:r w:rsidR="000836E1">
              <w:rPr>
                <w:rFonts w:ascii="Arial Narrow" w:hAnsi="Arial Narrow" w:cs="Arial"/>
                <w:bCs/>
                <w:noProof/>
                <w:color w:val="000000"/>
                <w:sz w:val="20"/>
                <w:szCs w:val="20"/>
                <w:highlight w:val="black"/>
              </w:rPr>
              <w:t>''''''''''''</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72333D" w:rsidRPr="005B6343" w:rsidRDefault="0072333D" w:rsidP="0072333D">
            <w:pPr>
              <w:pStyle w:val="TableText0"/>
              <w:keepNext/>
              <w:keepLines/>
              <w:jc w:val="center"/>
              <w:rPr>
                <w:rFonts w:ascii="Arial Narrow" w:hAnsi="Arial Narrow" w:cs="Arial"/>
                <w:sz w:val="20"/>
                <w:szCs w:val="20"/>
              </w:rPr>
            </w:pPr>
            <w:r w:rsidRPr="005B6343">
              <w:rPr>
                <w:rFonts w:ascii="Arial Narrow" w:hAnsi="Arial Narrow" w:cs="Arial"/>
                <w:bCs/>
                <w:color w:val="000000"/>
                <w:sz w:val="20"/>
                <w:szCs w:val="20"/>
              </w:rPr>
              <w:t>$</w:t>
            </w:r>
            <w:r w:rsidR="000836E1">
              <w:rPr>
                <w:rFonts w:ascii="Arial Narrow" w:hAnsi="Arial Narrow" w:cs="Arial"/>
                <w:bCs/>
                <w:noProof/>
                <w:color w:val="000000"/>
                <w:sz w:val="20"/>
                <w:szCs w:val="20"/>
                <w:highlight w:val="black"/>
              </w:rPr>
              <w:t>''''''''''''''</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72333D" w:rsidRPr="005B6343" w:rsidRDefault="0072333D" w:rsidP="0072333D">
            <w:pPr>
              <w:pStyle w:val="TableText0"/>
              <w:keepNext/>
              <w:keepLines/>
              <w:jc w:val="center"/>
              <w:rPr>
                <w:rFonts w:ascii="Arial Narrow" w:hAnsi="Arial Narrow" w:cs="Arial"/>
                <w:sz w:val="20"/>
                <w:szCs w:val="20"/>
              </w:rPr>
            </w:pPr>
            <w:r w:rsidRPr="005B6343">
              <w:rPr>
                <w:rFonts w:ascii="Arial Narrow" w:hAnsi="Arial Narrow" w:cs="Arial"/>
                <w:bCs/>
                <w:color w:val="000000"/>
                <w:sz w:val="20"/>
                <w:szCs w:val="20"/>
              </w:rPr>
              <w:t>$</w:t>
            </w:r>
            <w:r w:rsidR="000836E1">
              <w:rPr>
                <w:rFonts w:ascii="Arial Narrow" w:hAnsi="Arial Narrow" w:cs="Arial"/>
                <w:bCs/>
                <w:noProof/>
                <w:color w:val="000000"/>
                <w:sz w:val="20"/>
                <w:szCs w:val="20"/>
                <w:highlight w:val="black"/>
              </w:rPr>
              <w:t>'''''''''''''''</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72333D" w:rsidRPr="005B6343" w:rsidRDefault="0072333D" w:rsidP="0072333D">
            <w:pPr>
              <w:pStyle w:val="TableText0"/>
              <w:keepNext/>
              <w:keepLines/>
              <w:jc w:val="center"/>
              <w:rPr>
                <w:rFonts w:ascii="Arial Narrow" w:hAnsi="Arial Narrow" w:cs="Arial"/>
                <w:sz w:val="20"/>
                <w:szCs w:val="20"/>
              </w:rPr>
            </w:pPr>
            <w:r w:rsidRPr="005B6343">
              <w:rPr>
                <w:rFonts w:ascii="Arial Narrow" w:hAnsi="Arial Narrow" w:cs="Arial"/>
                <w:bCs/>
                <w:color w:val="000000"/>
                <w:sz w:val="20"/>
                <w:szCs w:val="20"/>
              </w:rPr>
              <w:t>$</w:t>
            </w:r>
            <w:r w:rsidR="000836E1">
              <w:rPr>
                <w:rFonts w:ascii="Arial Narrow" w:hAnsi="Arial Narrow" w:cs="Arial"/>
                <w:bCs/>
                <w:noProof/>
                <w:color w:val="000000"/>
                <w:sz w:val="20"/>
                <w:szCs w:val="20"/>
                <w:highlight w:val="black"/>
              </w:rPr>
              <w:t>'''''''''''''''</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72333D" w:rsidRPr="005B6343" w:rsidRDefault="0072333D" w:rsidP="0072333D">
            <w:pPr>
              <w:pStyle w:val="TableText0"/>
              <w:keepNext/>
              <w:keepLines/>
              <w:jc w:val="center"/>
              <w:rPr>
                <w:rFonts w:ascii="Arial Narrow" w:hAnsi="Arial Narrow" w:cs="Arial"/>
                <w:sz w:val="20"/>
                <w:szCs w:val="20"/>
              </w:rPr>
            </w:pPr>
            <w:r w:rsidRPr="005B6343">
              <w:rPr>
                <w:rFonts w:ascii="Arial Narrow" w:hAnsi="Arial Narrow" w:cs="Arial"/>
                <w:bCs/>
                <w:color w:val="000000"/>
                <w:sz w:val="20"/>
                <w:szCs w:val="20"/>
              </w:rPr>
              <w:t>$</w:t>
            </w:r>
            <w:r w:rsidR="000836E1">
              <w:rPr>
                <w:rFonts w:ascii="Arial Narrow" w:hAnsi="Arial Narrow" w:cs="Arial"/>
                <w:bCs/>
                <w:noProof/>
                <w:color w:val="000000"/>
                <w:sz w:val="20"/>
                <w:szCs w:val="20"/>
                <w:highlight w:val="black"/>
              </w:rPr>
              <w:t>''''''''''''''''</w:t>
            </w:r>
          </w:p>
        </w:tc>
      </w:tr>
      <w:tr w:rsidR="0072333D" w:rsidRPr="005B6343" w:rsidTr="00782A62">
        <w:tc>
          <w:tcPr>
            <w:tcW w:w="1091" w:type="pct"/>
            <w:tcBorders>
              <w:top w:val="single" w:sz="4" w:space="0" w:color="auto"/>
              <w:left w:val="single" w:sz="4" w:space="0" w:color="auto"/>
              <w:bottom w:val="single" w:sz="4" w:space="0" w:color="auto"/>
              <w:right w:val="single" w:sz="4" w:space="0" w:color="auto"/>
            </w:tcBorders>
            <w:shd w:val="clear" w:color="auto" w:fill="auto"/>
            <w:hideMark/>
          </w:tcPr>
          <w:p w:rsidR="0072333D" w:rsidRPr="005B6343" w:rsidRDefault="0072333D" w:rsidP="0072333D">
            <w:pPr>
              <w:pStyle w:val="TableText0"/>
              <w:keepNext/>
              <w:keepLines/>
              <w:rPr>
                <w:rFonts w:ascii="Arial Narrow" w:hAnsi="Arial Narrow" w:cs="Arial"/>
                <w:b/>
                <w:sz w:val="20"/>
                <w:szCs w:val="20"/>
              </w:rPr>
            </w:pPr>
            <w:r w:rsidRPr="005B6343">
              <w:rPr>
                <w:rFonts w:ascii="Arial Narrow" w:hAnsi="Arial Narrow" w:cs="Arial"/>
                <w:b/>
                <w:sz w:val="20"/>
                <w:szCs w:val="20"/>
              </w:rPr>
              <w:t>Net cost to PBS/RPBS</w:t>
            </w:r>
          </w:p>
        </w:tc>
        <w:tc>
          <w:tcPr>
            <w:tcW w:w="604" w:type="pct"/>
            <w:tcBorders>
              <w:top w:val="single" w:sz="4" w:space="0" w:color="auto"/>
              <w:left w:val="single" w:sz="4" w:space="0" w:color="auto"/>
              <w:bottom w:val="single" w:sz="4" w:space="0" w:color="auto"/>
              <w:right w:val="single" w:sz="4" w:space="0" w:color="auto"/>
            </w:tcBorders>
            <w:shd w:val="clear" w:color="auto" w:fill="auto"/>
          </w:tcPr>
          <w:p w:rsidR="0072333D" w:rsidRPr="005B6343" w:rsidRDefault="0072333D" w:rsidP="0072333D">
            <w:pPr>
              <w:pStyle w:val="TableText0"/>
              <w:keepNext/>
              <w:keepLines/>
              <w:jc w:val="center"/>
              <w:rPr>
                <w:rFonts w:ascii="Arial Narrow" w:hAnsi="Arial Narrow"/>
                <w:b/>
                <w:sz w:val="20"/>
                <w:szCs w:val="20"/>
              </w:rPr>
            </w:pPr>
            <w:r w:rsidRPr="005B6343">
              <w:rPr>
                <w:rFonts w:ascii="Arial Narrow" w:hAnsi="Arial Narrow"/>
                <w:b/>
                <w:sz w:val="20"/>
                <w:szCs w:val="20"/>
              </w:rPr>
              <w:t>$</w:t>
            </w:r>
            <w:r w:rsidR="000836E1">
              <w:rPr>
                <w:rFonts w:ascii="Arial Narrow" w:hAnsi="Arial Narrow"/>
                <w:b/>
                <w:noProof/>
                <w:color w:val="000000"/>
                <w:sz w:val="20"/>
                <w:szCs w:val="20"/>
                <w:highlight w:val="black"/>
              </w:rPr>
              <w:t>''''''''''''''''''</w:t>
            </w:r>
          </w:p>
        </w:tc>
        <w:tc>
          <w:tcPr>
            <w:tcW w:w="605" w:type="pct"/>
            <w:tcBorders>
              <w:top w:val="single" w:sz="4" w:space="0" w:color="auto"/>
              <w:left w:val="single" w:sz="4" w:space="0" w:color="auto"/>
              <w:bottom w:val="single" w:sz="4" w:space="0" w:color="auto"/>
              <w:right w:val="single" w:sz="4" w:space="0" w:color="auto"/>
            </w:tcBorders>
            <w:shd w:val="clear" w:color="auto" w:fill="auto"/>
          </w:tcPr>
          <w:p w:rsidR="0072333D" w:rsidRPr="005B6343" w:rsidRDefault="0072333D" w:rsidP="0072333D">
            <w:pPr>
              <w:pStyle w:val="TableText0"/>
              <w:keepNext/>
              <w:keepLines/>
              <w:jc w:val="center"/>
              <w:rPr>
                <w:rFonts w:ascii="Arial Narrow" w:hAnsi="Arial Narrow"/>
                <w:b/>
                <w:sz w:val="20"/>
                <w:szCs w:val="20"/>
              </w:rPr>
            </w:pPr>
            <w:r w:rsidRPr="005B6343">
              <w:rPr>
                <w:rFonts w:ascii="Arial Narrow" w:hAnsi="Arial Narrow"/>
                <w:b/>
                <w:sz w:val="20"/>
                <w:szCs w:val="20"/>
              </w:rPr>
              <w:t>$</w:t>
            </w:r>
            <w:r w:rsidR="000836E1">
              <w:rPr>
                <w:rFonts w:ascii="Arial Narrow" w:hAnsi="Arial Narrow"/>
                <w:b/>
                <w:noProof/>
                <w:color w:val="000000"/>
                <w:sz w:val="20"/>
                <w:szCs w:val="20"/>
                <w:highlight w:val="black"/>
              </w:rPr>
              <w:t>'''''''''''''''</w:t>
            </w:r>
          </w:p>
        </w:tc>
        <w:tc>
          <w:tcPr>
            <w:tcW w:w="675" w:type="pct"/>
            <w:tcBorders>
              <w:top w:val="single" w:sz="4" w:space="0" w:color="auto"/>
              <w:left w:val="single" w:sz="4" w:space="0" w:color="auto"/>
              <w:bottom w:val="single" w:sz="4" w:space="0" w:color="auto"/>
              <w:right w:val="single" w:sz="4" w:space="0" w:color="auto"/>
            </w:tcBorders>
            <w:shd w:val="clear" w:color="auto" w:fill="auto"/>
          </w:tcPr>
          <w:p w:rsidR="0072333D" w:rsidRPr="005B6343" w:rsidRDefault="0072333D" w:rsidP="0072333D">
            <w:pPr>
              <w:pStyle w:val="TableText0"/>
              <w:keepNext/>
              <w:keepLines/>
              <w:jc w:val="center"/>
              <w:rPr>
                <w:rFonts w:ascii="Arial Narrow" w:hAnsi="Arial Narrow"/>
                <w:b/>
                <w:sz w:val="20"/>
                <w:szCs w:val="20"/>
              </w:rPr>
            </w:pPr>
            <w:r w:rsidRPr="005B6343">
              <w:rPr>
                <w:rFonts w:ascii="Arial Narrow" w:hAnsi="Arial Narrow"/>
                <w:b/>
                <w:sz w:val="20"/>
                <w:szCs w:val="20"/>
              </w:rPr>
              <w:t>$</w:t>
            </w:r>
            <w:r w:rsidR="000836E1">
              <w:rPr>
                <w:rFonts w:ascii="Arial Narrow" w:hAnsi="Arial Narrow"/>
                <w:b/>
                <w:noProof/>
                <w:color w:val="000000"/>
                <w:sz w:val="20"/>
                <w:szCs w:val="20"/>
                <w:highlight w:val="black"/>
              </w:rPr>
              <w:t>'''''''''''''''''</w:t>
            </w:r>
          </w:p>
        </w:tc>
        <w:tc>
          <w:tcPr>
            <w:tcW w:w="675" w:type="pct"/>
            <w:tcBorders>
              <w:top w:val="single" w:sz="4" w:space="0" w:color="auto"/>
              <w:left w:val="single" w:sz="4" w:space="0" w:color="auto"/>
              <w:bottom w:val="single" w:sz="4" w:space="0" w:color="auto"/>
              <w:right w:val="single" w:sz="4" w:space="0" w:color="auto"/>
            </w:tcBorders>
            <w:shd w:val="clear" w:color="auto" w:fill="auto"/>
          </w:tcPr>
          <w:p w:rsidR="0072333D" w:rsidRPr="005B6343" w:rsidRDefault="0072333D" w:rsidP="0072333D">
            <w:pPr>
              <w:pStyle w:val="TableText0"/>
              <w:keepNext/>
              <w:keepLines/>
              <w:jc w:val="center"/>
              <w:rPr>
                <w:rFonts w:ascii="Arial Narrow" w:hAnsi="Arial Narrow"/>
                <w:b/>
                <w:sz w:val="20"/>
                <w:szCs w:val="20"/>
              </w:rPr>
            </w:pPr>
            <w:r w:rsidRPr="005B6343">
              <w:rPr>
                <w:rFonts w:ascii="Arial Narrow" w:hAnsi="Arial Narrow"/>
                <w:b/>
                <w:sz w:val="20"/>
                <w:szCs w:val="20"/>
              </w:rPr>
              <w:t>$</w:t>
            </w:r>
            <w:r w:rsidR="000836E1">
              <w:rPr>
                <w:rFonts w:ascii="Arial Narrow" w:hAnsi="Arial Narrow"/>
                <w:b/>
                <w:noProof/>
                <w:color w:val="000000"/>
                <w:sz w:val="20"/>
                <w:szCs w:val="20"/>
                <w:highlight w:val="black"/>
              </w:rPr>
              <w:t>''''''''''''''''</w:t>
            </w:r>
          </w:p>
        </w:tc>
        <w:tc>
          <w:tcPr>
            <w:tcW w:w="675" w:type="pct"/>
            <w:tcBorders>
              <w:top w:val="single" w:sz="4" w:space="0" w:color="auto"/>
              <w:left w:val="single" w:sz="4" w:space="0" w:color="auto"/>
              <w:bottom w:val="single" w:sz="4" w:space="0" w:color="auto"/>
              <w:right w:val="single" w:sz="4" w:space="0" w:color="auto"/>
            </w:tcBorders>
            <w:shd w:val="clear" w:color="auto" w:fill="auto"/>
          </w:tcPr>
          <w:p w:rsidR="0072333D" w:rsidRPr="005B6343" w:rsidRDefault="0072333D" w:rsidP="0072333D">
            <w:pPr>
              <w:pStyle w:val="TableText0"/>
              <w:keepNext/>
              <w:keepLines/>
              <w:jc w:val="center"/>
              <w:rPr>
                <w:rFonts w:ascii="Arial Narrow" w:hAnsi="Arial Narrow"/>
                <w:b/>
                <w:sz w:val="20"/>
                <w:szCs w:val="20"/>
              </w:rPr>
            </w:pPr>
            <w:r w:rsidRPr="005B6343">
              <w:rPr>
                <w:rFonts w:ascii="Arial Narrow" w:hAnsi="Arial Narrow"/>
                <w:b/>
                <w:sz w:val="20"/>
                <w:szCs w:val="20"/>
              </w:rPr>
              <w:t>$</w:t>
            </w:r>
            <w:r w:rsidR="000836E1">
              <w:rPr>
                <w:rFonts w:ascii="Arial Narrow" w:hAnsi="Arial Narrow"/>
                <w:b/>
                <w:noProof/>
                <w:color w:val="000000"/>
                <w:sz w:val="20"/>
                <w:szCs w:val="20"/>
                <w:highlight w:val="black"/>
              </w:rPr>
              <w:t>'''''''''''''''</w:t>
            </w:r>
          </w:p>
        </w:tc>
        <w:tc>
          <w:tcPr>
            <w:tcW w:w="675" w:type="pct"/>
            <w:tcBorders>
              <w:top w:val="single" w:sz="4" w:space="0" w:color="auto"/>
              <w:left w:val="single" w:sz="4" w:space="0" w:color="auto"/>
              <w:bottom w:val="single" w:sz="4" w:space="0" w:color="auto"/>
              <w:right w:val="single" w:sz="4" w:space="0" w:color="auto"/>
            </w:tcBorders>
            <w:shd w:val="clear" w:color="auto" w:fill="auto"/>
          </w:tcPr>
          <w:p w:rsidR="0072333D" w:rsidRPr="005B6343" w:rsidRDefault="0072333D" w:rsidP="0072333D">
            <w:pPr>
              <w:pStyle w:val="TableText0"/>
              <w:keepNext/>
              <w:keepLines/>
              <w:jc w:val="center"/>
              <w:rPr>
                <w:rFonts w:ascii="Arial Narrow" w:hAnsi="Arial Narrow"/>
                <w:b/>
                <w:sz w:val="20"/>
                <w:szCs w:val="20"/>
              </w:rPr>
            </w:pPr>
            <w:r w:rsidRPr="005B6343">
              <w:rPr>
                <w:rFonts w:ascii="Arial Narrow" w:hAnsi="Arial Narrow"/>
                <w:b/>
                <w:sz w:val="20"/>
                <w:szCs w:val="20"/>
              </w:rPr>
              <w:t>$</w:t>
            </w:r>
            <w:r w:rsidR="000836E1">
              <w:rPr>
                <w:rFonts w:ascii="Arial Narrow" w:hAnsi="Arial Narrow"/>
                <w:b/>
                <w:noProof/>
                <w:color w:val="000000"/>
                <w:sz w:val="20"/>
                <w:szCs w:val="20"/>
                <w:highlight w:val="black"/>
              </w:rPr>
              <w:t>''''''''''''''''''</w:t>
            </w:r>
          </w:p>
        </w:tc>
      </w:tr>
    </w:tbl>
    <w:p w:rsidR="00BB7EC3" w:rsidRDefault="0072333D" w:rsidP="00356221">
      <w:pPr>
        <w:spacing w:after="120"/>
        <w:rPr>
          <w:rFonts w:ascii="Arial Narrow" w:hAnsi="Arial Narrow"/>
          <w:sz w:val="20"/>
          <w:szCs w:val="20"/>
        </w:rPr>
      </w:pPr>
      <w:r w:rsidRPr="005B6343">
        <w:rPr>
          <w:rFonts w:ascii="Arial Narrow" w:hAnsi="Arial Narrow"/>
          <w:sz w:val="20"/>
          <w:szCs w:val="20"/>
        </w:rPr>
        <w:t xml:space="preserve">Source: </w:t>
      </w:r>
      <w:r w:rsidR="00C5093C" w:rsidRPr="005B6343">
        <w:rPr>
          <w:rFonts w:ascii="Arial Narrow" w:hAnsi="Arial Narrow"/>
          <w:sz w:val="20"/>
          <w:szCs w:val="20"/>
        </w:rPr>
        <w:t>S</w:t>
      </w:r>
      <w:r w:rsidRPr="005B6343">
        <w:rPr>
          <w:rFonts w:ascii="Arial Narrow" w:hAnsi="Arial Narrow"/>
          <w:sz w:val="20"/>
          <w:szCs w:val="20"/>
        </w:rPr>
        <w:t xml:space="preserve">heet 3c. Impact – EFF of Budesonide (BUDENOFALK) Utilisation and Cost </w:t>
      </w:r>
      <w:proofErr w:type="spellStart"/>
      <w:r w:rsidRPr="005B6343">
        <w:rPr>
          <w:rFonts w:ascii="Arial Narrow" w:hAnsi="Arial Narrow"/>
          <w:sz w:val="20"/>
          <w:szCs w:val="20"/>
        </w:rPr>
        <w:t>Model</w:t>
      </w:r>
      <w:r w:rsidR="009E2305" w:rsidRPr="005B6343">
        <w:rPr>
          <w:rFonts w:ascii="Arial Narrow" w:hAnsi="Arial Narrow"/>
          <w:sz w:val="20"/>
          <w:szCs w:val="20"/>
        </w:rPr>
        <w:t>.x</w:t>
      </w:r>
      <w:r w:rsidR="006751A5" w:rsidRPr="005B6343">
        <w:rPr>
          <w:rFonts w:ascii="Arial Narrow" w:hAnsi="Arial Narrow"/>
          <w:sz w:val="20"/>
          <w:szCs w:val="20"/>
        </w:rPr>
        <w:t>l</w:t>
      </w:r>
      <w:r w:rsidR="009E2305" w:rsidRPr="005B6343">
        <w:rPr>
          <w:rFonts w:ascii="Arial Narrow" w:hAnsi="Arial Narrow"/>
          <w:sz w:val="20"/>
          <w:szCs w:val="20"/>
        </w:rPr>
        <w:t>xs</w:t>
      </w:r>
      <w:proofErr w:type="spellEnd"/>
      <w:r w:rsidR="006751A5" w:rsidRPr="005B6343">
        <w:rPr>
          <w:rFonts w:ascii="Arial Narrow" w:hAnsi="Arial Narrow"/>
          <w:sz w:val="20"/>
          <w:szCs w:val="20"/>
        </w:rPr>
        <w:t xml:space="preserve"> </w:t>
      </w:r>
      <w:r w:rsidR="008B4C88" w:rsidRPr="005B6343">
        <w:rPr>
          <w:rFonts w:ascii="Arial Narrow" w:hAnsi="Arial Narrow"/>
          <w:sz w:val="20"/>
          <w:szCs w:val="20"/>
        </w:rPr>
        <w:t>provided in the submission.</w:t>
      </w:r>
    </w:p>
    <w:p w:rsidR="00ED2A62" w:rsidRPr="00D15D1B" w:rsidRDefault="00ED2A62" w:rsidP="00366F9E">
      <w:pPr>
        <w:spacing w:after="120"/>
        <w:rPr>
          <w:rFonts w:asciiTheme="minorHAnsi" w:hAnsiTheme="minorHAnsi" w:cstheme="minorHAnsi"/>
          <w:i/>
        </w:rPr>
      </w:pPr>
      <w:r w:rsidRPr="00D15D1B">
        <w:rPr>
          <w:rFonts w:asciiTheme="minorHAnsi" w:hAnsiTheme="minorHAnsi" w:cstheme="minorHAnsi"/>
          <w:i/>
        </w:rPr>
        <w:t xml:space="preserve">The redacted table shows that at Year 6, the estimated number of prescriptions was 10,000 to 50,000 and the net cost to </w:t>
      </w:r>
      <w:r w:rsidR="00A649E3" w:rsidRPr="00D15D1B">
        <w:rPr>
          <w:rFonts w:asciiTheme="minorHAnsi" w:hAnsiTheme="minorHAnsi" w:cstheme="minorHAnsi"/>
          <w:i/>
        </w:rPr>
        <w:t xml:space="preserve">the </w:t>
      </w:r>
      <w:r w:rsidRPr="00D15D1B">
        <w:rPr>
          <w:rFonts w:asciiTheme="minorHAnsi" w:hAnsiTheme="minorHAnsi" w:cstheme="minorHAnsi"/>
          <w:i/>
        </w:rPr>
        <w:t xml:space="preserve">PBS/RPBS would be less than $10 million. </w:t>
      </w:r>
    </w:p>
    <w:p w:rsidR="003C70FB" w:rsidRPr="005B6343" w:rsidRDefault="008F0849" w:rsidP="00366F9E">
      <w:pPr>
        <w:pStyle w:val="ListParagraph"/>
        <w:widowControl/>
        <w:numPr>
          <w:ilvl w:val="1"/>
          <w:numId w:val="14"/>
        </w:numPr>
        <w:spacing w:after="120"/>
        <w:contextualSpacing w:val="0"/>
        <w:rPr>
          <w:rFonts w:asciiTheme="minorHAnsi" w:hAnsiTheme="minorHAnsi"/>
          <w:sz w:val="24"/>
          <w:szCs w:val="24"/>
        </w:rPr>
      </w:pPr>
      <w:r w:rsidRPr="005B6343">
        <w:rPr>
          <w:rFonts w:asciiTheme="minorHAnsi" w:hAnsiTheme="minorHAnsi"/>
          <w:sz w:val="24"/>
          <w:szCs w:val="24"/>
        </w:rPr>
        <w:t xml:space="preserve">The treatment duration of </w:t>
      </w:r>
      <w:proofErr w:type="spellStart"/>
      <w:r w:rsidRPr="005B6343">
        <w:rPr>
          <w:rFonts w:asciiTheme="minorHAnsi" w:hAnsiTheme="minorHAnsi"/>
          <w:sz w:val="24"/>
          <w:szCs w:val="24"/>
        </w:rPr>
        <w:t>Budenofalk</w:t>
      </w:r>
      <w:proofErr w:type="spellEnd"/>
      <w:r w:rsidRPr="005B6343">
        <w:rPr>
          <w:rFonts w:asciiTheme="minorHAnsi" w:hAnsiTheme="minorHAnsi"/>
          <w:sz w:val="24"/>
          <w:szCs w:val="24"/>
        </w:rPr>
        <w:t xml:space="preserve"> did not appear to </w:t>
      </w:r>
      <w:proofErr w:type="gramStart"/>
      <w:r w:rsidRPr="005B6343">
        <w:rPr>
          <w:rFonts w:asciiTheme="minorHAnsi" w:hAnsiTheme="minorHAnsi"/>
          <w:sz w:val="24"/>
          <w:szCs w:val="24"/>
        </w:rPr>
        <w:t>have been taken</w:t>
      </w:r>
      <w:proofErr w:type="gramEnd"/>
      <w:r w:rsidRPr="005B6343">
        <w:rPr>
          <w:rFonts w:asciiTheme="minorHAnsi" w:hAnsiTheme="minorHAnsi"/>
          <w:sz w:val="24"/>
          <w:szCs w:val="24"/>
        </w:rPr>
        <w:t xml:space="preserve"> into account when calculating the financial estimates. The financial implication of </w:t>
      </w:r>
      <w:proofErr w:type="spellStart"/>
      <w:r w:rsidRPr="005B6343">
        <w:rPr>
          <w:rFonts w:asciiTheme="minorHAnsi" w:hAnsiTheme="minorHAnsi"/>
          <w:sz w:val="24"/>
          <w:szCs w:val="24"/>
        </w:rPr>
        <w:t>Budenofalk</w:t>
      </w:r>
      <w:proofErr w:type="spellEnd"/>
      <w:r w:rsidRPr="005B6343">
        <w:rPr>
          <w:rFonts w:asciiTheme="minorHAnsi" w:hAnsiTheme="minorHAnsi"/>
          <w:sz w:val="24"/>
          <w:szCs w:val="24"/>
        </w:rPr>
        <w:t xml:space="preserve"> may be less than </w:t>
      </w:r>
      <w:proofErr w:type="spellStart"/>
      <w:r w:rsidRPr="005B6343">
        <w:rPr>
          <w:rFonts w:asciiTheme="minorHAnsi" w:hAnsiTheme="minorHAnsi"/>
          <w:sz w:val="24"/>
          <w:szCs w:val="24"/>
        </w:rPr>
        <w:t>Entocort</w:t>
      </w:r>
      <w:proofErr w:type="spellEnd"/>
      <w:r w:rsidRPr="005B6343">
        <w:rPr>
          <w:rFonts w:asciiTheme="minorHAnsi" w:hAnsiTheme="minorHAnsi"/>
          <w:sz w:val="24"/>
          <w:szCs w:val="24"/>
        </w:rPr>
        <w:t xml:space="preserve"> given the approved treatment duration of </w:t>
      </w:r>
      <w:proofErr w:type="spellStart"/>
      <w:r w:rsidRPr="005B6343">
        <w:rPr>
          <w:rFonts w:asciiTheme="minorHAnsi" w:hAnsiTheme="minorHAnsi"/>
          <w:sz w:val="24"/>
          <w:szCs w:val="24"/>
        </w:rPr>
        <w:t>Budenofalk</w:t>
      </w:r>
      <w:proofErr w:type="spellEnd"/>
      <w:r w:rsidRPr="005B6343">
        <w:rPr>
          <w:rFonts w:asciiTheme="minorHAnsi" w:hAnsiTheme="minorHAnsi"/>
          <w:sz w:val="24"/>
          <w:szCs w:val="24"/>
        </w:rPr>
        <w:t xml:space="preserve"> (</w:t>
      </w:r>
      <w:r w:rsidR="00522DFD" w:rsidRPr="005B6343">
        <w:rPr>
          <w:rFonts w:asciiTheme="minorHAnsi" w:hAnsiTheme="minorHAnsi"/>
          <w:sz w:val="24"/>
          <w:szCs w:val="24"/>
        </w:rPr>
        <w:t>10</w:t>
      </w:r>
      <w:r w:rsidRPr="005B6343">
        <w:rPr>
          <w:rFonts w:asciiTheme="minorHAnsi" w:hAnsiTheme="minorHAnsi"/>
          <w:sz w:val="24"/>
          <w:szCs w:val="24"/>
        </w:rPr>
        <w:t xml:space="preserve"> weeks) is shorter than </w:t>
      </w:r>
      <w:proofErr w:type="spellStart"/>
      <w:r w:rsidRPr="005B6343">
        <w:rPr>
          <w:rFonts w:asciiTheme="minorHAnsi" w:hAnsiTheme="minorHAnsi"/>
          <w:sz w:val="24"/>
          <w:szCs w:val="24"/>
        </w:rPr>
        <w:t>Entocort</w:t>
      </w:r>
      <w:proofErr w:type="spellEnd"/>
      <w:r w:rsidRPr="005B6343">
        <w:rPr>
          <w:rFonts w:asciiTheme="minorHAnsi" w:hAnsiTheme="minorHAnsi"/>
          <w:sz w:val="24"/>
          <w:szCs w:val="24"/>
        </w:rPr>
        <w:t xml:space="preserve"> (12 weeks). </w:t>
      </w:r>
      <w:r w:rsidR="003C70FB" w:rsidRPr="005B6343">
        <w:rPr>
          <w:rFonts w:asciiTheme="minorHAnsi" w:hAnsiTheme="minorHAnsi"/>
          <w:sz w:val="24"/>
          <w:szCs w:val="24"/>
        </w:rPr>
        <w:t xml:space="preserve">The financial implication provided in the submission showed a net cost to the PBS/RPBS. </w:t>
      </w:r>
    </w:p>
    <w:p w:rsidR="00B84BFE" w:rsidRPr="005B6343" w:rsidRDefault="00B84BFE" w:rsidP="00366F9E">
      <w:pPr>
        <w:pStyle w:val="ListParagraph"/>
        <w:widowControl/>
        <w:numPr>
          <w:ilvl w:val="1"/>
          <w:numId w:val="14"/>
        </w:numPr>
        <w:spacing w:after="120"/>
        <w:contextualSpacing w:val="0"/>
        <w:rPr>
          <w:rFonts w:asciiTheme="minorHAnsi" w:hAnsiTheme="minorHAnsi"/>
          <w:sz w:val="24"/>
          <w:szCs w:val="24"/>
        </w:rPr>
      </w:pPr>
      <w:r w:rsidRPr="005B6343">
        <w:rPr>
          <w:rFonts w:asciiTheme="minorHAnsi" w:hAnsiTheme="minorHAnsi"/>
          <w:sz w:val="24"/>
          <w:szCs w:val="24"/>
        </w:rPr>
        <w:t xml:space="preserve">As a minor </w:t>
      </w:r>
      <w:r w:rsidR="006410EC" w:rsidRPr="005B6343">
        <w:rPr>
          <w:rFonts w:asciiTheme="minorHAnsi" w:hAnsiTheme="minorHAnsi"/>
          <w:sz w:val="24"/>
          <w:szCs w:val="24"/>
        </w:rPr>
        <w:t>submission,</w:t>
      </w:r>
      <w:r w:rsidRPr="005B6343">
        <w:rPr>
          <w:rFonts w:asciiTheme="minorHAnsi" w:hAnsiTheme="minorHAnsi"/>
          <w:sz w:val="24"/>
          <w:szCs w:val="24"/>
        </w:rPr>
        <w:t xml:space="preserve"> the financial estimates have </w:t>
      </w:r>
      <w:proofErr w:type="gramStart"/>
      <w:r w:rsidRPr="005B6343">
        <w:rPr>
          <w:rFonts w:asciiTheme="minorHAnsi" w:hAnsiTheme="minorHAnsi"/>
          <w:sz w:val="24"/>
          <w:szCs w:val="24"/>
        </w:rPr>
        <w:t>not been independently</w:t>
      </w:r>
      <w:proofErr w:type="gramEnd"/>
      <w:r w:rsidRPr="005B6343">
        <w:rPr>
          <w:rFonts w:asciiTheme="minorHAnsi" w:hAnsiTheme="minorHAnsi"/>
          <w:sz w:val="24"/>
          <w:szCs w:val="24"/>
        </w:rPr>
        <w:t xml:space="preserve"> evaluated.</w:t>
      </w:r>
    </w:p>
    <w:p w:rsidR="00F3689E" w:rsidRDefault="004A26D9" w:rsidP="00366F9E">
      <w:pPr>
        <w:spacing w:after="120"/>
        <w:rPr>
          <w:rFonts w:asciiTheme="minorHAnsi" w:hAnsiTheme="minorHAnsi"/>
          <w:i/>
        </w:rPr>
      </w:pPr>
      <w:r w:rsidRPr="005B6343">
        <w:rPr>
          <w:rFonts w:asciiTheme="minorHAnsi" w:hAnsiTheme="minorHAnsi"/>
          <w:i/>
        </w:rPr>
        <w:t>For more detail on PBAC’s view, see section 7 PBAC outcome.</w:t>
      </w:r>
    </w:p>
    <w:p w:rsidR="00C026A5" w:rsidRPr="005B6343" w:rsidRDefault="00C026A5" w:rsidP="00366F9E">
      <w:pPr>
        <w:spacing w:after="120"/>
        <w:rPr>
          <w:rFonts w:asciiTheme="minorHAnsi" w:hAnsiTheme="minorHAnsi"/>
          <w:i/>
        </w:rPr>
      </w:pPr>
    </w:p>
    <w:p w:rsidR="0020444A" w:rsidRPr="005B6343" w:rsidRDefault="0020444A" w:rsidP="00366F9E">
      <w:pPr>
        <w:widowControl w:val="0"/>
        <w:numPr>
          <w:ilvl w:val="0"/>
          <w:numId w:val="5"/>
        </w:numPr>
        <w:spacing w:before="240" w:after="120"/>
        <w:jc w:val="both"/>
        <w:outlineLvl w:val="0"/>
        <w:rPr>
          <w:rFonts w:asciiTheme="minorHAnsi" w:hAnsiTheme="minorHAnsi" w:cs="Arial"/>
          <w:b/>
          <w:bCs/>
          <w:snapToGrid w:val="0"/>
          <w:sz w:val="32"/>
        </w:rPr>
      </w:pPr>
      <w:r w:rsidRPr="005B6343">
        <w:rPr>
          <w:rFonts w:asciiTheme="minorHAnsi" w:hAnsiTheme="minorHAnsi" w:cs="Arial"/>
          <w:b/>
          <w:bCs/>
          <w:snapToGrid w:val="0"/>
          <w:sz w:val="32"/>
        </w:rPr>
        <w:lastRenderedPageBreak/>
        <w:t>PBAC Outcome</w:t>
      </w:r>
    </w:p>
    <w:p w:rsidR="00E122FB" w:rsidRPr="002A6C4B" w:rsidRDefault="0020444A" w:rsidP="00366F9E">
      <w:pPr>
        <w:widowControl w:val="0"/>
        <w:numPr>
          <w:ilvl w:val="1"/>
          <w:numId w:val="5"/>
        </w:numPr>
        <w:spacing w:after="120"/>
        <w:jc w:val="both"/>
        <w:rPr>
          <w:rFonts w:asciiTheme="minorHAnsi" w:hAnsiTheme="minorHAnsi" w:cs="Arial"/>
          <w:bCs/>
          <w:snapToGrid w:val="0"/>
        </w:rPr>
      </w:pPr>
      <w:r w:rsidRPr="002A6C4B">
        <w:rPr>
          <w:rFonts w:asciiTheme="minorHAnsi" w:hAnsiTheme="minorHAnsi" w:cs="Arial"/>
          <w:bCs/>
          <w:snapToGrid w:val="0"/>
        </w:rPr>
        <w:t xml:space="preserve">The PBAC recommended the listing of </w:t>
      </w:r>
      <w:r w:rsidR="001E64E2" w:rsidRPr="002A6C4B">
        <w:rPr>
          <w:rFonts w:asciiTheme="minorHAnsi" w:hAnsiTheme="minorHAnsi" w:cs="Arial"/>
          <w:bCs/>
          <w:snapToGrid w:val="0"/>
        </w:rPr>
        <w:t>budesonide (</w:t>
      </w:r>
      <w:proofErr w:type="spellStart"/>
      <w:r w:rsidR="001E64E2" w:rsidRPr="002A6C4B">
        <w:rPr>
          <w:rFonts w:asciiTheme="minorHAnsi" w:hAnsiTheme="minorHAnsi" w:cs="Arial"/>
          <w:bCs/>
          <w:snapToGrid w:val="0"/>
        </w:rPr>
        <w:t>Budenofalk</w:t>
      </w:r>
      <w:proofErr w:type="spellEnd"/>
      <w:r w:rsidR="001E64E2" w:rsidRPr="002A6C4B">
        <w:rPr>
          <w:rFonts w:asciiTheme="minorHAnsi" w:hAnsiTheme="minorHAnsi" w:cs="Arial"/>
          <w:bCs/>
          <w:snapToGrid w:val="0"/>
        </w:rPr>
        <w:t xml:space="preserve">) for </w:t>
      </w:r>
      <w:r w:rsidR="001E64E2" w:rsidRPr="005B6343">
        <w:rPr>
          <w:rFonts w:asciiTheme="minorHAnsi" w:hAnsiTheme="minorHAnsi" w:cs="Arial"/>
          <w:bCs/>
          <w:snapToGrid w:val="0"/>
        </w:rPr>
        <w:t>treatment of mild to moderate CD affecting the ileum and/or the ascending colon</w:t>
      </w:r>
      <w:r w:rsidR="00836403" w:rsidRPr="005B6343">
        <w:rPr>
          <w:rFonts w:asciiTheme="minorHAnsi" w:hAnsiTheme="minorHAnsi" w:cs="Arial"/>
          <w:bCs/>
          <w:snapToGrid w:val="0"/>
        </w:rPr>
        <w:t xml:space="preserve">. The PBAC recommended the listing on </w:t>
      </w:r>
      <w:r w:rsidR="00DC1804" w:rsidRPr="005B6343">
        <w:rPr>
          <w:rFonts w:asciiTheme="minorHAnsi" w:hAnsiTheme="minorHAnsi" w:cs="Arial"/>
          <w:bCs/>
          <w:snapToGrid w:val="0"/>
        </w:rPr>
        <w:t xml:space="preserve">a </w:t>
      </w:r>
      <w:r w:rsidR="00836403" w:rsidRPr="006410EC">
        <w:rPr>
          <w:rFonts w:asciiTheme="minorHAnsi" w:hAnsiTheme="minorHAnsi" w:cs="Arial"/>
          <w:bCs/>
          <w:snapToGrid w:val="0"/>
        </w:rPr>
        <w:t>cost minimisation basis against budesonide (</w:t>
      </w:r>
      <w:proofErr w:type="spellStart"/>
      <w:r w:rsidR="00836403" w:rsidRPr="006410EC">
        <w:rPr>
          <w:rFonts w:asciiTheme="minorHAnsi" w:hAnsiTheme="minorHAnsi" w:cs="Arial"/>
          <w:bCs/>
          <w:snapToGrid w:val="0"/>
        </w:rPr>
        <w:t>Entocort</w:t>
      </w:r>
      <w:proofErr w:type="spellEnd"/>
      <w:r w:rsidR="00D04CCD" w:rsidRPr="006410EC">
        <w:rPr>
          <w:rFonts w:asciiTheme="minorHAnsi" w:hAnsiTheme="minorHAnsi" w:cs="Arial"/>
          <w:bCs/>
          <w:snapToGrid w:val="0"/>
        </w:rPr>
        <w:t>),</w:t>
      </w:r>
      <w:r w:rsidR="002A6C4B">
        <w:rPr>
          <w:rFonts w:asciiTheme="minorHAnsi" w:hAnsiTheme="minorHAnsi" w:cs="Arial"/>
          <w:bCs/>
          <w:snapToGrid w:val="0"/>
        </w:rPr>
        <w:t xml:space="preserve"> </w:t>
      </w:r>
      <w:r w:rsidR="00CA7D6D" w:rsidRPr="005B6343">
        <w:rPr>
          <w:rFonts w:asciiTheme="minorHAnsi" w:hAnsiTheme="minorHAnsi" w:cs="Arial"/>
          <w:bCs/>
          <w:snapToGrid w:val="0"/>
        </w:rPr>
        <w:t xml:space="preserve">which </w:t>
      </w:r>
      <w:proofErr w:type="gramStart"/>
      <w:r w:rsidR="00CA7D6D" w:rsidRPr="005B6343">
        <w:rPr>
          <w:rFonts w:asciiTheme="minorHAnsi" w:hAnsiTheme="minorHAnsi" w:cs="Arial"/>
          <w:bCs/>
          <w:snapToGrid w:val="0"/>
        </w:rPr>
        <w:t>was recommended</w:t>
      </w:r>
      <w:proofErr w:type="gramEnd"/>
      <w:r w:rsidR="00CA7D6D" w:rsidRPr="005B6343">
        <w:rPr>
          <w:rFonts w:asciiTheme="minorHAnsi" w:hAnsiTheme="minorHAnsi" w:cs="Arial"/>
          <w:bCs/>
          <w:snapToGrid w:val="0"/>
        </w:rPr>
        <w:t xml:space="preserve"> for listing i</w:t>
      </w:r>
      <w:r w:rsidR="00CA7D6D" w:rsidRPr="005B6343">
        <w:rPr>
          <w:rFonts w:asciiTheme="minorHAnsi" w:eastAsiaTheme="minorHAnsi" w:hAnsiTheme="minorHAnsi" w:cstheme="minorBidi"/>
          <w:szCs w:val="22"/>
        </w:rPr>
        <w:t xml:space="preserve">n July 2018 based on the mixed comparator of </w:t>
      </w:r>
      <w:proofErr w:type="spellStart"/>
      <w:r w:rsidR="00CA7D6D" w:rsidRPr="005B6343">
        <w:rPr>
          <w:rFonts w:asciiTheme="minorHAnsi" w:eastAsiaTheme="minorHAnsi" w:hAnsiTheme="minorHAnsi" w:cstheme="minorBidi"/>
          <w:szCs w:val="22"/>
        </w:rPr>
        <w:t>mesalazine</w:t>
      </w:r>
      <w:proofErr w:type="spellEnd"/>
      <w:r w:rsidR="00CA7D6D" w:rsidRPr="005B6343">
        <w:rPr>
          <w:rFonts w:asciiTheme="minorHAnsi" w:eastAsiaTheme="minorHAnsi" w:hAnsiTheme="minorHAnsi" w:cstheme="minorBidi"/>
          <w:szCs w:val="22"/>
        </w:rPr>
        <w:t xml:space="preserve"> and prednisolone.</w:t>
      </w:r>
    </w:p>
    <w:p w:rsidR="00E122FB" w:rsidRPr="005B6343" w:rsidRDefault="00E122FB" w:rsidP="00366F9E">
      <w:pPr>
        <w:pStyle w:val="ListParagraph"/>
        <w:widowControl/>
        <w:numPr>
          <w:ilvl w:val="1"/>
          <w:numId w:val="14"/>
        </w:numPr>
        <w:spacing w:after="120"/>
        <w:contextualSpacing w:val="0"/>
        <w:rPr>
          <w:rFonts w:asciiTheme="minorHAnsi" w:hAnsiTheme="minorHAnsi"/>
          <w:sz w:val="24"/>
          <w:szCs w:val="24"/>
        </w:rPr>
      </w:pPr>
      <w:r w:rsidRPr="005B6343">
        <w:rPr>
          <w:rFonts w:asciiTheme="minorHAnsi" w:hAnsiTheme="minorHAnsi"/>
          <w:sz w:val="24"/>
          <w:szCs w:val="24"/>
        </w:rPr>
        <w:t xml:space="preserve">The PBAC noted the consumer comment from an </w:t>
      </w:r>
      <w:r w:rsidR="006410EC" w:rsidRPr="005B6343">
        <w:rPr>
          <w:rFonts w:asciiTheme="minorHAnsi" w:hAnsiTheme="minorHAnsi"/>
          <w:sz w:val="24"/>
          <w:szCs w:val="24"/>
        </w:rPr>
        <w:t>individual that</w:t>
      </w:r>
      <w:r w:rsidRPr="005B6343">
        <w:rPr>
          <w:rFonts w:asciiTheme="minorHAnsi" w:hAnsiTheme="minorHAnsi"/>
          <w:sz w:val="24"/>
          <w:szCs w:val="24"/>
        </w:rPr>
        <w:t xml:space="preserve"> highlighted the clinical need for treatment options in mild to moderate CD.</w:t>
      </w:r>
    </w:p>
    <w:p w:rsidR="00D574DC" w:rsidRPr="002A6C4B" w:rsidRDefault="00D574DC" w:rsidP="00366F9E">
      <w:pPr>
        <w:widowControl w:val="0"/>
        <w:numPr>
          <w:ilvl w:val="1"/>
          <w:numId w:val="14"/>
        </w:numPr>
        <w:spacing w:after="120"/>
        <w:jc w:val="both"/>
        <w:rPr>
          <w:rFonts w:asciiTheme="minorHAnsi" w:hAnsiTheme="minorHAnsi" w:cs="Arial"/>
          <w:bCs/>
          <w:snapToGrid w:val="0"/>
        </w:rPr>
      </w:pPr>
      <w:r w:rsidRPr="002A6C4B">
        <w:rPr>
          <w:rFonts w:asciiTheme="minorHAnsi" w:hAnsiTheme="minorHAnsi" w:cs="Arial"/>
          <w:bCs/>
          <w:snapToGrid w:val="0"/>
        </w:rPr>
        <w:t xml:space="preserve">The PBAC accepted the clinical place of </w:t>
      </w:r>
      <w:proofErr w:type="spellStart"/>
      <w:r w:rsidRPr="002A6C4B">
        <w:rPr>
          <w:rFonts w:asciiTheme="minorHAnsi" w:hAnsiTheme="minorHAnsi" w:cs="Arial"/>
          <w:bCs/>
          <w:snapToGrid w:val="0"/>
        </w:rPr>
        <w:t>Budenofalk</w:t>
      </w:r>
      <w:proofErr w:type="spellEnd"/>
      <w:r w:rsidRPr="002A6C4B">
        <w:rPr>
          <w:rFonts w:asciiTheme="minorHAnsi" w:hAnsiTheme="minorHAnsi" w:cs="Arial"/>
          <w:bCs/>
          <w:snapToGrid w:val="0"/>
        </w:rPr>
        <w:t xml:space="preserve"> in mild to moderate CD is likely to be in the first or second line treatment of mild to moderate CD, which </w:t>
      </w:r>
      <w:proofErr w:type="gramStart"/>
      <w:r w:rsidRPr="002A6C4B">
        <w:rPr>
          <w:rFonts w:asciiTheme="minorHAnsi" w:hAnsiTheme="minorHAnsi" w:cs="Arial"/>
          <w:bCs/>
          <w:snapToGrid w:val="0"/>
        </w:rPr>
        <w:t>was accepted</w:t>
      </w:r>
      <w:proofErr w:type="gramEnd"/>
      <w:r w:rsidRPr="002A6C4B">
        <w:rPr>
          <w:rFonts w:asciiTheme="minorHAnsi" w:hAnsiTheme="minorHAnsi" w:cs="Arial"/>
          <w:bCs/>
          <w:snapToGrid w:val="0"/>
        </w:rPr>
        <w:t xml:space="preserve"> in the consideration of </w:t>
      </w:r>
      <w:proofErr w:type="spellStart"/>
      <w:r w:rsidRPr="002A6C4B">
        <w:rPr>
          <w:rFonts w:asciiTheme="minorHAnsi" w:hAnsiTheme="minorHAnsi" w:cs="Arial"/>
          <w:bCs/>
          <w:snapToGrid w:val="0"/>
        </w:rPr>
        <w:t>Entocort</w:t>
      </w:r>
      <w:proofErr w:type="spellEnd"/>
      <w:r w:rsidRPr="002A6C4B">
        <w:rPr>
          <w:rFonts w:asciiTheme="minorHAnsi" w:hAnsiTheme="minorHAnsi" w:cs="Arial"/>
          <w:bCs/>
          <w:snapToGrid w:val="0"/>
        </w:rPr>
        <w:t xml:space="preserve"> in November 2017.</w:t>
      </w:r>
    </w:p>
    <w:p w:rsidR="001023A7" w:rsidRPr="002A6C4B" w:rsidRDefault="001023A7" w:rsidP="00366F9E">
      <w:pPr>
        <w:widowControl w:val="0"/>
        <w:numPr>
          <w:ilvl w:val="1"/>
          <w:numId w:val="14"/>
        </w:numPr>
        <w:spacing w:after="120"/>
        <w:jc w:val="both"/>
        <w:rPr>
          <w:rFonts w:asciiTheme="minorHAnsi" w:hAnsiTheme="minorHAnsi" w:cs="Arial"/>
          <w:bCs/>
          <w:snapToGrid w:val="0"/>
        </w:rPr>
      </w:pPr>
      <w:r w:rsidRPr="005B6343">
        <w:rPr>
          <w:rFonts w:asciiTheme="minorHAnsi" w:eastAsiaTheme="minorHAnsi" w:hAnsiTheme="minorHAnsi" w:cstheme="minorBidi"/>
          <w:szCs w:val="22"/>
        </w:rPr>
        <w:t xml:space="preserve">The PBAC </w:t>
      </w:r>
      <w:r w:rsidR="005671F9" w:rsidRPr="005B6343">
        <w:rPr>
          <w:rFonts w:asciiTheme="minorHAnsi" w:eastAsiaTheme="minorHAnsi" w:hAnsiTheme="minorHAnsi" w:cstheme="minorBidi"/>
          <w:szCs w:val="22"/>
        </w:rPr>
        <w:t xml:space="preserve">accepted </w:t>
      </w:r>
      <w:r w:rsidRPr="005B6343">
        <w:rPr>
          <w:rFonts w:asciiTheme="minorHAnsi" w:eastAsiaTheme="minorHAnsi" w:hAnsiTheme="minorHAnsi" w:cstheme="minorBidi"/>
          <w:szCs w:val="22"/>
        </w:rPr>
        <w:t xml:space="preserve">the nomination of </w:t>
      </w:r>
      <w:proofErr w:type="spellStart"/>
      <w:r w:rsidRPr="005B6343">
        <w:rPr>
          <w:rFonts w:asciiTheme="minorHAnsi" w:eastAsiaTheme="minorHAnsi" w:hAnsiTheme="minorHAnsi" w:cstheme="minorBidi"/>
          <w:szCs w:val="22"/>
        </w:rPr>
        <w:t>Entocort</w:t>
      </w:r>
      <w:proofErr w:type="spellEnd"/>
      <w:r w:rsidRPr="005B6343">
        <w:rPr>
          <w:rFonts w:asciiTheme="minorHAnsi" w:eastAsiaTheme="minorHAnsi" w:hAnsiTheme="minorHAnsi" w:cstheme="minorBidi"/>
          <w:szCs w:val="22"/>
        </w:rPr>
        <w:t xml:space="preserve"> as the main comparator as it </w:t>
      </w:r>
      <w:proofErr w:type="gramStart"/>
      <w:r w:rsidRPr="005B6343">
        <w:rPr>
          <w:rFonts w:asciiTheme="minorHAnsi" w:eastAsiaTheme="minorHAnsi" w:hAnsiTheme="minorHAnsi" w:cstheme="minorBidi"/>
          <w:szCs w:val="22"/>
        </w:rPr>
        <w:t xml:space="preserve">is </w:t>
      </w:r>
      <w:r w:rsidR="0030682D" w:rsidRPr="006410EC">
        <w:rPr>
          <w:rFonts w:asciiTheme="minorHAnsi" w:eastAsiaTheme="minorHAnsi" w:hAnsiTheme="minorHAnsi" w:cstheme="minorBidi"/>
          <w:szCs w:val="22"/>
        </w:rPr>
        <w:t>clinically considered</w:t>
      </w:r>
      <w:proofErr w:type="gramEnd"/>
      <w:r w:rsidR="0030682D" w:rsidRPr="006410EC">
        <w:rPr>
          <w:rFonts w:asciiTheme="minorHAnsi" w:eastAsiaTheme="minorHAnsi" w:hAnsiTheme="minorHAnsi" w:cstheme="minorBidi"/>
          <w:szCs w:val="22"/>
        </w:rPr>
        <w:t xml:space="preserve"> </w:t>
      </w:r>
      <w:r w:rsidRPr="006410EC">
        <w:rPr>
          <w:rFonts w:asciiTheme="minorHAnsi" w:eastAsiaTheme="minorHAnsi" w:hAnsiTheme="minorHAnsi" w:cstheme="minorBidi"/>
          <w:szCs w:val="22"/>
        </w:rPr>
        <w:t>a near market competitor.</w:t>
      </w:r>
    </w:p>
    <w:p w:rsidR="005671F9" w:rsidRPr="005B6343" w:rsidRDefault="005671F9" w:rsidP="00366F9E">
      <w:pPr>
        <w:pStyle w:val="ListParagraph"/>
        <w:widowControl/>
        <w:numPr>
          <w:ilvl w:val="1"/>
          <w:numId w:val="14"/>
        </w:numPr>
        <w:spacing w:after="120"/>
        <w:contextualSpacing w:val="0"/>
        <w:rPr>
          <w:rFonts w:asciiTheme="minorHAnsi" w:hAnsiTheme="minorHAnsi"/>
          <w:sz w:val="24"/>
          <w:szCs w:val="24"/>
        </w:rPr>
      </w:pPr>
      <w:r w:rsidRPr="005B6343">
        <w:rPr>
          <w:rFonts w:asciiTheme="minorHAnsi" w:hAnsiTheme="minorHAnsi"/>
          <w:sz w:val="24"/>
          <w:szCs w:val="24"/>
        </w:rPr>
        <w:t xml:space="preserve">The PBAC considered that </w:t>
      </w:r>
      <w:proofErr w:type="spellStart"/>
      <w:r w:rsidRPr="005B6343">
        <w:rPr>
          <w:rFonts w:asciiTheme="minorHAnsi" w:hAnsiTheme="minorHAnsi"/>
          <w:sz w:val="24"/>
          <w:szCs w:val="24"/>
        </w:rPr>
        <w:t>Budenofalk</w:t>
      </w:r>
      <w:proofErr w:type="spellEnd"/>
      <w:r w:rsidRPr="005B6343">
        <w:rPr>
          <w:rFonts w:asciiTheme="minorHAnsi" w:hAnsiTheme="minorHAnsi"/>
          <w:sz w:val="24"/>
          <w:szCs w:val="24"/>
        </w:rPr>
        <w:t xml:space="preserve"> was non-inferior in terms of comparative effectiveness and safety to </w:t>
      </w:r>
      <w:proofErr w:type="spellStart"/>
      <w:r w:rsidRPr="005B6343">
        <w:rPr>
          <w:rFonts w:asciiTheme="minorHAnsi" w:hAnsiTheme="minorHAnsi"/>
          <w:sz w:val="24"/>
          <w:szCs w:val="24"/>
        </w:rPr>
        <w:t>Entocort</w:t>
      </w:r>
      <w:proofErr w:type="spellEnd"/>
      <w:r w:rsidRPr="005B6343">
        <w:rPr>
          <w:rFonts w:asciiTheme="minorHAnsi" w:hAnsiTheme="minorHAnsi"/>
          <w:sz w:val="24"/>
          <w:szCs w:val="24"/>
        </w:rPr>
        <w:t xml:space="preserve">. Therefore, the PBAC considered </w:t>
      </w:r>
      <w:r w:rsidRPr="002A6C4B">
        <w:rPr>
          <w:rFonts w:asciiTheme="minorHAnsi" w:hAnsiTheme="minorHAnsi"/>
          <w:bCs/>
          <w:sz w:val="24"/>
          <w:szCs w:val="24"/>
          <w:lang w:eastAsia="en-AU"/>
        </w:rPr>
        <w:t xml:space="preserve">the </w:t>
      </w:r>
      <w:proofErr w:type="spellStart"/>
      <w:r w:rsidRPr="002A6C4B">
        <w:rPr>
          <w:rFonts w:asciiTheme="minorHAnsi" w:hAnsiTheme="minorHAnsi"/>
          <w:bCs/>
          <w:sz w:val="24"/>
          <w:szCs w:val="24"/>
          <w:lang w:eastAsia="en-AU"/>
        </w:rPr>
        <w:t>equi</w:t>
      </w:r>
      <w:proofErr w:type="spellEnd"/>
      <w:r w:rsidRPr="002A6C4B">
        <w:rPr>
          <w:rFonts w:asciiTheme="minorHAnsi" w:hAnsiTheme="minorHAnsi"/>
          <w:bCs/>
          <w:sz w:val="24"/>
          <w:szCs w:val="24"/>
          <w:lang w:eastAsia="en-AU"/>
        </w:rPr>
        <w:t>-effective doses to be:</w:t>
      </w:r>
    </w:p>
    <w:p w:rsidR="005671F9" w:rsidRPr="002A6C4B" w:rsidRDefault="005671F9" w:rsidP="00366F9E">
      <w:pPr>
        <w:pStyle w:val="ListParagraph"/>
        <w:numPr>
          <w:ilvl w:val="0"/>
          <w:numId w:val="23"/>
        </w:numPr>
        <w:spacing w:after="120"/>
        <w:ind w:hanging="371"/>
        <w:rPr>
          <w:rFonts w:asciiTheme="minorHAnsi" w:hAnsiTheme="minorHAnsi"/>
          <w:bCs/>
          <w:sz w:val="24"/>
          <w:szCs w:val="24"/>
        </w:rPr>
      </w:pPr>
      <w:proofErr w:type="spellStart"/>
      <w:r w:rsidRPr="002A6C4B">
        <w:rPr>
          <w:rFonts w:asciiTheme="minorHAnsi" w:hAnsiTheme="minorHAnsi"/>
          <w:bCs/>
          <w:sz w:val="24"/>
          <w:szCs w:val="24"/>
        </w:rPr>
        <w:t>Budenofalk</w:t>
      </w:r>
      <w:proofErr w:type="spellEnd"/>
      <w:r w:rsidRPr="002A6C4B">
        <w:rPr>
          <w:rFonts w:asciiTheme="minorHAnsi" w:hAnsiTheme="minorHAnsi"/>
          <w:bCs/>
          <w:sz w:val="24"/>
          <w:szCs w:val="24"/>
        </w:rPr>
        <w:t>® brand of budesonide 9 mg/day for 8 weeks followed by 6 mg/day for 1 week, and then 3 mg/day for 1 week;</w:t>
      </w:r>
    </w:p>
    <w:p w:rsidR="005671F9" w:rsidRPr="002A6C4B" w:rsidRDefault="005671F9" w:rsidP="00366F9E">
      <w:pPr>
        <w:pStyle w:val="ListParagraph"/>
        <w:numPr>
          <w:ilvl w:val="0"/>
          <w:numId w:val="23"/>
        </w:numPr>
        <w:spacing w:after="120"/>
        <w:ind w:hanging="371"/>
        <w:rPr>
          <w:rFonts w:asciiTheme="minorHAnsi" w:hAnsiTheme="minorHAnsi"/>
          <w:bCs/>
          <w:sz w:val="24"/>
          <w:szCs w:val="24"/>
        </w:rPr>
      </w:pPr>
      <w:proofErr w:type="spellStart"/>
      <w:r w:rsidRPr="002A6C4B">
        <w:rPr>
          <w:rFonts w:asciiTheme="minorHAnsi" w:hAnsiTheme="minorHAnsi"/>
          <w:bCs/>
          <w:sz w:val="24"/>
          <w:szCs w:val="24"/>
        </w:rPr>
        <w:t>Entocort</w:t>
      </w:r>
      <w:proofErr w:type="spellEnd"/>
      <w:r w:rsidRPr="002A6C4B">
        <w:rPr>
          <w:rFonts w:asciiTheme="minorHAnsi" w:hAnsiTheme="minorHAnsi"/>
          <w:bCs/>
          <w:sz w:val="24"/>
          <w:szCs w:val="24"/>
        </w:rPr>
        <w:t>® brand of budesonide 9 mg/day for 9 weeks followed by 4.5 mg/day for 3 weeks;</w:t>
      </w:r>
    </w:p>
    <w:p w:rsidR="005671F9" w:rsidRPr="002A6C4B" w:rsidRDefault="005671F9" w:rsidP="00366F9E">
      <w:pPr>
        <w:pStyle w:val="ListParagraph"/>
        <w:numPr>
          <w:ilvl w:val="0"/>
          <w:numId w:val="23"/>
        </w:numPr>
        <w:spacing w:after="120"/>
        <w:ind w:hanging="371"/>
        <w:rPr>
          <w:rFonts w:asciiTheme="minorHAnsi" w:hAnsiTheme="minorHAnsi"/>
          <w:bCs/>
          <w:sz w:val="24"/>
          <w:szCs w:val="24"/>
        </w:rPr>
      </w:pPr>
      <w:proofErr w:type="spellStart"/>
      <w:r w:rsidRPr="002A6C4B">
        <w:rPr>
          <w:rFonts w:asciiTheme="minorHAnsi" w:hAnsiTheme="minorHAnsi"/>
          <w:bCs/>
          <w:sz w:val="24"/>
          <w:szCs w:val="24"/>
        </w:rPr>
        <w:t>Pentasa</w:t>
      </w:r>
      <w:proofErr w:type="spellEnd"/>
      <w:r w:rsidRPr="002A6C4B">
        <w:rPr>
          <w:rFonts w:asciiTheme="minorHAnsi" w:hAnsiTheme="minorHAnsi"/>
          <w:bCs/>
          <w:sz w:val="24"/>
          <w:szCs w:val="24"/>
        </w:rPr>
        <w:t xml:space="preserve">® brands of </w:t>
      </w:r>
      <w:proofErr w:type="spellStart"/>
      <w:r w:rsidRPr="002A6C4B">
        <w:rPr>
          <w:rFonts w:asciiTheme="minorHAnsi" w:hAnsiTheme="minorHAnsi"/>
          <w:bCs/>
          <w:sz w:val="24"/>
          <w:szCs w:val="24"/>
        </w:rPr>
        <w:t>mesalazine</w:t>
      </w:r>
      <w:proofErr w:type="spellEnd"/>
      <w:r w:rsidRPr="002A6C4B">
        <w:rPr>
          <w:rFonts w:asciiTheme="minorHAnsi" w:hAnsiTheme="minorHAnsi"/>
          <w:bCs/>
          <w:sz w:val="24"/>
          <w:szCs w:val="24"/>
        </w:rPr>
        <w:t xml:space="preserve"> 4 g/day for 12 weeks;</w:t>
      </w:r>
    </w:p>
    <w:p w:rsidR="004F5663" w:rsidRDefault="005671F9" w:rsidP="00366F9E">
      <w:pPr>
        <w:pStyle w:val="ListParagraph"/>
        <w:numPr>
          <w:ilvl w:val="0"/>
          <w:numId w:val="23"/>
        </w:numPr>
        <w:spacing w:after="120"/>
        <w:ind w:left="1078" w:hanging="369"/>
        <w:rPr>
          <w:rFonts w:asciiTheme="minorHAnsi" w:hAnsiTheme="minorHAnsi"/>
          <w:bCs/>
          <w:sz w:val="24"/>
          <w:szCs w:val="24"/>
          <w:lang w:eastAsia="en-AU"/>
        </w:rPr>
      </w:pPr>
      <w:proofErr w:type="spellStart"/>
      <w:r w:rsidRPr="002A6C4B">
        <w:rPr>
          <w:rFonts w:asciiTheme="minorHAnsi" w:hAnsiTheme="minorHAnsi"/>
          <w:bCs/>
          <w:sz w:val="24"/>
          <w:szCs w:val="24"/>
        </w:rPr>
        <w:t>Salofalk</w:t>
      </w:r>
      <w:proofErr w:type="spellEnd"/>
      <w:r w:rsidRPr="002A6C4B">
        <w:rPr>
          <w:rFonts w:asciiTheme="minorHAnsi" w:hAnsiTheme="minorHAnsi"/>
          <w:bCs/>
          <w:sz w:val="24"/>
          <w:szCs w:val="24"/>
        </w:rPr>
        <w:t xml:space="preserve">® brands of </w:t>
      </w:r>
      <w:proofErr w:type="spellStart"/>
      <w:r w:rsidRPr="002A6C4B">
        <w:rPr>
          <w:rFonts w:asciiTheme="minorHAnsi" w:hAnsiTheme="minorHAnsi"/>
          <w:bCs/>
          <w:sz w:val="24"/>
          <w:szCs w:val="24"/>
        </w:rPr>
        <w:t>mesalazine</w:t>
      </w:r>
      <w:proofErr w:type="spellEnd"/>
      <w:r w:rsidRPr="002A6C4B">
        <w:rPr>
          <w:rFonts w:asciiTheme="minorHAnsi" w:hAnsiTheme="minorHAnsi"/>
          <w:bCs/>
          <w:sz w:val="24"/>
          <w:szCs w:val="24"/>
        </w:rPr>
        <w:t xml:space="preserve"> 4.5 g/day for 8 weeks followed by a 3 g/day for 4 weeks; and</w:t>
      </w:r>
    </w:p>
    <w:p w:rsidR="005671F9" w:rsidRPr="005B6343" w:rsidRDefault="005671F9" w:rsidP="00366F9E">
      <w:pPr>
        <w:pStyle w:val="ListParagraph"/>
        <w:numPr>
          <w:ilvl w:val="0"/>
          <w:numId w:val="23"/>
        </w:numPr>
        <w:spacing w:after="120"/>
        <w:ind w:left="1078" w:hanging="369"/>
        <w:rPr>
          <w:rFonts w:asciiTheme="minorHAnsi" w:hAnsiTheme="minorHAnsi"/>
          <w:bCs/>
          <w:sz w:val="24"/>
          <w:szCs w:val="24"/>
          <w:lang w:eastAsia="en-AU"/>
        </w:rPr>
      </w:pPr>
      <w:proofErr w:type="gramStart"/>
      <w:r w:rsidRPr="002A6C4B">
        <w:rPr>
          <w:rFonts w:asciiTheme="minorHAnsi" w:hAnsiTheme="minorHAnsi"/>
          <w:bCs/>
          <w:sz w:val="24"/>
          <w:szCs w:val="24"/>
        </w:rPr>
        <w:t>prednisolone</w:t>
      </w:r>
      <w:proofErr w:type="gramEnd"/>
      <w:r w:rsidRPr="002A6C4B">
        <w:rPr>
          <w:rFonts w:asciiTheme="minorHAnsi" w:hAnsiTheme="minorHAnsi"/>
          <w:bCs/>
          <w:sz w:val="24"/>
          <w:szCs w:val="24"/>
        </w:rPr>
        <w:t xml:space="preserve"> 25 mg/day for 8 weeks followed by 5 mg/day for 4 </w:t>
      </w:r>
      <w:r w:rsidRPr="005B6343">
        <w:rPr>
          <w:rFonts w:asciiTheme="minorHAnsi" w:hAnsiTheme="minorHAnsi"/>
          <w:bCs/>
          <w:sz w:val="24"/>
          <w:szCs w:val="24"/>
        </w:rPr>
        <w:t>weeks.</w:t>
      </w:r>
    </w:p>
    <w:p w:rsidR="00E122FB" w:rsidRPr="002A6C4B" w:rsidRDefault="00E122FB" w:rsidP="00366F9E">
      <w:pPr>
        <w:widowControl w:val="0"/>
        <w:numPr>
          <w:ilvl w:val="1"/>
          <w:numId w:val="14"/>
        </w:numPr>
        <w:spacing w:after="120"/>
        <w:jc w:val="both"/>
        <w:rPr>
          <w:rFonts w:asciiTheme="minorHAnsi" w:hAnsiTheme="minorHAnsi" w:cs="Arial"/>
          <w:bCs/>
          <w:snapToGrid w:val="0"/>
        </w:rPr>
      </w:pPr>
      <w:r w:rsidRPr="002A6C4B">
        <w:rPr>
          <w:rFonts w:asciiTheme="minorHAnsi" w:hAnsiTheme="minorHAnsi" w:cs="Arial"/>
          <w:bCs/>
          <w:snapToGrid w:val="0"/>
        </w:rPr>
        <w:t xml:space="preserve">The PBAC recalled its recommendation for </w:t>
      </w:r>
      <w:proofErr w:type="spellStart"/>
      <w:r w:rsidRPr="002A6C4B">
        <w:rPr>
          <w:rFonts w:asciiTheme="minorHAnsi" w:hAnsiTheme="minorHAnsi" w:cs="Arial"/>
          <w:bCs/>
          <w:snapToGrid w:val="0"/>
        </w:rPr>
        <w:t>Entocort</w:t>
      </w:r>
      <w:proofErr w:type="spellEnd"/>
      <w:r w:rsidRPr="002A6C4B">
        <w:rPr>
          <w:rFonts w:asciiTheme="minorHAnsi" w:hAnsiTheme="minorHAnsi" w:cs="Arial"/>
          <w:bCs/>
          <w:snapToGrid w:val="0"/>
        </w:rPr>
        <w:t xml:space="preserve"> from its July 2018 meeting wh</w:t>
      </w:r>
      <w:r w:rsidR="00522DFD" w:rsidRPr="002A6C4B">
        <w:rPr>
          <w:rFonts w:asciiTheme="minorHAnsi" w:hAnsiTheme="minorHAnsi" w:cs="Arial"/>
          <w:bCs/>
          <w:snapToGrid w:val="0"/>
        </w:rPr>
        <w:t>ere it</w:t>
      </w:r>
      <w:r w:rsidRPr="002A6C4B">
        <w:rPr>
          <w:rFonts w:asciiTheme="minorHAnsi" w:hAnsiTheme="minorHAnsi" w:cs="Arial"/>
          <w:bCs/>
          <w:snapToGrid w:val="0"/>
        </w:rPr>
        <w:t xml:space="preserve"> recommended </w:t>
      </w:r>
      <w:r w:rsidR="00847ACA" w:rsidRPr="002A6C4B">
        <w:rPr>
          <w:rFonts w:asciiTheme="minorHAnsi" w:hAnsiTheme="minorHAnsi" w:cs="Arial"/>
          <w:bCs/>
          <w:snapToGrid w:val="0"/>
        </w:rPr>
        <w:t>the</w:t>
      </w:r>
      <w:r w:rsidRPr="002A6C4B">
        <w:rPr>
          <w:rFonts w:asciiTheme="minorHAnsi" w:hAnsiTheme="minorHAnsi" w:cs="Arial"/>
          <w:bCs/>
          <w:snapToGrid w:val="0"/>
        </w:rPr>
        <w:t xml:space="preserve"> weighted average price of </w:t>
      </w:r>
      <w:proofErr w:type="spellStart"/>
      <w:r w:rsidRPr="002A6C4B">
        <w:rPr>
          <w:rFonts w:asciiTheme="minorHAnsi" w:hAnsiTheme="minorHAnsi" w:cs="Arial"/>
          <w:bCs/>
          <w:snapToGrid w:val="0"/>
        </w:rPr>
        <w:t>Entocort</w:t>
      </w:r>
      <w:proofErr w:type="spellEnd"/>
      <w:r w:rsidRPr="002A6C4B">
        <w:rPr>
          <w:rFonts w:asciiTheme="minorHAnsi" w:hAnsiTheme="minorHAnsi" w:cs="Arial"/>
          <w:bCs/>
          <w:snapToGrid w:val="0"/>
        </w:rPr>
        <w:t xml:space="preserve"> t</w:t>
      </w:r>
      <w:r w:rsidR="00847ACA" w:rsidRPr="002A6C4B">
        <w:rPr>
          <w:rFonts w:asciiTheme="minorHAnsi" w:hAnsiTheme="minorHAnsi" w:cs="Arial"/>
          <w:bCs/>
          <w:snapToGrid w:val="0"/>
        </w:rPr>
        <w:t xml:space="preserve">o </w:t>
      </w:r>
      <w:proofErr w:type="gramStart"/>
      <w:r w:rsidR="00847ACA" w:rsidRPr="002A6C4B">
        <w:rPr>
          <w:rFonts w:asciiTheme="minorHAnsi" w:hAnsiTheme="minorHAnsi" w:cs="Arial"/>
          <w:bCs/>
          <w:snapToGrid w:val="0"/>
        </w:rPr>
        <w:t>be calculated</w:t>
      </w:r>
      <w:proofErr w:type="gramEnd"/>
      <w:r w:rsidR="00847ACA" w:rsidRPr="002A6C4B">
        <w:rPr>
          <w:rFonts w:asciiTheme="minorHAnsi" w:hAnsiTheme="minorHAnsi" w:cs="Arial"/>
          <w:bCs/>
          <w:snapToGrid w:val="0"/>
        </w:rPr>
        <w:t xml:space="preserve"> as one-fifth to one quarter, </w:t>
      </w:r>
      <w:r w:rsidR="00873374" w:rsidRPr="002A6C4B">
        <w:rPr>
          <w:rFonts w:asciiTheme="minorHAnsi" w:hAnsiTheme="minorHAnsi" w:cs="Arial"/>
          <w:bCs/>
          <w:snapToGrid w:val="0"/>
        </w:rPr>
        <w:t xml:space="preserve">but closer to one-fifth </w:t>
      </w:r>
      <w:r w:rsidRPr="002A6C4B">
        <w:rPr>
          <w:rFonts w:asciiTheme="minorHAnsi" w:hAnsiTheme="minorHAnsi" w:cs="Arial"/>
          <w:bCs/>
          <w:snapToGrid w:val="0"/>
        </w:rPr>
        <w:t xml:space="preserve">of use in which </w:t>
      </w:r>
      <w:proofErr w:type="spellStart"/>
      <w:r w:rsidRPr="002A6C4B">
        <w:rPr>
          <w:rFonts w:asciiTheme="minorHAnsi" w:hAnsiTheme="minorHAnsi" w:cs="Arial"/>
          <w:bCs/>
          <w:snapToGrid w:val="0"/>
        </w:rPr>
        <w:t>mesalazine</w:t>
      </w:r>
      <w:proofErr w:type="spellEnd"/>
      <w:r w:rsidRPr="002A6C4B">
        <w:rPr>
          <w:rFonts w:asciiTheme="minorHAnsi" w:hAnsiTheme="minorHAnsi" w:cs="Arial"/>
          <w:bCs/>
          <w:snapToGrid w:val="0"/>
        </w:rPr>
        <w:t xml:space="preserve"> is the alternative therapy, with the corresponding weighting for prednisolone applied accordingly. Therefore, the PBAC considered that the price of </w:t>
      </w:r>
      <w:proofErr w:type="spellStart"/>
      <w:r w:rsidRPr="002A6C4B">
        <w:rPr>
          <w:rFonts w:asciiTheme="minorHAnsi" w:hAnsiTheme="minorHAnsi" w:cs="Arial"/>
          <w:bCs/>
          <w:snapToGrid w:val="0"/>
        </w:rPr>
        <w:t>Budenofalk</w:t>
      </w:r>
      <w:proofErr w:type="spellEnd"/>
      <w:r w:rsidRPr="002A6C4B">
        <w:rPr>
          <w:rFonts w:asciiTheme="minorHAnsi" w:hAnsiTheme="minorHAnsi" w:cs="Arial"/>
          <w:bCs/>
          <w:snapToGrid w:val="0"/>
        </w:rPr>
        <w:t xml:space="preserve"> should </w:t>
      </w:r>
      <w:r w:rsidR="00847ACA" w:rsidRPr="002A6C4B">
        <w:rPr>
          <w:rFonts w:asciiTheme="minorHAnsi" w:hAnsiTheme="minorHAnsi" w:cs="Arial"/>
          <w:bCs/>
          <w:snapToGrid w:val="0"/>
        </w:rPr>
        <w:t xml:space="preserve">be calculated using the </w:t>
      </w:r>
      <w:r w:rsidRPr="002A6C4B">
        <w:rPr>
          <w:rFonts w:asciiTheme="minorHAnsi" w:hAnsiTheme="minorHAnsi" w:cs="Arial"/>
          <w:bCs/>
          <w:snapToGrid w:val="0"/>
        </w:rPr>
        <w:t xml:space="preserve">same </w:t>
      </w:r>
      <w:r w:rsidR="00847ACA" w:rsidRPr="002A6C4B">
        <w:rPr>
          <w:rFonts w:asciiTheme="minorHAnsi" w:hAnsiTheme="minorHAnsi" w:cs="Arial"/>
          <w:bCs/>
          <w:snapToGrid w:val="0"/>
        </w:rPr>
        <w:t>methodology</w:t>
      </w:r>
      <w:r w:rsidRPr="002A6C4B">
        <w:rPr>
          <w:rFonts w:asciiTheme="minorHAnsi" w:hAnsiTheme="minorHAnsi" w:cs="Arial"/>
          <w:bCs/>
          <w:snapToGrid w:val="0"/>
        </w:rPr>
        <w:t>.</w:t>
      </w:r>
    </w:p>
    <w:p w:rsidR="00836403" w:rsidRPr="002A6C4B" w:rsidRDefault="00836403" w:rsidP="00366F9E">
      <w:pPr>
        <w:widowControl w:val="0"/>
        <w:numPr>
          <w:ilvl w:val="1"/>
          <w:numId w:val="5"/>
        </w:numPr>
        <w:spacing w:after="120"/>
        <w:jc w:val="both"/>
        <w:rPr>
          <w:rFonts w:asciiTheme="minorHAnsi" w:hAnsiTheme="minorHAnsi" w:cs="Arial"/>
          <w:bCs/>
          <w:snapToGrid w:val="0"/>
        </w:rPr>
      </w:pPr>
      <w:r w:rsidRPr="002A6C4B">
        <w:rPr>
          <w:rFonts w:asciiTheme="minorHAnsi" w:hAnsiTheme="minorHAnsi" w:cs="Arial"/>
          <w:bCs/>
          <w:snapToGrid w:val="0"/>
        </w:rPr>
        <w:t xml:space="preserve">The PBAC considered the requested maximum repeats of </w:t>
      </w:r>
      <w:proofErr w:type="gramStart"/>
      <w:r w:rsidRPr="002A6C4B">
        <w:rPr>
          <w:rFonts w:asciiTheme="minorHAnsi" w:hAnsiTheme="minorHAnsi" w:cs="Arial"/>
          <w:bCs/>
          <w:snapToGrid w:val="0"/>
        </w:rPr>
        <w:t>2</w:t>
      </w:r>
      <w:proofErr w:type="gramEnd"/>
      <w:r w:rsidRPr="002A6C4B">
        <w:rPr>
          <w:rFonts w:asciiTheme="minorHAnsi" w:hAnsiTheme="minorHAnsi" w:cs="Arial"/>
          <w:bCs/>
          <w:snapToGrid w:val="0"/>
        </w:rPr>
        <w:t xml:space="preserve"> </w:t>
      </w:r>
      <w:r w:rsidR="00FD3534" w:rsidRPr="002A6C4B">
        <w:rPr>
          <w:rFonts w:asciiTheme="minorHAnsi" w:hAnsiTheme="minorHAnsi" w:cs="Arial"/>
          <w:bCs/>
          <w:snapToGrid w:val="0"/>
        </w:rPr>
        <w:t xml:space="preserve">and maximum quantity of 90 capsules </w:t>
      </w:r>
      <w:r w:rsidRPr="002A6C4B">
        <w:rPr>
          <w:rFonts w:asciiTheme="minorHAnsi" w:hAnsiTheme="minorHAnsi" w:cs="Arial"/>
          <w:bCs/>
          <w:snapToGrid w:val="0"/>
        </w:rPr>
        <w:t xml:space="preserve">to be appropriate. </w:t>
      </w:r>
    </w:p>
    <w:p w:rsidR="008A7F1D" w:rsidRPr="002A6C4B" w:rsidRDefault="008A7F1D" w:rsidP="00366F9E">
      <w:pPr>
        <w:widowControl w:val="0"/>
        <w:numPr>
          <w:ilvl w:val="1"/>
          <w:numId w:val="5"/>
        </w:numPr>
        <w:spacing w:after="120"/>
        <w:jc w:val="both"/>
        <w:rPr>
          <w:rFonts w:asciiTheme="minorHAnsi" w:hAnsiTheme="minorHAnsi" w:cs="Arial"/>
          <w:bCs/>
          <w:snapToGrid w:val="0"/>
        </w:rPr>
      </w:pPr>
      <w:r w:rsidRPr="002A6C4B">
        <w:rPr>
          <w:rFonts w:asciiTheme="minorHAnsi" w:hAnsiTheme="minorHAnsi" w:cs="Arial"/>
          <w:bCs/>
          <w:snapToGrid w:val="0"/>
        </w:rPr>
        <w:t xml:space="preserve">The PBAC noted that </w:t>
      </w:r>
      <w:proofErr w:type="spellStart"/>
      <w:r w:rsidR="00E60124" w:rsidRPr="002A6C4B">
        <w:rPr>
          <w:rFonts w:asciiTheme="minorHAnsi" w:hAnsiTheme="minorHAnsi" w:cs="Arial"/>
          <w:bCs/>
          <w:snapToGrid w:val="0"/>
        </w:rPr>
        <w:t>Budenofalk</w:t>
      </w:r>
      <w:proofErr w:type="spellEnd"/>
      <w:r w:rsidR="00E60124" w:rsidRPr="002A6C4B">
        <w:rPr>
          <w:rFonts w:asciiTheme="minorHAnsi" w:hAnsiTheme="minorHAnsi" w:cs="Arial"/>
          <w:bCs/>
          <w:snapToGrid w:val="0"/>
        </w:rPr>
        <w:t xml:space="preserve"> </w:t>
      </w:r>
      <w:r w:rsidRPr="002A6C4B">
        <w:rPr>
          <w:rFonts w:asciiTheme="minorHAnsi" w:hAnsiTheme="minorHAnsi" w:cs="Arial"/>
          <w:bCs/>
          <w:snapToGrid w:val="0"/>
        </w:rPr>
        <w:t xml:space="preserve">has a </w:t>
      </w:r>
      <w:r w:rsidR="00FE76A8" w:rsidRPr="00FE76A8">
        <w:rPr>
          <w:rFonts w:asciiTheme="minorHAnsi" w:hAnsiTheme="minorHAnsi" w:cs="Arial"/>
          <w:bCs/>
          <w:snapToGrid w:val="0"/>
        </w:rPr>
        <w:t>10-week</w:t>
      </w:r>
      <w:r w:rsidRPr="002A6C4B">
        <w:rPr>
          <w:rFonts w:asciiTheme="minorHAnsi" w:hAnsiTheme="minorHAnsi" w:cs="Arial"/>
          <w:bCs/>
          <w:snapToGrid w:val="0"/>
        </w:rPr>
        <w:t xml:space="preserve"> treatment duration (</w:t>
      </w:r>
      <w:r w:rsidR="009F265F" w:rsidRPr="002A6C4B">
        <w:rPr>
          <w:rFonts w:asciiTheme="minorHAnsi" w:hAnsiTheme="minorHAnsi" w:cs="Arial"/>
          <w:bCs/>
          <w:snapToGrid w:val="0"/>
        </w:rPr>
        <w:t>which</w:t>
      </w:r>
      <w:r w:rsidR="00B70B13" w:rsidRPr="002A6C4B">
        <w:rPr>
          <w:rFonts w:asciiTheme="minorHAnsi" w:hAnsiTheme="minorHAnsi" w:cs="Arial"/>
          <w:bCs/>
          <w:snapToGrid w:val="0"/>
        </w:rPr>
        <w:t xml:space="preserve"> includes a </w:t>
      </w:r>
      <w:r w:rsidR="00FE76A8" w:rsidRPr="00FE76A8">
        <w:rPr>
          <w:rFonts w:asciiTheme="minorHAnsi" w:hAnsiTheme="minorHAnsi" w:cs="Arial"/>
          <w:bCs/>
          <w:snapToGrid w:val="0"/>
        </w:rPr>
        <w:t>2-week</w:t>
      </w:r>
      <w:r w:rsidRPr="002A6C4B">
        <w:rPr>
          <w:rFonts w:asciiTheme="minorHAnsi" w:hAnsiTheme="minorHAnsi" w:cs="Arial"/>
          <w:bCs/>
          <w:snapToGrid w:val="0"/>
        </w:rPr>
        <w:t xml:space="preserve"> tapering period) which is different to </w:t>
      </w:r>
      <w:proofErr w:type="spellStart"/>
      <w:r w:rsidR="00FE76A8" w:rsidRPr="00FE76A8">
        <w:rPr>
          <w:rFonts w:asciiTheme="minorHAnsi" w:hAnsiTheme="minorHAnsi" w:cs="Arial"/>
          <w:bCs/>
          <w:snapToGrid w:val="0"/>
        </w:rPr>
        <w:t>Entocort</w:t>
      </w:r>
      <w:proofErr w:type="spellEnd"/>
      <w:r w:rsidR="00FE76A8" w:rsidRPr="00FE76A8">
        <w:rPr>
          <w:rFonts w:asciiTheme="minorHAnsi" w:hAnsiTheme="minorHAnsi" w:cs="Arial"/>
          <w:bCs/>
          <w:snapToGrid w:val="0"/>
        </w:rPr>
        <w:t xml:space="preserve"> that</w:t>
      </w:r>
      <w:r w:rsidRPr="002A6C4B">
        <w:rPr>
          <w:rFonts w:asciiTheme="minorHAnsi" w:hAnsiTheme="minorHAnsi" w:cs="Arial"/>
          <w:bCs/>
          <w:snapToGrid w:val="0"/>
        </w:rPr>
        <w:t xml:space="preserve"> has a </w:t>
      </w:r>
      <w:r w:rsidR="00FE76A8" w:rsidRPr="00FE76A8">
        <w:rPr>
          <w:rFonts w:asciiTheme="minorHAnsi" w:hAnsiTheme="minorHAnsi" w:cs="Arial"/>
          <w:bCs/>
          <w:snapToGrid w:val="0"/>
        </w:rPr>
        <w:t>12-week</w:t>
      </w:r>
      <w:r w:rsidRPr="002A6C4B">
        <w:rPr>
          <w:rFonts w:asciiTheme="minorHAnsi" w:hAnsiTheme="minorHAnsi" w:cs="Arial"/>
          <w:bCs/>
          <w:snapToGrid w:val="0"/>
        </w:rPr>
        <w:t xml:space="preserve"> treatment duration (</w:t>
      </w:r>
      <w:r w:rsidR="009F265F" w:rsidRPr="002A6C4B">
        <w:rPr>
          <w:rFonts w:asciiTheme="minorHAnsi" w:hAnsiTheme="minorHAnsi" w:cs="Arial"/>
          <w:bCs/>
          <w:snapToGrid w:val="0"/>
        </w:rPr>
        <w:t>which</w:t>
      </w:r>
      <w:r w:rsidR="00B70B13" w:rsidRPr="002A6C4B">
        <w:rPr>
          <w:rFonts w:asciiTheme="minorHAnsi" w:hAnsiTheme="minorHAnsi" w:cs="Arial"/>
          <w:bCs/>
          <w:snapToGrid w:val="0"/>
        </w:rPr>
        <w:t xml:space="preserve"> includes a 2-4 week</w:t>
      </w:r>
      <w:r w:rsidRPr="002A6C4B">
        <w:rPr>
          <w:rFonts w:asciiTheme="minorHAnsi" w:hAnsiTheme="minorHAnsi" w:cs="Arial"/>
          <w:bCs/>
          <w:snapToGrid w:val="0"/>
        </w:rPr>
        <w:t xml:space="preserve"> tapering period). Therefore, the PBAC considered that, </w:t>
      </w:r>
      <w:r w:rsidR="00E53279" w:rsidRPr="005B6343">
        <w:rPr>
          <w:rFonts w:asciiTheme="minorHAnsi" w:eastAsiaTheme="minorHAnsi" w:hAnsiTheme="minorHAnsi" w:cstheme="minorBidi"/>
          <w:szCs w:val="22"/>
        </w:rPr>
        <w:t xml:space="preserve">if both drugs </w:t>
      </w:r>
      <w:proofErr w:type="gramStart"/>
      <w:r w:rsidR="00E53279" w:rsidRPr="005B6343">
        <w:rPr>
          <w:rFonts w:asciiTheme="minorHAnsi" w:eastAsiaTheme="minorHAnsi" w:hAnsiTheme="minorHAnsi" w:cstheme="minorBidi"/>
          <w:szCs w:val="22"/>
        </w:rPr>
        <w:t>we</w:t>
      </w:r>
      <w:r w:rsidRPr="005B6343">
        <w:rPr>
          <w:rFonts w:asciiTheme="minorHAnsi" w:eastAsiaTheme="minorHAnsi" w:hAnsiTheme="minorHAnsi" w:cstheme="minorBidi"/>
          <w:szCs w:val="22"/>
        </w:rPr>
        <w:t>re listed</w:t>
      </w:r>
      <w:proofErr w:type="gramEnd"/>
      <w:r w:rsidRPr="005B6343">
        <w:rPr>
          <w:rFonts w:asciiTheme="minorHAnsi" w:eastAsiaTheme="minorHAnsi" w:hAnsiTheme="minorHAnsi" w:cstheme="minorBidi"/>
          <w:szCs w:val="22"/>
        </w:rPr>
        <w:t>, each restriction should state the respective recommended maximum duration of therapy</w:t>
      </w:r>
      <w:r w:rsidR="00CF71FE" w:rsidRPr="005B6343">
        <w:rPr>
          <w:rFonts w:asciiTheme="minorHAnsi" w:eastAsiaTheme="minorHAnsi" w:hAnsiTheme="minorHAnsi" w:cstheme="minorBidi"/>
          <w:szCs w:val="22"/>
        </w:rPr>
        <w:t xml:space="preserve"> in the prescriber instructions</w:t>
      </w:r>
      <w:r w:rsidR="00E973F7" w:rsidRPr="006410EC">
        <w:rPr>
          <w:rFonts w:asciiTheme="minorHAnsi" w:eastAsiaTheme="minorHAnsi" w:hAnsiTheme="minorHAnsi" w:cstheme="minorBidi"/>
          <w:szCs w:val="22"/>
        </w:rPr>
        <w:t>.</w:t>
      </w:r>
    </w:p>
    <w:p w:rsidR="0096078A" w:rsidRPr="002A6C4B" w:rsidRDefault="0096078A" w:rsidP="00366F9E">
      <w:pPr>
        <w:widowControl w:val="0"/>
        <w:numPr>
          <w:ilvl w:val="1"/>
          <w:numId w:val="5"/>
        </w:numPr>
        <w:spacing w:after="120"/>
        <w:jc w:val="both"/>
        <w:rPr>
          <w:rFonts w:asciiTheme="minorHAnsi" w:eastAsiaTheme="minorHAnsi" w:hAnsiTheme="minorHAnsi" w:cstheme="minorBidi"/>
          <w:szCs w:val="22"/>
        </w:rPr>
      </w:pPr>
      <w:r w:rsidRPr="009E283F">
        <w:rPr>
          <w:rFonts w:asciiTheme="minorHAnsi" w:hAnsiTheme="minorHAnsi" w:cs="Arial"/>
          <w:bCs/>
          <w:snapToGrid w:val="0"/>
        </w:rPr>
        <w:t xml:space="preserve">The PBAC </w:t>
      </w:r>
      <w:r>
        <w:rPr>
          <w:rFonts w:asciiTheme="minorHAnsi" w:hAnsiTheme="minorHAnsi" w:cs="Arial"/>
          <w:bCs/>
          <w:snapToGrid w:val="0"/>
        </w:rPr>
        <w:t>recalled</w:t>
      </w:r>
      <w:r w:rsidRPr="009E283F">
        <w:rPr>
          <w:rFonts w:asciiTheme="minorHAnsi" w:hAnsiTheme="minorHAnsi" w:cs="Arial"/>
          <w:bCs/>
          <w:snapToGrid w:val="0"/>
        </w:rPr>
        <w:t xml:space="preserve"> that there were significant uncertainties in the </w:t>
      </w:r>
      <w:r>
        <w:rPr>
          <w:rFonts w:asciiTheme="minorHAnsi" w:hAnsiTheme="minorHAnsi" w:cs="Arial"/>
          <w:bCs/>
          <w:snapToGrid w:val="0"/>
        </w:rPr>
        <w:t xml:space="preserve">likely use </w:t>
      </w:r>
      <w:r w:rsidRPr="009E283F">
        <w:rPr>
          <w:rFonts w:asciiTheme="minorHAnsi" w:hAnsiTheme="minorHAnsi" w:cs="Arial"/>
          <w:bCs/>
          <w:snapToGrid w:val="0"/>
        </w:rPr>
        <w:t xml:space="preserve">of budesonide or lower levels of </w:t>
      </w:r>
      <w:proofErr w:type="spellStart"/>
      <w:r w:rsidRPr="009E283F">
        <w:rPr>
          <w:rFonts w:asciiTheme="minorHAnsi" w:hAnsiTheme="minorHAnsi" w:cs="Arial"/>
          <w:bCs/>
          <w:snapToGrid w:val="0"/>
        </w:rPr>
        <w:t>mesalazine</w:t>
      </w:r>
      <w:proofErr w:type="spellEnd"/>
      <w:r w:rsidRPr="009E283F">
        <w:rPr>
          <w:rFonts w:asciiTheme="minorHAnsi" w:hAnsiTheme="minorHAnsi" w:cs="Arial"/>
          <w:bCs/>
          <w:snapToGrid w:val="0"/>
        </w:rPr>
        <w:t xml:space="preserve"> substitution than predicted </w:t>
      </w:r>
      <w:r>
        <w:rPr>
          <w:rFonts w:asciiTheme="minorHAnsi" w:hAnsiTheme="minorHAnsi" w:cs="Arial"/>
          <w:bCs/>
          <w:snapToGrid w:val="0"/>
        </w:rPr>
        <w:t xml:space="preserve">when it </w:t>
      </w:r>
      <w:r>
        <w:rPr>
          <w:rFonts w:asciiTheme="minorHAnsi" w:hAnsiTheme="minorHAnsi" w:cs="Arial"/>
          <w:bCs/>
          <w:snapToGrid w:val="0"/>
        </w:rPr>
        <w:lastRenderedPageBreak/>
        <w:t xml:space="preserve">considered the listing of </w:t>
      </w:r>
      <w:proofErr w:type="spellStart"/>
      <w:r>
        <w:rPr>
          <w:rFonts w:asciiTheme="minorHAnsi" w:hAnsiTheme="minorHAnsi" w:cs="Arial"/>
          <w:bCs/>
          <w:snapToGrid w:val="0"/>
        </w:rPr>
        <w:t>Entocort</w:t>
      </w:r>
      <w:proofErr w:type="spellEnd"/>
      <w:r w:rsidR="008D66D1">
        <w:rPr>
          <w:rFonts w:asciiTheme="minorHAnsi" w:hAnsiTheme="minorHAnsi" w:cs="Arial"/>
          <w:bCs/>
          <w:snapToGrid w:val="0"/>
        </w:rPr>
        <w:t xml:space="preserve"> in July 2018</w:t>
      </w:r>
      <w:r w:rsidRPr="009E283F">
        <w:rPr>
          <w:rFonts w:asciiTheme="minorHAnsi" w:hAnsiTheme="minorHAnsi" w:cs="Arial"/>
          <w:bCs/>
          <w:snapToGrid w:val="0"/>
        </w:rPr>
        <w:t xml:space="preserve">. </w:t>
      </w:r>
      <w:r>
        <w:rPr>
          <w:rFonts w:asciiTheme="minorHAnsi" w:hAnsiTheme="minorHAnsi" w:cs="Arial"/>
          <w:bCs/>
          <w:snapToGrid w:val="0"/>
        </w:rPr>
        <w:t>T</w:t>
      </w:r>
      <w:r w:rsidRPr="009E283F">
        <w:rPr>
          <w:rFonts w:asciiTheme="minorHAnsi" w:hAnsiTheme="minorHAnsi" w:cs="Arial"/>
          <w:bCs/>
          <w:snapToGrid w:val="0"/>
        </w:rPr>
        <w:t xml:space="preserve">he PBAC was of </w:t>
      </w:r>
      <w:r>
        <w:rPr>
          <w:rFonts w:asciiTheme="minorHAnsi" w:hAnsiTheme="minorHAnsi" w:cs="Arial"/>
          <w:bCs/>
          <w:snapToGrid w:val="0"/>
        </w:rPr>
        <w:t>the view</w:t>
      </w:r>
      <w:r w:rsidRPr="009E283F">
        <w:rPr>
          <w:rFonts w:asciiTheme="minorHAnsi" w:hAnsiTheme="minorHAnsi" w:cs="Arial"/>
          <w:bCs/>
          <w:snapToGrid w:val="0"/>
        </w:rPr>
        <w:t xml:space="preserve"> that a risk sharing agreement </w:t>
      </w:r>
      <w:r>
        <w:rPr>
          <w:rFonts w:asciiTheme="minorHAnsi" w:hAnsiTheme="minorHAnsi" w:cs="Arial"/>
          <w:bCs/>
          <w:snapToGrid w:val="0"/>
        </w:rPr>
        <w:t xml:space="preserve">is required to manage these uncertainties, set at the level of the projected utilisation of budesonide. </w:t>
      </w:r>
      <w:r w:rsidR="002A6C4B">
        <w:rPr>
          <w:rFonts w:asciiTheme="minorHAnsi" w:hAnsiTheme="minorHAnsi" w:cs="Arial"/>
          <w:bCs/>
          <w:snapToGrid w:val="0"/>
        </w:rPr>
        <w:t>The</w:t>
      </w:r>
      <w:r>
        <w:rPr>
          <w:rFonts w:asciiTheme="minorHAnsi" w:hAnsiTheme="minorHAnsi" w:cs="Arial"/>
          <w:bCs/>
          <w:snapToGrid w:val="0"/>
        </w:rPr>
        <w:t xml:space="preserve"> PBAC was therefore of the view that </w:t>
      </w:r>
      <w:r w:rsidR="008B2A83">
        <w:rPr>
          <w:rFonts w:asciiTheme="minorHAnsi" w:hAnsiTheme="minorHAnsi" w:cs="Arial"/>
          <w:bCs/>
          <w:snapToGrid w:val="0"/>
        </w:rPr>
        <w:t xml:space="preserve">listing </w:t>
      </w:r>
      <w:proofErr w:type="spellStart"/>
      <w:r w:rsidRPr="005B6343">
        <w:rPr>
          <w:rFonts w:asciiTheme="minorHAnsi" w:eastAsiaTheme="minorHAnsi" w:hAnsiTheme="minorHAnsi" w:cstheme="minorBidi"/>
          <w:szCs w:val="22"/>
        </w:rPr>
        <w:t>Budenofalk</w:t>
      </w:r>
      <w:proofErr w:type="spellEnd"/>
      <w:r>
        <w:rPr>
          <w:rFonts w:asciiTheme="minorHAnsi" w:eastAsiaTheme="minorHAnsi" w:hAnsiTheme="minorHAnsi" w:cstheme="minorBidi"/>
          <w:szCs w:val="22"/>
        </w:rPr>
        <w:t xml:space="preserve"> would attract the same uncertainty.</w:t>
      </w:r>
    </w:p>
    <w:p w:rsidR="00FD3534" w:rsidRPr="005B6343" w:rsidRDefault="00DF585C" w:rsidP="00366F9E">
      <w:pPr>
        <w:widowControl w:val="0"/>
        <w:numPr>
          <w:ilvl w:val="1"/>
          <w:numId w:val="5"/>
        </w:numPr>
        <w:spacing w:after="120"/>
        <w:jc w:val="both"/>
        <w:rPr>
          <w:rFonts w:asciiTheme="minorHAnsi" w:eastAsiaTheme="minorHAnsi" w:hAnsiTheme="minorHAnsi" w:cstheme="minorBidi"/>
          <w:szCs w:val="22"/>
        </w:rPr>
      </w:pPr>
      <w:r w:rsidRPr="005B6343">
        <w:rPr>
          <w:rFonts w:asciiTheme="minorHAnsi" w:hAnsiTheme="minorHAnsi" w:cs="Arial"/>
          <w:bCs/>
          <w:snapToGrid w:val="0"/>
        </w:rPr>
        <w:t>T</w:t>
      </w:r>
      <w:r w:rsidR="00FD3534" w:rsidRPr="005B6343">
        <w:rPr>
          <w:rFonts w:asciiTheme="minorHAnsi" w:hAnsiTheme="minorHAnsi" w:cs="Arial"/>
          <w:bCs/>
          <w:snapToGrid w:val="0"/>
        </w:rPr>
        <w:t>he PBAC</w:t>
      </w:r>
      <w:r w:rsidR="00FD3534" w:rsidRPr="005B6343">
        <w:rPr>
          <w:rFonts w:asciiTheme="minorHAnsi" w:eastAsiaTheme="minorHAnsi" w:hAnsiTheme="minorHAnsi" w:cstheme="minorBidi"/>
          <w:szCs w:val="22"/>
        </w:rPr>
        <w:t xml:space="preserve"> recommended that budesonide</w:t>
      </w:r>
      <w:r w:rsidR="00FD3534" w:rsidRPr="006410EC">
        <w:rPr>
          <w:rFonts w:asciiTheme="minorHAnsi" w:eastAsiaTheme="minorHAnsi" w:hAnsiTheme="minorHAnsi" w:cstheme="minorBidi"/>
          <w:szCs w:val="22"/>
        </w:rPr>
        <w:t xml:space="preserve"> should be included as one of the prior systemic </w:t>
      </w:r>
      <w:r w:rsidR="00FD3534" w:rsidRPr="005B6343">
        <w:rPr>
          <w:rFonts w:asciiTheme="minorHAnsi" w:eastAsiaTheme="minorHAnsi" w:hAnsiTheme="minorHAnsi" w:cstheme="minorBidi"/>
          <w:szCs w:val="22"/>
        </w:rPr>
        <w:t xml:space="preserve">therapies that need to </w:t>
      </w:r>
      <w:proofErr w:type="gramStart"/>
      <w:r w:rsidR="00FD3534" w:rsidRPr="005B6343">
        <w:rPr>
          <w:rFonts w:asciiTheme="minorHAnsi" w:eastAsiaTheme="minorHAnsi" w:hAnsiTheme="minorHAnsi" w:cstheme="minorBidi"/>
          <w:szCs w:val="22"/>
        </w:rPr>
        <w:t>be failed</w:t>
      </w:r>
      <w:proofErr w:type="gramEnd"/>
      <w:r w:rsidR="00FD3534" w:rsidRPr="005B6343">
        <w:rPr>
          <w:rFonts w:asciiTheme="minorHAnsi" w:eastAsiaTheme="minorHAnsi" w:hAnsiTheme="minorHAnsi" w:cstheme="minorBidi"/>
          <w:szCs w:val="22"/>
        </w:rPr>
        <w:t xml:space="preserve"> prior to qualifying for subsidy of a biological medicine for severe CD</w:t>
      </w:r>
      <w:r w:rsidR="00824934" w:rsidRPr="005B6343">
        <w:rPr>
          <w:rFonts w:asciiTheme="minorHAnsi" w:eastAsiaTheme="minorHAnsi" w:hAnsiTheme="minorHAnsi" w:cstheme="minorBidi"/>
          <w:szCs w:val="22"/>
        </w:rPr>
        <w:t xml:space="preserve"> (</w:t>
      </w:r>
      <w:r w:rsidRPr="005B6343">
        <w:rPr>
          <w:rFonts w:asciiTheme="minorHAnsi" w:eastAsiaTheme="minorHAnsi" w:hAnsiTheme="minorHAnsi" w:cstheme="minorBidi"/>
          <w:szCs w:val="22"/>
        </w:rPr>
        <w:t>paragraph 7.12, item 7.11 budesonide July 2018 PSD</w:t>
      </w:r>
      <w:r w:rsidR="00824934" w:rsidRPr="005B6343">
        <w:rPr>
          <w:rFonts w:asciiTheme="minorHAnsi" w:eastAsiaTheme="minorHAnsi" w:hAnsiTheme="minorHAnsi" w:cstheme="minorBidi"/>
          <w:szCs w:val="22"/>
        </w:rPr>
        <w:t>)</w:t>
      </w:r>
      <w:r w:rsidR="005B6343">
        <w:rPr>
          <w:rFonts w:asciiTheme="minorHAnsi" w:eastAsiaTheme="minorHAnsi" w:hAnsiTheme="minorHAnsi" w:cstheme="minorBidi"/>
          <w:szCs w:val="22"/>
        </w:rPr>
        <w:t xml:space="preserve">. </w:t>
      </w:r>
      <w:r w:rsidR="00FD3534" w:rsidRPr="005B6343">
        <w:rPr>
          <w:rFonts w:asciiTheme="minorHAnsi" w:eastAsiaTheme="minorHAnsi" w:hAnsiTheme="minorHAnsi" w:cstheme="minorBidi"/>
          <w:szCs w:val="22"/>
        </w:rPr>
        <w:t>T</w:t>
      </w:r>
      <w:r w:rsidR="00824934" w:rsidRPr="005B6343">
        <w:rPr>
          <w:rFonts w:asciiTheme="minorHAnsi" w:eastAsiaTheme="minorHAnsi" w:hAnsiTheme="minorHAnsi" w:cstheme="minorBidi"/>
          <w:szCs w:val="22"/>
        </w:rPr>
        <w:t>he</w:t>
      </w:r>
      <w:r w:rsidR="00FD3534" w:rsidRPr="006410EC">
        <w:rPr>
          <w:rFonts w:asciiTheme="minorHAnsi" w:eastAsiaTheme="minorHAnsi" w:hAnsiTheme="minorHAnsi" w:cstheme="minorBidi"/>
          <w:szCs w:val="22"/>
        </w:rPr>
        <w:t xml:space="preserve"> PBAC </w:t>
      </w:r>
      <w:proofErr w:type="gramStart"/>
      <w:r w:rsidR="00FD3534" w:rsidRPr="006410EC">
        <w:rPr>
          <w:rFonts w:asciiTheme="minorHAnsi" w:eastAsiaTheme="minorHAnsi" w:hAnsiTheme="minorHAnsi" w:cstheme="minorBidi"/>
          <w:szCs w:val="22"/>
        </w:rPr>
        <w:t>noted</w:t>
      </w:r>
      <w:proofErr w:type="gramEnd"/>
      <w:r w:rsidR="00FD3534" w:rsidRPr="006410EC">
        <w:rPr>
          <w:rFonts w:asciiTheme="minorHAnsi" w:eastAsiaTheme="minorHAnsi" w:hAnsiTheme="minorHAnsi" w:cstheme="minorBidi"/>
          <w:szCs w:val="22"/>
        </w:rPr>
        <w:t xml:space="preserve"> </w:t>
      </w:r>
      <w:proofErr w:type="gramStart"/>
      <w:r w:rsidR="00FD3534" w:rsidRPr="006410EC">
        <w:rPr>
          <w:rFonts w:asciiTheme="minorHAnsi" w:eastAsiaTheme="minorHAnsi" w:hAnsiTheme="minorHAnsi" w:cstheme="minorBidi"/>
          <w:szCs w:val="22"/>
        </w:rPr>
        <w:t xml:space="preserve">that the </w:t>
      </w:r>
      <w:r w:rsidR="00FD3534" w:rsidRPr="005B6343">
        <w:rPr>
          <w:rFonts w:asciiTheme="minorHAnsi" w:eastAsiaTheme="minorHAnsi" w:hAnsiTheme="minorHAnsi" w:cstheme="minorBidi"/>
          <w:szCs w:val="22"/>
        </w:rPr>
        <w:t>flow-on restriction changes need</w:t>
      </w:r>
      <w:proofErr w:type="gramEnd"/>
      <w:r w:rsidR="00FD3534" w:rsidRPr="005B6343">
        <w:rPr>
          <w:rFonts w:asciiTheme="minorHAnsi" w:eastAsiaTheme="minorHAnsi" w:hAnsiTheme="minorHAnsi" w:cstheme="minorBidi"/>
          <w:szCs w:val="22"/>
        </w:rPr>
        <w:t xml:space="preserve"> to be developed for this including the appropriate dose and duration of treatment with </w:t>
      </w:r>
      <w:r w:rsidR="00824934" w:rsidRPr="005B6343">
        <w:rPr>
          <w:rFonts w:asciiTheme="minorHAnsi" w:eastAsiaTheme="minorHAnsi" w:hAnsiTheme="minorHAnsi" w:cstheme="minorBidi"/>
          <w:szCs w:val="22"/>
        </w:rPr>
        <w:t xml:space="preserve">the </w:t>
      </w:r>
      <w:proofErr w:type="spellStart"/>
      <w:r w:rsidR="00824934" w:rsidRPr="005B6343">
        <w:rPr>
          <w:rFonts w:asciiTheme="minorHAnsi" w:eastAsiaTheme="minorHAnsi" w:hAnsiTheme="minorHAnsi" w:cstheme="minorBidi"/>
          <w:szCs w:val="22"/>
        </w:rPr>
        <w:t>Budenofalk</w:t>
      </w:r>
      <w:proofErr w:type="spellEnd"/>
      <w:r w:rsidR="00824934" w:rsidRPr="005B6343">
        <w:rPr>
          <w:rFonts w:asciiTheme="minorHAnsi" w:eastAsiaTheme="minorHAnsi" w:hAnsiTheme="minorHAnsi" w:cstheme="minorBidi"/>
          <w:szCs w:val="22"/>
        </w:rPr>
        <w:t xml:space="preserve"> and </w:t>
      </w:r>
      <w:proofErr w:type="spellStart"/>
      <w:r w:rsidR="00824934" w:rsidRPr="005B6343">
        <w:rPr>
          <w:rFonts w:asciiTheme="minorHAnsi" w:eastAsiaTheme="minorHAnsi" w:hAnsiTheme="minorHAnsi" w:cstheme="minorBidi"/>
          <w:szCs w:val="22"/>
        </w:rPr>
        <w:t>Entocort</w:t>
      </w:r>
      <w:proofErr w:type="spellEnd"/>
      <w:r w:rsidR="00824934" w:rsidRPr="005B6343">
        <w:rPr>
          <w:rFonts w:asciiTheme="minorHAnsi" w:eastAsiaTheme="minorHAnsi" w:hAnsiTheme="minorHAnsi" w:cstheme="minorBidi"/>
          <w:szCs w:val="22"/>
        </w:rPr>
        <w:t xml:space="preserve"> brands of </w:t>
      </w:r>
      <w:r w:rsidR="00FD3534" w:rsidRPr="005B6343">
        <w:rPr>
          <w:rFonts w:asciiTheme="minorHAnsi" w:eastAsiaTheme="minorHAnsi" w:hAnsiTheme="minorHAnsi" w:cstheme="minorBidi"/>
          <w:szCs w:val="22"/>
        </w:rPr>
        <w:t xml:space="preserve">budesonide. </w:t>
      </w:r>
    </w:p>
    <w:p w:rsidR="00916654" w:rsidRPr="005B6343" w:rsidRDefault="00916654" w:rsidP="00366F9E">
      <w:pPr>
        <w:widowControl w:val="0"/>
        <w:numPr>
          <w:ilvl w:val="1"/>
          <w:numId w:val="5"/>
        </w:numPr>
        <w:spacing w:after="120"/>
        <w:jc w:val="both"/>
        <w:rPr>
          <w:rFonts w:asciiTheme="minorHAnsi" w:eastAsiaTheme="minorHAnsi" w:hAnsiTheme="minorHAnsi" w:cstheme="minorBidi"/>
          <w:szCs w:val="22"/>
        </w:rPr>
      </w:pPr>
      <w:proofErr w:type="gramStart"/>
      <w:r w:rsidRPr="005B6343">
        <w:rPr>
          <w:rFonts w:asciiTheme="minorHAnsi" w:eastAsiaTheme="minorHAnsi" w:hAnsiTheme="minorHAnsi" w:cstheme="minorBidi"/>
          <w:szCs w:val="22"/>
        </w:rPr>
        <w:t xml:space="preserve">The PBAC advised the Minister that it considered under Section 101 (4AACD) of the </w:t>
      </w:r>
      <w:r w:rsidRPr="005B6343">
        <w:rPr>
          <w:rFonts w:asciiTheme="minorHAnsi" w:eastAsiaTheme="minorHAnsi" w:hAnsiTheme="minorHAnsi" w:cstheme="minorBidi"/>
          <w:i/>
          <w:szCs w:val="22"/>
        </w:rPr>
        <w:t>National Health Act</w:t>
      </w:r>
      <w:r w:rsidRPr="005B6343">
        <w:rPr>
          <w:rFonts w:asciiTheme="minorHAnsi" w:eastAsiaTheme="minorHAnsi" w:hAnsiTheme="minorHAnsi" w:cstheme="minorBidi"/>
          <w:szCs w:val="22"/>
        </w:rPr>
        <w:t xml:space="preserve">, that </w:t>
      </w:r>
      <w:proofErr w:type="spellStart"/>
      <w:r w:rsidRPr="005B6343">
        <w:rPr>
          <w:rFonts w:asciiTheme="minorHAnsi" w:eastAsiaTheme="minorHAnsi" w:hAnsiTheme="minorHAnsi" w:cstheme="minorBidi"/>
          <w:szCs w:val="22"/>
        </w:rPr>
        <w:t>Budenofalk</w:t>
      </w:r>
      <w:proofErr w:type="spellEnd"/>
      <w:r w:rsidRPr="005B6343">
        <w:rPr>
          <w:rFonts w:asciiTheme="minorHAnsi" w:eastAsiaTheme="minorHAnsi" w:hAnsiTheme="minorHAnsi" w:cstheme="minorBidi"/>
          <w:szCs w:val="22"/>
        </w:rPr>
        <w:t xml:space="preserve"> and </w:t>
      </w:r>
      <w:proofErr w:type="spellStart"/>
      <w:r w:rsidRPr="005B6343">
        <w:rPr>
          <w:rFonts w:asciiTheme="minorHAnsi" w:eastAsiaTheme="minorHAnsi" w:hAnsiTheme="minorHAnsi" w:cstheme="minorBidi"/>
          <w:szCs w:val="22"/>
        </w:rPr>
        <w:t>Entocort</w:t>
      </w:r>
      <w:proofErr w:type="spellEnd"/>
      <w:r w:rsidRPr="006410EC">
        <w:rPr>
          <w:rFonts w:asciiTheme="minorHAnsi" w:eastAsiaTheme="minorHAnsi" w:hAnsiTheme="minorHAnsi" w:cstheme="minorBidi"/>
          <w:szCs w:val="22"/>
        </w:rPr>
        <w:t xml:space="preserve"> brands of budesonide could be considered equivalent for the purposes of substitution by the pharmacist at the point of dispensing (i.e. ‘a’ flagged in the Schedule)</w:t>
      </w:r>
      <w:r w:rsidRPr="005B6343">
        <w:rPr>
          <w:rFonts w:asciiTheme="minorHAnsi" w:eastAsiaTheme="minorHAnsi" w:hAnsiTheme="minorHAnsi" w:cstheme="minorBidi"/>
          <w:szCs w:val="22"/>
        </w:rPr>
        <w:t>, as the active ingredient is designed to work locally in the small intestine and colon so the formulation differences are not expected to result in differences in outcomes.</w:t>
      </w:r>
      <w:proofErr w:type="gramEnd"/>
      <w:r w:rsidRPr="005B6343">
        <w:rPr>
          <w:rFonts w:asciiTheme="minorHAnsi" w:eastAsiaTheme="minorHAnsi" w:hAnsiTheme="minorHAnsi" w:cstheme="minorBidi"/>
          <w:szCs w:val="22"/>
        </w:rPr>
        <w:t xml:space="preserve"> </w:t>
      </w:r>
    </w:p>
    <w:p w:rsidR="00DF585C" w:rsidRPr="005B6343" w:rsidRDefault="00DF585C" w:rsidP="00366F9E">
      <w:pPr>
        <w:widowControl w:val="0"/>
        <w:numPr>
          <w:ilvl w:val="1"/>
          <w:numId w:val="5"/>
        </w:numPr>
        <w:spacing w:after="120"/>
        <w:jc w:val="both"/>
        <w:rPr>
          <w:rFonts w:asciiTheme="minorHAnsi" w:hAnsiTheme="minorHAnsi" w:cs="Arial"/>
          <w:bCs/>
          <w:snapToGrid w:val="0"/>
        </w:rPr>
      </w:pPr>
      <w:r w:rsidRPr="005B6343">
        <w:rPr>
          <w:rFonts w:asciiTheme="minorHAnsi" w:hAnsiTheme="minorHAnsi" w:cs="Arial"/>
          <w:bCs/>
          <w:snapToGrid w:val="0"/>
        </w:rPr>
        <w:t xml:space="preserve">The PBAC advised that budesonide is suitable for prescribing by nurse practitioners, which is consistent with its advice for </w:t>
      </w:r>
      <w:proofErr w:type="spellStart"/>
      <w:r w:rsidRPr="005B6343">
        <w:rPr>
          <w:rFonts w:asciiTheme="minorHAnsi" w:hAnsiTheme="minorHAnsi" w:cs="Arial"/>
          <w:bCs/>
          <w:snapToGrid w:val="0"/>
        </w:rPr>
        <w:t>Entocort</w:t>
      </w:r>
      <w:proofErr w:type="spellEnd"/>
      <w:r w:rsidRPr="005B6343">
        <w:rPr>
          <w:rFonts w:asciiTheme="minorHAnsi" w:hAnsiTheme="minorHAnsi" w:cs="Arial"/>
          <w:bCs/>
          <w:snapToGrid w:val="0"/>
        </w:rPr>
        <w:t>.</w:t>
      </w:r>
    </w:p>
    <w:p w:rsidR="00DF585C" w:rsidRPr="005B6343" w:rsidRDefault="00DF585C" w:rsidP="00366F9E">
      <w:pPr>
        <w:widowControl w:val="0"/>
        <w:numPr>
          <w:ilvl w:val="1"/>
          <w:numId w:val="5"/>
        </w:numPr>
        <w:spacing w:after="120"/>
        <w:jc w:val="both"/>
        <w:rPr>
          <w:rFonts w:asciiTheme="minorHAnsi" w:hAnsiTheme="minorHAnsi" w:cs="Arial"/>
          <w:bCs/>
          <w:snapToGrid w:val="0"/>
        </w:rPr>
      </w:pPr>
      <w:r w:rsidRPr="005B6343">
        <w:rPr>
          <w:rFonts w:asciiTheme="minorHAnsi" w:hAnsiTheme="minorHAnsi" w:cs="Arial"/>
          <w:bCs/>
          <w:snapToGrid w:val="0"/>
        </w:rPr>
        <w:t xml:space="preserve">The PBAC recommended that the Early Supply Rule should not apply, which is consistent with its recommendation for </w:t>
      </w:r>
      <w:proofErr w:type="spellStart"/>
      <w:r w:rsidRPr="005B6343">
        <w:rPr>
          <w:rFonts w:asciiTheme="minorHAnsi" w:hAnsiTheme="minorHAnsi" w:cs="Arial"/>
          <w:bCs/>
          <w:snapToGrid w:val="0"/>
        </w:rPr>
        <w:t>Entocort</w:t>
      </w:r>
      <w:proofErr w:type="spellEnd"/>
      <w:r w:rsidRPr="005B6343">
        <w:rPr>
          <w:rFonts w:asciiTheme="minorHAnsi" w:hAnsiTheme="minorHAnsi" w:cs="Arial"/>
          <w:bCs/>
          <w:snapToGrid w:val="0"/>
        </w:rPr>
        <w:t xml:space="preserve">. </w:t>
      </w:r>
    </w:p>
    <w:p w:rsidR="00EF0F75" w:rsidRPr="005B6343" w:rsidRDefault="00EF0F75" w:rsidP="00366F9E">
      <w:pPr>
        <w:widowControl w:val="0"/>
        <w:numPr>
          <w:ilvl w:val="1"/>
          <w:numId w:val="5"/>
        </w:numPr>
        <w:spacing w:after="120"/>
        <w:jc w:val="both"/>
        <w:rPr>
          <w:rFonts w:asciiTheme="minorHAnsi" w:eastAsiaTheme="minorHAnsi" w:hAnsiTheme="minorHAnsi" w:cstheme="minorBidi"/>
          <w:szCs w:val="22"/>
        </w:rPr>
      </w:pPr>
      <w:r w:rsidRPr="005B6343">
        <w:rPr>
          <w:rFonts w:asciiTheme="minorHAnsi" w:eastAsiaTheme="minorHAnsi" w:hAnsiTheme="minorHAnsi" w:cstheme="minorBidi"/>
          <w:szCs w:val="22"/>
        </w:rPr>
        <w:t xml:space="preserve">The submission is not eligible for an Independent Review, because the PBAC has made a positive recommendation. </w:t>
      </w:r>
    </w:p>
    <w:p w:rsidR="0020444A" w:rsidRPr="00F554E0" w:rsidRDefault="0020444A" w:rsidP="00366F9E">
      <w:pPr>
        <w:spacing w:before="240" w:after="120"/>
        <w:jc w:val="both"/>
        <w:rPr>
          <w:rFonts w:asciiTheme="minorHAnsi" w:hAnsiTheme="minorHAnsi" w:cs="Arial"/>
          <w:b/>
          <w:bCs/>
          <w:snapToGrid w:val="0"/>
        </w:rPr>
      </w:pPr>
      <w:r w:rsidRPr="00F554E0">
        <w:rPr>
          <w:rFonts w:asciiTheme="minorHAnsi" w:hAnsiTheme="minorHAnsi" w:cs="Arial"/>
          <w:b/>
          <w:bCs/>
          <w:snapToGrid w:val="0"/>
        </w:rPr>
        <w:t>Outcome:</w:t>
      </w:r>
    </w:p>
    <w:p w:rsidR="00916654" w:rsidRPr="00F32366" w:rsidRDefault="003471B9" w:rsidP="00366F9E">
      <w:pPr>
        <w:spacing w:after="120"/>
        <w:jc w:val="both"/>
        <w:rPr>
          <w:rFonts w:asciiTheme="minorHAnsi" w:hAnsiTheme="minorHAnsi" w:cs="Arial"/>
          <w:bCs/>
          <w:snapToGrid w:val="0"/>
        </w:rPr>
      </w:pPr>
      <w:r w:rsidRPr="00F554E0">
        <w:rPr>
          <w:rFonts w:asciiTheme="minorHAnsi" w:hAnsiTheme="minorHAnsi" w:cs="Arial"/>
          <w:bCs/>
          <w:snapToGrid w:val="0"/>
        </w:rPr>
        <w:t>Recommended</w:t>
      </w:r>
    </w:p>
    <w:p w:rsidR="0020444A" w:rsidRPr="00F554E0" w:rsidRDefault="0020444A" w:rsidP="00366F9E">
      <w:pPr>
        <w:widowControl w:val="0"/>
        <w:numPr>
          <w:ilvl w:val="0"/>
          <w:numId w:val="5"/>
        </w:numPr>
        <w:spacing w:before="240" w:after="120"/>
        <w:jc w:val="both"/>
        <w:outlineLvl w:val="0"/>
        <w:rPr>
          <w:rFonts w:asciiTheme="minorHAnsi" w:hAnsiTheme="minorHAnsi" w:cs="Arial"/>
          <w:b/>
          <w:bCs/>
          <w:i/>
          <w:snapToGrid w:val="0"/>
          <w:sz w:val="32"/>
        </w:rPr>
      </w:pPr>
      <w:r w:rsidRPr="00F554E0">
        <w:rPr>
          <w:rFonts w:asciiTheme="minorHAnsi" w:hAnsiTheme="minorHAnsi" w:cs="Arial"/>
          <w:b/>
          <w:bCs/>
          <w:snapToGrid w:val="0"/>
          <w:sz w:val="32"/>
        </w:rPr>
        <w:t>Recommended listing</w:t>
      </w:r>
    </w:p>
    <w:p w:rsidR="0020444A" w:rsidRPr="005B6343" w:rsidRDefault="00847ACA" w:rsidP="00366F9E">
      <w:pPr>
        <w:widowControl w:val="0"/>
        <w:numPr>
          <w:ilvl w:val="1"/>
          <w:numId w:val="5"/>
        </w:numPr>
        <w:spacing w:after="120"/>
        <w:jc w:val="both"/>
        <w:rPr>
          <w:rFonts w:asciiTheme="minorHAnsi" w:hAnsiTheme="minorHAnsi" w:cs="Arial"/>
          <w:bCs/>
          <w:snapToGrid w:val="0"/>
        </w:rPr>
      </w:pPr>
      <w:r w:rsidRPr="005B6343">
        <w:rPr>
          <w:rFonts w:asciiTheme="minorHAnsi" w:hAnsiTheme="minorHAnsi" w:cs="Arial"/>
          <w:bCs/>
          <w:snapToGrid w:val="0"/>
        </w:rPr>
        <w:t>Add new item:</w:t>
      </w:r>
    </w:p>
    <w:tbl>
      <w:tblPr>
        <w:tblW w:w="5000" w:type="pct"/>
        <w:tblLook w:val="0000" w:firstRow="0" w:lastRow="0" w:firstColumn="0" w:lastColumn="0" w:noHBand="0" w:noVBand="0"/>
      </w:tblPr>
      <w:tblGrid>
        <w:gridCol w:w="3136"/>
        <w:gridCol w:w="31"/>
        <w:gridCol w:w="661"/>
        <w:gridCol w:w="794"/>
        <w:gridCol w:w="1168"/>
        <w:gridCol w:w="1173"/>
        <w:gridCol w:w="2063"/>
      </w:tblGrid>
      <w:tr w:rsidR="00B720DE" w:rsidRPr="00F1507D" w:rsidTr="00E4574C">
        <w:trPr>
          <w:cantSplit/>
        </w:trPr>
        <w:tc>
          <w:tcPr>
            <w:tcW w:w="1737" w:type="pct"/>
            <w:tcBorders>
              <w:bottom w:val="single" w:sz="4" w:space="0" w:color="auto"/>
            </w:tcBorders>
          </w:tcPr>
          <w:p w:rsidR="00B720DE" w:rsidRPr="00F1507D" w:rsidRDefault="00B720DE" w:rsidP="00E4574C">
            <w:pPr>
              <w:keepNext/>
              <w:ind w:left="-108"/>
              <w:jc w:val="both"/>
              <w:rPr>
                <w:rFonts w:ascii="Arial Narrow" w:hAnsi="Arial Narrow" w:cs="Arial"/>
                <w:b/>
                <w:sz w:val="20"/>
              </w:rPr>
            </w:pPr>
            <w:r w:rsidRPr="00F1507D">
              <w:rPr>
                <w:rFonts w:ascii="Arial Narrow" w:hAnsi="Arial Narrow" w:cs="Arial"/>
                <w:b/>
                <w:sz w:val="20"/>
              </w:rPr>
              <w:t>Name, Restriction</w:t>
            </w:r>
          </w:p>
          <w:p w:rsidR="00B720DE" w:rsidRPr="00F1507D" w:rsidRDefault="00B720DE" w:rsidP="00E4574C">
            <w:pPr>
              <w:keepNext/>
              <w:ind w:left="-108"/>
              <w:jc w:val="both"/>
              <w:rPr>
                <w:rFonts w:ascii="Arial Narrow" w:hAnsi="Arial Narrow" w:cs="Arial"/>
                <w:b/>
                <w:sz w:val="20"/>
              </w:rPr>
            </w:pPr>
            <w:r w:rsidRPr="00F1507D">
              <w:rPr>
                <w:rFonts w:ascii="Arial Narrow" w:hAnsi="Arial Narrow" w:cs="Arial"/>
                <w:b/>
                <w:sz w:val="20"/>
              </w:rPr>
              <w:t>Manner of administration and form</w:t>
            </w:r>
          </w:p>
        </w:tc>
        <w:tc>
          <w:tcPr>
            <w:tcW w:w="383" w:type="pct"/>
            <w:gridSpan w:val="2"/>
            <w:tcBorders>
              <w:bottom w:val="single" w:sz="4" w:space="0" w:color="auto"/>
            </w:tcBorders>
          </w:tcPr>
          <w:p w:rsidR="00B720DE" w:rsidRPr="00F1507D" w:rsidRDefault="00B720DE" w:rsidP="00E4574C">
            <w:pPr>
              <w:keepNext/>
              <w:ind w:left="-108"/>
              <w:jc w:val="both"/>
              <w:rPr>
                <w:rFonts w:ascii="Arial Narrow" w:hAnsi="Arial Narrow" w:cs="Arial"/>
                <w:b/>
                <w:sz w:val="20"/>
              </w:rPr>
            </w:pPr>
            <w:r w:rsidRPr="00F1507D">
              <w:rPr>
                <w:rFonts w:ascii="Arial Narrow" w:hAnsi="Arial Narrow" w:cs="Arial"/>
                <w:b/>
                <w:sz w:val="20"/>
              </w:rPr>
              <w:t>Max.</w:t>
            </w:r>
          </w:p>
          <w:p w:rsidR="00B720DE" w:rsidRPr="00F1507D" w:rsidRDefault="00B720DE" w:rsidP="00E4574C">
            <w:pPr>
              <w:keepNext/>
              <w:ind w:left="-108"/>
              <w:jc w:val="both"/>
              <w:rPr>
                <w:rFonts w:ascii="Arial Narrow" w:hAnsi="Arial Narrow" w:cs="Arial"/>
                <w:b/>
                <w:sz w:val="20"/>
              </w:rPr>
            </w:pPr>
            <w:proofErr w:type="spellStart"/>
            <w:r w:rsidRPr="00F1507D">
              <w:rPr>
                <w:rFonts w:ascii="Arial Narrow" w:hAnsi="Arial Narrow" w:cs="Arial"/>
                <w:b/>
                <w:sz w:val="20"/>
              </w:rPr>
              <w:t>Qty</w:t>
            </w:r>
            <w:proofErr w:type="spellEnd"/>
          </w:p>
        </w:tc>
        <w:tc>
          <w:tcPr>
            <w:tcW w:w="440" w:type="pct"/>
            <w:tcBorders>
              <w:bottom w:val="single" w:sz="4" w:space="0" w:color="auto"/>
            </w:tcBorders>
          </w:tcPr>
          <w:p w:rsidR="00B720DE" w:rsidRPr="00F1507D" w:rsidRDefault="00B720DE" w:rsidP="00E4574C">
            <w:pPr>
              <w:keepNext/>
              <w:ind w:left="-108"/>
              <w:rPr>
                <w:rFonts w:ascii="Arial Narrow" w:hAnsi="Arial Narrow" w:cs="Arial"/>
                <w:b/>
                <w:sz w:val="20"/>
              </w:rPr>
            </w:pPr>
            <w:r w:rsidRPr="00F1507D">
              <w:rPr>
                <w:rFonts w:ascii="Arial Narrow" w:hAnsi="Arial Narrow" w:cs="Arial"/>
                <w:b/>
                <w:sz w:val="20"/>
              </w:rPr>
              <w:t xml:space="preserve">№. of </w:t>
            </w:r>
            <w:proofErr w:type="spellStart"/>
            <w:r w:rsidRPr="00F1507D">
              <w:rPr>
                <w:rFonts w:ascii="Arial Narrow" w:hAnsi="Arial Narrow" w:cs="Arial"/>
                <w:b/>
                <w:sz w:val="20"/>
              </w:rPr>
              <w:t>Rpts</w:t>
            </w:r>
            <w:proofErr w:type="spellEnd"/>
          </w:p>
        </w:tc>
        <w:tc>
          <w:tcPr>
            <w:tcW w:w="647" w:type="pct"/>
            <w:tcBorders>
              <w:bottom w:val="single" w:sz="4" w:space="0" w:color="auto"/>
            </w:tcBorders>
          </w:tcPr>
          <w:p w:rsidR="00B720DE" w:rsidRPr="00F1507D" w:rsidRDefault="00B720DE" w:rsidP="00E4574C">
            <w:pPr>
              <w:keepNext/>
              <w:rPr>
                <w:rFonts w:ascii="Arial Narrow" w:hAnsi="Arial Narrow" w:cs="Arial"/>
                <w:b/>
                <w:sz w:val="20"/>
              </w:rPr>
            </w:pPr>
          </w:p>
        </w:tc>
        <w:tc>
          <w:tcPr>
            <w:tcW w:w="1793" w:type="pct"/>
            <w:gridSpan w:val="2"/>
            <w:tcBorders>
              <w:bottom w:val="single" w:sz="4" w:space="0" w:color="auto"/>
            </w:tcBorders>
          </w:tcPr>
          <w:p w:rsidR="00B720DE" w:rsidRPr="00F1507D" w:rsidRDefault="00B720DE" w:rsidP="00E4574C">
            <w:pPr>
              <w:keepNext/>
              <w:rPr>
                <w:rFonts w:ascii="Arial Narrow" w:hAnsi="Arial Narrow" w:cs="Arial"/>
                <w:b/>
                <w:sz w:val="20"/>
              </w:rPr>
            </w:pPr>
            <w:r w:rsidRPr="00F1507D">
              <w:rPr>
                <w:rFonts w:ascii="Arial Narrow" w:hAnsi="Arial Narrow" w:cs="Arial"/>
                <w:b/>
                <w:sz w:val="20"/>
              </w:rPr>
              <w:t>Proprietary Name and Manufacturer</w:t>
            </w:r>
          </w:p>
        </w:tc>
      </w:tr>
      <w:tr w:rsidR="00B720DE" w:rsidRPr="005B6343" w:rsidTr="00E4574C">
        <w:trPr>
          <w:cantSplit/>
        </w:trPr>
        <w:tc>
          <w:tcPr>
            <w:tcW w:w="1737" w:type="pct"/>
          </w:tcPr>
          <w:p w:rsidR="00B720DE" w:rsidRPr="00F1507D" w:rsidRDefault="00B720DE" w:rsidP="00E4574C">
            <w:pPr>
              <w:keepNext/>
              <w:ind w:left="-108"/>
              <w:jc w:val="both"/>
              <w:rPr>
                <w:rFonts w:ascii="Arial Narrow" w:hAnsi="Arial Narrow" w:cs="Arial"/>
                <w:smallCaps/>
                <w:sz w:val="20"/>
              </w:rPr>
            </w:pPr>
            <w:r w:rsidRPr="00F1507D">
              <w:rPr>
                <w:rFonts w:ascii="Arial Narrow" w:hAnsi="Arial Narrow" w:cs="Arial"/>
                <w:smallCaps/>
                <w:sz w:val="20"/>
              </w:rPr>
              <w:t>BUDESONIDE</w:t>
            </w:r>
          </w:p>
          <w:p w:rsidR="00B720DE" w:rsidRPr="005B6343" w:rsidRDefault="00B720DE" w:rsidP="00E4574C">
            <w:pPr>
              <w:keepNext/>
              <w:ind w:left="-108"/>
              <w:jc w:val="both"/>
              <w:rPr>
                <w:rFonts w:ascii="Arial Narrow" w:hAnsi="Arial Narrow" w:cs="Arial"/>
                <w:sz w:val="20"/>
              </w:rPr>
            </w:pPr>
            <w:r w:rsidRPr="005B6343">
              <w:rPr>
                <w:rFonts w:ascii="Arial Narrow" w:hAnsi="Arial Narrow" w:cs="Arial"/>
                <w:sz w:val="20"/>
              </w:rPr>
              <w:t>3 mg enteric capsule</w:t>
            </w:r>
          </w:p>
          <w:p w:rsidR="00B720DE" w:rsidRPr="005B6343" w:rsidRDefault="00B720DE" w:rsidP="00E4574C">
            <w:pPr>
              <w:keepNext/>
              <w:ind w:left="-108"/>
              <w:jc w:val="both"/>
              <w:rPr>
                <w:rFonts w:ascii="Arial Narrow" w:hAnsi="Arial Narrow" w:cs="Arial"/>
                <w:sz w:val="20"/>
              </w:rPr>
            </w:pPr>
          </w:p>
        </w:tc>
        <w:tc>
          <w:tcPr>
            <w:tcW w:w="383" w:type="pct"/>
            <w:gridSpan w:val="2"/>
          </w:tcPr>
          <w:p w:rsidR="00B720DE" w:rsidRPr="005B6343" w:rsidRDefault="00B720DE" w:rsidP="00E4574C">
            <w:pPr>
              <w:keepNext/>
              <w:rPr>
                <w:rFonts w:ascii="Arial Narrow" w:hAnsi="Arial Narrow" w:cs="Arial"/>
                <w:sz w:val="20"/>
              </w:rPr>
            </w:pPr>
            <w:r w:rsidRPr="005B6343">
              <w:rPr>
                <w:rFonts w:ascii="Arial Narrow" w:hAnsi="Arial Narrow" w:cs="Arial"/>
                <w:sz w:val="20"/>
              </w:rPr>
              <w:t>90</w:t>
            </w:r>
          </w:p>
        </w:tc>
        <w:tc>
          <w:tcPr>
            <w:tcW w:w="440" w:type="pct"/>
            <w:tcBorders>
              <w:top w:val="single" w:sz="4" w:space="0" w:color="auto"/>
            </w:tcBorders>
          </w:tcPr>
          <w:p w:rsidR="00B720DE" w:rsidRPr="005B6343" w:rsidRDefault="00B720DE" w:rsidP="00E4574C">
            <w:pPr>
              <w:keepNext/>
              <w:ind w:left="-108"/>
              <w:rPr>
                <w:rFonts w:ascii="Arial Narrow" w:hAnsi="Arial Narrow" w:cs="Arial"/>
                <w:i/>
                <w:sz w:val="20"/>
              </w:rPr>
            </w:pPr>
            <w:r w:rsidRPr="005B6343">
              <w:rPr>
                <w:rFonts w:ascii="Arial Narrow" w:hAnsi="Arial Narrow" w:cs="Arial"/>
                <w:sz w:val="20"/>
              </w:rPr>
              <w:t>2</w:t>
            </w:r>
          </w:p>
        </w:tc>
        <w:tc>
          <w:tcPr>
            <w:tcW w:w="647" w:type="pct"/>
            <w:tcBorders>
              <w:top w:val="single" w:sz="4" w:space="0" w:color="auto"/>
            </w:tcBorders>
          </w:tcPr>
          <w:p w:rsidR="00B720DE" w:rsidRPr="005B6343" w:rsidRDefault="00B720DE" w:rsidP="00E4574C">
            <w:pPr>
              <w:keepNext/>
              <w:rPr>
                <w:rFonts w:ascii="Arial Narrow" w:hAnsi="Arial Narrow" w:cs="Arial"/>
                <w:sz w:val="20"/>
              </w:rPr>
            </w:pPr>
          </w:p>
        </w:tc>
        <w:tc>
          <w:tcPr>
            <w:tcW w:w="650" w:type="pct"/>
          </w:tcPr>
          <w:p w:rsidR="00B720DE" w:rsidRPr="005B6343" w:rsidRDefault="00B720DE" w:rsidP="00E4574C">
            <w:pPr>
              <w:keepNext/>
              <w:rPr>
                <w:rFonts w:ascii="Arial Narrow" w:hAnsi="Arial Narrow" w:cs="Arial"/>
                <w:sz w:val="20"/>
              </w:rPr>
            </w:pPr>
            <w:proofErr w:type="spellStart"/>
            <w:r w:rsidRPr="005B6343">
              <w:rPr>
                <w:rFonts w:ascii="Arial Narrow" w:hAnsi="Arial Narrow" w:cs="Arial"/>
                <w:sz w:val="20"/>
              </w:rPr>
              <w:t>Budenofalk</w:t>
            </w:r>
            <w:proofErr w:type="spellEnd"/>
            <w:r w:rsidRPr="005B6343">
              <w:rPr>
                <w:rFonts w:ascii="Arial Narrow" w:hAnsi="Arial Narrow" w:cs="Arial"/>
                <w:sz w:val="20"/>
              </w:rPr>
              <w:t>®</w:t>
            </w:r>
          </w:p>
        </w:tc>
        <w:tc>
          <w:tcPr>
            <w:tcW w:w="1143" w:type="pct"/>
          </w:tcPr>
          <w:p w:rsidR="00B720DE" w:rsidRPr="005B6343" w:rsidRDefault="00B720DE" w:rsidP="00E4574C">
            <w:pPr>
              <w:keepNext/>
              <w:rPr>
                <w:rFonts w:ascii="Arial Narrow" w:hAnsi="Arial Narrow" w:cs="Arial"/>
                <w:sz w:val="20"/>
              </w:rPr>
            </w:pPr>
            <w:r w:rsidRPr="005B6343">
              <w:rPr>
                <w:rFonts w:ascii="Arial Narrow" w:hAnsi="Arial Narrow" w:cs="Arial"/>
                <w:sz w:val="20"/>
              </w:rPr>
              <w:t>Orphan Australia Pty Ltd</w:t>
            </w:r>
          </w:p>
        </w:tc>
      </w:tr>
      <w:tr w:rsidR="00B720DE" w:rsidRPr="005B6343" w:rsidTr="00E4574C">
        <w:trPr>
          <w:cantSplit/>
        </w:trPr>
        <w:tc>
          <w:tcPr>
            <w:tcW w:w="1754" w:type="pct"/>
            <w:gridSpan w:val="2"/>
            <w:tcBorders>
              <w:top w:val="single" w:sz="4" w:space="0" w:color="auto"/>
              <w:left w:val="single" w:sz="4" w:space="0" w:color="auto"/>
              <w:bottom w:val="single" w:sz="4" w:space="0" w:color="auto"/>
              <w:right w:val="single" w:sz="4" w:space="0" w:color="auto"/>
            </w:tcBorders>
            <w:vAlign w:val="center"/>
          </w:tcPr>
          <w:p w:rsidR="00B720DE" w:rsidRPr="005B6343" w:rsidRDefault="00B720DE" w:rsidP="00E4574C">
            <w:pPr>
              <w:rPr>
                <w:rFonts w:ascii="Arial Narrow" w:hAnsi="Arial Narrow" w:cs="Arial"/>
                <w:b/>
                <w:sz w:val="20"/>
              </w:rPr>
            </w:pPr>
            <w:r w:rsidRPr="005B6343">
              <w:rPr>
                <w:rFonts w:ascii="Arial Narrow" w:hAnsi="Arial Narrow" w:cs="Arial"/>
                <w:b/>
                <w:sz w:val="20"/>
              </w:rPr>
              <w:t xml:space="preserve">Category/Program </w:t>
            </w:r>
          </w:p>
        </w:tc>
        <w:tc>
          <w:tcPr>
            <w:tcW w:w="3246" w:type="pct"/>
            <w:gridSpan w:val="5"/>
            <w:tcBorders>
              <w:top w:val="single" w:sz="4" w:space="0" w:color="auto"/>
              <w:left w:val="single" w:sz="4" w:space="0" w:color="auto"/>
              <w:bottom w:val="single" w:sz="4" w:space="0" w:color="auto"/>
              <w:right w:val="single" w:sz="4" w:space="0" w:color="auto"/>
            </w:tcBorders>
            <w:vAlign w:val="center"/>
          </w:tcPr>
          <w:p w:rsidR="00B720DE" w:rsidRPr="005B6343" w:rsidRDefault="00B720DE" w:rsidP="00E4574C">
            <w:pPr>
              <w:rPr>
                <w:rFonts w:ascii="Arial Narrow" w:hAnsi="Arial Narrow"/>
                <w:sz w:val="20"/>
              </w:rPr>
            </w:pPr>
            <w:r w:rsidRPr="005B6343">
              <w:rPr>
                <w:rFonts w:ascii="Arial Narrow" w:hAnsi="Arial Narrow"/>
                <w:sz w:val="20"/>
              </w:rPr>
              <w:t>Section 85 (general schedule)</w:t>
            </w:r>
          </w:p>
        </w:tc>
      </w:tr>
      <w:tr w:rsidR="00B720DE" w:rsidRPr="005B6343" w:rsidTr="00E4574C">
        <w:trPr>
          <w:cantSplit/>
        </w:trPr>
        <w:tc>
          <w:tcPr>
            <w:tcW w:w="1754" w:type="pct"/>
            <w:gridSpan w:val="2"/>
            <w:tcBorders>
              <w:top w:val="single" w:sz="4" w:space="0" w:color="auto"/>
              <w:left w:val="single" w:sz="4" w:space="0" w:color="auto"/>
              <w:bottom w:val="single" w:sz="4" w:space="0" w:color="auto"/>
              <w:right w:val="single" w:sz="4" w:space="0" w:color="auto"/>
            </w:tcBorders>
            <w:vAlign w:val="center"/>
          </w:tcPr>
          <w:p w:rsidR="00B720DE" w:rsidRPr="005B6343" w:rsidRDefault="00B720DE" w:rsidP="00E4574C">
            <w:pPr>
              <w:rPr>
                <w:rFonts w:ascii="Arial Narrow" w:hAnsi="Arial Narrow" w:cs="Arial"/>
                <w:b/>
                <w:sz w:val="20"/>
              </w:rPr>
            </w:pPr>
            <w:r w:rsidRPr="005B6343">
              <w:rPr>
                <w:rFonts w:ascii="Arial Narrow" w:hAnsi="Arial Narrow" w:cs="Arial"/>
                <w:b/>
                <w:sz w:val="20"/>
              </w:rPr>
              <w:t>Prescriber type:</w:t>
            </w:r>
          </w:p>
        </w:tc>
        <w:tc>
          <w:tcPr>
            <w:tcW w:w="3246" w:type="pct"/>
            <w:gridSpan w:val="5"/>
            <w:tcBorders>
              <w:top w:val="single" w:sz="4" w:space="0" w:color="auto"/>
              <w:left w:val="single" w:sz="4" w:space="0" w:color="auto"/>
              <w:bottom w:val="single" w:sz="4" w:space="0" w:color="auto"/>
              <w:right w:val="single" w:sz="4" w:space="0" w:color="auto"/>
            </w:tcBorders>
            <w:vAlign w:val="center"/>
          </w:tcPr>
          <w:p w:rsidR="00B720DE" w:rsidRPr="005B6343" w:rsidRDefault="00B720DE" w:rsidP="00E4574C">
            <w:pPr>
              <w:rPr>
                <w:rFonts w:ascii="Arial Narrow" w:hAnsi="Arial Narrow" w:cs="Arial"/>
                <w:sz w:val="20"/>
              </w:rPr>
            </w:pPr>
            <w:r w:rsidRPr="00F554E0">
              <w:rPr>
                <w:rFonts w:ascii="Arial Narrow" w:hAnsi="Arial Narrow" w:cs="Arial"/>
                <w:sz w:val="20"/>
              </w:rPr>
              <w:fldChar w:fldCharType="begin">
                <w:ffData>
                  <w:name w:val="Check5"/>
                  <w:enabled/>
                  <w:calcOnExit w:val="0"/>
                  <w:checkBox>
                    <w:sizeAuto/>
                    <w:default w:val="0"/>
                  </w:checkBox>
                </w:ffData>
              </w:fldChar>
            </w:r>
            <w:r w:rsidRPr="005B6343">
              <w:rPr>
                <w:rFonts w:ascii="Arial Narrow" w:hAnsi="Arial Narrow" w:cs="Arial"/>
                <w:sz w:val="20"/>
              </w:rPr>
              <w:instrText xml:space="preserve"> FORMCHECKBOX </w:instrText>
            </w:r>
            <w:r w:rsidR="002D0630">
              <w:rPr>
                <w:rFonts w:ascii="Arial Narrow" w:hAnsi="Arial Narrow" w:cs="Arial"/>
                <w:sz w:val="20"/>
              </w:rPr>
            </w:r>
            <w:r w:rsidR="002D0630">
              <w:rPr>
                <w:rFonts w:ascii="Arial Narrow" w:hAnsi="Arial Narrow" w:cs="Arial"/>
                <w:sz w:val="20"/>
              </w:rPr>
              <w:fldChar w:fldCharType="separate"/>
            </w:r>
            <w:r w:rsidRPr="00F554E0">
              <w:rPr>
                <w:rFonts w:ascii="Arial Narrow" w:hAnsi="Arial Narrow" w:cs="Arial"/>
                <w:sz w:val="20"/>
              </w:rPr>
              <w:fldChar w:fldCharType="end"/>
            </w:r>
            <w:r w:rsidRPr="005B6343">
              <w:rPr>
                <w:rFonts w:ascii="Arial Narrow" w:hAnsi="Arial Narrow" w:cs="Arial"/>
                <w:sz w:val="20"/>
              </w:rPr>
              <w:t xml:space="preserve">Dental  </w:t>
            </w:r>
            <w:r w:rsidRPr="00F554E0">
              <w:rPr>
                <w:rFonts w:ascii="Arial Narrow" w:hAnsi="Arial Narrow" w:cs="Arial"/>
                <w:sz w:val="20"/>
              </w:rPr>
              <w:fldChar w:fldCharType="begin">
                <w:ffData>
                  <w:name w:val=""/>
                  <w:enabled/>
                  <w:calcOnExit w:val="0"/>
                  <w:checkBox>
                    <w:sizeAuto/>
                    <w:default w:val="1"/>
                  </w:checkBox>
                </w:ffData>
              </w:fldChar>
            </w:r>
            <w:r w:rsidRPr="005B6343">
              <w:rPr>
                <w:rFonts w:ascii="Arial Narrow" w:hAnsi="Arial Narrow" w:cs="Arial"/>
                <w:sz w:val="20"/>
              </w:rPr>
              <w:instrText xml:space="preserve"> FORMCHECKBOX </w:instrText>
            </w:r>
            <w:r w:rsidR="002D0630">
              <w:rPr>
                <w:rFonts w:ascii="Arial Narrow" w:hAnsi="Arial Narrow" w:cs="Arial"/>
                <w:sz w:val="20"/>
              </w:rPr>
            </w:r>
            <w:r w:rsidR="002D0630">
              <w:rPr>
                <w:rFonts w:ascii="Arial Narrow" w:hAnsi="Arial Narrow" w:cs="Arial"/>
                <w:sz w:val="20"/>
              </w:rPr>
              <w:fldChar w:fldCharType="separate"/>
            </w:r>
            <w:r w:rsidRPr="00F554E0">
              <w:rPr>
                <w:rFonts w:ascii="Arial Narrow" w:hAnsi="Arial Narrow" w:cs="Arial"/>
                <w:sz w:val="20"/>
              </w:rPr>
              <w:fldChar w:fldCharType="end"/>
            </w:r>
            <w:r w:rsidRPr="005B6343">
              <w:rPr>
                <w:rFonts w:ascii="Arial Narrow" w:hAnsi="Arial Narrow" w:cs="Arial"/>
                <w:sz w:val="20"/>
              </w:rPr>
              <w:t xml:space="preserve">Medical Practitioners  </w:t>
            </w:r>
            <w:r w:rsidRPr="00F554E0">
              <w:rPr>
                <w:rFonts w:ascii="Arial Narrow" w:hAnsi="Arial Narrow" w:cs="Arial"/>
                <w:sz w:val="20"/>
              </w:rPr>
              <w:fldChar w:fldCharType="begin">
                <w:ffData>
                  <w:name w:val="Check3"/>
                  <w:enabled/>
                  <w:calcOnExit w:val="0"/>
                  <w:checkBox>
                    <w:sizeAuto/>
                    <w:default w:val="1"/>
                  </w:checkBox>
                </w:ffData>
              </w:fldChar>
            </w:r>
            <w:r w:rsidRPr="005B6343">
              <w:rPr>
                <w:rFonts w:ascii="Arial Narrow" w:hAnsi="Arial Narrow" w:cs="Arial"/>
                <w:sz w:val="20"/>
              </w:rPr>
              <w:instrText xml:space="preserve"> FORMCHECKBOX </w:instrText>
            </w:r>
            <w:r w:rsidR="002D0630">
              <w:rPr>
                <w:rFonts w:ascii="Arial Narrow" w:hAnsi="Arial Narrow" w:cs="Arial"/>
                <w:sz w:val="20"/>
              </w:rPr>
            </w:r>
            <w:r w:rsidR="002D0630">
              <w:rPr>
                <w:rFonts w:ascii="Arial Narrow" w:hAnsi="Arial Narrow" w:cs="Arial"/>
                <w:sz w:val="20"/>
              </w:rPr>
              <w:fldChar w:fldCharType="separate"/>
            </w:r>
            <w:r w:rsidRPr="00F554E0">
              <w:rPr>
                <w:rFonts w:ascii="Arial Narrow" w:hAnsi="Arial Narrow" w:cs="Arial"/>
                <w:sz w:val="20"/>
              </w:rPr>
              <w:fldChar w:fldCharType="end"/>
            </w:r>
            <w:r w:rsidRPr="005B6343">
              <w:rPr>
                <w:rFonts w:ascii="Arial Narrow" w:hAnsi="Arial Narrow" w:cs="Arial"/>
                <w:sz w:val="20"/>
              </w:rPr>
              <w:t xml:space="preserve">Nurse practitioners  </w:t>
            </w:r>
            <w:r w:rsidRPr="00F554E0">
              <w:rPr>
                <w:rFonts w:ascii="Arial Narrow" w:hAnsi="Arial Narrow" w:cs="Arial"/>
                <w:sz w:val="20"/>
              </w:rPr>
              <w:fldChar w:fldCharType="begin">
                <w:ffData>
                  <w:name w:val=""/>
                  <w:enabled/>
                  <w:calcOnExit w:val="0"/>
                  <w:checkBox>
                    <w:sizeAuto/>
                    <w:default w:val="0"/>
                  </w:checkBox>
                </w:ffData>
              </w:fldChar>
            </w:r>
            <w:r w:rsidRPr="005B6343">
              <w:rPr>
                <w:rFonts w:ascii="Arial Narrow" w:hAnsi="Arial Narrow" w:cs="Arial"/>
                <w:sz w:val="20"/>
              </w:rPr>
              <w:instrText xml:space="preserve"> FORMCHECKBOX </w:instrText>
            </w:r>
            <w:r w:rsidR="002D0630">
              <w:rPr>
                <w:rFonts w:ascii="Arial Narrow" w:hAnsi="Arial Narrow" w:cs="Arial"/>
                <w:sz w:val="20"/>
              </w:rPr>
            </w:r>
            <w:r w:rsidR="002D0630">
              <w:rPr>
                <w:rFonts w:ascii="Arial Narrow" w:hAnsi="Arial Narrow" w:cs="Arial"/>
                <w:sz w:val="20"/>
              </w:rPr>
              <w:fldChar w:fldCharType="separate"/>
            </w:r>
            <w:r w:rsidRPr="00F554E0">
              <w:rPr>
                <w:rFonts w:ascii="Arial Narrow" w:hAnsi="Arial Narrow" w:cs="Arial"/>
                <w:sz w:val="20"/>
              </w:rPr>
              <w:fldChar w:fldCharType="end"/>
            </w:r>
            <w:r w:rsidRPr="005B6343">
              <w:rPr>
                <w:rFonts w:ascii="Arial Narrow" w:hAnsi="Arial Narrow" w:cs="Arial"/>
                <w:sz w:val="20"/>
              </w:rPr>
              <w:t>Optometrists</w:t>
            </w:r>
          </w:p>
          <w:p w:rsidR="00B720DE" w:rsidRPr="005B6343" w:rsidRDefault="00B720DE" w:rsidP="00E4574C">
            <w:pPr>
              <w:rPr>
                <w:rFonts w:ascii="Arial Narrow" w:hAnsi="Arial Narrow" w:cs="Arial"/>
                <w:sz w:val="20"/>
              </w:rPr>
            </w:pPr>
            <w:r w:rsidRPr="00F554E0">
              <w:rPr>
                <w:rFonts w:ascii="Arial Narrow" w:hAnsi="Arial Narrow" w:cs="Arial"/>
                <w:sz w:val="20"/>
              </w:rPr>
              <w:fldChar w:fldCharType="begin">
                <w:ffData>
                  <w:name w:val="Check5"/>
                  <w:enabled/>
                  <w:calcOnExit w:val="0"/>
                  <w:checkBox>
                    <w:sizeAuto/>
                    <w:default w:val="0"/>
                  </w:checkBox>
                </w:ffData>
              </w:fldChar>
            </w:r>
            <w:r w:rsidRPr="005B6343">
              <w:rPr>
                <w:rFonts w:ascii="Arial Narrow" w:hAnsi="Arial Narrow" w:cs="Arial"/>
                <w:sz w:val="20"/>
              </w:rPr>
              <w:instrText xml:space="preserve"> FORMCHECKBOX </w:instrText>
            </w:r>
            <w:r w:rsidR="002D0630">
              <w:rPr>
                <w:rFonts w:ascii="Arial Narrow" w:hAnsi="Arial Narrow" w:cs="Arial"/>
                <w:sz w:val="20"/>
              </w:rPr>
            </w:r>
            <w:r w:rsidR="002D0630">
              <w:rPr>
                <w:rFonts w:ascii="Arial Narrow" w:hAnsi="Arial Narrow" w:cs="Arial"/>
                <w:sz w:val="20"/>
              </w:rPr>
              <w:fldChar w:fldCharType="separate"/>
            </w:r>
            <w:r w:rsidRPr="00F554E0">
              <w:rPr>
                <w:rFonts w:ascii="Arial Narrow" w:hAnsi="Arial Narrow" w:cs="Arial"/>
                <w:sz w:val="20"/>
              </w:rPr>
              <w:fldChar w:fldCharType="end"/>
            </w:r>
            <w:r w:rsidRPr="005B6343">
              <w:rPr>
                <w:rFonts w:ascii="Arial Narrow" w:hAnsi="Arial Narrow" w:cs="Arial"/>
                <w:sz w:val="20"/>
              </w:rPr>
              <w:t>Midwives</w:t>
            </w:r>
          </w:p>
        </w:tc>
      </w:tr>
      <w:tr w:rsidR="00B720DE" w:rsidRPr="005B6343" w:rsidTr="00E4574C">
        <w:trPr>
          <w:cantSplit/>
        </w:trPr>
        <w:tc>
          <w:tcPr>
            <w:tcW w:w="1754" w:type="pct"/>
            <w:gridSpan w:val="2"/>
            <w:tcBorders>
              <w:top w:val="single" w:sz="4" w:space="0" w:color="auto"/>
              <w:left w:val="single" w:sz="4" w:space="0" w:color="auto"/>
              <w:bottom w:val="single" w:sz="4" w:space="0" w:color="auto"/>
              <w:right w:val="single" w:sz="4" w:space="0" w:color="auto"/>
            </w:tcBorders>
            <w:vAlign w:val="center"/>
          </w:tcPr>
          <w:p w:rsidR="00B720DE" w:rsidRPr="005B6343" w:rsidRDefault="00B720DE" w:rsidP="00E4574C">
            <w:pPr>
              <w:rPr>
                <w:rFonts w:ascii="Arial Narrow" w:hAnsi="Arial Narrow" w:cs="Arial"/>
                <w:b/>
                <w:sz w:val="20"/>
              </w:rPr>
            </w:pPr>
            <w:r w:rsidRPr="005B6343">
              <w:rPr>
                <w:rFonts w:ascii="Arial Narrow" w:hAnsi="Arial Narrow" w:cs="Arial"/>
                <w:b/>
                <w:sz w:val="20"/>
              </w:rPr>
              <w:t>Severity:</w:t>
            </w:r>
          </w:p>
        </w:tc>
        <w:tc>
          <w:tcPr>
            <w:tcW w:w="3246" w:type="pct"/>
            <w:gridSpan w:val="5"/>
            <w:tcBorders>
              <w:top w:val="single" w:sz="4" w:space="0" w:color="auto"/>
              <w:left w:val="single" w:sz="4" w:space="0" w:color="auto"/>
              <w:bottom w:val="single" w:sz="4" w:space="0" w:color="auto"/>
              <w:right w:val="single" w:sz="4" w:space="0" w:color="auto"/>
            </w:tcBorders>
            <w:vAlign w:val="center"/>
          </w:tcPr>
          <w:p w:rsidR="00B720DE" w:rsidRPr="005B6343" w:rsidRDefault="00B720DE" w:rsidP="00E4574C">
            <w:pPr>
              <w:rPr>
                <w:rFonts w:ascii="Arial Narrow" w:hAnsi="Arial Narrow"/>
                <w:sz w:val="20"/>
              </w:rPr>
            </w:pPr>
            <w:r w:rsidRPr="005B6343">
              <w:rPr>
                <w:rFonts w:ascii="Arial Narrow" w:hAnsi="Arial Narrow"/>
                <w:sz w:val="20"/>
              </w:rPr>
              <w:t xml:space="preserve">Mild to moderate </w:t>
            </w:r>
          </w:p>
        </w:tc>
      </w:tr>
      <w:tr w:rsidR="00B720DE" w:rsidRPr="005B6343" w:rsidTr="00E4574C">
        <w:trPr>
          <w:cantSplit/>
        </w:trPr>
        <w:tc>
          <w:tcPr>
            <w:tcW w:w="1754" w:type="pct"/>
            <w:gridSpan w:val="2"/>
            <w:tcBorders>
              <w:top w:val="single" w:sz="4" w:space="0" w:color="auto"/>
              <w:left w:val="single" w:sz="4" w:space="0" w:color="auto"/>
              <w:bottom w:val="single" w:sz="4" w:space="0" w:color="auto"/>
              <w:right w:val="single" w:sz="4" w:space="0" w:color="auto"/>
            </w:tcBorders>
            <w:vAlign w:val="center"/>
          </w:tcPr>
          <w:p w:rsidR="00B720DE" w:rsidRPr="005B6343" w:rsidRDefault="00B720DE" w:rsidP="00E4574C">
            <w:pPr>
              <w:rPr>
                <w:rFonts w:ascii="Arial Narrow" w:hAnsi="Arial Narrow" w:cs="Arial"/>
                <w:b/>
                <w:sz w:val="20"/>
              </w:rPr>
            </w:pPr>
            <w:r w:rsidRPr="005B6343">
              <w:rPr>
                <w:rFonts w:ascii="Arial Narrow" w:hAnsi="Arial Narrow" w:cs="Arial"/>
                <w:b/>
                <w:sz w:val="20"/>
              </w:rPr>
              <w:t>Condition:</w:t>
            </w:r>
          </w:p>
        </w:tc>
        <w:tc>
          <w:tcPr>
            <w:tcW w:w="3246" w:type="pct"/>
            <w:gridSpan w:val="5"/>
            <w:tcBorders>
              <w:top w:val="single" w:sz="4" w:space="0" w:color="auto"/>
              <w:left w:val="single" w:sz="4" w:space="0" w:color="auto"/>
              <w:bottom w:val="single" w:sz="4" w:space="0" w:color="auto"/>
              <w:right w:val="single" w:sz="4" w:space="0" w:color="auto"/>
            </w:tcBorders>
            <w:vAlign w:val="center"/>
          </w:tcPr>
          <w:p w:rsidR="00B720DE" w:rsidRPr="005B6343" w:rsidRDefault="00B720DE" w:rsidP="00E4574C">
            <w:pPr>
              <w:rPr>
                <w:rFonts w:ascii="Arial Narrow" w:hAnsi="Arial Narrow"/>
                <w:sz w:val="20"/>
              </w:rPr>
            </w:pPr>
            <w:r w:rsidRPr="005B6343">
              <w:rPr>
                <w:rFonts w:ascii="Arial Narrow" w:hAnsi="Arial Narrow"/>
                <w:sz w:val="20"/>
              </w:rPr>
              <w:t>Crohn disease</w:t>
            </w:r>
          </w:p>
        </w:tc>
      </w:tr>
      <w:tr w:rsidR="00B720DE" w:rsidRPr="005B6343" w:rsidTr="00E4574C">
        <w:trPr>
          <w:cantSplit/>
        </w:trPr>
        <w:tc>
          <w:tcPr>
            <w:tcW w:w="1754" w:type="pct"/>
            <w:gridSpan w:val="2"/>
            <w:tcBorders>
              <w:top w:val="single" w:sz="4" w:space="0" w:color="auto"/>
              <w:left w:val="single" w:sz="4" w:space="0" w:color="auto"/>
              <w:bottom w:val="single" w:sz="4" w:space="0" w:color="auto"/>
              <w:right w:val="single" w:sz="4" w:space="0" w:color="auto"/>
            </w:tcBorders>
            <w:vAlign w:val="center"/>
          </w:tcPr>
          <w:p w:rsidR="00B720DE" w:rsidRPr="005B6343" w:rsidRDefault="00B720DE" w:rsidP="00E4574C">
            <w:pPr>
              <w:rPr>
                <w:rFonts w:ascii="Arial Narrow" w:hAnsi="Arial Narrow" w:cs="Arial"/>
                <w:b/>
                <w:sz w:val="20"/>
              </w:rPr>
            </w:pPr>
            <w:r w:rsidRPr="005B6343">
              <w:rPr>
                <w:rFonts w:ascii="Arial Narrow" w:hAnsi="Arial Narrow" w:cs="Arial"/>
                <w:b/>
                <w:sz w:val="20"/>
              </w:rPr>
              <w:t>PBS Indication:</w:t>
            </w:r>
          </w:p>
        </w:tc>
        <w:tc>
          <w:tcPr>
            <w:tcW w:w="3246" w:type="pct"/>
            <w:gridSpan w:val="5"/>
            <w:tcBorders>
              <w:top w:val="single" w:sz="4" w:space="0" w:color="auto"/>
              <w:left w:val="single" w:sz="4" w:space="0" w:color="auto"/>
              <w:bottom w:val="single" w:sz="4" w:space="0" w:color="auto"/>
              <w:right w:val="single" w:sz="4" w:space="0" w:color="auto"/>
            </w:tcBorders>
            <w:vAlign w:val="center"/>
          </w:tcPr>
          <w:p w:rsidR="00B720DE" w:rsidRPr="005B6343" w:rsidRDefault="00B720DE" w:rsidP="00E4574C">
            <w:pPr>
              <w:rPr>
                <w:rFonts w:ascii="Arial Narrow" w:hAnsi="Arial Narrow"/>
                <w:sz w:val="20"/>
              </w:rPr>
            </w:pPr>
            <w:r w:rsidRPr="005B6343">
              <w:rPr>
                <w:rFonts w:ascii="Arial Narrow" w:hAnsi="Arial Narrow"/>
                <w:sz w:val="20"/>
              </w:rPr>
              <w:t xml:space="preserve">Mild to moderate Crohn disease </w:t>
            </w:r>
          </w:p>
        </w:tc>
      </w:tr>
      <w:tr w:rsidR="00B720DE" w:rsidRPr="005B6343" w:rsidTr="00E4574C">
        <w:trPr>
          <w:cantSplit/>
        </w:trPr>
        <w:tc>
          <w:tcPr>
            <w:tcW w:w="1754" w:type="pct"/>
            <w:gridSpan w:val="2"/>
            <w:tcBorders>
              <w:top w:val="single" w:sz="4" w:space="0" w:color="auto"/>
              <w:left w:val="single" w:sz="4" w:space="0" w:color="auto"/>
              <w:bottom w:val="single" w:sz="4" w:space="0" w:color="auto"/>
              <w:right w:val="single" w:sz="4" w:space="0" w:color="auto"/>
            </w:tcBorders>
            <w:vAlign w:val="center"/>
          </w:tcPr>
          <w:p w:rsidR="00B720DE" w:rsidRPr="005B6343" w:rsidRDefault="00B720DE" w:rsidP="00E4574C">
            <w:pPr>
              <w:rPr>
                <w:rFonts w:ascii="Arial Narrow" w:hAnsi="Arial Narrow" w:cs="Arial"/>
                <w:b/>
                <w:sz w:val="20"/>
              </w:rPr>
            </w:pPr>
            <w:r w:rsidRPr="005B6343">
              <w:rPr>
                <w:rFonts w:ascii="Arial Narrow" w:hAnsi="Arial Narrow" w:cs="Arial"/>
                <w:b/>
                <w:sz w:val="20"/>
              </w:rPr>
              <w:lastRenderedPageBreak/>
              <w:t>Restriction:</w:t>
            </w:r>
          </w:p>
          <w:p w:rsidR="00B720DE" w:rsidRPr="005B6343" w:rsidRDefault="00B720DE" w:rsidP="00E4574C">
            <w:pPr>
              <w:rPr>
                <w:rFonts w:ascii="Arial Narrow" w:hAnsi="Arial Narrow" w:cs="Arial"/>
                <w:sz w:val="20"/>
              </w:rPr>
            </w:pPr>
          </w:p>
        </w:tc>
        <w:tc>
          <w:tcPr>
            <w:tcW w:w="3246" w:type="pct"/>
            <w:gridSpan w:val="5"/>
            <w:tcBorders>
              <w:top w:val="single" w:sz="4" w:space="0" w:color="auto"/>
              <w:left w:val="single" w:sz="4" w:space="0" w:color="auto"/>
              <w:bottom w:val="single" w:sz="4" w:space="0" w:color="auto"/>
              <w:right w:val="single" w:sz="4" w:space="0" w:color="auto"/>
            </w:tcBorders>
            <w:vAlign w:val="center"/>
          </w:tcPr>
          <w:p w:rsidR="00B720DE" w:rsidRPr="005B6343" w:rsidRDefault="00B720DE" w:rsidP="00E4574C">
            <w:pPr>
              <w:rPr>
                <w:rFonts w:ascii="Arial Narrow" w:hAnsi="Arial Narrow" w:cs="Arial"/>
                <w:sz w:val="20"/>
              </w:rPr>
            </w:pPr>
            <w:r w:rsidRPr="00F554E0">
              <w:rPr>
                <w:rFonts w:ascii="Arial Narrow" w:hAnsi="Arial Narrow" w:cs="Arial"/>
                <w:sz w:val="20"/>
              </w:rPr>
              <w:fldChar w:fldCharType="begin">
                <w:ffData>
                  <w:name w:val="Check1"/>
                  <w:enabled/>
                  <w:calcOnExit w:val="0"/>
                  <w:checkBox>
                    <w:sizeAuto/>
                    <w:default w:val="0"/>
                  </w:checkBox>
                </w:ffData>
              </w:fldChar>
            </w:r>
            <w:r w:rsidRPr="005B6343">
              <w:rPr>
                <w:rFonts w:ascii="Arial Narrow" w:hAnsi="Arial Narrow" w:cs="Arial"/>
                <w:sz w:val="20"/>
              </w:rPr>
              <w:instrText xml:space="preserve"> FORMCHECKBOX </w:instrText>
            </w:r>
            <w:r w:rsidR="002D0630">
              <w:rPr>
                <w:rFonts w:ascii="Arial Narrow" w:hAnsi="Arial Narrow" w:cs="Arial"/>
                <w:sz w:val="20"/>
              </w:rPr>
            </w:r>
            <w:r w:rsidR="002D0630">
              <w:rPr>
                <w:rFonts w:ascii="Arial Narrow" w:hAnsi="Arial Narrow" w:cs="Arial"/>
                <w:sz w:val="20"/>
              </w:rPr>
              <w:fldChar w:fldCharType="separate"/>
            </w:r>
            <w:r w:rsidRPr="00F554E0">
              <w:rPr>
                <w:rFonts w:ascii="Arial Narrow" w:hAnsi="Arial Narrow" w:cs="Arial"/>
                <w:sz w:val="20"/>
              </w:rPr>
              <w:fldChar w:fldCharType="end"/>
            </w:r>
            <w:r w:rsidRPr="005B6343">
              <w:rPr>
                <w:rFonts w:ascii="Arial Narrow" w:hAnsi="Arial Narrow" w:cs="Arial"/>
                <w:sz w:val="20"/>
              </w:rPr>
              <w:t>Restricted benefit</w:t>
            </w:r>
          </w:p>
          <w:p w:rsidR="00B720DE" w:rsidRPr="005B6343" w:rsidRDefault="00B720DE" w:rsidP="00E4574C">
            <w:pPr>
              <w:rPr>
                <w:rFonts w:ascii="Arial Narrow" w:hAnsi="Arial Narrow" w:cs="Arial"/>
                <w:sz w:val="20"/>
              </w:rPr>
            </w:pPr>
            <w:r w:rsidRPr="00F554E0">
              <w:rPr>
                <w:rFonts w:ascii="Arial Narrow" w:hAnsi="Arial Narrow" w:cs="Arial"/>
                <w:sz w:val="20"/>
              </w:rPr>
              <w:fldChar w:fldCharType="begin">
                <w:ffData>
                  <w:name w:val=""/>
                  <w:enabled/>
                  <w:calcOnExit w:val="0"/>
                  <w:checkBox>
                    <w:sizeAuto/>
                    <w:default w:val="0"/>
                  </w:checkBox>
                </w:ffData>
              </w:fldChar>
            </w:r>
            <w:r w:rsidRPr="005B6343">
              <w:rPr>
                <w:rFonts w:ascii="Arial Narrow" w:hAnsi="Arial Narrow" w:cs="Arial"/>
                <w:sz w:val="20"/>
              </w:rPr>
              <w:instrText xml:space="preserve"> FORMCHECKBOX </w:instrText>
            </w:r>
            <w:r w:rsidR="002D0630">
              <w:rPr>
                <w:rFonts w:ascii="Arial Narrow" w:hAnsi="Arial Narrow" w:cs="Arial"/>
                <w:sz w:val="20"/>
              </w:rPr>
            </w:r>
            <w:r w:rsidR="002D0630">
              <w:rPr>
                <w:rFonts w:ascii="Arial Narrow" w:hAnsi="Arial Narrow" w:cs="Arial"/>
                <w:sz w:val="20"/>
              </w:rPr>
              <w:fldChar w:fldCharType="separate"/>
            </w:r>
            <w:r w:rsidRPr="00F554E0">
              <w:rPr>
                <w:rFonts w:ascii="Arial Narrow" w:hAnsi="Arial Narrow" w:cs="Arial"/>
                <w:sz w:val="20"/>
              </w:rPr>
              <w:fldChar w:fldCharType="end"/>
            </w:r>
            <w:r w:rsidRPr="005B6343">
              <w:rPr>
                <w:rFonts w:ascii="Arial Narrow" w:hAnsi="Arial Narrow" w:cs="Arial"/>
                <w:sz w:val="20"/>
              </w:rPr>
              <w:t>Authority Required - In Writing</w:t>
            </w:r>
          </w:p>
          <w:p w:rsidR="00B720DE" w:rsidRPr="005B6343" w:rsidRDefault="00B720DE" w:rsidP="00E4574C">
            <w:pPr>
              <w:rPr>
                <w:rFonts w:ascii="Arial Narrow" w:hAnsi="Arial Narrow" w:cs="Arial"/>
                <w:sz w:val="20"/>
              </w:rPr>
            </w:pPr>
            <w:r w:rsidRPr="00F554E0">
              <w:rPr>
                <w:rFonts w:ascii="Arial Narrow" w:hAnsi="Arial Narrow" w:cs="Arial"/>
                <w:sz w:val="20"/>
              </w:rPr>
              <w:fldChar w:fldCharType="begin">
                <w:ffData>
                  <w:name w:val="Check3"/>
                  <w:enabled/>
                  <w:calcOnExit w:val="0"/>
                  <w:checkBox>
                    <w:sizeAuto/>
                    <w:default w:val="0"/>
                  </w:checkBox>
                </w:ffData>
              </w:fldChar>
            </w:r>
            <w:r w:rsidRPr="005B6343">
              <w:rPr>
                <w:rFonts w:ascii="Arial Narrow" w:hAnsi="Arial Narrow" w:cs="Arial"/>
                <w:sz w:val="20"/>
              </w:rPr>
              <w:instrText xml:space="preserve"> FORMCHECKBOX </w:instrText>
            </w:r>
            <w:r w:rsidR="002D0630">
              <w:rPr>
                <w:rFonts w:ascii="Arial Narrow" w:hAnsi="Arial Narrow" w:cs="Arial"/>
                <w:sz w:val="20"/>
              </w:rPr>
            </w:r>
            <w:r w:rsidR="002D0630">
              <w:rPr>
                <w:rFonts w:ascii="Arial Narrow" w:hAnsi="Arial Narrow" w:cs="Arial"/>
                <w:sz w:val="20"/>
              </w:rPr>
              <w:fldChar w:fldCharType="separate"/>
            </w:r>
            <w:r w:rsidRPr="00F554E0">
              <w:rPr>
                <w:rFonts w:ascii="Arial Narrow" w:hAnsi="Arial Narrow" w:cs="Arial"/>
                <w:sz w:val="20"/>
              </w:rPr>
              <w:fldChar w:fldCharType="end"/>
            </w:r>
            <w:r w:rsidRPr="005B6343">
              <w:rPr>
                <w:rFonts w:ascii="Arial Narrow" w:hAnsi="Arial Narrow" w:cs="Arial"/>
                <w:sz w:val="20"/>
              </w:rPr>
              <w:t>Authority Required - Telephone</w:t>
            </w:r>
          </w:p>
          <w:p w:rsidR="00B720DE" w:rsidRPr="005B6343" w:rsidRDefault="00B720DE" w:rsidP="00E4574C">
            <w:pPr>
              <w:rPr>
                <w:rFonts w:ascii="Arial Narrow" w:hAnsi="Arial Narrow" w:cs="Arial"/>
                <w:sz w:val="20"/>
              </w:rPr>
            </w:pPr>
            <w:r w:rsidRPr="00F554E0">
              <w:rPr>
                <w:rFonts w:ascii="Arial Narrow" w:hAnsi="Arial Narrow" w:cs="Arial"/>
                <w:sz w:val="20"/>
              </w:rPr>
              <w:fldChar w:fldCharType="begin">
                <w:ffData>
                  <w:name w:val=""/>
                  <w:enabled/>
                  <w:calcOnExit w:val="0"/>
                  <w:checkBox>
                    <w:sizeAuto/>
                    <w:default w:val="0"/>
                  </w:checkBox>
                </w:ffData>
              </w:fldChar>
            </w:r>
            <w:r w:rsidRPr="005B6343">
              <w:rPr>
                <w:rFonts w:ascii="Arial Narrow" w:hAnsi="Arial Narrow" w:cs="Arial"/>
                <w:sz w:val="20"/>
              </w:rPr>
              <w:instrText xml:space="preserve"> FORMCHECKBOX </w:instrText>
            </w:r>
            <w:r w:rsidR="002D0630">
              <w:rPr>
                <w:rFonts w:ascii="Arial Narrow" w:hAnsi="Arial Narrow" w:cs="Arial"/>
                <w:sz w:val="20"/>
              </w:rPr>
            </w:r>
            <w:r w:rsidR="002D0630">
              <w:rPr>
                <w:rFonts w:ascii="Arial Narrow" w:hAnsi="Arial Narrow" w:cs="Arial"/>
                <w:sz w:val="20"/>
              </w:rPr>
              <w:fldChar w:fldCharType="separate"/>
            </w:r>
            <w:r w:rsidRPr="00F554E0">
              <w:rPr>
                <w:rFonts w:ascii="Arial Narrow" w:hAnsi="Arial Narrow" w:cs="Arial"/>
                <w:sz w:val="20"/>
              </w:rPr>
              <w:fldChar w:fldCharType="end"/>
            </w:r>
            <w:r w:rsidRPr="005B6343">
              <w:rPr>
                <w:rFonts w:ascii="Arial Narrow" w:hAnsi="Arial Narrow" w:cs="Arial"/>
                <w:sz w:val="20"/>
              </w:rPr>
              <w:t>Authority Required – Emergency</w:t>
            </w:r>
          </w:p>
          <w:p w:rsidR="00B720DE" w:rsidRPr="005B6343" w:rsidRDefault="00B720DE" w:rsidP="00E4574C">
            <w:pPr>
              <w:rPr>
                <w:rFonts w:ascii="Arial Narrow" w:hAnsi="Arial Narrow" w:cs="Arial"/>
                <w:sz w:val="20"/>
              </w:rPr>
            </w:pPr>
            <w:r w:rsidRPr="00F554E0">
              <w:rPr>
                <w:rFonts w:ascii="Arial Narrow" w:hAnsi="Arial Narrow" w:cs="Arial"/>
                <w:sz w:val="20"/>
              </w:rPr>
              <w:fldChar w:fldCharType="begin">
                <w:ffData>
                  <w:name w:val="Check5"/>
                  <w:enabled/>
                  <w:calcOnExit w:val="0"/>
                  <w:checkBox>
                    <w:sizeAuto/>
                    <w:default w:val="0"/>
                  </w:checkBox>
                </w:ffData>
              </w:fldChar>
            </w:r>
            <w:r w:rsidRPr="005B6343">
              <w:rPr>
                <w:rFonts w:ascii="Arial Narrow" w:hAnsi="Arial Narrow" w:cs="Arial"/>
                <w:sz w:val="20"/>
              </w:rPr>
              <w:instrText xml:space="preserve"> FORMCHECKBOX </w:instrText>
            </w:r>
            <w:r w:rsidR="002D0630">
              <w:rPr>
                <w:rFonts w:ascii="Arial Narrow" w:hAnsi="Arial Narrow" w:cs="Arial"/>
                <w:sz w:val="20"/>
              </w:rPr>
            </w:r>
            <w:r w:rsidR="002D0630">
              <w:rPr>
                <w:rFonts w:ascii="Arial Narrow" w:hAnsi="Arial Narrow" w:cs="Arial"/>
                <w:sz w:val="20"/>
              </w:rPr>
              <w:fldChar w:fldCharType="separate"/>
            </w:r>
            <w:r w:rsidRPr="00F554E0">
              <w:rPr>
                <w:rFonts w:ascii="Arial Narrow" w:hAnsi="Arial Narrow" w:cs="Arial"/>
                <w:sz w:val="20"/>
              </w:rPr>
              <w:fldChar w:fldCharType="end"/>
            </w:r>
            <w:r w:rsidRPr="005B6343">
              <w:rPr>
                <w:rFonts w:ascii="Arial Narrow" w:hAnsi="Arial Narrow" w:cs="Arial"/>
                <w:sz w:val="20"/>
              </w:rPr>
              <w:t>Authority Required - Electronic</w:t>
            </w:r>
          </w:p>
          <w:p w:rsidR="00B720DE" w:rsidRPr="005B6343" w:rsidRDefault="00B720DE" w:rsidP="00E4574C">
            <w:pPr>
              <w:rPr>
                <w:rFonts w:ascii="Arial Narrow" w:hAnsi="Arial Narrow"/>
                <w:sz w:val="20"/>
              </w:rPr>
            </w:pPr>
            <w:r w:rsidRPr="00F554E0">
              <w:rPr>
                <w:rFonts w:ascii="Arial Narrow" w:hAnsi="Arial Narrow" w:cs="Arial"/>
                <w:sz w:val="20"/>
              </w:rPr>
              <w:fldChar w:fldCharType="begin">
                <w:ffData>
                  <w:name w:val="Check5"/>
                  <w:enabled/>
                  <w:calcOnExit w:val="0"/>
                  <w:checkBox>
                    <w:sizeAuto/>
                    <w:default w:val="1"/>
                  </w:checkBox>
                </w:ffData>
              </w:fldChar>
            </w:r>
            <w:r w:rsidRPr="005B6343">
              <w:rPr>
                <w:rFonts w:ascii="Arial Narrow" w:hAnsi="Arial Narrow" w:cs="Arial"/>
                <w:sz w:val="20"/>
              </w:rPr>
              <w:instrText xml:space="preserve"> FORMCHECKBOX </w:instrText>
            </w:r>
            <w:r w:rsidR="002D0630">
              <w:rPr>
                <w:rFonts w:ascii="Arial Narrow" w:hAnsi="Arial Narrow" w:cs="Arial"/>
                <w:sz w:val="20"/>
              </w:rPr>
            </w:r>
            <w:r w:rsidR="002D0630">
              <w:rPr>
                <w:rFonts w:ascii="Arial Narrow" w:hAnsi="Arial Narrow" w:cs="Arial"/>
                <w:sz w:val="20"/>
              </w:rPr>
              <w:fldChar w:fldCharType="separate"/>
            </w:r>
            <w:r w:rsidRPr="00F554E0">
              <w:rPr>
                <w:rFonts w:ascii="Arial Narrow" w:hAnsi="Arial Narrow" w:cs="Arial"/>
                <w:sz w:val="20"/>
              </w:rPr>
              <w:fldChar w:fldCharType="end"/>
            </w:r>
            <w:r w:rsidRPr="005B6343">
              <w:rPr>
                <w:rFonts w:ascii="Arial Narrow" w:hAnsi="Arial Narrow" w:cs="Arial"/>
                <w:sz w:val="20"/>
              </w:rPr>
              <w:t>Streamlined</w:t>
            </w:r>
          </w:p>
        </w:tc>
      </w:tr>
      <w:tr w:rsidR="00B720DE" w:rsidRPr="005B6343" w:rsidTr="00E4574C">
        <w:trPr>
          <w:cantSplit/>
        </w:trPr>
        <w:tc>
          <w:tcPr>
            <w:tcW w:w="1754" w:type="pct"/>
            <w:gridSpan w:val="2"/>
            <w:tcBorders>
              <w:top w:val="single" w:sz="4" w:space="0" w:color="auto"/>
              <w:left w:val="single" w:sz="4" w:space="0" w:color="auto"/>
              <w:bottom w:val="single" w:sz="4" w:space="0" w:color="auto"/>
              <w:right w:val="single" w:sz="4" w:space="0" w:color="auto"/>
            </w:tcBorders>
            <w:vAlign w:val="center"/>
          </w:tcPr>
          <w:p w:rsidR="00B720DE" w:rsidRPr="005B6343" w:rsidRDefault="00B720DE" w:rsidP="00E4574C">
            <w:pPr>
              <w:rPr>
                <w:rFonts w:ascii="Arial Narrow" w:hAnsi="Arial Narrow" w:cs="Arial"/>
                <w:b/>
                <w:sz w:val="20"/>
              </w:rPr>
            </w:pPr>
            <w:r w:rsidRPr="005B6343">
              <w:rPr>
                <w:rFonts w:ascii="Arial Narrow" w:hAnsi="Arial Narrow" w:cs="Arial"/>
                <w:b/>
                <w:sz w:val="20"/>
              </w:rPr>
              <w:t>Clinical criteria:</w:t>
            </w:r>
          </w:p>
          <w:p w:rsidR="00B720DE" w:rsidRPr="005B6343" w:rsidRDefault="00B720DE" w:rsidP="00E4574C">
            <w:pPr>
              <w:rPr>
                <w:rFonts w:ascii="Arial Narrow" w:hAnsi="Arial Narrow" w:cs="Arial"/>
                <w:i/>
                <w:sz w:val="20"/>
              </w:rPr>
            </w:pPr>
          </w:p>
          <w:p w:rsidR="00B720DE" w:rsidRPr="005B6343" w:rsidRDefault="00B720DE" w:rsidP="00E4574C">
            <w:pPr>
              <w:rPr>
                <w:rFonts w:ascii="Arial Narrow" w:hAnsi="Arial Narrow" w:cs="Arial"/>
                <w:sz w:val="20"/>
              </w:rPr>
            </w:pPr>
          </w:p>
        </w:tc>
        <w:tc>
          <w:tcPr>
            <w:tcW w:w="3246" w:type="pct"/>
            <w:gridSpan w:val="5"/>
            <w:tcBorders>
              <w:top w:val="single" w:sz="4" w:space="0" w:color="auto"/>
              <w:left w:val="single" w:sz="4" w:space="0" w:color="auto"/>
              <w:bottom w:val="single" w:sz="4" w:space="0" w:color="auto"/>
              <w:right w:val="single" w:sz="4" w:space="0" w:color="auto"/>
            </w:tcBorders>
            <w:vAlign w:val="center"/>
          </w:tcPr>
          <w:p w:rsidR="00B720DE" w:rsidRPr="005B6343" w:rsidRDefault="00B720DE" w:rsidP="00E4574C">
            <w:pPr>
              <w:contextualSpacing/>
              <w:rPr>
                <w:rFonts w:ascii="Arial Narrow" w:hAnsi="Arial Narrow" w:cs="Arial"/>
                <w:sz w:val="20"/>
              </w:rPr>
            </w:pPr>
            <w:r w:rsidRPr="005B6343">
              <w:rPr>
                <w:rFonts w:ascii="Arial Narrow" w:hAnsi="Arial Narrow" w:cs="Arial"/>
                <w:sz w:val="20"/>
              </w:rPr>
              <w:t xml:space="preserve">The condition must affect the ileum, </w:t>
            </w:r>
          </w:p>
          <w:p w:rsidR="00B720DE" w:rsidRPr="005B6343" w:rsidRDefault="00B720DE" w:rsidP="00E4574C">
            <w:pPr>
              <w:contextualSpacing/>
              <w:rPr>
                <w:rFonts w:ascii="Arial Narrow" w:hAnsi="Arial Narrow" w:cs="Arial"/>
                <w:sz w:val="20"/>
              </w:rPr>
            </w:pPr>
            <w:r w:rsidRPr="005B6343">
              <w:rPr>
                <w:rFonts w:ascii="Arial Narrow" w:hAnsi="Arial Narrow" w:cs="Arial"/>
                <w:sz w:val="20"/>
              </w:rPr>
              <w:t>OR</w:t>
            </w:r>
          </w:p>
          <w:p w:rsidR="00B720DE" w:rsidRPr="005B6343" w:rsidRDefault="00B720DE" w:rsidP="00E4574C">
            <w:pPr>
              <w:contextualSpacing/>
              <w:rPr>
                <w:rFonts w:ascii="Arial Narrow" w:hAnsi="Arial Narrow" w:cs="Arial"/>
                <w:sz w:val="20"/>
              </w:rPr>
            </w:pPr>
            <w:r w:rsidRPr="005B6343">
              <w:rPr>
                <w:rFonts w:ascii="Arial Narrow" w:hAnsi="Arial Narrow" w:cs="Arial"/>
                <w:sz w:val="20"/>
              </w:rPr>
              <w:t>The condition must affect the ascending colon,</w:t>
            </w:r>
          </w:p>
          <w:p w:rsidR="00B720DE" w:rsidRPr="005B6343" w:rsidRDefault="00B720DE" w:rsidP="00E4574C">
            <w:pPr>
              <w:rPr>
                <w:rFonts w:ascii="Arial Narrow" w:hAnsi="Arial Narrow" w:cs="Arial"/>
                <w:sz w:val="20"/>
              </w:rPr>
            </w:pPr>
            <w:r w:rsidRPr="005B6343">
              <w:rPr>
                <w:rFonts w:ascii="Arial Narrow" w:hAnsi="Arial Narrow" w:cs="Arial"/>
                <w:sz w:val="20"/>
              </w:rPr>
              <w:t>OR</w:t>
            </w:r>
          </w:p>
          <w:p w:rsidR="00B720DE" w:rsidRPr="005B6343" w:rsidRDefault="00B720DE" w:rsidP="00E4574C">
            <w:pPr>
              <w:rPr>
                <w:rFonts w:ascii="Arial Narrow" w:hAnsi="Arial Narrow" w:cs="Arial"/>
                <w:sz w:val="20"/>
              </w:rPr>
            </w:pPr>
            <w:r w:rsidRPr="005B6343">
              <w:rPr>
                <w:rFonts w:ascii="Arial Narrow" w:hAnsi="Arial Narrow" w:cs="Arial"/>
                <w:sz w:val="20"/>
              </w:rPr>
              <w:t>The condition must affect the ileum and ascending colon.</w:t>
            </w:r>
          </w:p>
        </w:tc>
      </w:tr>
      <w:tr w:rsidR="00B720DE" w:rsidRPr="005B6343" w:rsidTr="00E4574C">
        <w:trPr>
          <w:cantSplit/>
        </w:trPr>
        <w:tc>
          <w:tcPr>
            <w:tcW w:w="1754" w:type="pct"/>
            <w:gridSpan w:val="2"/>
            <w:tcBorders>
              <w:top w:val="single" w:sz="4" w:space="0" w:color="auto"/>
              <w:left w:val="single" w:sz="4" w:space="0" w:color="auto"/>
              <w:bottom w:val="single" w:sz="4" w:space="0" w:color="auto"/>
              <w:right w:val="single" w:sz="4" w:space="0" w:color="auto"/>
            </w:tcBorders>
            <w:vAlign w:val="center"/>
          </w:tcPr>
          <w:p w:rsidR="00B720DE" w:rsidRPr="005B6343" w:rsidRDefault="00B720DE" w:rsidP="00E4574C">
            <w:pPr>
              <w:rPr>
                <w:rFonts w:ascii="Arial Narrow" w:hAnsi="Arial Narrow" w:cs="Arial"/>
                <w:b/>
                <w:sz w:val="20"/>
              </w:rPr>
            </w:pPr>
            <w:r w:rsidRPr="005B6343">
              <w:rPr>
                <w:rFonts w:ascii="Arial Narrow" w:hAnsi="Arial Narrow" w:cs="Arial"/>
                <w:b/>
                <w:sz w:val="20"/>
              </w:rPr>
              <w:t>Prescriber Instructions</w:t>
            </w:r>
          </w:p>
          <w:p w:rsidR="00B720DE" w:rsidRPr="005B6343" w:rsidRDefault="00B720DE" w:rsidP="00E4574C">
            <w:pPr>
              <w:rPr>
                <w:rFonts w:ascii="Arial Narrow" w:hAnsi="Arial Narrow" w:cs="Arial"/>
                <w:sz w:val="20"/>
              </w:rPr>
            </w:pPr>
          </w:p>
        </w:tc>
        <w:tc>
          <w:tcPr>
            <w:tcW w:w="3246" w:type="pct"/>
            <w:gridSpan w:val="5"/>
            <w:tcBorders>
              <w:top w:val="single" w:sz="4" w:space="0" w:color="auto"/>
              <w:left w:val="single" w:sz="4" w:space="0" w:color="auto"/>
              <w:bottom w:val="single" w:sz="4" w:space="0" w:color="auto"/>
              <w:right w:val="single" w:sz="4" w:space="0" w:color="auto"/>
            </w:tcBorders>
            <w:vAlign w:val="center"/>
          </w:tcPr>
          <w:p w:rsidR="00B720DE" w:rsidRPr="005B6343" w:rsidRDefault="00B720DE" w:rsidP="00B720DE">
            <w:pPr>
              <w:contextualSpacing/>
              <w:rPr>
                <w:rFonts w:ascii="Arial Narrow" w:hAnsi="Arial Narrow" w:cs="Arial"/>
                <w:sz w:val="20"/>
              </w:rPr>
            </w:pPr>
            <w:r w:rsidRPr="005B6343">
              <w:rPr>
                <w:rFonts w:ascii="Arial Narrow" w:hAnsi="Arial Narrow" w:cs="Arial"/>
                <w:sz w:val="20"/>
              </w:rPr>
              <w:t xml:space="preserve">The total duration of therapy should be no more than 10 weeks in any single course. </w:t>
            </w:r>
          </w:p>
        </w:tc>
      </w:tr>
      <w:tr w:rsidR="00B720DE" w:rsidRPr="005B6343" w:rsidTr="00E4574C">
        <w:trPr>
          <w:cantSplit/>
        </w:trPr>
        <w:tc>
          <w:tcPr>
            <w:tcW w:w="1754" w:type="pct"/>
            <w:gridSpan w:val="2"/>
            <w:tcBorders>
              <w:top w:val="single" w:sz="4" w:space="0" w:color="auto"/>
              <w:left w:val="single" w:sz="4" w:space="0" w:color="auto"/>
              <w:bottom w:val="single" w:sz="4" w:space="0" w:color="auto"/>
              <w:right w:val="single" w:sz="4" w:space="0" w:color="auto"/>
            </w:tcBorders>
            <w:vAlign w:val="center"/>
          </w:tcPr>
          <w:p w:rsidR="00B720DE" w:rsidRPr="005B6343" w:rsidRDefault="00B720DE" w:rsidP="00E4574C">
            <w:pPr>
              <w:rPr>
                <w:rFonts w:ascii="Arial Narrow" w:hAnsi="Arial Narrow" w:cs="Arial"/>
                <w:b/>
                <w:sz w:val="20"/>
              </w:rPr>
            </w:pPr>
            <w:r w:rsidRPr="005B6343">
              <w:rPr>
                <w:rFonts w:ascii="Arial Narrow" w:hAnsi="Arial Narrow" w:cs="Arial"/>
                <w:b/>
                <w:sz w:val="20"/>
              </w:rPr>
              <w:t>Administrative Advice</w:t>
            </w:r>
          </w:p>
        </w:tc>
        <w:tc>
          <w:tcPr>
            <w:tcW w:w="3246" w:type="pct"/>
            <w:gridSpan w:val="5"/>
            <w:tcBorders>
              <w:top w:val="single" w:sz="4" w:space="0" w:color="auto"/>
              <w:left w:val="single" w:sz="4" w:space="0" w:color="auto"/>
              <w:bottom w:val="single" w:sz="4" w:space="0" w:color="auto"/>
              <w:right w:val="single" w:sz="4" w:space="0" w:color="auto"/>
            </w:tcBorders>
            <w:vAlign w:val="center"/>
          </w:tcPr>
          <w:p w:rsidR="00B720DE" w:rsidRPr="005B6343" w:rsidRDefault="00B720DE" w:rsidP="00E4574C">
            <w:pPr>
              <w:rPr>
                <w:rFonts w:ascii="Arial Narrow" w:hAnsi="Arial Narrow" w:cs="Arial"/>
                <w:sz w:val="20"/>
              </w:rPr>
            </w:pPr>
            <w:r w:rsidRPr="005B6343">
              <w:rPr>
                <w:rFonts w:ascii="Arial Narrow" w:hAnsi="Arial Narrow" w:cs="Arial"/>
                <w:sz w:val="20"/>
              </w:rPr>
              <w:t xml:space="preserve">For prescribing by nurse practitioners as continuing therapy only, where the treatment of, and prescribing of medicine for, a patient has been initiated by a medical practitioner. Further information </w:t>
            </w:r>
            <w:proofErr w:type="gramStart"/>
            <w:r w:rsidRPr="005B6343">
              <w:rPr>
                <w:rFonts w:ascii="Arial Narrow" w:hAnsi="Arial Narrow" w:cs="Arial"/>
                <w:sz w:val="20"/>
              </w:rPr>
              <w:t>can be found</w:t>
            </w:r>
            <w:proofErr w:type="gramEnd"/>
            <w:r w:rsidRPr="005B6343">
              <w:rPr>
                <w:rFonts w:ascii="Arial Narrow" w:hAnsi="Arial Narrow" w:cs="Arial"/>
                <w:sz w:val="20"/>
              </w:rPr>
              <w:t xml:space="preserve"> in the Explanatory Notes for Nurse Practitioners.</w:t>
            </w:r>
          </w:p>
        </w:tc>
      </w:tr>
    </w:tbl>
    <w:p w:rsidR="00373A0A" w:rsidRPr="00366F9E" w:rsidRDefault="00373A0A" w:rsidP="00D15D1B">
      <w:pPr>
        <w:widowControl w:val="0"/>
        <w:numPr>
          <w:ilvl w:val="0"/>
          <w:numId w:val="5"/>
        </w:numPr>
        <w:spacing w:before="240" w:after="120"/>
        <w:jc w:val="both"/>
        <w:outlineLvl w:val="0"/>
        <w:rPr>
          <w:rFonts w:asciiTheme="minorHAnsi" w:hAnsiTheme="minorHAnsi" w:cstheme="minorHAnsi"/>
          <w:b/>
          <w:bCs/>
          <w:snapToGrid w:val="0"/>
          <w:sz w:val="32"/>
        </w:rPr>
      </w:pPr>
      <w:r w:rsidRPr="00366F9E">
        <w:rPr>
          <w:rFonts w:asciiTheme="minorHAnsi" w:hAnsiTheme="minorHAnsi" w:cstheme="minorHAnsi"/>
          <w:b/>
          <w:bCs/>
          <w:snapToGrid w:val="0"/>
          <w:sz w:val="32"/>
        </w:rPr>
        <w:t>Context for Decision</w:t>
      </w:r>
    </w:p>
    <w:p w:rsidR="00373A0A" w:rsidRPr="00366F9E" w:rsidRDefault="00373A0A" w:rsidP="00D15D1B">
      <w:pPr>
        <w:widowControl w:val="0"/>
        <w:spacing w:after="120"/>
        <w:ind w:left="720"/>
        <w:jc w:val="both"/>
        <w:rPr>
          <w:rFonts w:asciiTheme="minorHAnsi" w:hAnsiTheme="minorHAnsi" w:cstheme="minorHAnsi"/>
          <w:bCs/>
          <w:snapToGrid w:val="0"/>
        </w:rPr>
      </w:pPr>
      <w:r w:rsidRPr="00366F9E">
        <w:rPr>
          <w:rFonts w:asciiTheme="minorHAnsi" w:hAnsiTheme="minorHAnsi" w:cstheme="minorHAnsi"/>
          <w:bCs/>
          <w:snapToGrid w:val="0"/>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373A0A" w:rsidRPr="00366F9E" w:rsidRDefault="00373A0A" w:rsidP="00D15D1B">
      <w:pPr>
        <w:pStyle w:val="PBACHeading1"/>
        <w:numPr>
          <w:ilvl w:val="0"/>
          <w:numId w:val="0"/>
        </w:numPr>
        <w:spacing w:after="120"/>
        <w:ind w:left="720" w:hanging="720"/>
        <w:rPr>
          <w:rFonts w:asciiTheme="minorHAnsi" w:hAnsiTheme="minorHAnsi" w:cstheme="minorHAnsi"/>
          <w:bCs/>
          <w:sz w:val="32"/>
          <w:szCs w:val="24"/>
          <w:lang w:eastAsia="en-AU"/>
        </w:rPr>
      </w:pPr>
      <w:r w:rsidRPr="00366F9E">
        <w:rPr>
          <w:rFonts w:asciiTheme="minorHAnsi" w:hAnsiTheme="minorHAnsi" w:cstheme="minorHAnsi"/>
          <w:sz w:val="32"/>
        </w:rPr>
        <w:t>10</w:t>
      </w:r>
      <w:r w:rsidRPr="00366F9E">
        <w:rPr>
          <w:rFonts w:asciiTheme="minorHAnsi" w:hAnsiTheme="minorHAnsi" w:cstheme="minorHAnsi"/>
          <w:sz w:val="32"/>
        </w:rPr>
        <w:tab/>
      </w:r>
      <w:r w:rsidRPr="00366F9E">
        <w:rPr>
          <w:rFonts w:asciiTheme="minorHAnsi" w:hAnsiTheme="minorHAnsi" w:cstheme="minorHAnsi"/>
          <w:bCs/>
          <w:sz w:val="32"/>
          <w:szCs w:val="24"/>
          <w:lang w:eastAsia="en-AU"/>
        </w:rPr>
        <w:t>Sponsor’s Comment</w:t>
      </w:r>
    </w:p>
    <w:p w:rsidR="00373A0A" w:rsidRPr="00366F9E" w:rsidRDefault="000E0F42" w:rsidP="000E0F42">
      <w:pPr>
        <w:widowControl w:val="0"/>
        <w:spacing w:after="120"/>
        <w:ind w:left="720"/>
        <w:jc w:val="both"/>
        <w:rPr>
          <w:rFonts w:asciiTheme="minorHAnsi" w:hAnsiTheme="minorHAnsi" w:cstheme="minorHAnsi"/>
          <w:bCs/>
          <w:snapToGrid w:val="0"/>
        </w:rPr>
      </w:pPr>
      <w:r w:rsidRPr="00366F9E">
        <w:rPr>
          <w:rFonts w:asciiTheme="minorHAnsi" w:hAnsiTheme="minorHAnsi" w:cstheme="minorHAnsi"/>
          <w:bCs/>
          <w:snapToGrid w:val="0"/>
        </w:rPr>
        <w:t xml:space="preserve">The sponsor acknowledges the positive recommendation of PBAC and its acceptance of the clinical place </w:t>
      </w:r>
      <w:proofErr w:type="gramStart"/>
      <w:r w:rsidRPr="00366F9E">
        <w:rPr>
          <w:rFonts w:asciiTheme="minorHAnsi" w:hAnsiTheme="minorHAnsi" w:cstheme="minorHAnsi"/>
          <w:bCs/>
          <w:snapToGrid w:val="0"/>
        </w:rPr>
        <w:t xml:space="preserve">for </w:t>
      </w:r>
      <w:proofErr w:type="spellStart"/>
      <w:r w:rsidRPr="00366F9E">
        <w:rPr>
          <w:rFonts w:asciiTheme="minorHAnsi" w:hAnsiTheme="minorHAnsi" w:cstheme="minorHAnsi"/>
          <w:bCs/>
          <w:snapToGrid w:val="0"/>
        </w:rPr>
        <w:t>Budenofalk</w:t>
      </w:r>
      <w:proofErr w:type="spellEnd"/>
      <w:r w:rsidRPr="00366F9E">
        <w:rPr>
          <w:rFonts w:asciiTheme="minorHAnsi" w:hAnsiTheme="minorHAnsi" w:cstheme="minorHAnsi"/>
          <w:bCs/>
          <w:snapToGrid w:val="0"/>
        </w:rPr>
        <w:t xml:space="preserve"> as a first line treatment for mild to moderate </w:t>
      </w:r>
      <w:proofErr w:type="spellStart"/>
      <w:r w:rsidRPr="00366F9E">
        <w:rPr>
          <w:rFonts w:asciiTheme="minorHAnsi" w:hAnsiTheme="minorHAnsi" w:cstheme="minorHAnsi"/>
          <w:bCs/>
          <w:snapToGrid w:val="0"/>
        </w:rPr>
        <w:t>Crohns</w:t>
      </w:r>
      <w:proofErr w:type="spellEnd"/>
      <w:r w:rsidRPr="00366F9E">
        <w:rPr>
          <w:rFonts w:asciiTheme="minorHAnsi" w:hAnsiTheme="minorHAnsi" w:cstheme="minorHAnsi"/>
          <w:bCs/>
          <w:snapToGrid w:val="0"/>
        </w:rPr>
        <w:t xml:space="preserve"> Disease, to improve the Quality of Life outcomes for patients affected by this condition</w:t>
      </w:r>
      <w:proofErr w:type="gramEnd"/>
      <w:r w:rsidRPr="00366F9E">
        <w:rPr>
          <w:rFonts w:asciiTheme="minorHAnsi" w:hAnsiTheme="minorHAnsi" w:cstheme="minorHAnsi"/>
          <w:bCs/>
          <w:snapToGrid w:val="0"/>
        </w:rPr>
        <w:t>.</w:t>
      </w:r>
    </w:p>
    <w:sectPr w:rsidR="00373A0A" w:rsidRPr="00366F9E"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48D3" w:rsidRDefault="00B448D3">
      <w:r>
        <w:separator/>
      </w:r>
    </w:p>
    <w:p w:rsidR="00B448D3" w:rsidRDefault="00B448D3"/>
  </w:endnote>
  <w:endnote w:type="continuationSeparator" w:id="0">
    <w:p w:rsidR="00B448D3" w:rsidRDefault="00B448D3">
      <w:r>
        <w:continuationSeparator/>
      </w:r>
    </w:p>
    <w:p w:rsidR="00B448D3" w:rsidRDefault="00B448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E122FB" w:rsidTr="005A3173">
      <w:trPr>
        <w:trHeight w:val="151"/>
      </w:trPr>
      <w:tc>
        <w:tcPr>
          <w:tcW w:w="2250" w:type="pct"/>
          <w:tcBorders>
            <w:top w:val="nil"/>
            <w:left w:val="nil"/>
            <w:bottom w:val="single" w:sz="4" w:space="0" w:color="4F81BD"/>
            <w:right w:val="nil"/>
          </w:tcBorders>
        </w:tcPr>
        <w:p w:rsidR="00E122FB" w:rsidRPr="005A3173" w:rsidRDefault="00E122FB" w:rsidP="005A3173">
          <w:pPr>
            <w:pStyle w:val="Header"/>
            <w:spacing w:line="276" w:lineRule="auto"/>
            <w:rPr>
              <w:rFonts w:ascii="Calibri" w:eastAsia="MS Gothic" w:hAnsi="Calibri"/>
              <w:b/>
              <w:bCs/>
              <w:color w:val="4F81BD"/>
            </w:rPr>
          </w:pPr>
        </w:p>
      </w:tc>
      <w:tc>
        <w:tcPr>
          <w:tcW w:w="500" w:type="pct"/>
          <w:vMerge w:val="restart"/>
          <w:noWrap/>
          <w:vAlign w:val="center"/>
          <w:hideMark/>
        </w:tcPr>
        <w:p w:rsidR="00E122FB" w:rsidRPr="005A3173" w:rsidRDefault="00E122FB"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E122FB" w:rsidRPr="005A3173" w:rsidRDefault="00E122FB" w:rsidP="005A3173">
          <w:pPr>
            <w:pStyle w:val="Header"/>
            <w:spacing w:line="276" w:lineRule="auto"/>
            <w:rPr>
              <w:rFonts w:ascii="Calibri" w:eastAsia="MS Gothic" w:hAnsi="Calibri"/>
              <w:b/>
              <w:bCs/>
              <w:color w:val="4F81BD"/>
            </w:rPr>
          </w:pPr>
        </w:p>
      </w:tc>
    </w:tr>
    <w:tr w:rsidR="00E122FB" w:rsidTr="005A3173">
      <w:trPr>
        <w:trHeight w:val="150"/>
      </w:trPr>
      <w:tc>
        <w:tcPr>
          <w:tcW w:w="2250" w:type="pct"/>
          <w:tcBorders>
            <w:top w:val="single" w:sz="4" w:space="0" w:color="4F81BD"/>
            <w:left w:val="nil"/>
            <w:bottom w:val="nil"/>
            <w:right w:val="nil"/>
          </w:tcBorders>
        </w:tcPr>
        <w:p w:rsidR="00E122FB" w:rsidRPr="005A3173" w:rsidRDefault="00E122FB" w:rsidP="005A3173">
          <w:pPr>
            <w:pStyle w:val="Header"/>
            <w:spacing w:line="276" w:lineRule="auto"/>
            <w:rPr>
              <w:rFonts w:ascii="Calibri" w:eastAsia="MS Gothic" w:hAnsi="Calibri"/>
              <w:b/>
              <w:bCs/>
              <w:color w:val="4F81BD"/>
            </w:rPr>
          </w:pPr>
        </w:p>
      </w:tc>
      <w:tc>
        <w:tcPr>
          <w:tcW w:w="0" w:type="auto"/>
          <w:vMerge/>
          <w:vAlign w:val="center"/>
          <w:hideMark/>
        </w:tcPr>
        <w:p w:rsidR="00E122FB" w:rsidRPr="005A3173" w:rsidRDefault="00E122FB" w:rsidP="005A3173">
          <w:pPr>
            <w:rPr>
              <w:rFonts w:ascii="Calibri" w:hAnsi="Calibri"/>
              <w:color w:val="365F91"/>
              <w:sz w:val="22"/>
              <w:szCs w:val="22"/>
            </w:rPr>
          </w:pPr>
        </w:p>
      </w:tc>
      <w:tc>
        <w:tcPr>
          <w:tcW w:w="2250" w:type="pct"/>
          <w:tcBorders>
            <w:top w:val="single" w:sz="4" w:space="0" w:color="4F81BD"/>
            <w:left w:val="nil"/>
            <w:bottom w:val="nil"/>
            <w:right w:val="nil"/>
          </w:tcBorders>
        </w:tcPr>
        <w:p w:rsidR="00E122FB" w:rsidRPr="005A3173" w:rsidRDefault="00E122FB" w:rsidP="005A3173">
          <w:pPr>
            <w:pStyle w:val="Header"/>
            <w:spacing w:line="276" w:lineRule="auto"/>
            <w:rPr>
              <w:rFonts w:ascii="Calibri" w:eastAsia="MS Gothic" w:hAnsi="Calibri"/>
              <w:b/>
              <w:bCs/>
              <w:color w:val="4F81BD"/>
            </w:rPr>
          </w:pPr>
        </w:p>
      </w:tc>
    </w:tr>
  </w:tbl>
  <w:p w:rsidR="00E122FB" w:rsidRDefault="00E122FB"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122FB" w:rsidRDefault="00E122FB">
    <w:pPr>
      <w:pStyle w:val="Footer"/>
    </w:pPr>
  </w:p>
  <w:p w:rsidR="00E122FB" w:rsidRDefault="00E122FB"/>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22FB" w:rsidRDefault="00E122FB" w:rsidP="00EF44A0">
    <w:pPr>
      <w:pStyle w:val="Footer"/>
      <w:jc w:val="center"/>
      <w:rPr>
        <w:rFonts w:ascii="Arial" w:hAnsi="Arial" w:cs="Arial"/>
        <w:b/>
        <w:sz w:val="20"/>
        <w:szCs w:val="20"/>
      </w:rPr>
    </w:pPr>
  </w:p>
  <w:p w:rsidR="00E122FB" w:rsidRPr="00F1507D" w:rsidRDefault="00E122FB" w:rsidP="00103B6A">
    <w:pPr>
      <w:pStyle w:val="Footer"/>
      <w:ind w:left="360"/>
      <w:jc w:val="center"/>
      <w:rPr>
        <w:rFonts w:ascii="Calibri" w:hAnsi="Calibri" w:cs="Arial"/>
        <w:b/>
      </w:rPr>
    </w:pPr>
    <w:r w:rsidRPr="00F1507D">
      <w:rPr>
        <w:rFonts w:ascii="Calibri" w:hAnsi="Calibri" w:cs="Arial"/>
        <w:b/>
      </w:rPr>
      <w:fldChar w:fldCharType="begin"/>
    </w:r>
    <w:r w:rsidRPr="00F1507D">
      <w:rPr>
        <w:rFonts w:ascii="Calibri" w:hAnsi="Calibri" w:cs="Arial"/>
        <w:b/>
      </w:rPr>
      <w:instrText xml:space="preserve"> PAGE   \* MERGEFORMAT </w:instrText>
    </w:r>
    <w:r w:rsidRPr="00F1507D">
      <w:rPr>
        <w:rFonts w:ascii="Calibri" w:hAnsi="Calibri" w:cs="Arial"/>
        <w:b/>
      </w:rPr>
      <w:fldChar w:fldCharType="separate"/>
    </w:r>
    <w:r w:rsidR="002D0630">
      <w:rPr>
        <w:rFonts w:ascii="Calibri" w:hAnsi="Calibri" w:cs="Arial"/>
        <w:b/>
        <w:noProof/>
      </w:rPr>
      <w:t>1</w:t>
    </w:r>
    <w:r w:rsidRPr="00F1507D">
      <w:rPr>
        <w:rFonts w:ascii="Calibri" w:hAnsi="Calibri" w:cs="Arial"/>
        <w:b/>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995"/>
      <w:gridCol w:w="1252"/>
      <w:gridCol w:w="3995"/>
    </w:tblGrid>
    <w:tr w:rsidR="00E122FB" w:rsidTr="005A3173">
      <w:trPr>
        <w:trHeight w:val="151"/>
      </w:trPr>
      <w:tc>
        <w:tcPr>
          <w:tcW w:w="2250" w:type="pct"/>
          <w:tcBorders>
            <w:top w:val="nil"/>
            <w:left w:val="nil"/>
            <w:bottom w:val="single" w:sz="4" w:space="0" w:color="4F81BD"/>
            <w:right w:val="nil"/>
          </w:tcBorders>
        </w:tcPr>
        <w:p w:rsidR="00E122FB" w:rsidRPr="005A3173" w:rsidRDefault="00E122FB" w:rsidP="005A3173">
          <w:pPr>
            <w:pStyle w:val="Header"/>
            <w:spacing w:line="276" w:lineRule="auto"/>
            <w:rPr>
              <w:rFonts w:ascii="Calibri" w:eastAsia="MS Gothic" w:hAnsi="Calibri"/>
              <w:b/>
              <w:bCs/>
              <w:color w:val="4F81BD"/>
            </w:rPr>
          </w:pPr>
        </w:p>
      </w:tc>
      <w:tc>
        <w:tcPr>
          <w:tcW w:w="500" w:type="pct"/>
          <w:vMerge w:val="restart"/>
          <w:noWrap/>
          <w:vAlign w:val="center"/>
          <w:hideMark/>
        </w:tcPr>
        <w:p w:rsidR="00E122FB" w:rsidRPr="005A3173" w:rsidRDefault="00E122FB"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E122FB" w:rsidRPr="005A3173" w:rsidRDefault="00E122FB" w:rsidP="005A3173">
          <w:pPr>
            <w:pStyle w:val="Header"/>
            <w:spacing w:line="276" w:lineRule="auto"/>
            <w:rPr>
              <w:rFonts w:ascii="Calibri" w:eastAsia="MS Gothic" w:hAnsi="Calibri"/>
              <w:b/>
              <w:bCs/>
              <w:color w:val="4F81BD"/>
            </w:rPr>
          </w:pPr>
        </w:p>
      </w:tc>
    </w:tr>
    <w:tr w:rsidR="00E122FB" w:rsidTr="005A3173">
      <w:trPr>
        <w:trHeight w:val="150"/>
      </w:trPr>
      <w:tc>
        <w:tcPr>
          <w:tcW w:w="2250" w:type="pct"/>
          <w:tcBorders>
            <w:top w:val="single" w:sz="4" w:space="0" w:color="4F81BD"/>
            <w:left w:val="nil"/>
            <w:bottom w:val="nil"/>
            <w:right w:val="nil"/>
          </w:tcBorders>
        </w:tcPr>
        <w:p w:rsidR="00E122FB" w:rsidRPr="005A3173" w:rsidRDefault="00E122FB" w:rsidP="005A3173">
          <w:pPr>
            <w:pStyle w:val="Header"/>
            <w:spacing w:line="276" w:lineRule="auto"/>
            <w:rPr>
              <w:rFonts w:ascii="Calibri" w:eastAsia="MS Gothic" w:hAnsi="Calibri"/>
              <w:b/>
              <w:bCs/>
              <w:color w:val="4F81BD"/>
            </w:rPr>
          </w:pPr>
        </w:p>
      </w:tc>
      <w:tc>
        <w:tcPr>
          <w:tcW w:w="0" w:type="auto"/>
          <w:vMerge/>
          <w:vAlign w:val="center"/>
          <w:hideMark/>
        </w:tcPr>
        <w:p w:rsidR="00E122FB" w:rsidRPr="005A3173" w:rsidRDefault="00E122FB" w:rsidP="005A3173">
          <w:pPr>
            <w:rPr>
              <w:rFonts w:ascii="Calibri" w:hAnsi="Calibri"/>
              <w:color w:val="365F91"/>
              <w:sz w:val="22"/>
              <w:szCs w:val="22"/>
            </w:rPr>
          </w:pPr>
        </w:p>
      </w:tc>
      <w:tc>
        <w:tcPr>
          <w:tcW w:w="2250" w:type="pct"/>
          <w:tcBorders>
            <w:top w:val="single" w:sz="4" w:space="0" w:color="4F81BD"/>
            <w:left w:val="nil"/>
            <w:bottom w:val="nil"/>
            <w:right w:val="nil"/>
          </w:tcBorders>
        </w:tcPr>
        <w:p w:rsidR="00E122FB" w:rsidRPr="005A3173" w:rsidRDefault="00E122FB"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E122FB" w:rsidTr="005A3173">
      <w:trPr>
        <w:trHeight w:val="151"/>
      </w:trPr>
      <w:tc>
        <w:tcPr>
          <w:tcW w:w="2250" w:type="pct"/>
          <w:tcBorders>
            <w:top w:val="nil"/>
            <w:left w:val="nil"/>
            <w:bottom w:val="single" w:sz="4" w:space="0" w:color="4F81BD"/>
            <w:right w:val="nil"/>
          </w:tcBorders>
        </w:tcPr>
        <w:p w:rsidR="00E122FB" w:rsidRPr="005A3173" w:rsidRDefault="00E122FB" w:rsidP="005A3173">
          <w:pPr>
            <w:pStyle w:val="Header"/>
            <w:spacing w:line="276" w:lineRule="auto"/>
            <w:rPr>
              <w:rFonts w:ascii="Calibri" w:eastAsia="MS Gothic" w:hAnsi="Calibri"/>
              <w:b/>
              <w:bCs/>
              <w:color w:val="4F81BD"/>
            </w:rPr>
          </w:pPr>
        </w:p>
      </w:tc>
      <w:tc>
        <w:tcPr>
          <w:tcW w:w="500" w:type="pct"/>
          <w:vMerge w:val="restart"/>
          <w:noWrap/>
          <w:vAlign w:val="center"/>
          <w:hideMark/>
        </w:tcPr>
        <w:p w:rsidR="00E122FB" w:rsidRPr="005A3173" w:rsidRDefault="00E122FB"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E122FB" w:rsidRPr="005A3173" w:rsidRDefault="00E122FB" w:rsidP="005A3173">
          <w:pPr>
            <w:pStyle w:val="Header"/>
            <w:spacing w:line="276" w:lineRule="auto"/>
            <w:rPr>
              <w:rFonts w:ascii="Calibri" w:eastAsia="MS Gothic" w:hAnsi="Calibri"/>
              <w:b/>
              <w:bCs/>
              <w:color w:val="4F81BD"/>
            </w:rPr>
          </w:pPr>
        </w:p>
      </w:tc>
    </w:tr>
    <w:tr w:rsidR="00E122FB" w:rsidTr="005A3173">
      <w:trPr>
        <w:trHeight w:val="150"/>
      </w:trPr>
      <w:tc>
        <w:tcPr>
          <w:tcW w:w="2250" w:type="pct"/>
          <w:tcBorders>
            <w:top w:val="single" w:sz="4" w:space="0" w:color="4F81BD"/>
            <w:left w:val="nil"/>
            <w:bottom w:val="nil"/>
            <w:right w:val="nil"/>
          </w:tcBorders>
        </w:tcPr>
        <w:p w:rsidR="00E122FB" w:rsidRPr="005A3173" w:rsidRDefault="00E122FB" w:rsidP="005A3173">
          <w:pPr>
            <w:pStyle w:val="Header"/>
            <w:spacing w:line="276" w:lineRule="auto"/>
            <w:rPr>
              <w:rFonts w:ascii="Calibri" w:eastAsia="MS Gothic" w:hAnsi="Calibri"/>
              <w:b/>
              <w:bCs/>
              <w:color w:val="4F81BD"/>
            </w:rPr>
          </w:pPr>
        </w:p>
      </w:tc>
      <w:tc>
        <w:tcPr>
          <w:tcW w:w="0" w:type="auto"/>
          <w:vMerge/>
          <w:vAlign w:val="center"/>
          <w:hideMark/>
        </w:tcPr>
        <w:p w:rsidR="00E122FB" w:rsidRPr="005A3173" w:rsidRDefault="00E122FB" w:rsidP="005A3173">
          <w:pPr>
            <w:rPr>
              <w:rFonts w:ascii="Calibri" w:hAnsi="Calibri"/>
              <w:color w:val="365F91"/>
              <w:sz w:val="22"/>
              <w:szCs w:val="22"/>
            </w:rPr>
          </w:pPr>
        </w:p>
      </w:tc>
      <w:tc>
        <w:tcPr>
          <w:tcW w:w="2250" w:type="pct"/>
          <w:tcBorders>
            <w:top w:val="single" w:sz="4" w:space="0" w:color="4F81BD"/>
            <w:left w:val="nil"/>
            <w:bottom w:val="nil"/>
            <w:right w:val="nil"/>
          </w:tcBorders>
        </w:tcPr>
        <w:p w:rsidR="00E122FB" w:rsidRPr="005A3173" w:rsidRDefault="00E122FB" w:rsidP="005A3173">
          <w:pPr>
            <w:pStyle w:val="Header"/>
            <w:spacing w:line="276" w:lineRule="auto"/>
            <w:rPr>
              <w:rFonts w:ascii="Calibri" w:eastAsia="MS Gothic" w:hAnsi="Calibri"/>
              <w:b/>
              <w:bCs/>
              <w:color w:val="4F81BD"/>
            </w:rPr>
          </w:pPr>
        </w:p>
      </w:tc>
    </w:tr>
  </w:tbl>
  <w:p w:rsidR="00E122FB" w:rsidRPr="007C0F57" w:rsidRDefault="00E122FB"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E122FB" w:rsidRPr="007C0F57" w:rsidRDefault="00E122FB" w:rsidP="007C0F57">
    <w:pPr>
      <w:pStyle w:val="Footer"/>
      <w:jc w:val="center"/>
      <w:rPr>
        <w:b/>
        <w:i/>
        <w:sz w:val="20"/>
        <w:szCs w:val="20"/>
      </w:rPr>
    </w:pPr>
    <w:r w:rsidRPr="007C0F57">
      <w:rPr>
        <w:b/>
        <w:i/>
        <w:sz w:val="20"/>
        <w:szCs w:val="20"/>
      </w:rPr>
      <w:t>Commercial-in-Confidence</w:t>
    </w:r>
  </w:p>
  <w:p w:rsidR="00E122FB" w:rsidRDefault="00E122F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48D3" w:rsidRDefault="00B448D3">
      <w:r>
        <w:separator/>
      </w:r>
    </w:p>
    <w:p w:rsidR="00B448D3" w:rsidRDefault="00B448D3"/>
  </w:footnote>
  <w:footnote w:type="continuationSeparator" w:id="0">
    <w:p w:rsidR="00B448D3" w:rsidRDefault="00B448D3">
      <w:r>
        <w:continuationSeparator/>
      </w:r>
    </w:p>
    <w:p w:rsidR="00B448D3" w:rsidRDefault="00B448D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E122FB" w:rsidRPr="008E0D90" w:rsidTr="00A06225">
      <w:trPr>
        <w:trHeight w:val="151"/>
      </w:trPr>
      <w:tc>
        <w:tcPr>
          <w:tcW w:w="2389" w:type="pct"/>
          <w:tcBorders>
            <w:top w:val="nil"/>
            <w:left w:val="nil"/>
            <w:bottom w:val="single" w:sz="4" w:space="0" w:color="4F81BD"/>
            <w:right w:val="nil"/>
          </w:tcBorders>
        </w:tcPr>
        <w:p w:rsidR="00E122FB" w:rsidRPr="00A06225" w:rsidRDefault="00E122FB">
          <w:pPr>
            <w:pStyle w:val="Header"/>
            <w:spacing w:line="276" w:lineRule="auto"/>
            <w:rPr>
              <w:rFonts w:ascii="Cambria" w:eastAsia="MS Gothic" w:hAnsi="Cambria"/>
              <w:b/>
              <w:bCs/>
              <w:color w:val="4F81BD"/>
            </w:rPr>
          </w:pPr>
        </w:p>
      </w:tc>
      <w:tc>
        <w:tcPr>
          <w:tcW w:w="333" w:type="pct"/>
          <w:vMerge w:val="restart"/>
          <w:noWrap/>
          <w:vAlign w:val="center"/>
          <w:hideMark/>
        </w:tcPr>
        <w:p w:rsidR="00E122FB" w:rsidRPr="00A06225" w:rsidRDefault="00E122FB"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E122FB" w:rsidRPr="00A06225" w:rsidRDefault="00E122FB">
          <w:pPr>
            <w:pStyle w:val="Header"/>
            <w:spacing w:line="276" w:lineRule="auto"/>
            <w:rPr>
              <w:rFonts w:ascii="Cambria" w:eastAsia="MS Gothic" w:hAnsi="Cambria"/>
              <w:b/>
              <w:bCs/>
              <w:color w:val="4F81BD"/>
            </w:rPr>
          </w:pPr>
        </w:p>
      </w:tc>
    </w:tr>
    <w:tr w:rsidR="00E122FB" w:rsidRPr="008E0D90" w:rsidTr="00A06225">
      <w:trPr>
        <w:trHeight w:val="150"/>
      </w:trPr>
      <w:tc>
        <w:tcPr>
          <w:tcW w:w="2389" w:type="pct"/>
          <w:tcBorders>
            <w:top w:val="single" w:sz="4" w:space="0" w:color="4F81BD"/>
            <w:left w:val="nil"/>
            <w:bottom w:val="nil"/>
            <w:right w:val="nil"/>
          </w:tcBorders>
        </w:tcPr>
        <w:p w:rsidR="00E122FB" w:rsidRPr="00A06225" w:rsidRDefault="00E122FB">
          <w:pPr>
            <w:pStyle w:val="Header"/>
            <w:spacing w:line="276" w:lineRule="auto"/>
            <w:rPr>
              <w:rFonts w:ascii="Cambria" w:eastAsia="MS Gothic" w:hAnsi="Cambria"/>
              <w:b/>
              <w:bCs/>
              <w:color w:val="4F81BD"/>
            </w:rPr>
          </w:pPr>
        </w:p>
      </w:tc>
      <w:tc>
        <w:tcPr>
          <w:tcW w:w="0" w:type="auto"/>
          <w:vMerge/>
          <w:vAlign w:val="center"/>
          <w:hideMark/>
        </w:tcPr>
        <w:p w:rsidR="00E122FB" w:rsidRPr="00A06225" w:rsidRDefault="00E122FB">
          <w:pPr>
            <w:rPr>
              <w:rFonts w:ascii="Cambria" w:hAnsi="Cambria"/>
              <w:color w:val="4F81BD"/>
              <w:sz w:val="22"/>
              <w:szCs w:val="22"/>
            </w:rPr>
          </w:pPr>
        </w:p>
      </w:tc>
      <w:tc>
        <w:tcPr>
          <w:tcW w:w="2278" w:type="pct"/>
          <w:tcBorders>
            <w:top w:val="single" w:sz="4" w:space="0" w:color="4F81BD"/>
            <w:left w:val="nil"/>
            <w:bottom w:val="nil"/>
            <w:right w:val="nil"/>
          </w:tcBorders>
        </w:tcPr>
        <w:p w:rsidR="00E122FB" w:rsidRPr="00A06225" w:rsidRDefault="00E122FB">
          <w:pPr>
            <w:pStyle w:val="Header"/>
            <w:spacing w:line="276" w:lineRule="auto"/>
            <w:rPr>
              <w:rFonts w:ascii="Cambria" w:eastAsia="MS Gothic" w:hAnsi="Cambria"/>
              <w:b/>
              <w:bCs/>
              <w:color w:val="4F81BD"/>
            </w:rPr>
          </w:pPr>
        </w:p>
      </w:tc>
    </w:tr>
  </w:tbl>
  <w:p w:rsidR="00E122FB" w:rsidRDefault="00E122FB">
    <w:pPr>
      <w:pStyle w:val="Header"/>
    </w:pPr>
  </w:p>
  <w:p w:rsidR="00E122FB" w:rsidRDefault="00E122F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22FB" w:rsidRPr="00F1507D" w:rsidRDefault="00663AD6" w:rsidP="007C0592">
    <w:pPr>
      <w:pStyle w:val="Header"/>
      <w:ind w:left="360"/>
      <w:jc w:val="center"/>
      <w:rPr>
        <w:rFonts w:asciiTheme="minorHAnsi" w:hAnsiTheme="minorHAnsi" w:cs="Arial"/>
        <w:i/>
        <w:color w:val="808080"/>
      </w:rPr>
    </w:pPr>
    <w:r>
      <w:rPr>
        <w:rFonts w:asciiTheme="minorHAnsi" w:hAnsiTheme="minorHAnsi" w:cs="Arial"/>
        <w:i/>
        <w:color w:val="808080"/>
      </w:rPr>
      <w:t>Public Summary Document</w:t>
    </w:r>
    <w:r w:rsidR="00E122FB" w:rsidRPr="00F1507D">
      <w:rPr>
        <w:rFonts w:asciiTheme="minorHAnsi" w:hAnsiTheme="minorHAnsi" w:cs="Arial"/>
        <w:i/>
        <w:color w:val="808080"/>
      </w:rPr>
      <w:t xml:space="preserve"> – March 2019 PBAC Meeting</w:t>
    </w:r>
  </w:p>
  <w:p w:rsidR="00E122FB" w:rsidRDefault="00E122FB" w:rsidP="007C0592">
    <w:pPr>
      <w:pStyle w:val="NoSpacing"/>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6E1" w:rsidRDefault="000836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15:restartNumberingAfterBreak="0">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374AF4"/>
    <w:multiLevelType w:val="hybridMultilevel"/>
    <w:tmpl w:val="6F3A7658"/>
    <w:lvl w:ilvl="0" w:tplc="0C090001">
      <w:start w:val="1"/>
      <w:numFmt w:val="bullet"/>
      <w:lvlText w:val=""/>
      <w:lvlJc w:val="left"/>
      <w:pPr>
        <w:ind w:left="1500" w:hanging="360"/>
      </w:pPr>
      <w:rPr>
        <w:rFonts w:ascii="Symbol" w:hAnsi="Symbol"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15" w15:restartNumberingAfterBreak="0">
    <w:nsid w:val="48994C2F"/>
    <w:multiLevelType w:val="hybridMultilevel"/>
    <w:tmpl w:val="EF30AE8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0384639"/>
    <w:multiLevelType w:val="hybridMultilevel"/>
    <w:tmpl w:val="6DEA33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9"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D8509D9"/>
    <w:multiLevelType w:val="hybridMultilevel"/>
    <w:tmpl w:val="1BE222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6870598D"/>
    <w:multiLevelType w:val="hybridMultilevel"/>
    <w:tmpl w:val="58BA41DC"/>
    <w:lvl w:ilvl="0" w:tplc="BEF67DD8">
      <w:start w:val="6"/>
      <w:numFmt w:val="bullet"/>
      <w:lvlText w:val="•"/>
      <w:lvlJc w:val="left"/>
      <w:pPr>
        <w:ind w:left="1080" w:hanging="72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84D033C"/>
    <w:multiLevelType w:val="multilevel"/>
    <w:tmpl w:val="F0766E76"/>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3"/>
  </w:num>
  <w:num w:numId="3">
    <w:abstractNumId w:val="6"/>
  </w:num>
  <w:num w:numId="4">
    <w:abstractNumId w:val="16"/>
  </w:num>
  <w:num w:numId="5">
    <w:abstractNumId w:val="22"/>
  </w:num>
  <w:num w:numId="6">
    <w:abstractNumId w:val="7"/>
  </w:num>
  <w:num w:numId="7">
    <w:abstractNumId w:val="13"/>
  </w:num>
  <w:num w:numId="8">
    <w:abstractNumId w:val="4"/>
  </w:num>
  <w:num w:numId="9">
    <w:abstractNumId w:val="12"/>
  </w:num>
  <w:num w:numId="10">
    <w:abstractNumId w:val="11"/>
  </w:num>
  <w:num w:numId="11">
    <w:abstractNumId w:val="10"/>
  </w:num>
  <w:num w:numId="12">
    <w:abstractNumId w:val="1"/>
  </w:num>
  <w:num w:numId="13">
    <w:abstractNumId w:val="0"/>
  </w:num>
  <w:num w:numId="14">
    <w:abstractNumId w:val="22"/>
  </w:num>
  <w:num w:numId="15">
    <w:abstractNumId w:val="18"/>
  </w:num>
  <w:num w:numId="16">
    <w:abstractNumId w:val="19"/>
  </w:num>
  <w:num w:numId="17">
    <w:abstractNumId w:val="5"/>
  </w:num>
  <w:num w:numId="18">
    <w:abstractNumId w:val="2"/>
  </w:num>
  <w:num w:numId="19">
    <w:abstractNumId w:val="9"/>
  </w:num>
  <w:num w:numId="20">
    <w:abstractNumId w:val="15"/>
  </w:num>
  <w:num w:numId="21">
    <w:abstractNumId w:val="14"/>
  </w:num>
  <w:num w:numId="22">
    <w:abstractNumId w:val="17"/>
  </w:num>
  <w:num w:numId="23">
    <w:abstractNumId w:val="21"/>
  </w:num>
  <w:num w:numId="24">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40E"/>
    <w:rsid w:val="00000647"/>
    <w:rsid w:val="000025AD"/>
    <w:rsid w:val="0000335D"/>
    <w:rsid w:val="0001587C"/>
    <w:rsid w:val="00016152"/>
    <w:rsid w:val="0002169D"/>
    <w:rsid w:val="0002464A"/>
    <w:rsid w:val="00024DF5"/>
    <w:rsid w:val="0003106B"/>
    <w:rsid w:val="0004001F"/>
    <w:rsid w:val="000421A1"/>
    <w:rsid w:val="0004240E"/>
    <w:rsid w:val="00045E26"/>
    <w:rsid w:val="000506CF"/>
    <w:rsid w:val="000514B5"/>
    <w:rsid w:val="00051F89"/>
    <w:rsid w:val="00060B4A"/>
    <w:rsid w:val="00060E64"/>
    <w:rsid w:val="00066755"/>
    <w:rsid w:val="00077143"/>
    <w:rsid w:val="00081FD0"/>
    <w:rsid w:val="00082169"/>
    <w:rsid w:val="000836E1"/>
    <w:rsid w:val="000856BA"/>
    <w:rsid w:val="0008599A"/>
    <w:rsid w:val="000969AD"/>
    <w:rsid w:val="000A01C1"/>
    <w:rsid w:val="000A69DC"/>
    <w:rsid w:val="000B0CEC"/>
    <w:rsid w:val="000B26F4"/>
    <w:rsid w:val="000B558D"/>
    <w:rsid w:val="000C6996"/>
    <w:rsid w:val="000D1715"/>
    <w:rsid w:val="000D23BA"/>
    <w:rsid w:val="000E0F42"/>
    <w:rsid w:val="000E3835"/>
    <w:rsid w:val="000E681E"/>
    <w:rsid w:val="000E6DAF"/>
    <w:rsid w:val="000F0003"/>
    <w:rsid w:val="000F4E6A"/>
    <w:rsid w:val="000F67EE"/>
    <w:rsid w:val="001023A7"/>
    <w:rsid w:val="00103B6A"/>
    <w:rsid w:val="00103E7F"/>
    <w:rsid w:val="00104227"/>
    <w:rsid w:val="001107BF"/>
    <w:rsid w:val="0012417C"/>
    <w:rsid w:val="00142395"/>
    <w:rsid w:val="00142714"/>
    <w:rsid w:val="001452ED"/>
    <w:rsid w:val="00150FFE"/>
    <w:rsid w:val="00163329"/>
    <w:rsid w:val="00164623"/>
    <w:rsid w:val="00165B64"/>
    <w:rsid w:val="00170277"/>
    <w:rsid w:val="00180713"/>
    <w:rsid w:val="001830CE"/>
    <w:rsid w:val="0018643B"/>
    <w:rsid w:val="00196307"/>
    <w:rsid w:val="0019786A"/>
    <w:rsid w:val="001A33EA"/>
    <w:rsid w:val="001A3BB9"/>
    <w:rsid w:val="001B017F"/>
    <w:rsid w:val="001B1AF9"/>
    <w:rsid w:val="001B2BBC"/>
    <w:rsid w:val="001B5129"/>
    <w:rsid w:val="001C1195"/>
    <w:rsid w:val="001D2679"/>
    <w:rsid w:val="001E64E2"/>
    <w:rsid w:val="001F0CB3"/>
    <w:rsid w:val="001F1850"/>
    <w:rsid w:val="001F4782"/>
    <w:rsid w:val="00203FAC"/>
    <w:rsid w:val="0020444A"/>
    <w:rsid w:val="00211CEA"/>
    <w:rsid w:val="00213CFB"/>
    <w:rsid w:val="002165D0"/>
    <w:rsid w:val="00216EEC"/>
    <w:rsid w:val="00217BE1"/>
    <w:rsid w:val="00225A71"/>
    <w:rsid w:val="00225C08"/>
    <w:rsid w:val="0024583F"/>
    <w:rsid w:val="0024709B"/>
    <w:rsid w:val="00250FF9"/>
    <w:rsid w:val="00254AD2"/>
    <w:rsid w:val="00271BA1"/>
    <w:rsid w:val="002743A0"/>
    <w:rsid w:val="002762FA"/>
    <w:rsid w:val="00277505"/>
    <w:rsid w:val="00293989"/>
    <w:rsid w:val="0029458F"/>
    <w:rsid w:val="00296C64"/>
    <w:rsid w:val="002A104C"/>
    <w:rsid w:val="002A4960"/>
    <w:rsid w:val="002A6C4B"/>
    <w:rsid w:val="002B1AE6"/>
    <w:rsid w:val="002B2DE8"/>
    <w:rsid w:val="002B30F8"/>
    <w:rsid w:val="002B5596"/>
    <w:rsid w:val="002C212F"/>
    <w:rsid w:val="002C69CC"/>
    <w:rsid w:val="002D0630"/>
    <w:rsid w:val="002D4543"/>
    <w:rsid w:val="002D6D1A"/>
    <w:rsid w:val="002D7777"/>
    <w:rsid w:val="002E3153"/>
    <w:rsid w:val="002E72CA"/>
    <w:rsid w:val="002E7816"/>
    <w:rsid w:val="002F1323"/>
    <w:rsid w:val="002F304D"/>
    <w:rsid w:val="002F600D"/>
    <w:rsid w:val="00300AD6"/>
    <w:rsid w:val="0030554C"/>
    <w:rsid w:val="0030682D"/>
    <w:rsid w:val="003075A5"/>
    <w:rsid w:val="00317BD9"/>
    <w:rsid w:val="00317C6C"/>
    <w:rsid w:val="00325DB2"/>
    <w:rsid w:val="00326E79"/>
    <w:rsid w:val="0033518A"/>
    <w:rsid w:val="003367EF"/>
    <w:rsid w:val="00341AE4"/>
    <w:rsid w:val="0034569E"/>
    <w:rsid w:val="003471B9"/>
    <w:rsid w:val="00356221"/>
    <w:rsid w:val="00361A97"/>
    <w:rsid w:val="00362202"/>
    <w:rsid w:val="00366F9E"/>
    <w:rsid w:val="00373A0A"/>
    <w:rsid w:val="00386E78"/>
    <w:rsid w:val="003872CF"/>
    <w:rsid w:val="0038739F"/>
    <w:rsid w:val="0039782C"/>
    <w:rsid w:val="003A2B54"/>
    <w:rsid w:val="003A5B4A"/>
    <w:rsid w:val="003B23C5"/>
    <w:rsid w:val="003B2A75"/>
    <w:rsid w:val="003B6124"/>
    <w:rsid w:val="003C2800"/>
    <w:rsid w:val="003C2FB5"/>
    <w:rsid w:val="003C34EC"/>
    <w:rsid w:val="003C51FD"/>
    <w:rsid w:val="003C70FB"/>
    <w:rsid w:val="003D4AC4"/>
    <w:rsid w:val="003D63B7"/>
    <w:rsid w:val="003E468B"/>
    <w:rsid w:val="003E5208"/>
    <w:rsid w:val="003E67C7"/>
    <w:rsid w:val="003E7117"/>
    <w:rsid w:val="003F3228"/>
    <w:rsid w:val="003F399D"/>
    <w:rsid w:val="003F4BB3"/>
    <w:rsid w:val="003F5C8C"/>
    <w:rsid w:val="00403AE3"/>
    <w:rsid w:val="00407914"/>
    <w:rsid w:val="004161CA"/>
    <w:rsid w:val="00423318"/>
    <w:rsid w:val="004252EC"/>
    <w:rsid w:val="00426DC8"/>
    <w:rsid w:val="004465BD"/>
    <w:rsid w:val="00461F0E"/>
    <w:rsid w:val="00465A3D"/>
    <w:rsid w:val="00466ADA"/>
    <w:rsid w:val="00476245"/>
    <w:rsid w:val="004804CF"/>
    <w:rsid w:val="00482BE9"/>
    <w:rsid w:val="00483035"/>
    <w:rsid w:val="0048535F"/>
    <w:rsid w:val="00485940"/>
    <w:rsid w:val="00492944"/>
    <w:rsid w:val="004A1FC8"/>
    <w:rsid w:val="004A2484"/>
    <w:rsid w:val="004A26D9"/>
    <w:rsid w:val="004A4B37"/>
    <w:rsid w:val="004A5A85"/>
    <w:rsid w:val="004A71D1"/>
    <w:rsid w:val="004B5640"/>
    <w:rsid w:val="004C06E6"/>
    <w:rsid w:val="004C1407"/>
    <w:rsid w:val="004C1BD7"/>
    <w:rsid w:val="004C31FE"/>
    <w:rsid w:val="004C691D"/>
    <w:rsid w:val="004C6C07"/>
    <w:rsid w:val="004C7898"/>
    <w:rsid w:val="004D3BD4"/>
    <w:rsid w:val="004D3C85"/>
    <w:rsid w:val="004D60AC"/>
    <w:rsid w:val="004E08F0"/>
    <w:rsid w:val="004E19DF"/>
    <w:rsid w:val="004E3708"/>
    <w:rsid w:val="004E692D"/>
    <w:rsid w:val="004F1284"/>
    <w:rsid w:val="004F3EEB"/>
    <w:rsid w:val="004F3EFF"/>
    <w:rsid w:val="004F5663"/>
    <w:rsid w:val="00501554"/>
    <w:rsid w:val="00502EB0"/>
    <w:rsid w:val="00510B58"/>
    <w:rsid w:val="00514CD7"/>
    <w:rsid w:val="00516B4E"/>
    <w:rsid w:val="00522A44"/>
    <w:rsid w:val="00522DFD"/>
    <w:rsid w:val="00525A49"/>
    <w:rsid w:val="005272B5"/>
    <w:rsid w:val="005319B2"/>
    <w:rsid w:val="00532402"/>
    <w:rsid w:val="00532C74"/>
    <w:rsid w:val="00534E2E"/>
    <w:rsid w:val="005374E2"/>
    <w:rsid w:val="00544552"/>
    <w:rsid w:val="00560C19"/>
    <w:rsid w:val="005664F6"/>
    <w:rsid w:val="005671F9"/>
    <w:rsid w:val="00577C4D"/>
    <w:rsid w:val="00581932"/>
    <w:rsid w:val="00585155"/>
    <w:rsid w:val="00587821"/>
    <w:rsid w:val="00587831"/>
    <w:rsid w:val="005963BB"/>
    <w:rsid w:val="005A3173"/>
    <w:rsid w:val="005A3223"/>
    <w:rsid w:val="005A3DA3"/>
    <w:rsid w:val="005A52C4"/>
    <w:rsid w:val="005B34EF"/>
    <w:rsid w:val="005B6343"/>
    <w:rsid w:val="005C07FB"/>
    <w:rsid w:val="005C13D0"/>
    <w:rsid w:val="005D03AB"/>
    <w:rsid w:val="005D5017"/>
    <w:rsid w:val="005D710D"/>
    <w:rsid w:val="005E1333"/>
    <w:rsid w:val="005E2ABE"/>
    <w:rsid w:val="005E2F98"/>
    <w:rsid w:val="005F7C14"/>
    <w:rsid w:val="00601A91"/>
    <w:rsid w:val="00602BA3"/>
    <w:rsid w:val="00606EED"/>
    <w:rsid w:val="00612E34"/>
    <w:rsid w:val="00614159"/>
    <w:rsid w:val="00617C00"/>
    <w:rsid w:val="006200B2"/>
    <w:rsid w:val="00620E1B"/>
    <w:rsid w:val="006263BF"/>
    <w:rsid w:val="0062748A"/>
    <w:rsid w:val="00630A2C"/>
    <w:rsid w:val="0063682E"/>
    <w:rsid w:val="006410EC"/>
    <w:rsid w:val="006436CD"/>
    <w:rsid w:val="00651169"/>
    <w:rsid w:val="00653D69"/>
    <w:rsid w:val="00663AD6"/>
    <w:rsid w:val="006670BE"/>
    <w:rsid w:val="00670A76"/>
    <w:rsid w:val="006711AA"/>
    <w:rsid w:val="00672B57"/>
    <w:rsid w:val="006751A5"/>
    <w:rsid w:val="00675622"/>
    <w:rsid w:val="0067747D"/>
    <w:rsid w:val="006906DB"/>
    <w:rsid w:val="00691E6C"/>
    <w:rsid w:val="00696129"/>
    <w:rsid w:val="00697A9C"/>
    <w:rsid w:val="00697CF2"/>
    <w:rsid w:val="006A0D93"/>
    <w:rsid w:val="006A12A5"/>
    <w:rsid w:val="006A1567"/>
    <w:rsid w:val="006B0D94"/>
    <w:rsid w:val="006B211A"/>
    <w:rsid w:val="006B485D"/>
    <w:rsid w:val="006C5161"/>
    <w:rsid w:val="006C708E"/>
    <w:rsid w:val="006D14E7"/>
    <w:rsid w:val="006D4374"/>
    <w:rsid w:val="006D6493"/>
    <w:rsid w:val="006D6EC7"/>
    <w:rsid w:val="006D6FC3"/>
    <w:rsid w:val="006E1BCD"/>
    <w:rsid w:val="006F5125"/>
    <w:rsid w:val="006F68CF"/>
    <w:rsid w:val="00702B6F"/>
    <w:rsid w:val="0071340B"/>
    <w:rsid w:val="00713D21"/>
    <w:rsid w:val="007174BB"/>
    <w:rsid w:val="0072025D"/>
    <w:rsid w:val="0072333D"/>
    <w:rsid w:val="0072695F"/>
    <w:rsid w:val="0073159C"/>
    <w:rsid w:val="007353D3"/>
    <w:rsid w:val="0074322C"/>
    <w:rsid w:val="007445E2"/>
    <w:rsid w:val="00744917"/>
    <w:rsid w:val="0075590B"/>
    <w:rsid w:val="00756BFD"/>
    <w:rsid w:val="00760581"/>
    <w:rsid w:val="0076420C"/>
    <w:rsid w:val="0076550A"/>
    <w:rsid w:val="007753C2"/>
    <w:rsid w:val="007770FF"/>
    <w:rsid w:val="00782A62"/>
    <w:rsid w:val="007838B8"/>
    <w:rsid w:val="00785BF7"/>
    <w:rsid w:val="00795F76"/>
    <w:rsid w:val="007A6943"/>
    <w:rsid w:val="007B51D8"/>
    <w:rsid w:val="007C0592"/>
    <w:rsid w:val="007C0F57"/>
    <w:rsid w:val="007C40B6"/>
    <w:rsid w:val="007C6D1C"/>
    <w:rsid w:val="007C729F"/>
    <w:rsid w:val="007D09EE"/>
    <w:rsid w:val="007D77A3"/>
    <w:rsid w:val="007E1D28"/>
    <w:rsid w:val="007F2641"/>
    <w:rsid w:val="007F7C36"/>
    <w:rsid w:val="00806796"/>
    <w:rsid w:val="008151D6"/>
    <w:rsid w:val="0081546E"/>
    <w:rsid w:val="00824934"/>
    <w:rsid w:val="00825C7F"/>
    <w:rsid w:val="008262C8"/>
    <w:rsid w:val="00826F6D"/>
    <w:rsid w:val="008306F3"/>
    <w:rsid w:val="00836403"/>
    <w:rsid w:val="00847ACA"/>
    <w:rsid w:val="00856DDD"/>
    <w:rsid w:val="008615C7"/>
    <w:rsid w:val="00863E68"/>
    <w:rsid w:val="008662CE"/>
    <w:rsid w:val="00873374"/>
    <w:rsid w:val="00880E99"/>
    <w:rsid w:val="0088110E"/>
    <w:rsid w:val="00882085"/>
    <w:rsid w:val="00883188"/>
    <w:rsid w:val="008957D0"/>
    <w:rsid w:val="00897D58"/>
    <w:rsid w:val="00897F22"/>
    <w:rsid w:val="008A1956"/>
    <w:rsid w:val="008A4937"/>
    <w:rsid w:val="008A50F1"/>
    <w:rsid w:val="008A5F92"/>
    <w:rsid w:val="008A7F1D"/>
    <w:rsid w:val="008B2A83"/>
    <w:rsid w:val="008B48E5"/>
    <w:rsid w:val="008B4C88"/>
    <w:rsid w:val="008D11DB"/>
    <w:rsid w:val="008D1B5C"/>
    <w:rsid w:val="008D3C82"/>
    <w:rsid w:val="008D447E"/>
    <w:rsid w:val="008D453B"/>
    <w:rsid w:val="008D4977"/>
    <w:rsid w:val="008D66D1"/>
    <w:rsid w:val="008D7A41"/>
    <w:rsid w:val="008E3680"/>
    <w:rsid w:val="008E5870"/>
    <w:rsid w:val="008F0849"/>
    <w:rsid w:val="008F1434"/>
    <w:rsid w:val="008F7355"/>
    <w:rsid w:val="00902938"/>
    <w:rsid w:val="00904DB6"/>
    <w:rsid w:val="009067B7"/>
    <w:rsid w:val="00915630"/>
    <w:rsid w:val="00916654"/>
    <w:rsid w:val="00930937"/>
    <w:rsid w:val="0093318B"/>
    <w:rsid w:val="00933E6C"/>
    <w:rsid w:val="009349A0"/>
    <w:rsid w:val="00937958"/>
    <w:rsid w:val="00942160"/>
    <w:rsid w:val="0095146F"/>
    <w:rsid w:val="00952625"/>
    <w:rsid w:val="00956C15"/>
    <w:rsid w:val="009602C5"/>
    <w:rsid w:val="0096078A"/>
    <w:rsid w:val="00962223"/>
    <w:rsid w:val="00966C0A"/>
    <w:rsid w:val="00966D0D"/>
    <w:rsid w:val="009701F6"/>
    <w:rsid w:val="00973E59"/>
    <w:rsid w:val="009744A7"/>
    <w:rsid w:val="00974C21"/>
    <w:rsid w:val="00992543"/>
    <w:rsid w:val="00992C52"/>
    <w:rsid w:val="009A049B"/>
    <w:rsid w:val="009B0F67"/>
    <w:rsid w:val="009C703C"/>
    <w:rsid w:val="009D3CAA"/>
    <w:rsid w:val="009D539A"/>
    <w:rsid w:val="009E2305"/>
    <w:rsid w:val="009E40E1"/>
    <w:rsid w:val="009E47CF"/>
    <w:rsid w:val="009F265F"/>
    <w:rsid w:val="009F48E4"/>
    <w:rsid w:val="009F4E46"/>
    <w:rsid w:val="009F5B65"/>
    <w:rsid w:val="009F5F2E"/>
    <w:rsid w:val="009F7AAD"/>
    <w:rsid w:val="00A04732"/>
    <w:rsid w:val="00A06225"/>
    <w:rsid w:val="00A10BF9"/>
    <w:rsid w:val="00A128E6"/>
    <w:rsid w:val="00A146EF"/>
    <w:rsid w:val="00A34E6C"/>
    <w:rsid w:val="00A34ED2"/>
    <w:rsid w:val="00A37B65"/>
    <w:rsid w:val="00A37C8D"/>
    <w:rsid w:val="00A5273B"/>
    <w:rsid w:val="00A53A9D"/>
    <w:rsid w:val="00A544D1"/>
    <w:rsid w:val="00A55FEE"/>
    <w:rsid w:val="00A62C1A"/>
    <w:rsid w:val="00A633CE"/>
    <w:rsid w:val="00A6426D"/>
    <w:rsid w:val="00A649E3"/>
    <w:rsid w:val="00A665C1"/>
    <w:rsid w:val="00A70622"/>
    <w:rsid w:val="00A706B8"/>
    <w:rsid w:val="00A70977"/>
    <w:rsid w:val="00A73305"/>
    <w:rsid w:val="00A73AA7"/>
    <w:rsid w:val="00A75896"/>
    <w:rsid w:val="00A77613"/>
    <w:rsid w:val="00A8390C"/>
    <w:rsid w:val="00A928BD"/>
    <w:rsid w:val="00AA4D1C"/>
    <w:rsid w:val="00AB16B9"/>
    <w:rsid w:val="00AC193C"/>
    <w:rsid w:val="00AC404C"/>
    <w:rsid w:val="00AC4FFD"/>
    <w:rsid w:val="00AC5206"/>
    <w:rsid w:val="00AC5D09"/>
    <w:rsid w:val="00AD2A58"/>
    <w:rsid w:val="00AD518E"/>
    <w:rsid w:val="00AD5BD7"/>
    <w:rsid w:val="00AD5F81"/>
    <w:rsid w:val="00AE11A5"/>
    <w:rsid w:val="00AE13E2"/>
    <w:rsid w:val="00AE22D3"/>
    <w:rsid w:val="00AE42FB"/>
    <w:rsid w:val="00AE7863"/>
    <w:rsid w:val="00AF62DF"/>
    <w:rsid w:val="00AF68CC"/>
    <w:rsid w:val="00B0607A"/>
    <w:rsid w:val="00B1059E"/>
    <w:rsid w:val="00B176C8"/>
    <w:rsid w:val="00B205AA"/>
    <w:rsid w:val="00B22E84"/>
    <w:rsid w:val="00B23A26"/>
    <w:rsid w:val="00B23EEF"/>
    <w:rsid w:val="00B25F75"/>
    <w:rsid w:val="00B26B3F"/>
    <w:rsid w:val="00B43E90"/>
    <w:rsid w:val="00B448D3"/>
    <w:rsid w:val="00B45F0D"/>
    <w:rsid w:val="00B467DC"/>
    <w:rsid w:val="00B50C40"/>
    <w:rsid w:val="00B51E53"/>
    <w:rsid w:val="00B53B48"/>
    <w:rsid w:val="00B55D5F"/>
    <w:rsid w:val="00B56118"/>
    <w:rsid w:val="00B6773F"/>
    <w:rsid w:val="00B70B13"/>
    <w:rsid w:val="00B720DE"/>
    <w:rsid w:val="00B77537"/>
    <w:rsid w:val="00B801BA"/>
    <w:rsid w:val="00B8442C"/>
    <w:rsid w:val="00B84BFE"/>
    <w:rsid w:val="00B84D5C"/>
    <w:rsid w:val="00B867CF"/>
    <w:rsid w:val="00B87742"/>
    <w:rsid w:val="00B9290A"/>
    <w:rsid w:val="00B933EB"/>
    <w:rsid w:val="00BB5AF5"/>
    <w:rsid w:val="00BB69F5"/>
    <w:rsid w:val="00BB7EC3"/>
    <w:rsid w:val="00BC025C"/>
    <w:rsid w:val="00BC381C"/>
    <w:rsid w:val="00BC4B9A"/>
    <w:rsid w:val="00BC61D4"/>
    <w:rsid w:val="00BD21D9"/>
    <w:rsid w:val="00BD67AD"/>
    <w:rsid w:val="00BD784C"/>
    <w:rsid w:val="00BF0A7D"/>
    <w:rsid w:val="00BF33B1"/>
    <w:rsid w:val="00BF4CB6"/>
    <w:rsid w:val="00BF4DB6"/>
    <w:rsid w:val="00C00DA7"/>
    <w:rsid w:val="00C026A5"/>
    <w:rsid w:val="00C12768"/>
    <w:rsid w:val="00C2510A"/>
    <w:rsid w:val="00C27B58"/>
    <w:rsid w:val="00C357B9"/>
    <w:rsid w:val="00C35996"/>
    <w:rsid w:val="00C36E50"/>
    <w:rsid w:val="00C4747E"/>
    <w:rsid w:val="00C47925"/>
    <w:rsid w:val="00C5093C"/>
    <w:rsid w:val="00C5342C"/>
    <w:rsid w:val="00C603D4"/>
    <w:rsid w:val="00C60BF0"/>
    <w:rsid w:val="00C6256A"/>
    <w:rsid w:val="00C7330B"/>
    <w:rsid w:val="00C75359"/>
    <w:rsid w:val="00C77891"/>
    <w:rsid w:val="00C91449"/>
    <w:rsid w:val="00C92D10"/>
    <w:rsid w:val="00CA7D6D"/>
    <w:rsid w:val="00CB0E5E"/>
    <w:rsid w:val="00CC3DBD"/>
    <w:rsid w:val="00CD6E25"/>
    <w:rsid w:val="00CE10C4"/>
    <w:rsid w:val="00CE27B5"/>
    <w:rsid w:val="00CF71FE"/>
    <w:rsid w:val="00D0321E"/>
    <w:rsid w:val="00D04CCD"/>
    <w:rsid w:val="00D1455A"/>
    <w:rsid w:val="00D15D1B"/>
    <w:rsid w:val="00D31150"/>
    <w:rsid w:val="00D3138B"/>
    <w:rsid w:val="00D3280C"/>
    <w:rsid w:val="00D3406A"/>
    <w:rsid w:val="00D4572C"/>
    <w:rsid w:val="00D469B2"/>
    <w:rsid w:val="00D574DC"/>
    <w:rsid w:val="00D71B68"/>
    <w:rsid w:val="00D741EB"/>
    <w:rsid w:val="00D83605"/>
    <w:rsid w:val="00D84934"/>
    <w:rsid w:val="00D86393"/>
    <w:rsid w:val="00D91271"/>
    <w:rsid w:val="00D919F5"/>
    <w:rsid w:val="00D9240F"/>
    <w:rsid w:val="00D94F03"/>
    <w:rsid w:val="00DA2CB5"/>
    <w:rsid w:val="00DA4BAC"/>
    <w:rsid w:val="00DC1804"/>
    <w:rsid w:val="00DD30B3"/>
    <w:rsid w:val="00DD458C"/>
    <w:rsid w:val="00DE3A91"/>
    <w:rsid w:val="00DE6D27"/>
    <w:rsid w:val="00DF038C"/>
    <w:rsid w:val="00DF217D"/>
    <w:rsid w:val="00DF26A7"/>
    <w:rsid w:val="00DF585C"/>
    <w:rsid w:val="00E04BAF"/>
    <w:rsid w:val="00E10263"/>
    <w:rsid w:val="00E122FB"/>
    <w:rsid w:val="00E15627"/>
    <w:rsid w:val="00E164B3"/>
    <w:rsid w:val="00E16521"/>
    <w:rsid w:val="00E16910"/>
    <w:rsid w:val="00E212FC"/>
    <w:rsid w:val="00E267B1"/>
    <w:rsid w:val="00E32519"/>
    <w:rsid w:val="00E42BDB"/>
    <w:rsid w:val="00E44651"/>
    <w:rsid w:val="00E53279"/>
    <w:rsid w:val="00E56537"/>
    <w:rsid w:val="00E57EEB"/>
    <w:rsid w:val="00E60124"/>
    <w:rsid w:val="00E60C92"/>
    <w:rsid w:val="00E62AB9"/>
    <w:rsid w:val="00E62D94"/>
    <w:rsid w:val="00E65E54"/>
    <w:rsid w:val="00E80155"/>
    <w:rsid w:val="00E81F28"/>
    <w:rsid w:val="00E848C0"/>
    <w:rsid w:val="00E91B96"/>
    <w:rsid w:val="00E93D94"/>
    <w:rsid w:val="00E941A1"/>
    <w:rsid w:val="00E95CE3"/>
    <w:rsid w:val="00E973F7"/>
    <w:rsid w:val="00EA2825"/>
    <w:rsid w:val="00EB0B63"/>
    <w:rsid w:val="00EB1936"/>
    <w:rsid w:val="00EB5088"/>
    <w:rsid w:val="00EC3FFC"/>
    <w:rsid w:val="00ED1644"/>
    <w:rsid w:val="00ED2593"/>
    <w:rsid w:val="00ED2A62"/>
    <w:rsid w:val="00ED5E27"/>
    <w:rsid w:val="00ED75CD"/>
    <w:rsid w:val="00ED7D9C"/>
    <w:rsid w:val="00EF0F75"/>
    <w:rsid w:val="00EF1C50"/>
    <w:rsid w:val="00EF44A0"/>
    <w:rsid w:val="00EF4FED"/>
    <w:rsid w:val="00F050BD"/>
    <w:rsid w:val="00F05657"/>
    <w:rsid w:val="00F123B9"/>
    <w:rsid w:val="00F12F82"/>
    <w:rsid w:val="00F14586"/>
    <w:rsid w:val="00F1507D"/>
    <w:rsid w:val="00F24741"/>
    <w:rsid w:val="00F25578"/>
    <w:rsid w:val="00F258E5"/>
    <w:rsid w:val="00F300BC"/>
    <w:rsid w:val="00F32366"/>
    <w:rsid w:val="00F3334E"/>
    <w:rsid w:val="00F3689E"/>
    <w:rsid w:val="00F36CCB"/>
    <w:rsid w:val="00F374E5"/>
    <w:rsid w:val="00F41789"/>
    <w:rsid w:val="00F41EB8"/>
    <w:rsid w:val="00F43AF2"/>
    <w:rsid w:val="00F4701E"/>
    <w:rsid w:val="00F5007E"/>
    <w:rsid w:val="00F50EC4"/>
    <w:rsid w:val="00F550CF"/>
    <w:rsid w:val="00F554E0"/>
    <w:rsid w:val="00F57A6D"/>
    <w:rsid w:val="00F638CC"/>
    <w:rsid w:val="00F64CC1"/>
    <w:rsid w:val="00F72317"/>
    <w:rsid w:val="00F76F0D"/>
    <w:rsid w:val="00F80475"/>
    <w:rsid w:val="00F8247A"/>
    <w:rsid w:val="00F92CAE"/>
    <w:rsid w:val="00F92ED4"/>
    <w:rsid w:val="00F937FE"/>
    <w:rsid w:val="00F94A6C"/>
    <w:rsid w:val="00F9629A"/>
    <w:rsid w:val="00F97EFC"/>
    <w:rsid w:val="00FA5883"/>
    <w:rsid w:val="00FA6055"/>
    <w:rsid w:val="00FB322F"/>
    <w:rsid w:val="00FB442F"/>
    <w:rsid w:val="00FB6F92"/>
    <w:rsid w:val="00FC1929"/>
    <w:rsid w:val="00FC5B46"/>
    <w:rsid w:val="00FD3534"/>
    <w:rsid w:val="00FD6D8E"/>
    <w:rsid w:val="00FE0E94"/>
    <w:rsid w:val="00FE292B"/>
    <w:rsid w:val="00FE76A8"/>
    <w:rsid w:val="00FF00BD"/>
    <w:rsid w:val="00FF1ED4"/>
    <w:rsid w:val="00FF2801"/>
    <w:rsid w:val="00FF5F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Table Gridbeth"/>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1"/>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525A49"/>
    <w:pPr>
      <w:spacing w:before="120" w:after="120"/>
      <w:ind w:left="720" w:hanging="720"/>
      <w:contextualSpacing/>
      <w:outlineLvl w:val="0"/>
    </w:pPr>
    <w:rPr>
      <w:rFonts w:asciiTheme="minorHAnsi" w:eastAsiaTheme="majorEastAsia" w:hAnsiTheme="minorHAnsi" w:cstheme="majorBidi"/>
      <w:b/>
      <w:spacing w:val="5"/>
      <w:kern w:val="28"/>
      <w:sz w:val="36"/>
      <w:szCs w:val="36"/>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525A49"/>
    <w:rPr>
      <w:rFonts w:asciiTheme="minorHAnsi" w:eastAsiaTheme="majorEastAsia" w:hAnsiTheme="minorHAnsi" w:cstheme="majorBidi"/>
      <w:b/>
      <w:spacing w:val="5"/>
      <w:kern w:val="28"/>
      <w:sz w:val="36"/>
      <w:szCs w:val="36"/>
    </w:rPr>
  </w:style>
  <w:style w:type="character" w:customStyle="1" w:styleId="ListParagraphChar">
    <w:name w:val="List Paragraph Char"/>
    <w:aliases w:val="BulletPoints Char,Numbered para Char"/>
    <w:basedOn w:val="DefaultParagraphFont"/>
    <w:link w:val="ListParagraph"/>
    <w:uiPriority w:val="72"/>
    <w:qFormat/>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3C2FB5"/>
    <w:rPr>
      <w:rFonts w:ascii="Arial" w:hAnsi="Arial"/>
      <w:b/>
      <w:i/>
      <w:sz w:val="22"/>
      <w:szCs w:val="24"/>
    </w:rPr>
  </w:style>
  <w:style w:type="character" w:styleId="FollowedHyperlink">
    <w:name w:val="FollowedHyperlink"/>
    <w:basedOn w:val="DefaultParagraphFont"/>
    <w:semiHidden/>
    <w:unhideWhenUsed/>
    <w:rsid w:val="00254AD2"/>
    <w:rPr>
      <w:color w:val="800080" w:themeColor="followedHyperlink"/>
      <w:u w:val="single"/>
    </w:rPr>
  </w:style>
  <w:style w:type="paragraph" w:customStyle="1" w:styleId="TableText0">
    <w:name w:val="Table Text"/>
    <w:basedOn w:val="Normal"/>
    <w:link w:val="TableTextChar"/>
    <w:qFormat/>
    <w:rsid w:val="005B34EF"/>
    <w:pPr>
      <w:spacing w:before="40" w:after="40"/>
    </w:pPr>
    <w:rPr>
      <w:rFonts w:ascii="Garamond" w:eastAsiaTheme="minorHAnsi" w:hAnsi="Garamond" w:cstheme="minorBidi"/>
      <w:sz w:val="22"/>
      <w:szCs w:val="22"/>
      <w:lang w:eastAsia="en-US"/>
    </w:rPr>
  </w:style>
  <w:style w:type="character" w:customStyle="1" w:styleId="TableTextChar">
    <w:name w:val="Table Text Char"/>
    <w:link w:val="TableText0"/>
    <w:rsid w:val="005B34EF"/>
    <w:rPr>
      <w:rFonts w:ascii="Garamond" w:eastAsiaTheme="minorHAnsi" w:hAnsi="Garamond" w:cstheme="minorBidi"/>
      <w:sz w:val="22"/>
      <w:szCs w:val="22"/>
      <w:lang w:eastAsia="en-US"/>
    </w:rPr>
  </w:style>
  <w:style w:type="paragraph" w:customStyle="1" w:styleId="Default">
    <w:name w:val="Default"/>
    <w:rsid w:val="00902938"/>
    <w:pPr>
      <w:autoSpaceDE w:val="0"/>
      <w:autoSpaceDN w:val="0"/>
      <w:adjustRightInd w:val="0"/>
    </w:pPr>
    <w:rPr>
      <w:rFonts w:ascii="Arial" w:hAnsi="Arial" w:cs="Arial"/>
      <w:color w:val="000000"/>
      <w:sz w:val="24"/>
      <w:szCs w:val="24"/>
    </w:rPr>
  </w:style>
  <w:style w:type="paragraph" w:styleId="Revision">
    <w:name w:val="Revision"/>
    <w:hidden/>
    <w:uiPriority w:val="71"/>
    <w:semiHidden/>
    <w:rsid w:val="0008599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1031">
      <w:bodyDiv w:val="1"/>
      <w:marLeft w:val="0"/>
      <w:marRight w:val="0"/>
      <w:marTop w:val="0"/>
      <w:marBottom w:val="0"/>
      <w:divBdr>
        <w:top w:val="none" w:sz="0" w:space="0" w:color="auto"/>
        <w:left w:val="none" w:sz="0" w:space="0" w:color="auto"/>
        <w:bottom w:val="none" w:sz="0" w:space="0" w:color="auto"/>
        <w:right w:val="none" w:sz="0" w:space="0" w:color="auto"/>
      </w:divBdr>
    </w:div>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218902814">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F781C-A80D-4594-BF99-7C6A6BF89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2755</Words>
  <Characters>15838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2019-06-21T04:07:00Z</dcterms:created>
  <dcterms:modified xsi:type="dcterms:W3CDTF">2019-07-01T05:20:00Z</dcterms:modified>
</cp:coreProperties>
</file>