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E91" w:rsidRPr="00F84A53" w:rsidRDefault="00705FAA" w:rsidP="00F84A53">
      <w:pPr>
        <w:pStyle w:val="Title"/>
        <w:widowControl/>
        <w:spacing w:before="120" w:after="120"/>
        <w:ind w:left="720" w:hanging="720"/>
        <w:contextualSpacing/>
        <w:jc w:val="left"/>
        <w:rPr>
          <w:rFonts w:asciiTheme="minorHAnsi" w:eastAsiaTheme="majorEastAsia" w:hAnsiTheme="minorHAnsi" w:cstheme="majorBidi"/>
          <w:bCs w:val="0"/>
          <w:snapToGrid/>
          <w:spacing w:val="5"/>
          <w:sz w:val="36"/>
          <w:szCs w:val="36"/>
          <w:lang w:eastAsia="en-AU"/>
        </w:rPr>
      </w:pPr>
      <w:r w:rsidRPr="00F84A53">
        <w:rPr>
          <w:rFonts w:asciiTheme="minorHAnsi" w:eastAsiaTheme="majorEastAsia" w:hAnsiTheme="minorHAnsi" w:cstheme="majorBidi"/>
          <w:bCs w:val="0"/>
          <w:snapToGrid/>
          <w:spacing w:val="5"/>
          <w:sz w:val="36"/>
          <w:szCs w:val="36"/>
          <w:lang w:eastAsia="en-AU"/>
        </w:rPr>
        <w:t>7.02</w:t>
      </w:r>
      <w:r w:rsidR="00C77F3D" w:rsidRPr="00F84A53">
        <w:rPr>
          <w:rFonts w:asciiTheme="minorHAnsi" w:eastAsiaTheme="majorEastAsia" w:hAnsiTheme="minorHAnsi" w:cstheme="majorBidi"/>
          <w:bCs w:val="0"/>
          <w:snapToGrid/>
          <w:spacing w:val="5"/>
          <w:sz w:val="36"/>
          <w:szCs w:val="36"/>
          <w:lang w:eastAsia="en-AU"/>
        </w:rPr>
        <w:tab/>
        <w:t xml:space="preserve">BLINATUMOMAB, </w:t>
      </w:r>
    </w:p>
    <w:p w:rsidR="00A84E91" w:rsidRPr="00483EB6" w:rsidRDefault="00C77F3D" w:rsidP="00F84A53">
      <w:pPr>
        <w:spacing w:after="120"/>
        <w:ind w:left="720"/>
        <w:rPr>
          <w:b/>
          <w:sz w:val="36"/>
          <w:szCs w:val="36"/>
        </w:rPr>
      </w:pPr>
      <w:r w:rsidRPr="00483EB6">
        <w:rPr>
          <w:b/>
          <w:sz w:val="36"/>
          <w:szCs w:val="36"/>
        </w:rPr>
        <w:t xml:space="preserve">Powder for I.V. infusion 38.5 micrograms, </w:t>
      </w:r>
    </w:p>
    <w:p w:rsidR="00B60939" w:rsidRPr="00483EB6" w:rsidRDefault="00C77F3D" w:rsidP="00F84A53">
      <w:pPr>
        <w:spacing w:after="120"/>
        <w:ind w:left="720"/>
        <w:rPr>
          <w:b/>
          <w:sz w:val="36"/>
          <w:szCs w:val="36"/>
        </w:rPr>
      </w:pPr>
      <w:r w:rsidRPr="00483EB6">
        <w:rPr>
          <w:b/>
          <w:sz w:val="36"/>
          <w:szCs w:val="36"/>
        </w:rPr>
        <w:t>Blincyto®, Amgen</w:t>
      </w:r>
      <w:r w:rsidR="00B60939" w:rsidRPr="00483EB6">
        <w:rPr>
          <w:b/>
          <w:sz w:val="36"/>
          <w:szCs w:val="36"/>
        </w:rPr>
        <w:t>.</w:t>
      </w:r>
    </w:p>
    <w:p w:rsidR="00B60939" w:rsidRPr="00483EB6" w:rsidRDefault="00B50DB8" w:rsidP="00F84A53">
      <w:pPr>
        <w:pStyle w:val="PBACHeading1"/>
        <w:spacing w:before="120" w:after="120"/>
      </w:pPr>
      <w:bookmarkStart w:id="0" w:name="_Toc536013890"/>
      <w:r w:rsidRPr="00483EB6">
        <w:t>Purpose of Application</w:t>
      </w:r>
      <w:bookmarkEnd w:id="0"/>
    </w:p>
    <w:p w:rsidR="002C2775" w:rsidRPr="00483EB6" w:rsidRDefault="006450DE" w:rsidP="00F84A53">
      <w:pPr>
        <w:pStyle w:val="ListParagraph"/>
        <w:widowControl/>
        <w:numPr>
          <w:ilvl w:val="1"/>
          <w:numId w:val="3"/>
        </w:numPr>
        <w:spacing w:after="120"/>
      </w:pPr>
      <w:r w:rsidRPr="00483EB6">
        <w:t>The resubmission requested Section 100 Authority Required (Efficient Funding of Chemotherapy) listing for blinatumomab for the treatment of patients with B-cell precursor acute lymphoblastic leukaemia (B-ALL) in haematological complete remission with minimal residual disease</w:t>
      </w:r>
      <w:r w:rsidR="00007084" w:rsidRPr="00483EB6">
        <w:t xml:space="preserve"> (MRD)</w:t>
      </w:r>
      <w:r w:rsidRPr="00483EB6">
        <w:t xml:space="preserve"> following induction chemotherapy. The PBAC previously considered blinatumomab at the July 2018 meeting for this listing.</w:t>
      </w:r>
    </w:p>
    <w:p w:rsidR="00C2778B" w:rsidRPr="00483EB6" w:rsidRDefault="006450DE" w:rsidP="00F84A53">
      <w:pPr>
        <w:pStyle w:val="ListParagraph"/>
        <w:widowControl/>
        <w:numPr>
          <w:ilvl w:val="1"/>
          <w:numId w:val="3"/>
        </w:numPr>
        <w:spacing w:after="120"/>
      </w:pPr>
      <w:r w:rsidRPr="00483EB6">
        <w:t>Listing was requested on a cost-effectiveness basis compared to consolidation chemotherapy.</w:t>
      </w:r>
    </w:p>
    <w:p w:rsidR="008B1757" w:rsidRPr="00483EB6" w:rsidRDefault="006450DE" w:rsidP="00A273E2">
      <w:pPr>
        <w:keepNext/>
        <w:keepLines/>
        <w:rPr>
          <w:rStyle w:val="CommentReference"/>
        </w:rPr>
      </w:pPr>
      <w:r w:rsidRPr="00483EB6">
        <w:rPr>
          <w:rStyle w:val="CommentReference"/>
        </w:rPr>
        <w:t>Table 1</w:t>
      </w:r>
      <w:r w:rsidR="008B1757" w:rsidRPr="00483EB6">
        <w:rPr>
          <w:rStyle w:val="CommentReference"/>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8B1757" w:rsidRPr="00483EB6" w:rsidTr="00F84A53">
        <w:trPr>
          <w:cantSplit/>
          <w:tblHeader/>
        </w:trPr>
        <w:tc>
          <w:tcPr>
            <w:tcW w:w="1696" w:type="dxa"/>
            <w:shd w:val="clear" w:color="auto" w:fill="auto"/>
          </w:tcPr>
          <w:p w:rsidR="008B1757" w:rsidRPr="00483EB6" w:rsidRDefault="008B1757" w:rsidP="00A273E2">
            <w:pPr>
              <w:pStyle w:val="Tabletext"/>
              <w:keepNext/>
              <w:keepLines/>
              <w:rPr>
                <w:b/>
                <w:szCs w:val="20"/>
              </w:rPr>
            </w:pPr>
            <w:r w:rsidRPr="00483EB6">
              <w:rPr>
                <w:b/>
              </w:rPr>
              <w:t>Component</w:t>
            </w:r>
          </w:p>
        </w:tc>
        <w:tc>
          <w:tcPr>
            <w:tcW w:w="7484" w:type="dxa"/>
            <w:shd w:val="clear" w:color="auto" w:fill="auto"/>
          </w:tcPr>
          <w:p w:rsidR="008B1757" w:rsidRPr="00483EB6" w:rsidRDefault="008B1757" w:rsidP="00A273E2">
            <w:pPr>
              <w:pStyle w:val="Tabletext"/>
              <w:keepNext/>
              <w:keepLines/>
              <w:jc w:val="center"/>
              <w:rPr>
                <w:b/>
              </w:rPr>
            </w:pPr>
            <w:r w:rsidRPr="00483EB6">
              <w:rPr>
                <w:b/>
              </w:rPr>
              <w:t>Description</w:t>
            </w:r>
          </w:p>
        </w:tc>
      </w:tr>
      <w:tr w:rsidR="006450DE" w:rsidRPr="00483EB6" w:rsidTr="00F84A53">
        <w:trPr>
          <w:cantSplit/>
          <w:tblHeader/>
        </w:trPr>
        <w:tc>
          <w:tcPr>
            <w:tcW w:w="1696" w:type="dxa"/>
            <w:shd w:val="clear" w:color="auto" w:fill="auto"/>
          </w:tcPr>
          <w:p w:rsidR="006450DE" w:rsidRPr="00483EB6" w:rsidRDefault="006450DE" w:rsidP="00A273E2">
            <w:pPr>
              <w:pStyle w:val="Tabletext"/>
              <w:keepNext/>
              <w:keepLines/>
            </w:pPr>
            <w:r w:rsidRPr="00483EB6">
              <w:t>Population</w:t>
            </w:r>
          </w:p>
        </w:tc>
        <w:tc>
          <w:tcPr>
            <w:tcW w:w="7484" w:type="dxa"/>
            <w:shd w:val="clear" w:color="auto" w:fill="auto"/>
            <w:vAlign w:val="center"/>
          </w:tcPr>
          <w:p w:rsidR="006450DE" w:rsidRPr="00483EB6" w:rsidRDefault="006450DE" w:rsidP="00A273E2">
            <w:pPr>
              <w:pStyle w:val="Tabletext"/>
              <w:keepNext/>
              <w:keepLines/>
            </w:pPr>
            <w:r w:rsidRPr="00483EB6">
              <w:t xml:space="preserve">Patients with B-ALL in haematological complete remission with </w:t>
            </w:r>
            <w:r w:rsidRPr="00483EB6">
              <w:rPr>
                <w:color w:val="000000" w:themeColor="text1"/>
              </w:rPr>
              <w:t xml:space="preserve">minimal residual disease </w:t>
            </w:r>
            <w:r w:rsidRPr="00483EB6">
              <w:t>after receiving induction chemotherapy</w:t>
            </w:r>
          </w:p>
        </w:tc>
      </w:tr>
      <w:tr w:rsidR="006450DE" w:rsidRPr="00483EB6" w:rsidTr="00F84A53">
        <w:trPr>
          <w:cantSplit/>
          <w:tblHeader/>
        </w:trPr>
        <w:tc>
          <w:tcPr>
            <w:tcW w:w="1696" w:type="dxa"/>
            <w:shd w:val="clear" w:color="auto" w:fill="auto"/>
          </w:tcPr>
          <w:p w:rsidR="006450DE" w:rsidRPr="00483EB6" w:rsidRDefault="006450DE" w:rsidP="00A273E2">
            <w:pPr>
              <w:pStyle w:val="Tabletext"/>
              <w:keepNext/>
              <w:keepLines/>
            </w:pPr>
            <w:r w:rsidRPr="00483EB6">
              <w:t>Intervention</w:t>
            </w:r>
          </w:p>
        </w:tc>
        <w:tc>
          <w:tcPr>
            <w:tcW w:w="7484" w:type="dxa"/>
            <w:shd w:val="clear" w:color="auto" w:fill="auto"/>
            <w:vAlign w:val="center"/>
          </w:tcPr>
          <w:p w:rsidR="006450DE" w:rsidRPr="00483EB6" w:rsidRDefault="006450DE" w:rsidP="00A273E2">
            <w:pPr>
              <w:pStyle w:val="Tabletext"/>
              <w:keepNext/>
              <w:keepLines/>
            </w:pPr>
            <w:r w:rsidRPr="00483EB6">
              <w:rPr>
                <w:color w:val="000000" w:themeColor="text1"/>
              </w:rPr>
              <w:t xml:space="preserve">Blinatumomab continuous intravenous infusion 28 micrograms daily for 28 days </w:t>
            </w:r>
            <w:r w:rsidRPr="00483EB6">
              <w:t xml:space="preserve">delivered at a constant flow rate, </w:t>
            </w:r>
            <w:r w:rsidRPr="00483EB6">
              <w:rPr>
                <w:color w:val="000000" w:themeColor="text1"/>
              </w:rPr>
              <w:t xml:space="preserve">followed by 14 days treatment free (one treatment cycle). </w:t>
            </w:r>
          </w:p>
        </w:tc>
      </w:tr>
      <w:tr w:rsidR="006450DE" w:rsidRPr="00483EB6" w:rsidTr="00F84A53">
        <w:trPr>
          <w:cantSplit/>
          <w:tblHeader/>
        </w:trPr>
        <w:tc>
          <w:tcPr>
            <w:tcW w:w="1696" w:type="dxa"/>
            <w:shd w:val="clear" w:color="auto" w:fill="auto"/>
          </w:tcPr>
          <w:p w:rsidR="006450DE" w:rsidRPr="00483EB6" w:rsidRDefault="006450DE" w:rsidP="00A273E2">
            <w:pPr>
              <w:pStyle w:val="Tabletext"/>
              <w:keepNext/>
              <w:keepLines/>
            </w:pPr>
            <w:r w:rsidRPr="00483EB6">
              <w:t>Comparator</w:t>
            </w:r>
          </w:p>
        </w:tc>
        <w:tc>
          <w:tcPr>
            <w:tcW w:w="7484" w:type="dxa"/>
            <w:shd w:val="clear" w:color="auto" w:fill="auto"/>
          </w:tcPr>
          <w:p w:rsidR="006450DE" w:rsidRPr="00483EB6" w:rsidRDefault="006450DE" w:rsidP="00A273E2">
            <w:pPr>
              <w:pStyle w:val="Tabletext"/>
              <w:keepNext/>
              <w:keepLines/>
            </w:pPr>
            <w:r w:rsidRPr="00483EB6">
              <w:rPr>
                <w:color w:val="000000" w:themeColor="text1"/>
              </w:rPr>
              <w:t xml:space="preserve">Standard of care </w:t>
            </w:r>
            <w:r w:rsidR="00FB1D7E" w:rsidRPr="00483EB6">
              <w:rPr>
                <w:color w:val="000000" w:themeColor="text1"/>
              </w:rPr>
              <w:t xml:space="preserve">consolidation </w:t>
            </w:r>
            <w:r w:rsidRPr="00483EB6">
              <w:rPr>
                <w:color w:val="000000" w:themeColor="text1"/>
              </w:rPr>
              <w:t>chemotherapy – post-induction</w:t>
            </w:r>
          </w:p>
        </w:tc>
      </w:tr>
      <w:tr w:rsidR="006450DE" w:rsidRPr="00483EB6" w:rsidTr="00F84A53">
        <w:trPr>
          <w:cantSplit/>
          <w:tblHeader/>
        </w:trPr>
        <w:tc>
          <w:tcPr>
            <w:tcW w:w="1696" w:type="dxa"/>
            <w:shd w:val="clear" w:color="auto" w:fill="auto"/>
          </w:tcPr>
          <w:p w:rsidR="006450DE" w:rsidRPr="00483EB6" w:rsidRDefault="006450DE" w:rsidP="00A273E2">
            <w:pPr>
              <w:pStyle w:val="Tabletext"/>
              <w:keepNext/>
              <w:keepLines/>
            </w:pPr>
            <w:r w:rsidRPr="00483EB6">
              <w:t>Outcomes</w:t>
            </w:r>
          </w:p>
        </w:tc>
        <w:tc>
          <w:tcPr>
            <w:tcW w:w="7484" w:type="dxa"/>
            <w:shd w:val="clear" w:color="auto" w:fill="auto"/>
          </w:tcPr>
          <w:p w:rsidR="006450DE" w:rsidRPr="00483EB6" w:rsidRDefault="006450DE" w:rsidP="00A273E2">
            <w:pPr>
              <w:pStyle w:val="Tabletext"/>
              <w:keepNext/>
              <w:keepLines/>
            </w:pPr>
            <w:r w:rsidRPr="00483EB6">
              <w:rPr>
                <w:color w:val="000000" w:themeColor="text1"/>
              </w:rPr>
              <w:t>Relapse-free survival, overall survival and safety</w:t>
            </w:r>
          </w:p>
        </w:tc>
      </w:tr>
      <w:tr w:rsidR="006450DE" w:rsidRPr="00483EB6" w:rsidTr="00F84A53">
        <w:trPr>
          <w:cantSplit/>
          <w:tblHeader/>
        </w:trPr>
        <w:tc>
          <w:tcPr>
            <w:tcW w:w="1696" w:type="dxa"/>
            <w:shd w:val="clear" w:color="auto" w:fill="auto"/>
          </w:tcPr>
          <w:p w:rsidR="006450DE" w:rsidRPr="00483EB6" w:rsidRDefault="006450DE" w:rsidP="00A273E2">
            <w:pPr>
              <w:pStyle w:val="Tabletext"/>
              <w:keepNext/>
              <w:keepLines/>
            </w:pPr>
            <w:r w:rsidRPr="00483EB6">
              <w:t>Clinical claim</w:t>
            </w:r>
          </w:p>
        </w:tc>
        <w:tc>
          <w:tcPr>
            <w:tcW w:w="7484" w:type="dxa"/>
            <w:shd w:val="clear" w:color="auto" w:fill="auto"/>
          </w:tcPr>
          <w:p w:rsidR="006450DE" w:rsidRPr="00483EB6" w:rsidRDefault="006450DE" w:rsidP="00A273E2">
            <w:pPr>
              <w:pStyle w:val="Tabletext"/>
              <w:keepNext/>
              <w:keepLines/>
            </w:pPr>
            <w:r w:rsidRPr="00483EB6">
              <w:rPr>
                <w:color w:val="000000" w:themeColor="text1"/>
              </w:rPr>
              <w:t>Superior effectiveness (statistically significant improvement in relapse free survival and numerical improvement in overall survival) and non-inferior safety for patients treated with blinatumomab compared to patients treated with standard of care chemotherapy - post induction</w:t>
            </w:r>
          </w:p>
        </w:tc>
      </w:tr>
    </w:tbl>
    <w:p w:rsidR="006450DE" w:rsidRPr="00483EB6" w:rsidRDefault="006450DE" w:rsidP="00A273E2">
      <w:pPr>
        <w:pStyle w:val="TableFooter"/>
        <w:keepNext/>
        <w:keepLines/>
      </w:pPr>
      <w:r w:rsidRPr="00483EB6">
        <w:t>Source: Table 10, p.29 of the resubmission.</w:t>
      </w:r>
    </w:p>
    <w:p w:rsidR="008B1757" w:rsidRPr="00483EB6" w:rsidRDefault="006450DE" w:rsidP="00A273E2">
      <w:pPr>
        <w:pStyle w:val="TableFooter"/>
        <w:keepNext/>
        <w:keepLines/>
        <w:rPr>
          <w:sz w:val="20"/>
        </w:rPr>
      </w:pPr>
      <w:r w:rsidRPr="00483EB6">
        <w:t xml:space="preserve">Abbreviations: B-ALL, </w:t>
      </w:r>
      <w:r w:rsidRPr="00483EB6">
        <w:rPr>
          <w:rFonts w:cstheme="minorHAnsi"/>
          <w:color w:val="000000"/>
          <w:szCs w:val="18"/>
          <w:lang w:eastAsia="en-AU"/>
        </w:rPr>
        <w:t>B-cell precursor acute lymphoblastic leukaemia.</w:t>
      </w:r>
    </w:p>
    <w:p w:rsidR="00762949" w:rsidRPr="00483EB6" w:rsidRDefault="00B50DB8" w:rsidP="00F84A53">
      <w:pPr>
        <w:pStyle w:val="PBACHeading1"/>
        <w:spacing w:before="120" w:after="120"/>
      </w:pPr>
      <w:bookmarkStart w:id="1" w:name="_Toc536013891"/>
      <w:r w:rsidRPr="00483EB6">
        <w:t>Requested listing</w:t>
      </w:r>
      <w:bookmarkEnd w:id="1"/>
    </w:p>
    <w:p w:rsidR="00D07B12" w:rsidRPr="00483EB6" w:rsidRDefault="00D07B12" w:rsidP="00F84A53">
      <w:pPr>
        <w:pStyle w:val="ListParagraph"/>
        <w:widowControl/>
        <w:numPr>
          <w:ilvl w:val="1"/>
          <w:numId w:val="3"/>
        </w:numPr>
        <w:spacing w:before="120" w:after="120"/>
      </w:pPr>
      <w:r w:rsidRPr="00483EB6">
        <w:t xml:space="preserve">Blinatumomab was recommended for listing for relapsed/refractory </w:t>
      </w:r>
      <w:r w:rsidR="00161BFA" w:rsidRPr="00483EB6">
        <w:t xml:space="preserve">Philadelphia </w:t>
      </w:r>
      <w:r w:rsidR="00600BF2" w:rsidRPr="00483EB6">
        <w:t xml:space="preserve">chromosome </w:t>
      </w:r>
      <w:r w:rsidR="00161BFA" w:rsidRPr="00483EB6">
        <w:t>negative (</w:t>
      </w:r>
      <w:proofErr w:type="spellStart"/>
      <w:r w:rsidRPr="00483EB6">
        <w:t>Ph</w:t>
      </w:r>
      <w:proofErr w:type="spellEnd"/>
      <w:r w:rsidRPr="00483EB6">
        <w:t>-</w:t>
      </w:r>
      <w:r w:rsidR="00161BFA" w:rsidRPr="00483EB6">
        <w:t>)</w:t>
      </w:r>
      <w:r w:rsidRPr="00483EB6">
        <w:t xml:space="preserve"> B-ALL in July 2016</w:t>
      </w:r>
      <w:r w:rsidR="00DC103B" w:rsidRPr="00483EB6">
        <w:t xml:space="preserve"> and</w:t>
      </w:r>
      <w:r w:rsidR="00DB2E41" w:rsidRPr="00483EB6">
        <w:t xml:space="preserve"> November 2016 and was </w:t>
      </w:r>
      <w:r w:rsidRPr="00483EB6">
        <w:t>listed on the PBS in May 2017.</w:t>
      </w:r>
    </w:p>
    <w:p w:rsidR="00D07B12" w:rsidRPr="00483EB6" w:rsidRDefault="00D07B12" w:rsidP="00F84A53">
      <w:pPr>
        <w:pStyle w:val="ListParagraph"/>
        <w:widowControl/>
        <w:numPr>
          <w:ilvl w:val="1"/>
          <w:numId w:val="3"/>
        </w:numPr>
        <w:spacing w:before="120" w:after="120"/>
      </w:pPr>
      <w:r w:rsidRPr="00483EB6">
        <w:t xml:space="preserve">Blinatumomab was rejected for listing at the July 2018 meeting for patients with B-ALL in haematological complete remission with </w:t>
      </w:r>
      <w:r w:rsidR="00007084" w:rsidRPr="00483EB6">
        <w:t>MRD</w:t>
      </w:r>
      <w:r w:rsidRPr="00483EB6">
        <w:t xml:space="preserve"> following induction chemotherapy, on the basis of </w:t>
      </w:r>
      <w:r w:rsidRPr="00483EB6">
        <w:rPr>
          <w:rFonts w:asciiTheme="minorHAnsi" w:hAnsiTheme="minorHAnsi"/>
          <w:bCs/>
          <w:szCs w:val="24"/>
        </w:rPr>
        <w:t xml:space="preserve">the patient population in the Australian setting not being well defined, the difficulty in estimating the incremental benefit and comparative safety versus standard of care chemotherapy </w:t>
      </w:r>
      <w:r w:rsidR="003E69BC" w:rsidRPr="00483EB6">
        <w:rPr>
          <w:rFonts w:asciiTheme="minorHAnsi" w:hAnsiTheme="minorHAnsi"/>
          <w:bCs/>
          <w:szCs w:val="24"/>
        </w:rPr>
        <w:t xml:space="preserve">and a high and uncertain incremental cost-effectiveness ratio </w:t>
      </w:r>
      <w:r w:rsidRPr="00483EB6">
        <w:rPr>
          <w:rFonts w:asciiTheme="minorHAnsi" w:hAnsiTheme="minorHAnsi"/>
          <w:bCs/>
          <w:szCs w:val="24"/>
        </w:rPr>
        <w:t xml:space="preserve">(Blinatumomab </w:t>
      </w:r>
      <w:r w:rsidR="00007084" w:rsidRPr="00483EB6">
        <w:rPr>
          <w:rFonts w:asciiTheme="minorHAnsi" w:hAnsiTheme="minorHAnsi"/>
          <w:bCs/>
          <w:szCs w:val="24"/>
        </w:rPr>
        <w:t>Public Summary Document (</w:t>
      </w:r>
      <w:r w:rsidRPr="00483EB6">
        <w:rPr>
          <w:rFonts w:asciiTheme="minorHAnsi" w:hAnsiTheme="minorHAnsi"/>
          <w:bCs/>
          <w:szCs w:val="24"/>
        </w:rPr>
        <w:t>PSD</w:t>
      </w:r>
      <w:r w:rsidR="00007084" w:rsidRPr="00483EB6">
        <w:rPr>
          <w:rFonts w:asciiTheme="minorHAnsi" w:hAnsiTheme="minorHAnsi"/>
          <w:bCs/>
          <w:szCs w:val="24"/>
        </w:rPr>
        <w:t>)</w:t>
      </w:r>
      <w:r w:rsidRPr="00483EB6">
        <w:rPr>
          <w:rFonts w:asciiTheme="minorHAnsi" w:hAnsiTheme="minorHAnsi"/>
          <w:bCs/>
          <w:szCs w:val="24"/>
        </w:rPr>
        <w:t xml:space="preserve"> July 2018, para 7.1)</w:t>
      </w:r>
      <w:r w:rsidRPr="00483EB6">
        <w:t>.</w:t>
      </w:r>
    </w:p>
    <w:p w:rsidR="00405D1B" w:rsidRPr="00483EB6" w:rsidRDefault="008566C4" w:rsidP="00F84A53">
      <w:pPr>
        <w:pStyle w:val="ListParagraph"/>
        <w:widowControl/>
        <w:numPr>
          <w:ilvl w:val="1"/>
          <w:numId w:val="3"/>
        </w:numPr>
        <w:spacing w:before="120" w:after="120"/>
      </w:pPr>
      <w:r w:rsidRPr="00483EB6">
        <w:t>An abridged version of the requested restriction is outlined below. Suggestions and additions proposed by the Secretariat are added in italics and suggested deletions are crossed out with strikethrough</w:t>
      </w:r>
    </w:p>
    <w:tbl>
      <w:tblPr>
        <w:tblW w:w="9214" w:type="dxa"/>
        <w:tblInd w:w="108" w:type="dxa"/>
        <w:tblLayout w:type="fixed"/>
        <w:tblLook w:val="0000" w:firstRow="0" w:lastRow="0" w:firstColumn="0" w:lastColumn="0" w:noHBand="0" w:noVBand="0"/>
      </w:tblPr>
      <w:tblGrid>
        <w:gridCol w:w="2835"/>
        <w:gridCol w:w="284"/>
        <w:gridCol w:w="709"/>
        <w:gridCol w:w="708"/>
        <w:gridCol w:w="1843"/>
        <w:gridCol w:w="1276"/>
        <w:gridCol w:w="1559"/>
      </w:tblGrid>
      <w:tr w:rsidR="00405D1B" w:rsidRPr="00483EB6" w:rsidTr="00405D1B">
        <w:trPr>
          <w:trHeight w:val="471"/>
        </w:trPr>
        <w:tc>
          <w:tcPr>
            <w:tcW w:w="3119" w:type="dxa"/>
            <w:gridSpan w:val="2"/>
            <w:tcBorders>
              <w:bottom w:val="single" w:sz="4" w:space="0" w:color="auto"/>
            </w:tcBorders>
          </w:tcPr>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lastRenderedPageBreak/>
              <w:t>Name, Restriction,</w:t>
            </w: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Manner of administration and form</w:t>
            </w:r>
          </w:p>
        </w:tc>
        <w:tc>
          <w:tcPr>
            <w:tcW w:w="709" w:type="dxa"/>
            <w:tcBorders>
              <w:bottom w:val="single" w:sz="4" w:space="0" w:color="auto"/>
            </w:tcBorders>
          </w:tcPr>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Max.</w:t>
            </w:r>
          </w:p>
          <w:p w:rsidR="00405D1B" w:rsidRPr="00483EB6" w:rsidRDefault="00405D1B" w:rsidP="00405D1B">
            <w:pPr>
              <w:keepNext/>
              <w:ind w:left="-108"/>
              <w:rPr>
                <w:rFonts w:ascii="Arial Narrow" w:hAnsi="Arial Narrow"/>
                <w:sz w:val="20"/>
                <w:szCs w:val="20"/>
              </w:rPr>
            </w:pPr>
            <w:proofErr w:type="spellStart"/>
            <w:r w:rsidRPr="00483EB6">
              <w:rPr>
                <w:rFonts w:ascii="Arial Narrow" w:hAnsi="Arial Narrow"/>
                <w:sz w:val="20"/>
                <w:szCs w:val="20"/>
              </w:rPr>
              <w:t>Qty</w:t>
            </w:r>
            <w:proofErr w:type="spellEnd"/>
          </w:p>
        </w:tc>
        <w:tc>
          <w:tcPr>
            <w:tcW w:w="708" w:type="dxa"/>
            <w:tcBorders>
              <w:bottom w:val="single" w:sz="4" w:space="0" w:color="auto"/>
            </w:tcBorders>
          </w:tcPr>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№.of</w:t>
            </w:r>
          </w:p>
          <w:p w:rsidR="00405D1B" w:rsidRPr="00483EB6" w:rsidRDefault="00405D1B" w:rsidP="00405D1B">
            <w:pPr>
              <w:keepNext/>
              <w:ind w:left="-108"/>
              <w:rPr>
                <w:rFonts w:ascii="Arial Narrow" w:hAnsi="Arial Narrow"/>
                <w:sz w:val="20"/>
                <w:szCs w:val="20"/>
              </w:rPr>
            </w:pPr>
            <w:proofErr w:type="spellStart"/>
            <w:r w:rsidRPr="00483EB6">
              <w:rPr>
                <w:rFonts w:ascii="Arial Narrow" w:hAnsi="Arial Narrow"/>
                <w:sz w:val="20"/>
                <w:szCs w:val="20"/>
              </w:rPr>
              <w:t>Rpts</w:t>
            </w:r>
            <w:proofErr w:type="spellEnd"/>
          </w:p>
        </w:tc>
        <w:tc>
          <w:tcPr>
            <w:tcW w:w="1843" w:type="dxa"/>
            <w:tcBorders>
              <w:bottom w:val="single" w:sz="4" w:space="0" w:color="auto"/>
            </w:tcBorders>
          </w:tcPr>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 xml:space="preserve">Dispensed Price for Max. </w:t>
            </w:r>
            <w:proofErr w:type="spellStart"/>
            <w:r w:rsidRPr="00483EB6">
              <w:rPr>
                <w:rFonts w:ascii="Arial Narrow" w:hAnsi="Arial Narrow"/>
                <w:sz w:val="20"/>
                <w:szCs w:val="20"/>
              </w:rPr>
              <w:t>Qty</w:t>
            </w:r>
            <w:proofErr w:type="spellEnd"/>
          </w:p>
        </w:tc>
        <w:tc>
          <w:tcPr>
            <w:tcW w:w="2835" w:type="dxa"/>
            <w:gridSpan w:val="2"/>
            <w:tcBorders>
              <w:bottom w:val="single" w:sz="4" w:space="0" w:color="auto"/>
            </w:tcBorders>
          </w:tcPr>
          <w:p w:rsidR="00405D1B" w:rsidRPr="00483EB6" w:rsidRDefault="00405D1B" w:rsidP="00405D1B">
            <w:pPr>
              <w:keepNext/>
              <w:rPr>
                <w:rFonts w:ascii="Arial Narrow" w:hAnsi="Arial Narrow"/>
                <w:sz w:val="20"/>
                <w:szCs w:val="20"/>
              </w:rPr>
            </w:pPr>
            <w:r w:rsidRPr="00483EB6">
              <w:rPr>
                <w:rFonts w:ascii="Arial Narrow" w:hAnsi="Arial Narrow"/>
                <w:sz w:val="20"/>
                <w:szCs w:val="20"/>
              </w:rPr>
              <w:t>Proprietary Name and Manufacturer</w:t>
            </w:r>
          </w:p>
        </w:tc>
      </w:tr>
      <w:tr w:rsidR="00405D1B" w:rsidRPr="00483EB6" w:rsidTr="00405D1B">
        <w:trPr>
          <w:trHeight w:val="577"/>
        </w:trPr>
        <w:tc>
          <w:tcPr>
            <w:tcW w:w="3119" w:type="dxa"/>
            <w:gridSpan w:val="2"/>
          </w:tcPr>
          <w:p w:rsidR="00405D1B" w:rsidRPr="00483EB6" w:rsidRDefault="00405D1B" w:rsidP="00405D1B">
            <w:pPr>
              <w:keepNext/>
              <w:ind w:left="-108"/>
              <w:rPr>
                <w:rFonts w:ascii="Arial Narrow" w:hAnsi="Arial Narrow"/>
                <w:sz w:val="20"/>
                <w:szCs w:val="20"/>
              </w:rPr>
            </w:pPr>
            <w:r w:rsidRPr="00483EB6">
              <w:rPr>
                <w:rFonts w:ascii="Arial Narrow" w:hAnsi="Arial Narrow"/>
                <w:smallCaps/>
                <w:sz w:val="20"/>
                <w:szCs w:val="20"/>
              </w:rPr>
              <w:t xml:space="preserve">blinatumomab </w:t>
            </w: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38.5 µg, injection, 1 vial</w:t>
            </w: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r w:rsidRPr="00483EB6">
              <w:rPr>
                <w:rFonts w:ascii="Arial Narrow" w:hAnsi="Arial Narrow"/>
                <w:smallCaps/>
                <w:sz w:val="20"/>
                <w:szCs w:val="20"/>
              </w:rPr>
              <w:t>blinatumomab</w:t>
            </w: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38.5 µg, injection, 1 vial</w:t>
            </w:r>
          </w:p>
        </w:tc>
        <w:tc>
          <w:tcPr>
            <w:tcW w:w="709" w:type="dxa"/>
          </w:tcPr>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784 µg</w:t>
            </w: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784 µg</w:t>
            </w:r>
          </w:p>
        </w:tc>
        <w:tc>
          <w:tcPr>
            <w:tcW w:w="708" w:type="dxa"/>
          </w:tcPr>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i/>
                <w:sz w:val="20"/>
                <w:szCs w:val="20"/>
              </w:rPr>
            </w:pPr>
            <w:r w:rsidRPr="00483EB6">
              <w:rPr>
                <w:rFonts w:ascii="Arial Narrow" w:hAnsi="Arial Narrow"/>
                <w:strike/>
                <w:sz w:val="20"/>
                <w:szCs w:val="20"/>
              </w:rPr>
              <w:t>3</w:t>
            </w:r>
            <w:r w:rsidRPr="00483EB6">
              <w:rPr>
                <w:rFonts w:ascii="Arial Narrow" w:hAnsi="Arial Narrow"/>
                <w:i/>
                <w:sz w:val="20"/>
                <w:szCs w:val="20"/>
              </w:rPr>
              <w:t>1</w:t>
            </w: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i/>
                <w:sz w:val="20"/>
                <w:szCs w:val="20"/>
              </w:rPr>
            </w:pPr>
            <w:r w:rsidRPr="00483EB6">
              <w:rPr>
                <w:rFonts w:ascii="Arial Narrow" w:hAnsi="Arial Narrow"/>
                <w:strike/>
                <w:sz w:val="20"/>
                <w:szCs w:val="20"/>
              </w:rPr>
              <w:t>3</w:t>
            </w:r>
            <w:r w:rsidRPr="00483EB6">
              <w:rPr>
                <w:rFonts w:ascii="Arial Narrow" w:hAnsi="Arial Narrow"/>
                <w:i/>
                <w:sz w:val="20"/>
                <w:szCs w:val="20"/>
              </w:rPr>
              <w:t>1</w:t>
            </w:r>
          </w:p>
        </w:tc>
        <w:tc>
          <w:tcPr>
            <w:tcW w:w="1843" w:type="dxa"/>
          </w:tcPr>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$81,417.39 (public)</w:t>
            </w: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p>
          <w:p w:rsidR="00405D1B" w:rsidRPr="00483EB6" w:rsidRDefault="00405D1B" w:rsidP="00405D1B">
            <w:pPr>
              <w:keepNext/>
              <w:ind w:left="-108"/>
              <w:rPr>
                <w:rFonts w:ascii="Arial Narrow" w:hAnsi="Arial Narrow"/>
                <w:sz w:val="20"/>
                <w:szCs w:val="20"/>
              </w:rPr>
            </w:pPr>
            <w:r w:rsidRPr="00483EB6">
              <w:rPr>
                <w:rFonts w:ascii="Arial Narrow" w:hAnsi="Arial Narrow"/>
                <w:sz w:val="20"/>
                <w:szCs w:val="20"/>
              </w:rPr>
              <w:t>$82,594.79 (private)</w:t>
            </w:r>
          </w:p>
        </w:tc>
        <w:tc>
          <w:tcPr>
            <w:tcW w:w="1276" w:type="dxa"/>
          </w:tcPr>
          <w:p w:rsidR="00405D1B" w:rsidRPr="00483EB6" w:rsidRDefault="00405D1B" w:rsidP="00405D1B">
            <w:pPr>
              <w:keepNext/>
              <w:rPr>
                <w:rFonts w:ascii="Arial Narrow" w:hAnsi="Arial Narrow"/>
                <w:sz w:val="20"/>
                <w:szCs w:val="20"/>
              </w:rPr>
            </w:pPr>
          </w:p>
          <w:p w:rsidR="00405D1B" w:rsidRPr="00483EB6" w:rsidRDefault="00405D1B" w:rsidP="00405D1B">
            <w:pPr>
              <w:keepNext/>
              <w:rPr>
                <w:rFonts w:ascii="Arial Narrow" w:hAnsi="Arial Narrow"/>
                <w:sz w:val="20"/>
                <w:szCs w:val="20"/>
              </w:rPr>
            </w:pPr>
            <w:r w:rsidRPr="00483EB6">
              <w:rPr>
                <w:rFonts w:ascii="Arial Narrow" w:hAnsi="Arial Narrow"/>
                <w:sz w:val="20"/>
                <w:szCs w:val="20"/>
              </w:rPr>
              <w:t>Blincyto®</w:t>
            </w:r>
          </w:p>
          <w:p w:rsidR="00405D1B" w:rsidRPr="00483EB6" w:rsidRDefault="00405D1B" w:rsidP="00405D1B">
            <w:pPr>
              <w:keepNext/>
              <w:rPr>
                <w:rFonts w:ascii="Arial Narrow" w:hAnsi="Arial Narrow"/>
                <w:sz w:val="20"/>
                <w:szCs w:val="20"/>
              </w:rPr>
            </w:pPr>
          </w:p>
          <w:p w:rsidR="00405D1B" w:rsidRPr="00483EB6" w:rsidRDefault="00405D1B" w:rsidP="00405D1B">
            <w:pPr>
              <w:keepNext/>
              <w:rPr>
                <w:rFonts w:ascii="Arial Narrow" w:hAnsi="Arial Narrow"/>
                <w:sz w:val="20"/>
                <w:szCs w:val="20"/>
              </w:rPr>
            </w:pPr>
          </w:p>
          <w:p w:rsidR="00405D1B" w:rsidRPr="00483EB6" w:rsidRDefault="00405D1B" w:rsidP="00405D1B">
            <w:pPr>
              <w:keepNext/>
              <w:rPr>
                <w:rFonts w:ascii="Arial Narrow" w:hAnsi="Arial Narrow"/>
                <w:sz w:val="20"/>
                <w:szCs w:val="20"/>
              </w:rPr>
            </w:pPr>
            <w:r w:rsidRPr="00483EB6">
              <w:rPr>
                <w:rFonts w:ascii="Arial Narrow" w:hAnsi="Arial Narrow"/>
                <w:sz w:val="20"/>
                <w:szCs w:val="20"/>
              </w:rPr>
              <w:t>Blincyto®</w:t>
            </w:r>
          </w:p>
        </w:tc>
        <w:tc>
          <w:tcPr>
            <w:tcW w:w="1559" w:type="dxa"/>
          </w:tcPr>
          <w:p w:rsidR="00405D1B" w:rsidRPr="00483EB6" w:rsidRDefault="00405D1B" w:rsidP="00405D1B">
            <w:pPr>
              <w:keepNext/>
              <w:rPr>
                <w:rFonts w:ascii="Arial Narrow" w:hAnsi="Arial Narrow"/>
                <w:sz w:val="20"/>
                <w:szCs w:val="20"/>
              </w:rPr>
            </w:pPr>
            <w:r w:rsidRPr="00483EB6">
              <w:rPr>
                <w:rFonts w:ascii="Arial Narrow" w:hAnsi="Arial Narrow"/>
                <w:sz w:val="20"/>
                <w:szCs w:val="20"/>
              </w:rPr>
              <w:t>Amgen Australia Pty Ltd</w:t>
            </w:r>
          </w:p>
          <w:p w:rsidR="00405D1B" w:rsidRPr="00483EB6" w:rsidRDefault="00405D1B" w:rsidP="00405D1B">
            <w:pPr>
              <w:keepNext/>
              <w:rPr>
                <w:rFonts w:ascii="Arial Narrow" w:hAnsi="Arial Narrow"/>
                <w:sz w:val="20"/>
                <w:szCs w:val="20"/>
              </w:rPr>
            </w:pPr>
          </w:p>
          <w:p w:rsidR="00405D1B" w:rsidRPr="00483EB6" w:rsidRDefault="00405D1B" w:rsidP="00405D1B">
            <w:pPr>
              <w:keepNext/>
              <w:rPr>
                <w:rFonts w:ascii="Arial Narrow" w:hAnsi="Arial Narrow"/>
                <w:sz w:val="20"/>
                <w:szCs w:val="20"/>
              </w:rPr>
            </w:pPr>
            <w:r w:rsidRPr="00483EB6">
              <w:rPr>
                <w:rFonts w:ascii="Arial Narrow" w:hAnsi="Arial Narrow"/>
                <w:sz w:val="20"/>
                <w:szCs w:val="20"/>
              </w:rPr>
              <w:t>Amgen Australia Pty Ltd</w:t>
            </w:r>
          </w:p>
        </w:tc>
      </w:tr>
      <w:tr w:rsidR="00405D1B" w:rsidRPr="00483EB6" w:rsidTr="00405D1B">
        <w:trPr>
          <w:trHeight w:val="360"/>
        </w:trPr>
        <w:tc>
          <w:tcPr>
            <w:tcW w:w="9214" w:type="dxa"/>
            <w:gridSpan w:val="7"/>
            <w:tcBorders>
              <w:bottom w:val="single" w:sz="4" w:space="0" w:color="auto"/>
            </w:tcBorders>
          </w:tcPr>
          <w:p w:rsidR="00405D1B" w:rsidRPr="00483EB6" w:rsidRDefault="00405D1B" w:rsidP="00405D1B">
            <w:pPr>
              <w:rPr>
                <w:rFonts w:ascii="Arial Narrow" w:hAnsi="Arial Narrow"/>
                <w:sz w:val="20"/>
                <w:szCs w:val="20"/>
              </w:rPr>
            </w:pP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 xml:space="preserve">Category / </w:t>
            </w:r>
          </w:p>
          <w:p w:rsidR="00405D1B" w:rsidRPr="00483EB6" w:rsidRDefault="00405D1B" w:rsidP="00405D1B">
            <w:pPr>
              <w:rPr>
                <w:rFonts w:ascii="Arial Narrow" w:hAnsi="Arial Narrow"/>
                <w:b/>
                <w:sz w:val="20"/>
                <w:szCs w:val="20"/>
              </w:rPr>
            </w:pPr>
            <w:r w:rsidRPr="00483EB6">
              <w:rPr>
                <w:rFonts w:ascii="Arial Narrow" w:hAnsi="Arial Narrow"/>
                <w:b/>
                <w:sz w:val="20"/>
                <w:szCs w:val="20"/>
              </w:rPr>
              <w:t>Program</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Section 100 – Efficient funding of Chemotherapy (S100 EFC Public)</w:t>
            </w:r>
          </w:p>
          <w:p w:rsidR="00405D1B" w:rsidRPr="00483EB6" w:rsidRDefault="00405D1B" w:rsidP="00405D1B">
            <w:pPr>
              <w:rPr>
                <w:rFonts w:ascii="Arial Narrow" w:hAnsi="Arial Narrow"/>
                <w:sz w:val="20"/>
                <w:szCs w:val="20"/>
              </w:rPr>
            </w:pPr>
            <w:r w:rsidRPr="00483EB6">
              <w:rPr>
                <w:rFonts w:ascii="Arial Narrow" w:hAnsi="Arial Narrow"/>
                <w:sz w:val="20"/>
                <w:szCs w:val="20"/>
              </w:rPr>
              <w:t>Section 100 – Efficient funding of Chemotherapy (S100 EFC Private)</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8566C4">
            <w:pPr>
              <w:rPr>
                <w:rFonts w:ascii="Arial Narrow" w:hAnsi="Arial Narrow"/>
                <w:b/>
                <w:sz w:val="20"/>
                <w:szCs w:val="20"/>
              </w:rPr>
            </w:pPr>
            <w:r w:rsidRPr="00483EB6">
              <w:rPr>
                <w:rFonts w:ascii="Arial Narrow" w:hAnsi="Arial Narrow"/>
                <w:b/>
                <w:sz w:val="20"/>
                <w:szCs w:val="20"/>
              </w:rPr>
              <w:t>Prescriber type:</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8566C4">
            <w:pPr>
              <w:rPr>
                <w:rFonts w:ascii="Arial Narrow" w:hAnsi="Arial Narrow"/>
                <w:sz w:val="20"/>
                <w:szCs w:val="20"/>
              </w:rPr>
            </w:pPr>
            <w:r w:rsidRPr="00483EB6">
              <w:rPr>
                <w:rFonts w:ascii="Arial Narrow" w:hAnsi="Arial Narrow"/>
                <w:sz w:val="20"/>
                <w:szCs w:val="20"/>
              </w:rPr>
              <w:fldChar w:fldCharType="begin">
                <w:ffData>
                  <w:name w:val=""/>
                  <w:enabled/>
                  <w:calcOnExit w:val="0"/>
                  <w:checkBox>
                    <w:sizeAuto/>
                    <w:default w:val="1"/>
                  </w:checkBox>
                </w:ffData>
              </w:fldChar>
            </w:r>
            <w:r w:rsidRPr="00483EB6">
              <w:rPr>
                <w:rFonts w:ascii="Arial Narrow" w:hAnsi="Arial Narrow"/>
                <w:sz w:val="20"/>
                <w:szCs w:val="20"/>
              </w:rPr>
              <w:instrText xml:space="preserve"> FORMCHECKBOX </w:instrText>
            </w:r>
            <w:r w:rsidR="00904FDE">
              <w:rPr>
                <w:rFonts w:ascii="Arial Narrow" w:hAnsi="Arial Narrow"/>
                <w:sz w:val="20"/>
                <w:szCs w:val="20"/>
              </w:rPr>
            </w:r>
            <w:r w:rsidR="00904FDE">
              <w:rPr>
                <w:rFonts w:ascii="Arial Narrow" w:hAnsi="Arial Narrow"/>
                <w:sz w:val="20"/>
                <w:szCs w:val="20"/>
              </w:rPr>
              <w:fldChar w:fldCharType="separate"/>
            </w:r>
            <w:r w:rsidRPr="00483EB6">
              <w:rPr>
                <w:rFonts w:ascii="Arial Narrow" w:hAnsi="Arial Narrow"/>
                <w:sz w:val="20"/>
                <w:szCs w:val="20"/>
              </w:rPr>
              <w:fldChar w:fldCharType="end"/>
            </w:r>
            <w:r w:rsidRPr="00483EB6">
              <w:rPr>
                <w:rFonts w:ascii="Arial Narrow" w:hAnsi="Arial Narrow"/>
                <w:sz w:val="20"/>
                <w:szCs w:val="20"/>
              </w:rPr>
              <w:t xml:space="preserve">Medical Practitioners  </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Condition:</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Acute lymphoblastic leukaemia (ALL)</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PBS Indication:</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i/>
                <w:sz w:val="20"/>
                <w:szCs w:val="20"/>
              </w:rPr>
            </w:pPr>
            <w:bookmarkStart w:id="2" w:name="_Hlk507596473"/>
            <w:r w:rsidRPr="00483EB6">
              <w:rPr>
                <w:rFonts w:ascii="Arial Narrow" w:hAnsi="Arial Narrow"/>
                <w:sz w:val="20"/>
                <w:szCs w:val="20"/>
              </w:rPr>
              <w:t>Minimal residual disease (MRD) positive B-cell precursor acute lymphoblastic leukaemia (B-ALL) in patients with complete haematological remission</w:t>
            </w:r>
            <w:bookmarkEnd w:id="2"/>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Treatment phase:</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 xml:space="preserve">Initial </w:t>
            </w:r>
            <w:r w:rsidRPr="00483EB6">
              <w:rPr>
                <w:rFonts w:ascii="Arial Narrow" w:hAnsi="Arial Narrow"/>
                <w:i/>
                <w:sz w:val="20"/>
                <w:szCs w:val="20"/>
              </w:rPr>
              <w:t xml:space="preserve">treatment </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8566C4">
            <w:pPr>
              <w:rPr>
                <w:rFonts w:ascii="Arial Narrow" w:hAnsi="Arial Narrow"/>
                <w:i/>
                <w:sz w:val="20"/>
                <w:szCs w:val="20"/>
              </w:rPr>
            </w:pPr>
            <w:r w:rsidRPr="00483EB6">
              <w:rPr>
                <w:rFonts w:ascii="Arial Narrow" w:hAnsi="Arial Narrow"/>
                <w:b/>
                <w:sz w:val="20"/>
                <w:szCs w:val="20"/>
              </w:rPr>
              <w:t>Restriction Level / Method:</w:t>
            </w:r>
            <w:r w:rsidR="008566C4" w:rsidRPr="00483EB6">
              <w:rPr>
                <w:rFonts w:ascii="Arial Narrow" w:hAnsi="Arial Narrow"/>
                <w:i/>
                <w:sz w:val="20"/>
                <w:szCs w:val="20"/>
              </w:rPr>
              <w:t xml:space="preserve"> </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8566C4">
            <w:pPr>
              <w:rPr>
                <w:rFonts w:ascii="Arial Narrow" w:hAnsi="Arial Narrow"/>
                <w:sz w:val="20"/>
                <w:szCs w:val="20"/>
              </w:rPr>
            </w:pPr>
            <w:r w:rsidRPr="00483EB6">
              <w:rPr>
                <w:rFonts w:ascii="Arial Narrow" w:hAnsi="Arial Narrow"/>
                <w:sz w:val="20"/>
                <w:szCs w:val="20"/>
              </w:rPr>
              <w:fldChar w:fldCharType="begin">
                <w:ffData>
                  <w:name w:val=""/>
                  <w:enabled/>
                  <w:calcOnExit w:val="0"/>
                  <w:checkBox>
                    <w:sizeAuto/>
                    <w:default w:val="1"/>
                  </w:checkBox>
                </w:ffData>
              </w:fldChar>
            </w:r>
            <w:r w:rsidRPr="00483EB6">
              <w:rPr>
                <w:rFonts w:ascii="Arial Narrow" w:hAnsi="Arial Narrow"/>
                <w:sz w:val="20"/>
                <w:szCs w:val="20"/>
              </w:rPr>
              <w:instrText xml:space="preserve"> FORMCHECKBOX </w:instrText>
            </w:r>
            <w:r w:rsidR="00904FDE">
              <w:rPr>
                <w:rFonts w:ascii="Arial Narrow" w:hAnsi="Arial Narrow"/>
                <w:sz w:val="20"/>
                <w:szCs w:val="20"/>
              </w:rPr>
            </w:r>
            <w:r w:rsidR="00904FDE">
              <w:rPr>
                <w:rFonts w:ascii="Arial Narrow" w:hAnsi="Arial Narrow"/>
                <w:sz w:val="20"/>
                <w:szCs w:val="20"/>
              </w:rPr>
              <w:fldChar w:fldCharType="separate"/>
            </w:r>
            <w:r w:rsidRPr="00483EB6">
              <w:rPr>
                <w:rFonts w:ascii="Arial Narrow" w:hAnsi="Arial Narrow"/>
                <w:sz w:val="20"/>
                <w:szCs w:val="20"/>
              </w:rPr>
              <w:fldChar w:fldCharType="end"/>
            </w:r>
            <w:r w:rsidRPr="00483EB6">
              <w:rPr>
                <w:rFonts w:ascii="Arial Narrow" w:hAnsi="Arial Narrow"/>
                <w:sz w:val="20"/>
                <w:szCs w:val="20"/>
              </w:rPr>
              <w:t>Authority Required - In Writing</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Treatment criteria:</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Must be treated by a physician experienced in the treatment of haematological malignancies.</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szCs w:val="20"/>
              </w:rPr>
            </w:pPr>
            <w:r w:rsidRPr="00483EB6">
              <w:rPr>
                <w:rFonts w:ascii="Arial Narrow" w:hAnsi="Arial Narrow"/>
                <w:b/>
                <w:sz w:val="20"/>
                <w:szCs w:val="20"/>
              </w:rPr>
              <w:t>Clinical criteria:</w:t>
            </w:r>
          </w:p>
          <w:p w:rsidR="00405D1B" w:rsidRPr="00483EB6" w:rsidRDefault="00405D1B" w:rsidP="00405D1B">
            <w:pPr>
              <w:rPr>
                <w:rFonts w:ascii="Arial Narrow" w:hAnsi="Arial Narrow"/>
                <w:i/>
                <w:sz w:val="20"/>
                <w:szCs w:val="20"/>
              </w:rPr>
            </w:pPr>
          </w:p>
          <w:p w:rsidR="00405D1B" w:rsidRPr="00483EB6" w:rsidRDefault="00405D1B" w:rsidP="00405D1B">
            <w:pPr>
              <w:rPr>
                <w:rFonts w:ascii="Arial Narrow" w:hAnsi="Arial Narrow"/>
                <w:sz w:val="20"/>
                <w:szCs w:val="20"/>
              </w:rPr>
            </w:pP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The treatment must be the sole PBS-subsidised therapy for this condition,</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sz w:val="20"/>
                <w:szCs w:val="20"/>
              </w:rPr>
            </w:pPr>
            <w:r w:rsidRPr="00483EB6">
              <w:rPr>
                <w:rFonts w:ascii="Arial Narrow" w:hAnsi="Arial Narrow"/>
                <w:sz w:val="20"/>
                <w:szCs w:val="20"/>
              </w:rPr>
              <w:t>The condition must be B-cell precursor acute lymphoblastic leukaemia with an Eastern Cooperative Oncology Group (ECOG) performance status of less than 2</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sz w:val="20"/>
                <w:szCs w:val="20"/>
              </w:rPr>
            </w:pPr>
            <w:r w:rsidRPr="00483EB6">
              <w:rPr>
                <w:rFonts w:ascii="Arial Narrow" w:hAnsi="Arial Narrow"/>
                <w:sz w:val="20"/>
                <w:szCs w:val="20"/>
              </w:rPr>
              <w:t>The condition must not be present in the central nervous system or testis</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sz w:val="20"/>
                <w:szCs w:val="20"/>
              </w:rPr>
            </w:pPr>
            <w:r w:rsidRPr="00483EB6">
              <w:rPr>
                <w:rFonts w:ascii="Arial Narrow" w:hAnsi="Arial Narrow"/>
                <w:sz w:val="20"/>
                <w:szCs w:val="20"/>
              </w:rPr>
              <w:t>Patient must have received intensive combination chemotherapy for initial treatment of ALL or for subsequent salvage therapy</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i/>
                <w:sz w:val="20"/>
                <w:szCs w:val="20"/>
              </w:rPr>
            </w:pPr>
            <w:r w:rsidRPr="00483EB6">
              <w:rPr>
                <w:rFonts w:ascii="Arial Narrow" w:hAnsi="Arial Narrow"/>
                <w:strike/>
                <w:sz w:val="20"/>
                <w:szCs w:val="20"/>
              </w:rPr>
              <w:t xml:space="preserve">The condition must have less than 5% blasts in bone marrow </w:t>
            </w:r>
            <w:r w:rsidRPr="00483EB6">
              <w:rPr>
                <w:rFonts w:ascii="Arial Narrow" w:hAnsi="Arial Narrow"/>
                <w:i/>
                <w:sz w:val="20"/>
                <w:szCs w:val="20"/>
              </w:rPr>
              <w:t>Patient must have achieved a complete remission</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sz w:val="20"/>
                <w:szCs w:val="20"/>
              </w:rPr>
            </w:pPr>
            <w:r w:rsidRPr="00483EB6">
              <w:rPr>
                <w:rFonts w:ascii="Arial Narrow" w:hAnsi="Arial Narrow"/>
                <w:sz w:val="20"/>
                <w:szCs w:val="20"/>
              </w:rPr>
              <w:t>Patient must have minimal residual disease defined as at least 10</w:t>
            </w:r>
            <w:r w:rsidRPr="00483EB6">
              <w:rPr>
                <w:rFonts w:ascii="Arial Narrow" w:hAnsi="Arial Narrow"/>
                <w:sz w:val="20"/>
                <w:szCs w:val="20"/>
                <w:vertAlign w:val="superscript"/>
              </w:rPr>
              <w:t>-4</w:t>
            </w:r>
            <w:r w:rsidRPr="00483EB6">
              <w:rPr>
                <w:rFonts w:ascii="Arial Narrow" w:hAnsi="Arial Narrow"/>
                <w:sz w:val="20"/>
                <w:szCs w:val="20"/>
              </w:rPr>
              <w:t xml:space="preserve"> (0.01%) blasts based on measurement in bone marrow, documented after an interval of at least 2 weeks from last systemic chemotherapy</w:t>
            </w:r>
          </w:p>
          <w:p w:rsidR="00405D1B" w:rsidRPr="00483EB6" w:rsidRDefault="00405D1B" w:rsidP="00405D1B">
            <w:pPr>
              <w:rPr>
                <w:rFonts w:ascii="Arial Narrow" w:hAnsi="Arial Narrow"/>
                <w:sz w:val="20"/>
                <w:szCs w:val="20"/>
              </w:rPr>
            </w:pPr>
            <w:r w:rsidRPr="00483EB6">
              <w:rPr>
                <w:rFonts w:ascii="Arial Narrow" w:hAnsi="Arial Narrow"/>
                <w:sz w:val="20"/>
                <w:szCs w:val="20"/>
              </w:rPr>
              <w:t>AND</w:t>
            </w:r>
          </w:p>
          <w:p w:rsidR="00405D1B" w:rsidRPr="00483EB6" w:rsidRDefault="00405D1B" w:rsidP="00405D1B">
            <w:pPr>
              <w:rPr>
                <w:rFonts w:ascii="Arial Narrow" w:hAnsi="Arial Narrow"/>
                <w:i/>
                <w:sz w:val="20"/>
                <w:szCs w:val="20"/>
              </w:rPr>
            </w:pPr>
            <w:r w:rsidRPr="00483EB6">
              <w:rPr>
                <w:rFonts w:ascii="Arial Narrow" w:hAnsi="Arial Narrow"/>
                <w:i/>
                <w:sz w:val="20"/>
                <w:szCs w:val="20"/>
              </w:rPr>
              <w:t>Minimal residual disease must be measured using polymerase chain reaction or flow cytometry,</w:t>
            </w:r>
          </w:p>
          <w:p w:rsidR="00405D1B" w:rsidRPr="00483EB6" w:rsidRDefault="00405D1B" w:rsidP="00405D1B">
            <w:pPr>
              <w:rPr>
                <w:rFonts w:ascii="Arial Narrow" w:hAnsi="Arial Narrow"/>
                <w:i/>
                <w:sz w:val="20"/>
                <w:szCs w:val="20"/>
              </w:rPr>
            </w:pPr>
            <w:r w:rsidRPr="00483EB6">
              <w:rPr>
                <w:rFonts w:ascii="Arial Narrow" w:hAnsi="Arial Narrow"/>
                <w:i/>
                <w:sz w:val="20"/>
                <w:szCs w:val="20"/>
              </w:rPr>
              <w:t>AND</w:t>
            </w:r>
          </w:p>
          <w:p w:rsidR="00405D1B" w:rsidRPr="00483EB6" w:rsidRDefault="00405D1B" w:rsidP="00405D1B">
            <w:pPr>
              <w:rPr>
                <w:rFonts w:ascii="Arial Narrow" w:hAnsi="Arial Narrow"/>
                <w:sz w:val="20"/>
                <w:szCs w:val="20"/>
              </w:rPr>
            </w:pPr>
            <w:r w:rsidRPr="00483EB6">
              <w:rPr>
                <w:rFonts w:ascii="Arial Narrow" w:hAnsi="Arial Narrow"/>
                <w:sz w:val="20"/>
                <w:szCs w:val="20"/>
              </w:rPr>
              <w:t>The treatment must not be more than two treatment cycles under this restriction in a lifetime</w:t>
            </w:r>
          </w:p>
        </w:tc>
      </w:tr>
      <w:tr w:rsidR="00405D1B" w:rsidRPr="00483EB6" w:rsidTr="00405D1B">
        <w:trPr>
          <w:trHeight w:val="360"/>
        </w:trPr>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i/>
                <w:sz w:val="20"/>
                <w:szCs w:val="20"/>
              </w:rPr>
            </w:pPr>
            <w:r w:rsidRPr="00483EB6">
              <w:rPr>
                <w:rFonts w:ascii="Arial Narrow" w:hAnsi="Arial Narrow"/>
                <w:b/>
                <w:i/>
                <w:sz w:val="20"/>
                <w:szCs w:val="20"/>
              </w:rPr>
              <w:t>Caution</w:t>
            </w:r>
          </w:p>
        </w:tc>
        <w:tc>
          <w:tcPr>
            <w:tcW w:w="6379" w:type="dxa"/>
            <w:gridSpan w:val="6"/>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szCs w:val="20"/>
              </w:rPr>
            </w:pPr>
            <w:r w:rsidRPr="00483EB6">
              <w:rPr>
                <w:rFonts w:ascii="Arial Narrow" w:hAnsi="Arial Narrow"/>
                <w:sz w:val="20"/>
                <w:szCs w:val="20"/>
              </w:rPr>
              <w:t>Careful monitoring of patients is required due to risk of developing life-threatening Cytokine Release Syndrome, neurological toxicities and reactivation of John Cunningham virus (JC) viral infection.</w:t>
            </w:r>
          </w:p>
        </w:tc>
      </w:tr>
    </w:tbl>
    <w:p w:rsidR="00405D1B" w:rsidRPr="00483EB6" w:rsidRDefault="00405D1B" w:rsidP="00405D1B">
      <w:pPr>
        <w:rPr>
          <w:b/>
        </w:rPr>
      </w:pPr>
    </w:p>
    <w:tbl>
      <w:tblPr>
        <w:tblW w:w="9214" w:type="dxa"/>
        <w:tblInd w:w="108" w:type="dxa"/>
        <w:tblLayout w:type="fixed"/>
        <w:tblLook w:val="0000" w:firstRow="0" w:lastRow="0" w:firstColumn="0" w:lastColumn="0" w:noHBand="0" w:noVBand="0"/>
      </w:tblPr>
      <w:tblGrid>
        <w:gridCol w:w="2835"/>
        <w:gridCol w:w="6379"/>
      </w:tblGrid>
      <w:tr w:rsidR="00405D1B" w:rsidRPr="00483EB6" w:rsidTr="00405D1B">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rPr>
            </w:pPr>
            <w:r w:rsidRPr="00483EB6">
              <w:rPr>
                <w:rFonts w:ascii="Arial Narrow" w:hAnsi="Arial Narrow"/>
                <w:b/>
                <w:sz w:val="20"/>
              </w:rPr>
              <w:t>Treatment phase:</w:t>
            </w:r>
          </w:p>
        </w:tc>
        <w:tc>
          <w:tcPr>
            <w:tcW w:w="6379"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rPr>
            </w:pPr>
            <w:r w:rsidRPr="00483EB6">
              <w:rPr>
                <w:rFonts w:ascii="Arial Narrow" w:hAnsi="Arial Narrow"/>
                <w:sz w:val="20"/>
              </w:rPr>
              <w:t>Continuing treatment</w:t>
            </w:r>
          </w:p>
        </w:tc>
      </w:tr>
      <w:tr w:rsidR="00405D1B" w:rsidRPr="00483EB6" w:rsidTr="00405D1B">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rPr>
            </w:pPr>
            <w:r w:rsidRPr="00483EB6">
              <w:rPr>
                <w:rFonts w:ascii="Arial Narrow" w:hAnsi="Arial Narrow"/>
                <w:b/>
                <w:sz w:val="20"/>
              </w:rPr>
              <w:t>Restriction:</w:t>
            </w:r>
          </w:p>
        </w:tc>
        <w:tc>
          <w:tcPr>
            <w:tcW w:w="6379" w:type="dxa"/>
            <w:tcBorders>
              <w:top w:val="single" w:sz="4" w:space="0" w:color="auto"/>
              <w:left w:val="single" w:sz="4" w:space="0" w:color="auto"/>
              <w:bottom w:val="single" w:sz="4" w:space="0" w:color="auto"/>
              <w:right w:val="single" w:sz="4" w:space="0" w:color="auto"/>
            </w:tcBorders>
          </w:tcPr>
          <w:p w:rsidR="00405D1B" w:rsidRPr="00483EB6" w:rsidRDefault="00405D1B" w:rsidP="008566C4">
            <w:pPr>
              <w:rPr>
                <w:rFonts w:ascii="Arial Narrow" w:hAnsi="Arial Narrow"/>
                <w:sz w:val="20"/>
              </w:rPr>
            </w:pPr>
            <w:r w:rsidRPr="00483EB6">
              <w:rPr>
                <w:rFonts w:ascii="Arial Narrow" w:hAnsi="Arial Narrow"/>
                <w:sz w:val="20"/>
                <w:szCs w:val="20"/>
              </w:rPr>
              <w:fldChar w:fldCharType="begin">
                <w:ffData>
                  <w:name w:val="Check3"/>
                  <w:enabled/>
                  <w:calcOnExit w:val="0"/>
                  <w:checkBox>
                    <w:sizeAuto/>
                    <w:default w:val="1"/>
                  </w:checkBox>
                </w:ffData>
              </w:fldChar>
            </w:r>
            <w:bookmarkStart w:id="3" w:name="Check3"/>
            <w:r w:rsidRPr="00483EB6">
              <w:rPr>
                <w:rFonts w:ascii="Arial Narrow" w:hAnsi="Arial Narrow"/>
                <w:sz w:val="20"/>
                <w:szCs w:val="20"/>
              </w:rPr>
              <w:instrText xml:space="preserve"> FORMCHECKBOX </w:instrText>
            </w:r>
            <w:r w:rsidR="00904FDE">
              <w:rPr>
                <w:rFonts w:ascii="Arial Narrow" w:hAnsi="Arial Narrow"/>
                <w:sz w:val="20"/>
                <w:szCs w:val="20"/>
              </w:rPr>
            </w:r>
            <w:r w:rsidR="00904FDE">
              <w:rPr>
                <w:rFonts w:ascii="Arial Narrow" w:hAnsi="Arial Narrow"/>
                <w:sz w:val="20"/>
                <w:szCs w:val="20"/>
              </w:rPr>
              <w:fldChar w:fldCharType="separate"/>
            </w:r>
            <w:r w:rsidRPr="00483EB6">
              <w:rPr>
                <w:rFonts w:ascii="Arial Narrow" w:hAnsi="Arial Narrow"/>
                <w:sz w:val="20"/>
                <w:szCs w:val="20"/>
              </w:rPr>
              <w:fldChar w:fldCharType="end"/>
            </w:r>
            <w:bookmarkEnd w:id="3"/>
            <w:r w:rsidRPr="00483EB6">
              <w:rPr>
                <w:rFonts w:ascii="Arial Narrow" w:hAnsi="Arial Narrow"/>
                <w:sz w:val="20"/>
                <w:szCs w:val="20"/>
              </w:rPr>
              <w:t>Authority Required - Telephone</w:t>
            </w:r>
          </w:p>
        </w:tc>
      </w:tr>
      <w:tr w:rsidR="00405D1B" w:rsidRPr="00483EB6" w:rsidTr="00405D1B">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rPr>
            </w:pPr>
            <w:r w:rsidRPr="00483EB6">
              <w:rPr>
                <w:rFonts w:ascii="Arial Narrow" w:hAnsi="Arial Narrow"/>
                <w:b/>
                <w:sz w:val="20"/>
              </w:rPr>
              <w:t>Treatment criteria:</w:t>
            </w:r>
          </w:p>
        </w:tc>
        <w:tc>
          <w:tcPr>
            <w:tcW w:w="6379"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rPr>
            </w:pPr>
            <w:r w:rsidRPr="00483EB6">
              <w:rPr>
                <w:rFonts w:ascii="Arial Narrow" w:hAnsi="Arial Narrow"/>
                <w:sz w:val="20"/>
              </w:rPr>
              <w:t>Must be treated by a physician experienced in the treatment of haematological malignancies.</w:t>
            </w:r>
          </w:p>
        </w:tc>
      </w:tr>
      <w:tr w:rsidR="00405D1B" w:rsidRPr="00483EB6" w:rsidTr="00405D1B">
        <w:tc>
          <w:tcPr>
            <w:tcW w:w="2835"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b/>
                <w:sz w:val="20"/>
              </w:rPr>
            </w:pPr>
            <w:r w:rsidRPr="00483EB6">
              <w:rPr>
                <w:rFonts w:ascii="Arial Narrow" w:hAnsi="Arial Narrow"/>
                <w:b/>
                <w:sz w:val="20"/>
              </w:rPr>
              <w:t>Clinical criteria:</w:t>
            </w:r>
          </w:p>
          <w:p w:rsidR="00405D1B" w:rsidRPr="00483EB6" w:rsidRDefault="00405D1B" w:rsidP="00405D1B">
            <w:pPr>
              <w:rPr>
                <w:rFonts w:ascii="Arial Narrow" w:hAnsi="Arial Narrow"/>
                <w:b/>
                <w:sz w:val="20"/>
              </w:rPr>
            </w:pPr>
          </w:p>
        </w:tc>
        <w:tc>
          <w:tcPr>
            <w:tcW w:w="6379" w:type="dxa"/>
            <w:tcBorders>
              <w:top w:val="single" w:sz="4" w:space="0" w:color="auto"/>
              <w:left w:val="single" w:sz="4" w:space="0" w:color="auto"/>
              <w:bottom w:val="single" w:sz="4" w:space="0" w:color="auto"/>
              <w:right w:val="single" w:sz="4" w:space="0" w:color="auto"/>
            </w:tcBorders>
          </w:tcPr>
          <w:p w:rsidR="00405D1B" w:rsidRPr="00483EB6" w:rsidRDefault="00405D1B" w:rsidP="00405D1B">
            <w:pPr>
              <w:rPr>
                <w:rFonts w:ascii="Arial Narrow" w:hAnsi="Arial Narrow"/>
                <w:sz w:val="20"/>
              </w:rPr>
            </w:pPr>
            <w:r w:rsidRPr="00483EB6">
              <w:rPr>
                <w:rFonts w:ascii="Arial Narrow" w:hAnsi="Arial Narrow"/>
                <w:sz w:val="20"/>
              </w:rPr>
              <w:t>Patient must have previously received PBS-subsidised initial treatment with this drug for this condition,</w:t>
            </w:r>
          </w:p>
          <w:p w:rsidR="00405D1B" w:rsidRPr="00483EB6" w:rsidRDefault="00405D1B" w:rsidP="00405D1B">
            <w:pPr>
              <w:rPr>
                <w:rFonts w:ascii="Arial Narrow" w:hAnsi="Arial Narrow"/>
                <w:sz w:val="20"/>
              </w:rPr>
            </w:pPr>
            <w:r w:rsidRPr="00483EB6">
              <w:rPr>
                <w:rFonts w:ascii="Arial Narrow" w:hAnsi="Arial Narrow"/>
                <w:sz w:val="20"/>
              </w:rPr>
              <w:t>AND</w:t>
            </w:r>
          </w:p>
          <w:p w:rsidR="00405D1B" w:rsidRPr="00483EB6" w:rsidRDefault="00405D1B" w:rsidP="00405D1B">
            <w:pPr>
              <w:rPr>
                <w:rFonts w:ascii="Arial Narrow" w:hAnsi="Arial Narrow"/>
                <w:i/>
                <w:sz w:val="20"/>
              </w:rPr>
            </w:pPr>
            <w:r w:rsidRPr="00483EB6">
              <w:rPr>
                <w:rFonts w:ascii="Arial Narrow" w:hAnsi="Arial Narrow"/>
                <w:i/>
                <w:sz w:val="20"/>
              </w:rPr>
              <w:t>Patient must have achieved a complete remission,</w:t>
            </w:r>
          </w:p>
          <w:p w:rsidR="00405D1B" w:rsidRPr="00483EB6" w:rsidRDefault="00405D1B" w:rsidP="00405D1B">
            <w:pPr>
              <w:rPr>
                <w:rFonts w:ascii="Arial Narrow" w:hAnsi="Arial Narrow"/>
                <w:i/>
                <w:sz w:val="20"/>
              </w:rPr>
            </w:pPr>
            <w:r w:rsidRPr="00483EB6">
              <w:rPr>
                <w:rFonts w:ascii="Arial Narrow" w:hAnsi="Arial Narrow"/>
                <w:i/>
                <w:sz w:val="20"/>
              </w:rPr>
              <w:lastRenderedPageBreak/>
              <w:t>AND</w:t>
            </w:r>
          </w:p>
          <w:p w:rsidR="00405D1B" w:rsidRPr="00483EB6" w:rsidRDefault="00405D1B" w:rsidP="00405D1B">
            <w:pPr>
              <w:rPr>
                <w:rFonts w:ascii="Arial Narrow" w:hAnsi="Arial Narrow"/>
                <w:i/>
                <w:sz w:val="20"/>
              </w:rPr>
            </w:pPr>
            <w:r w:rsidRPr="00483EB6">
              <w:rPr>
                <w:rFonts w:ascii="Arial Narrow" w:hAnsi="Arial Narrow"/>
                <w:sz w:val="20"/>
              </w:rPr>
              <w:t>Patient must be MRD negative defined as either undetectable using the same assay as used to determine original eligibility or less than 10</w:t>
            </w:r>
            <w:r w:rsidRPr="00483EB6">
              <w:rPr>
                <w:rFonts w:ascii="Arial Narrow" w:hAnsi="Arial Narrow"/>
                <w:sz w:val="20"/>
                <w:vertAlign w:val="superscript"/>
              </w:rPr>
              <w:t>-4</w:t>
            </w:r>
            <w:r w:rsidRPr="00483EB6">
              <w:rPr>
                <w:rFonts w:ascii="Arial Narrow" w:hAnsi="Arial Narrow"/>
                <w:sz w:val="20"/>
              </w:rPr>
              <w:t xml:space="preserve"> (0.01%) blasts based on measurement in bone marrow, </w:t>
            </w:r>
          </w:p>
          <w:p w:rsidR="00405D1B" w:rsidRPr="00483EB6" w:rsidRDefault="00405D1B" w:rsidP="00405D1B">
            <w:pPr>
              <w:rPr>
                <w:rFonts w:ascii="Arial Narrow" w:hAnsi="Arial Narrow"/>
                <w:sz w:val="20"/>
              </w:rPr>
            </w:pPr>
            <w:r w:rsidRPr="00483EB6">
              <w:rPr>
                <w:rFonts w:ascii="Arial Narrow" w:hAnsi="Arial Narrow"/>
                <w:sz w:val="20"/>
              </w:rPr>
              <w:t>AND</w:t>
            </w:r>
          </w:p>
          <w:p w:rsidR="00405D1B" w:rsidRPr="00483EB6" w:rsidRDefault="00405D1B" w:rsidP="00405D1B">
            <w:pPr>
              <w:rPr>
                <w:rFonts w:ascii="Arial Narrow" w:hAnsi="Arial Narrow"/>
                <w:sz w:val="20"/>
              </w:rPr>
            </w:pPr>
            <w:r w:rsidRPr="00483EB6">
              <w:rPr>
                <w:rFonts w:ascii="Arial Narrow" w:hAnsi="Arial Narrow"/>
                <w:sz w:val="20"/>
              </w:rPr>
              <w:t>Patient must not develop disease progression while receiving PBS-subsidised treatment with this drug for this condition,</w:t>
            </w:r>
          </w:p>
          <w:p w:rsidR="00405D1B" w:rsidRPr="00483EB6" w:rsidRDefault="00405D1B" w:rsidP="00405D1B">
            <w:pPr>
              <w:rPr>
                <w:rFonts w:ascii="Arial Narrow" w:hAnsi="Arial Narrow"/>
                <w:sz w:val="20"/>
              </w:rPr>
            </w:pPr>
            <w:r w:rsidRPr="00483EB6">
              <w:rPr>
                <w:rFonts w:ascii="Arial Narrow" w:hAnsi="Arial Narrow"/>
                <w:sz w:val="20"/>
              </w:rPr>
              <w:t>AND</w:t>
            </w:r>
          </w:p>
          <w:p w:rsidR="00405D1B" w:rsidRPr="00483EB6" w:rsidRDefault="00405D1B" w:rsidP="00405D1B">
            <w:pPr>
              <w:rPr>
                <w:rFonts w:ascii="Arial Narrow" w:hAnsi="Arial Narrow"/>
                <w:sz w:val="20"/>
              </w:rPr>
            </w:pPr>
            <w:r w:rsidRPr="00483EB6">
              <w:rPr>
                <w:rFonts w:ascii="Arial Narrow" w:hAnsi="Arial Narrow"/>
                <w:sz w:val="20"/>
              </w:rPr>
              <w:t>The treatment must not be more than two treatment cycles under this restriction in a lifetime.</w:t>
            </w:r>
          </w:p>
        </w:tc>
      </w:tr>
    </w:tbl>
    <w:p w:rsidR="00591957" w:rsidRPr="00483EB6" w:rsidRDefault="00893D84" w:rsidP="00904FDE">
      <w:pPr>
        <w:pStyle w:val="ListParagraph"/>
        <w:widowControl/>
        <w:numPr>
          <w:ilvl w:val="1"/>
          <w:numId w:val="3"/>
        </w:numPr>
        <w:spacing w:before="120" w:after="120"/>
      </w:pPr>
      <w:r w:rsidRPr="00483EB6">
        <w:lastRenderedPageBreak/>
        <w:t xml:space="preserve">The resubmission proposed the same special pricing arrangement </w:t>
      </w:r>
      <w:r w:rsidR="00701A1C" w:rsidRPr="00483EB6">
        <w:t xml:space="preserve">as in the previous submission, </w:t>
      </w:r>
      <w:r w:rsidRPr="00483EB6">
        <w:t xml:space="preserve">consisting of a </w:t>
      </w:r>
      <w:proofErr w:type="gramStart"/>
      <w:r w:rsidR="00D176A1">
        <w:rPr>
          <w:noProof/>
          <w:color w:val="000000"/>
          <w:highlight w:val="black"/>
        </w:rPr>
        <w:t>''''''''''</w:t>
      </w:r>
      <w:r w:rsidRPr="00483EB6">
        <w:t>%</w:t>
      </w:r>
      <w:proofErr w:type="gramEnd"/>
      <w:r w:rsidRPr="00483EB6">
        <w:t xml:space="preserve"> rebate on the published AEMP per vial of $2,904.77. </w:t>
      </w:r>
      <w:r w:rsidR="001B1C41" w:rsidRPr="00483EB6">
        <w:t>The Pre-PBAC Response proposed increasing the rebate on the published AEMP</w:t>
      </w:r>
      <w:r w:rsidR="000B59B4" w:rsidRPr="00483EB6">
        <w:t xml:space="preserve"> per vial to </w:t>
      </w:r>
      <w:r w:rsidR="00D176A1">
        <w:rPr>
          <w:noProof/>
          <w:color w:val="000000"/>
          <w:highlight w:val="black"/>
        </w:rPr>
        <w:t>'''''</w:t>
      </w:r>
      <w:r w:rsidR="000B59B4" w:rsidRPr="00483EB6">
        <w:t xml:space="preserve">% for both the requested and </w:t>
      </w:r>
      <w:r w:rsidR="006326BC" w:rsidRPr="00483EB6">
        <w:t>existing</w:t>
      </w:r>
      <w:r w:rsidR="000B59B4" w:rsidRPr="00483EB6">
        <w:t xml:space="preserve"> blinatumomab listing for relapsed/refractory </w:t>
      </w:r>
      <w:proofErr w:type="spellStart"/>
      <w:r w:rsidR="000B59B4" w:rsidRPr="00483EB6">
        <w:t>Ph</w:t>
      </w:r>
      <w:proofErr w:type="spellEnd"/>
      <w:r w:rsidR="000B59B4" w:rsidRPr="00483EB6">
        <w:t>- B-ALL</w:t>
      </w:r>
      <w:r w:rsidR="006326BC" w:rsidRPr="00483EB6">
        <w:t xml:space="preserve"> provided repeat use of blinatumomab in the relapsed/refractory setting is permitted. </w:t>
      </w:r>
    </w:p>
    <w:p w:rsidR="00591957" w:rsidRPr="00483EB6" w:rsidRDefault="00C25F66" w:rsidP="00904FDE">
      <w:pPr>
        <w:pStyle w:val="ListParagraph"/>
        <w:widowControl/>
        <w:numPr>
          <w:ilvl w:val="1"/>
          <w:numId w:val="3"/>
        </w:numPr>
        <w:spacing w:before="120" w:after="120"/>
      </w:pPr>
      <w:r w:rsidRPr="00483EB6">
        <w:t>The requested restriction is narrower than the TGA indication as it includes specific clinical criteria, such as an ECOG performance status &lt;2, the condition must not be present in the CNS or testes, and the level of MRD detected must be ≥ 10</w:t>
      </w:r>
      <w:r w:rsidRPr="00483EB6">
        <w:rPr>
          <w:vertAlign w:val="superscript"/>
        </w:rPr>
        <w:t>-4</w:t>
      </w:r>
      <w:r w:rsidRPr="00483EB6">
        <w:t>.</w:t>
      </w:r>
    </w:p>
    <w:p w:rsidR="008D0DEB" w:rsidRPr="00483EB6" w:rsidRDefault="008D0DEB" w:rsidP="00904FDE">
      <w:pPr>
        <w:pStyle w:val="ListParagraph"/>
        <w:widowControl/>
        <w:numPr>
          <w:ilvl w:val="1"/>
          <w:numId w:val="3"/>
        </w:numPr>
        <w:spacing w:before="120" w:after="120"/>
      </w:pPr>
      <w:r w:rsidRPr="00483EB6">
        <w:t>The level of MRD required to be detected to meet the eligibility criteria of initial therapy remains unchanged (</w:t>
      </w:r>
      <w:r w:rsidRPr="00483EB6">
        <w:rPr>
          <w:rFonts w:cs="Calibri"/>
        </w:rPr>
        <w:t>≥</w:t>
      </w:r>
      <w:r w:rsidRPr="00483EB6">
        <w:t>10</w:t>
      </w:r>
      <w:r w:rsidRPr="00483EB6">
        <w:rPr>
          <w:vertAlign w:val="superscript"/>
        </w:rPr>
        <w:t>-4</w:t>
      </w:r>
      <w:r w:rsidRPr="00483EB6">
        <w:t xml:space="preserve"> blasts), and is </w:t>
      </w:r>
      <w:r w:rsidR="000B7701" w:rsidRPr="00483EB6">
        <w:t>consistent with the level of MRD previously recommended by the PBAC (</w:t>
      </w:r>
      <w:r w:rsidR="000B7701" w:rsidRPr="00483EB6">
        <w:rPr>
          <w:rFonts w:asciiTheme="minorHAnsi" w:hAnsiTheme="minorHAnsi"/>
          <w:bCs/>
          <w:szCs w:val="24"/>
        </w:rPr>
        <w:t>Blinatumomab PSD July 2018, para 7.3). Patients continuing therapy must be MRD negative (&lt;10</w:t>
      </w:r>
      <w:r w:rsidR="000B7701" w:rsidRPr="00483EB6">
        <w:rPr>
          <w:rFonts w:asciiTheme="minorHAnsi" w:hAnsiTheme="minorHAnsi"/>
          <w:bCs/>
          <w:szCs w:val="24"/>
          <w:vertAlign w:val="superscript"/>
        </w:rPr>
        <w:t>-4</w:t>
      </w:r>
      <w:r w:rsidR="000B7701" w:rsidRPr="00483EB6">
        <w:rPr>
          <w:rFonts w:asciiTheme="minorHAnsi" w:hAnsiTheme="minorHAnsi"/>
          <w:bCs/>
          <w:szCs w:val="24"/>
        </w:rPr>
        <w:t xml:space="preserve"> blasts) and must achieve this response within two treatment cycles, consistent with the criterion previously recommended by the PBAC (Blinatumomab PSD July 2018, para 2.3). The PBAC </w:t>
      </w:r>
      <w:r w:rsidR="0052706A" w:rsidRPr="00483EB6">
        <w:rPr>
          <w:rFonts w:asciiTheme="minorHAnsi" w:hAnsiTheme="minorHAnsi"/>
          <w:bCs/>
          <w:szCs w:val="24"/>
        </w:rPr>
        <w:t xml:space="preserve">previously </w:t>
      </w:r>
      <w:r w:rsidR="000B7701" w:rsidRPr="00483EB6">
        <w:rPr>
          <w:rFonts w:asciiTheme="minorHAnsi" w:hAnsiTheme="minorHAnsi"/>
          <w:bCs/>
          <w:szCs w:val="24"/>
        </w:rPr>
        <w:t xml:space="preserve">recommended that </w:t>
      </w:r>
      <w:r w:rsidR="0052706A" w:rsidRPr="00483EB6">
        <w:rPr>
          <w:rFonts w:asciiTheme="minorHAnsi" w:hAnsiTheme="minorHAnsi"/>
          <w:bCs/>
          <w:szCs w:val="24"/>
        </w:rPr>
        <w:t xml:space="preserve">the </w:t>
      </w:r>
      <w:r w:rsidR="000B7701" w:rsidRPr="00483EB6">
        <w:rPr>
          <w:rFonts w:asciiTheme="minorHAnsi" w:hAnsiTheme="minorHAnsi"/>
          <w:bCs/>
          <w:szCs w:val="24"/>
        </w:rPr>
        <w:t xml:space="preserve">MRD level </w:t>
      </w:r>
      <w:r w:rsidR="0052706A" w:rsidRPr="00483EB6">
        <w:rPr>
          <w:rFonts w:asciiTheme="minorHAnsi" w:hAnsiTheme="minorHAnsi"/>
          <w:bCs/>
          <w:szCs w:val="24"/>
        </w:rPr>
        <w:t xml:space="preserve">should </w:t>
      </w:r>
      <w:r w:rsidR="000B7701" w:rsidRPr="00483EB6">
        <w:rPr>
          <w:rFonts w:asciiTheme="minorHAnsi" w:hAnsiTheme="minorHAnsi"/>
          <w:bCs/>
          <w:szCs w:val="24"/>
        </w:rPr>
        <w:t>be measured using PCR or flow cytometry (Blinatumomab PSD July 2018, para 7.3), however,</w:t>
      </w:r>
      <w:r w:rsidR="000B7701" w:rsidRPr="00483EB6">
        <w:t xml:space="preserve"> t</w:t>
      </w:r>
      <w:r w:rsidRPr="00483EB6">
        <w:t xml:space="preserve">he methodology </w:t>
      </w:r>
      <w:r w:rsidR="005C02A3" w:rsidRPr="00483EB6">
        <w:t>and</w:t>
      </w:r>
      <w:r w:rsidRPr="00483EB6">
        <w:t xml:space="preserve"> timing of MRD </w:t>
      </w:r>
      <w:r w:rsidR="005C02A3" w:rsidRPr="00483EB6">
        <w:t>assessment</w:t>
      </w:r>
      <w:r w:rsidRPr="00483EB6">
        <w:t xml:space="preserve"> remain</w:t>
      </w:r>
      <w:r w:rsidR="0052706A" w:rsidRPr="00483EB6">
        <w:t>ed</w:t>
      </w:r>
      <w:r w:rsidRPr="00483EB6">
        <w:t xml:space="preserve"> undefined</w:t>
      </w:r>
      <w:r w:rsidR="009E2B30" w:rsidRPr="00483EB6">
        <w:t xml:space="preserve"> in the restriction</w:t>
      </w:r>
      <w:r w:rsidR="0052706A" w:rsidRPr="00483EB6">
        <w:t xml:space="preserve"> proposed in the resubmission</w:t>
      </w:r>
      <w:r w:rsidRPr="00483EB6">
        <w:t>.</w:t>
      </w:r>
      <w:r w:rsidR="0052706A" w:rsidRPr="00483EB6">
        <w:t xml:space="preserve"> The PBAC reiterated its previous consideration that the restriction should include a clinical criterion specifying that MRD must be measured using polymerase chain reaction or flow cytometry.</w:t>
      </w:r>
      <w:r w:rsidR="00AB69F5" w:rsidRPr="00483EB6">
        <w:t xml:space="preserve"> </w:t>
      </w:r>
    </w:p>
    <w:p w:rsidR="004E43B2" w:rsidRPr="00483EB6" w:rsidRDefault="005C02A3" w:rsidP="00904FDE">
      <w:pPr>
        <w:pStyle w:val="ListParagraph"/>
        <w:widowControl/>
        <w:numPr>
          <w:ilvl w:val="1"/>
          <w:numId w:val="3"/>
        </w:numPr>
        <w:spacing w:before="120" w:after="120"/>
      </w:pPr>
      <w:r w:rsidRPr="00483EB6">
        <w:t xml:space="preserve">The resubmission requested the PBAC reconsider allowing more than one treatment with blinatumomab per patient between </w:t>
      </w:r>
      <w:r w:rsidR="00391D1E" w:rsidRPr="00483EB6">
        <w:t xml:space="preserve">the </w:t>
      </w:r>
      <w:r w:rsidRPr="00483EB6">
        <w:t xml:space="preserve">requested MRD restriction and the </w:t>
      </w:r>
      <w:r w:rsidR="009968F7" w:rsidRPr="00483EB6">
        <w:t xml:space="preserve">existing </w:t>
      </w:r>
      <w:r w:rsidRPr="00483EB6">
        <w:t xml:space="preserve">blinatumomab relapsed/refractory listing, as the more restrictive approach may block patient access to blinatumomab when patient response to therapy suggests it may be the most effective clinical option in both settings. </w:t>
      </w:r>
      <w:r w:rsidR="00A051F2" w:rsidRPr="00483EB6">
        <w:t>However,</w:t>
      </w:r>
      <w:r w:rsidR="009968F7" w:rsidRPr="00483EB6">
        <w:t xml:space="preserve"> the commentary noted that</w:t>
      </w:r>
      <w:r w:rsidR="00A051F2" w:rsidRPr="00483EB6">
        <w:t xml:space="preserve"> </w:t>
      </w:r>
      <w:r w:rsidR="008046D9" w:rsidRPr="00483EB6">
        <w:t xml:space="preserve">limited </w:t>
      </w:r>
      <w:r w:rsidR="00A051F2" w:rsidRPr="00483EB6">
        <w:t xml:space="preserve">evidence </w:t>
      </w:r>
      <w:r w:rsidR="008046D9" w:rsidRPr="00483EB6">
        <w:t>is available</w:t>
      </w:r>
      <w:r w:rsidR="00A051F2" w:rsidRPr="00483EB6">
        <w:t xml:space="preserve"> about re</w:t>
      </w:r>
      <w:r w:rsidR="00234F43" w:rsidRPr="00483EB6">
        <w:t xml:space="preserve">peat </w:t>
      </w:r>
      <w:r w:rsidR="00A051F2" w:rsidRPr="00483EB6">
        <w:t>use of blinatumomab between the two settings</w:t>
      </w:r>
      <w:r w:rsidR="007E7C1F" w:rsidRPr="00483EB6">
        <w:t>.</w:t>
      </w:r>
      <w:r w:rsidR="00DD0BC7" w:rsidRPr="00483EB6">
        <w:t xml:space="preserve"> The ESC considered i</w:t>
      </w:r>
      <w:r w:rsidR="00CE004E" w:rsidRPr="00483EB6">
        <w:t>t may be clinically appropriate to allow re</w:t>
      </w:r>
      <w:r w:rsidR="00176EBE" w:rsidRPr="00483EB6">
        <w:t>peat</w:t>
      </w:r>
      <w:r w:rsidR="00530E85" w:rsidRPr="00483EB6">
        <w:t xml:space="preserve"> </w:t>
      </w:r>
      <w:r w:rsidR="00FC5AD0" w:rsidRPr="00483EB6">
        <w:t xml:space="preserve">use </w:t>
      </w:r>
      <w:r w:rsidR="00530E85" w:rsidRPr="00483EB6">
        <w:t>of</w:t>
      </w:r>
      <w:r w:rsidR="00CE004E" w:rsidRPr="00483EB6">
        <w:t xml:space="preserve"> blinatumomab in the relapsed/refractory setting </w:t>
      </w:r>
      <w:r w:rsidR="00530E85" w:rsidRPr="00483EB6">
        <w:t xml:space="preserve">for patients </w:t>
      </w:r>
      <w:r w:rsidR="003601F9" w:rsidRPr="00483EB6">
        <w:t>who</w:t>
      </w:r>
      <w:r w:rsidR="00530E85" w:rsidRPr="00483EB6">
        <w:t xml:space="preserve"> responded to treatment with blinatumomab in the MRD</w:t>
      </w:r>
      <w:r w:rsidR="00176EBE" w:rsidRPr="00483EB6">
        <w:t xml:space="preserve"> positive</w:t>
      </w:r>
      <w:r w:rsidR="00530E85" w:rsidRPr="00483EB6">
        <w:t xml:space="preserve"> setting</w:t>
      </w:r>
      <w:r w:rsidR="00DE5867" w:rsidRPr="00483EB6">
        <w:t xml:space="preserve"> and remain</w:t>
      </w:r>
      <w:r w:rsidR="003601F9" w:rsidRPr="00483EB6">
        <w:t>ed</w:t>
      </w:r>
      <w:r w:rsidR="00DE5867" w:rsidRPr="00483EB6">
        <w:t xml:space="preserve"> </w:t>
      </w:r>
      <w:r w:rsidR="00EC65D5" w:rsidRPr="00483EB6">
        <w:t>relapse-free</w:t>
      </w:r>
      <w:r w:rsidR="003601F9" w:rsidRPr="00483EB6">
        <w:t xml:space="preserve"> for a clinically meaningful period of time</w:t>
      </w:r>
      <w:r w:rsidR="00D94BBF" w:rsidRPr="00483EB6">
        <w:t xml:space="preserve">. </w:t>
      </w:r>
    </w:p>
    <w:p w:rsidR="003E515A" w:rsidRPr="00483EB6" w:rsidRDefault="003E515A" w:rsidP="00904FDE">
      <w:pPr>
        <w:pStyle w:val="ListParagraph"/>
        <w:widowControl/>
        <w:numPr>
          <w:ilvl w:val="1"/>
          <w:numId w:val="3"/>
        </w:numPr>
        <w:spacing w:before="120" w:after="120"/>
      </w:pPr>
      <w:r w:rsidRPr="00483EB6">
        <w:t xml:space="preserve">The ESC noted the </w:t>
      </w:r>
      <w:r w:rsidR="0047050C" w:rsidRPr="00483EB6">
        <w:t>criteria</w:t>
      </w:r>
      <w:r w:rsidRPr="00483EB6">
        <w:t xml:space="preserve"> “the treatment must be the sole PBS-subsidised therapy for this condition” </w:t>
      </w:r>
      <w:r w:rsidR="00BA0A67" w:rsidRPr="00483EB6">
        <w:t xml:space="preserve">was proposed by the submission to </w:t>
      </w:r>
      <w:r w:rsidR="00640092" w:rsidRPr="00483EB6">
        <w:t xml:space="preserve">specifically exclude </w:t>
      </w:r>
      <w:r w:rsidR="00BA0A67" w:rsidRPr="00483EB6">
        <w:t>concomitant use of blinatumomab and tyrosine kinase inhibitors</w:t>
      </w:r>
      <w:r w:rsidR="00640092" w:rsidRPr="00483EB6">
        <w:t xml:space="preserve"> (TKIs). The </w:t>
      </w:r>
      <w:r w:rsidR="00A10199" w:rsidRPr="00483EB6">
        <w:t xml:space="preserve">ESC considered that </w:t>
      </w:r>
      <w:r w:rsidR="00A10199" w:rsidRPr="00483EB6">
        <w:lastRenderedPageBreak/>
        <w:t xml:space="preserve">concomitant use of blinatumomab and TKIs should not be excluded </w:t>
      </w:r>
      <w:r w:rsidR="008079C6" w:rsidRPr="00483EB6">
        <w:t xml:space="preserve">as treatment with TKIs are </w:t>
      </w:r>
      <w:r w:rsidR="00A10199" w:rsidRPr="00483EB6">
        <w:t xml:space="preserve">part of </w:t>
      </w:r>
      <w:r w:rsidR="008079C6" w:rsidRPr="00483EB6">
        <w:t xml:space="preserve">standard of care treatment for patients with </w:t>
      </w:r>
      <w:proofErr w:type="spellStart"/>
      <w:r w:rsidR="008079C6" w:rsidRPr="00483EB6">
        <w:t>Ph</w:t>
      </w:r>
      <w:proofErr w:type="spellEnd"/>
      <w:r w:rsidR="008079C6" w:rsidRPr="00483EB6">
        <w:t>+ B-ALL</w:t>
      </w:r>
      <w:r w:rsidR="0047050C" w:rsidRPr="00483EB6">
        <w:t>.</w:t>
      </w:r>
      <w:r w:rsidR="00F5660A" w:rsidRPr="00483EB6">
        <w:t xml:space="preserve"> The ESC noted that </w:t>
      </w:r>
      <w:r w:rsidR="003249A1" w:rsidRPr="00483EB6">
        <w:t>though there w</w:t>
      </w:r>
      <w:r w:rsidR="00A413FC" w:rsidRPr="00483EB6">
        <w:t>ere</w:t>
      </w:r>
      <w:r w:rsidR="003249A1" w:rsidRPr="00483EB6">
        <w:t xml:space="preserve"> limited data</w:t>
      </w:r>
      <w:r w:rsidR="00A96412" w:rsidRPr="00483EB6">
        <w:t xml:space="preserve"> for</w:t>
      </w:r>
      <w:r w:rsidR="00A413FC" w:rsidRPr="00483EB6">
        <w:t xml:space="preserve"> concomitant </w:t>
      </w:r>
      <w:r w:rsidR="00A96412" w:rsidRPr="00483EB6">
        <w:t>use in the MRD setting, clinical evidence in the relapsed/refractory setting</w:t>
      </w:r>
      <w:r w:rsidR="00C12D98" w:rsidRPr="00483EB6">
        <w:t xml:space="preserve"> (</w:t>
      </w:r>
      <w:proofErr w:type="spellStart"/>
      <w:r w:rsidR="00C12D98" w:rsidRPr="00483EB6">
        <w:t>Sokolov</w:t>
      </w:r>
      <w:proofErr w:type="spellEnd"/>
      <w:r w:rsidR="00C12D98" w:rsidRPr="00483EB6">
        <w:t xml:space="preserve"> et al., 2016; </w:t>
      </w:r>
      <w:proofErr w:type="spellStart"/>
      <w:r w:rsidR="00C12D98" w:rsidRPr="00483EB6">
        <w:t>Sokolov</w:t>
      </w:r>
      <w:proofErr w:type="spellEnd"/>
      <w:r w:rsidR="00C12D98" w:rsidRPr="00483EB6">
        <w:t xml:space="preserve"> et al., 2017; </w:t>
      </w:r>
      <w:proofErr w:type="spellStart"/>
      <w:r w:rsidR="00C12D98" w:rsidRPr="00483EB6">
        <w:t>Assi</w:t>
      </w:r>
      <w:proofErr w:type="spellEnd"/>
      <w:r w:rsidR="00C12D98" w:rsidRPr="00483EB6">
        <w:t xml:space="preserve"> et al., 2017)</w:t>
      </w:r>
      <w:r w:rsidR="00A96412" w:rsidRPr="00483EB6">
        <w:t xml:space="preserve"> indicates</w:t>
      </w:r>
      <w:r w:rsidR="00443D52" w:rsidRPr="00483EB6">
        <w:t xml:space="preserve"> that treatment with blinatumomab </w:t>
      </w:r>
      <w:r w:rsidR="00377CA7" w:rsidRPr="00483EB6">
        <w:t>in combination with</w:t>
      </w:r>
      <w:r w:rsidR="00443D52" w:rsidRPr="00483EB6">
        <w:t xml:space="preserve"> a TKI has</w:t>
      </w:r>
      <w:r w:rsidR="003249A1" w:rsidRPr="00483EB6">
        <w:t xml:space="preserve"> a tolerable safety profile and</w:t>
      </w:r>
      <w:r w:rsidR="00443D52" w:rsidRPr="00483EB6">
        <w:t xml:space="preserve"> is effective in patients with </w:t>
      </w:r>
      <w:proofErr w:type="spellStart"/>
      <w:r w:rsidR="00443D52" w:rsidRPr="00483EB6">
        <w:t>Ph</w:t>
      </w:r>
      <w:proofErr w:type="spellEnd"/>
      <w:r w:rsidR="00443D52" w:rsidRPr="00483EB6">
        <w:t xml:space="preserve">+ B-ALL. </w:t>
      </w:r>
    </w:p>
    <w:p w:rsidR="00DD311D" w:rsidRPr="00483EB6" w:rsidRDefault="00DD311D" w:rsidP="00904FDE">
      <w:pPr>
        <w:pStyle w:val="ListParagraph"/>
        <w:widowControl/>
        <w:numPr>
          <w:ilvl w:val="1"/>
          <w:numId w:val="3"/>
        </w:numPr>
        <w:spacing w:before="120" w:after="120"/>
      </w:pPr>
      <w:r w:rsidRPr="00483EB6">
        <w:t xml:space="preserve">The ESC considered that the initial treatment restriction should include the criteria ‘Minimal residual disease must be measured using polymerase chain reaction or flow cytometry’, consistent with the PBAC’s previous advice that the methodology should be explicitly stated in the PBS restriction. </w:t>
      </w:r>
    </w:p>
    <w:p w:rsidR="00EA055F" w:rsidRPr="00483EB6" w:rsidRDefault="007E7C1F" w:rsidP="00904FDE">
      <w:pPr>
        <w:pStyle w:val="ListParagraph"/>
        <w:widowControl/>
        <w:numPr>
          <w:ilvl w:val="1"/>
          <w:numId w:val="3"/>
        </w:numPr>
        <w:spacing w:before="120" w:after="120"/>
        <w:rPr>
          <w:rFonts w:asciiTheme="minorHAnsi" w:hAnsiTheme="minorHAnsi"/>
          <w:bCs/>
          <w:szCs w:val="24"/>
        </w:rPr>
      </w:pPr>
      <w:r w:rsidRPr="00483EB6">
        <w:t xml:space="preserve">The PBAC previously noted that access to MRD testing is not consistently available throughout Australia (Blinatumomab PSD July 2018, </w:t>
      </w:r>
      <w:r w:rsidR="00512CE3" w:rsidRPr="00483EB6">
        <w:t>p</w:t>
      </w:r>
      <w:r w:rsidRPr="00483EB6">
        <w:t xml:space="preserve">ara 2.13). The </w:t>
      </w:r>
      <w:r w:rsidR="008D1E1A" w:rsidRPr="00483EB6">
        <w:t xml:space="preserve">clinician survey conducted as part of the </w:t>
      </w:r>
      <w:r w:rsidRPr="00483EB6">
        <w:t xml:space="preserve">resubmission </w:t>
      </w:r>
      <w:r w:rsidR="008D1E1A" w:rsidRPr="00483EB6">
        <w:t xml:space="preserve">found that </w:t>
      </w:r>
      <w:r w:rsidRPr="00483EB6">
        <w:t xml:space="preserve">MRD testing </w:t>
      </w:r>
      <w:r w:rsidR="008D1E1A" w:rsidRPr="00483EB6">
        <w:t>is</w:t>
      </w:r>
      <w:r w:rsidRPr="00483EB6">
        <w:t xml:space="preserve"> being f</w:t>
      </w:r>
      <w:r w:rsidR="008D1E1A" w:rsidRPr="00483EB6">
        <w:t>unded</w:t>
      </w:r>
      <w:r w:rsidRPr="00483EB6">
        <w:t xml:space="preserve"> through a number of mechanisms including </w:t>
      </w:r>
      <w:r w:rsidR="008D1E1A" w:rsidRPr="00483EB6">
        <w:t>by hospitals, the MBS, clinical trials, research funding donations and patient payment. T</w:t>
      </w:r>
      <w:r w:rsidRPr="00483EB6">
        <w:t>he resubmission noted that MRD testing is not subsidised under the MBS and it was unclear which items physicians we</w:t>
      </w:r>
      <w:r w:rsidR="00EA055F" w:rsidRPr="00483EB6">
        <w:t xml:space="preserve">re using to claim MRD testing. </w:t>
      </w:r>
      <w:r w:rsidR="00EA055F" w:rsidRPr="00483EB6">
        <w:rPr>
          <w:rFonts w:asciiTheme="minorHAnsi" w:hAnsiTheme="minorHAnsi"/>
          <w:bCs/>
          <w:szCs w:val="24"/>
        </w:rPr>
        <w:t xml:space="preserve">While the PBAC noted that MRD testing is not MBS funded, it considered that it is routinely conducted in clinical practice. </w:t>
      </w:r>
    </w:p>
    <w:p w:rsidR="006859E9" w:rsidRPr="00483EB6" w:rsidRDefault="006859E9" w:rsidP="00904FDE">
      <w:pPr>
        <w:pStyle w:val="ListParagraph"/>
        <w:widowControl/>
        <w:spacing w:before="120" w:after="120"/>
      </w:pPr>
      <w:r w:rsidRPr="00483EB6">
        <w:rPr>
          <w:rFonts w:asciiTheme="minorHAnsi" w:hAnsiTheme="minorHAnsi"/>
          <w:i/>
        </w:rPr>
        <w:t>For more detail on PBAC’s view, see section 7 PBAC outcome.</w:t>
      </w:r>
    </w:p>
    <w:p w:rsidR="00B50DB8" w:rsidRPr="00483EB6" w:rsidRDefault="00B50DB8" w:rsidP="00904FDE">
      <w:pPr>
        <w:pStyle w:val="PBACHeading1"/>
        <w:spacing w:before="120" w:after="120"/>
      </w:pPr>
      <w:bookmarkStart w:id="4" w:name="_Toc536013892"/>
      <w:r w:rsidRPr="00483EB6">
        <w:t>Background</w:t>
      </w:r>
      <w:bookmarkEnd w:id="4"/>
    </w:p>
    <w:p w:rsidR="00B60939" w:rsidRPr="00904FDE" w:rsidRDefault="00591957" w:rsidP="00904FDE">
      <w:pPr>
        <w:pStyle w:val="Heading2"/>
        <w:spacing w:before="120" w:after="120"/>
      </w:pPr>
      <w:r w:rsidRPr="00904FDE">
        <w:t>Registration status</w:t>
      </w:r>
    </w:p>
    <w:p w:rsidR="0099249F" w:rsidRPr="00483EB6" w:rsidRDefault="0099249F" w:rsidP="00904FDE">
      <w:pPr>
        <w:pStyle w:val="ListParagraph"/>
        <w:widowControl/>
        <w:numPr>
          <w:ilvl w:val="1"/>
          <w:numId w:val="3"/>
        </w:numPr>
        <w:spacing w:before="120" w:after="120"/>
        <w:rPr>
          <w:szCs w:val="24"/>
        </w:rPr>
      </w:pPr>
      <w:r w:rsidRPr="00483EB6">
        <w:rPr>
          <w:szCs w:val="24"/>
        </w:rPr>
        <w:t>The approved TGA indications for blinatumomab are:</w:t>
      </w:r>
    </w:p>
    <w:p w:rsidR="0099249F" w:rsidRPr="00483EB6" w:rsidRDefault="00391D1E" w:rsidP="00904FDE">
      <w:pPr>
        <w:pStyle w:val="ListParagraph"/>
        <w:widowControl/>
        <w:spacing w:before="120" w:after="120"/>
        <w:ind w:left="851"/>
        <w:rPr>
          <w:szCs w:val="24"/>
        </w:rPr>
      </w:pPr>
      <w:r w:rsidRPr="00483EB6">
        <w:rPr>
          <w:szCs w:val="24"/>
        </w:rPr>
        <w:t>T</w:t>
      </w:r>
      <w:r w:rsidR="0099249F" w:rsidRPr="00483EB6">
        <w:rPr>
          <w:szCs w:val="24"/>
        </w:rPr>
        <w:t xml:space="preserve">he treatment of minimal residual disease (MRD) positive B-cell precursor acute lymphoblastic leukaemia (ALL) in patients in complete haematological remission; and </w:t>
      </w:r>
    </w:p>
    <w:p w:rsidR="0099249F" w:rsidRPr="00483EB6" w:rsidRDefault="00391D1E" w:rsidP="00904FDE">
      <w:pPr>
        <w:pStyle w:val="ListParagraph"/>
        <w:widowControl/>
        <w:spacing w:before="120" w:after="120"/>
        <w:ind w:left="851"/>
        <w:rPr>
          <w:szCs w:val="24"/>
        </w:rPr>
      </w:pPr>
      <w:r w:rsidRPr="00483EB6">
        <w:rPr>
          <w:szCs w:val="24"/>
        </w:rPr>
        <w:t>T</w:t>
      </w:r>
      <w:r w:rsidR="0099249F" w:rsidRPr="00483EB6">
        <w:rPr>
          <w:szCs w:val="24"/>
        </w:rPr>
        <w:t>he treatment of relapsed or refractory B-cell precursor acute lymphoblastic leukaemia</w:t>
      </w:r>
      <w:r w:rsidRPr="00483EB6">
        <w:rPr>
          <w:szCs w:val="24"/>
        </w:rPr>
        <w:t>.</w:t>
      </w:r>
    </w:p>
    <w:p w:rsidR="00B60939" w:rsidRPr="00483EB6" w:rsidRDefault="0099249F" w:rsidP="00904FDE">
      <w:pPr>
        <w:pStyle w:val="ListParagraph"/>
        <w:widowControl/>
        <w:spacing w:before="120" w:after="120"/>
        <w:ind w:left="851"/>
      </w:pPr>
      <w:r w:rsidRPr="00483EB6">
        <w:rPr>
          <w:szCs w:val="24"/>
        </w:rPr>
        <w:t>Note to indication: the indications in Philadelphia positive, MRD positive and paediatric patients were approved based on phase II, non-randomised evidence. An improvement in clinical outcomes by direct prospective comparison in a randomised setting relative to other standard-of-care salvage therapies has not been established</w:t>
      </w:r>
      <w:r w:rsidR="00483EB6">
        <w:rPr>
          <w:szCs w:val="24"/>
        </w:rPr>
        <w:t xml:space="preserve">. </w:t>
      </w:r>
    </w:p>
    <w:p w:rsidR="0099249F" w:rsidRPr="00483EB6" w:rsidRDefault="0099249F" w:rsidP="00904FDE">
      <w:pPr>
        <w:pStyle w:val="ListParagraph"/>
        <w:widowControl/>
        <w:numPr>
          <w:ilvl w:val="1"/>
          <w:numId w:val="3"/>
        </w:numPr>
        <w:spacing w:before="120" w:after="120"/>
        <w:rPr>
          <w:szCs w:val="24"/>
        </w:rPr>
      </w:pPr>
      <w:r w:rsidRPr="00483EB6">
        <w:t>Approval for the treatment of MRD positive disease in patients in complete haematological remission was granted on 7 May 2018, and at the same time, approval for the relapsed or refractory indication was extended to include Philadelphia chromosome positive patients.</w:t>
      </w:r>
    </w:p>
    <w:p w:rsidR="00B033E5" w:rsidRPr="00904FDE" w:rsidRDefault="00B033E5" w:rsidP="00904FDE">
      <w:pPr>
        <w:pStyle w:val="Heading2"/>
        <w:spacing w:before="120" w:after="120"/>
      </w:pPr>
      <w:r w:rsidRPr="00904FDE">
        <w:t>Previous PBAC consideration</w:t>
      </w:r>
    </w:p>
    <w:p w:rsidR="002C2775" w:rsidRPr="00483EB6" w:rsidRDefault="0099249F" w:rsidP="00904FDE">
      <w:pPr>
        <w:pStyle w:val="ListParagraph"/>
        <w:numPr>
          <w:ilvl w:val="1"/>
          <w:numId w:val="3"/>
        </w:numPr>
        <w:spacing w:before="120" w:after="120"/>
      </w:pPr>
      <w:r w:rsidRPr="00483EB6">
        <w:t xml:space="preserve">The outstanding matters of concerns from the previous </w:t>
      </w:r>
      <w:r w:rsidR="009C4B7A" w:rsidRPr="00483EB6">
        <w:t>July</w:t>
      </w:r>
      <w:r w:rsidRPr="00483EB6">
        <w:t xml:space="preserve"> </w:t>
      </w:r>
      <w:r w:rsidR="009C4B7A" w:rsidRPr="00483EB6">
        <w:t>2018</w:t>
      </w:r>
      <w:r w:rsidRPr="00483EB6">
        <w:t xml:space="preserve"> PBAC meeting are summarised in </w:t>
      </w:r>
      <w:r w:rsidR="009C4B7A" w:rsidRPr="00483EB6">
        <w:t>Table 2</w:t>
      </w:r>
      <w:r w:rsidRPr="00483EB6">
        <w:t xml:space="preserve"> below.</w:t>
      </w:r>
    </w:p>
    <w:p w:rsidR="00B60939" w:rsidRPr="00483EB6" w:rsidRDefault="0099249F" w:rsidP="00C7151A">
      <w:pPr>
        <w:keepNext/>
        <w:rPr>
          <w:rStyle w:val="CommentReference"/>
          <w:szCs w:val="20"/>
        </w:rPr>
      </w:pPr>
      <w:r w:rsidRPr="00483EB6">
        <w:rPr>
          <w:rStyle w:val="CommentReference"/>
          <w:szCs w:val="20"/>
        </w:rPr>
        <w:lastRenderedPageBreak/>
        <w:t>Table 2</w:t>
      </w:r>
      <w:r w:rsidR="00203181" w:rsidRPr="00483EB6">
        <w:rPr>
          <w:rStyle w:val="CommentReference"/>
          <w:szCs w:val="20"/>
        </w:rPr>
        <w:t xml:space="preserve">:  Summary of </w:t>
      </w:r>
      <w:r w:rsidR="00C5645D" w:rsidRPr="00483EB6">
        <w:rPr>
          <w:rStyle w:val="CommentReference"/>
          <w:szCs w:val="20"/>
        </w:rPr>
        <w:t xml:space="preserve">key </w:t>
      </w:r>
      <w:r w:rsidR="00203181" w:rsidRPr="00483EB6">
        <w:rPr>
          <w:rStyle w:val="CommentReference"/>
          <w:szCs w:val="20"/>
        </w:rPr>
        <w:t>outstanding matters of concern</w:t>
      </w:r>
      <w:r w:rsidR="009C4B7A" w:rsidRPr="00483EB6">
        <w:rPr>
          <w:rStyle w:val="CommentReference"/>
          <w:szCs w:val="20"/>
        </w:rPr>
        <w:t xml:space="preserve"> </w:t>
      </w:r>
      <w:r w:rsidR="009C4B7A" w:rsidRPr="00483EB6">
        <w:rPr>
          <w:rFonts w:ascii="Arial Narrow" w:hAnsi="Arial Narrow"/>
          <w:b/>
          <w:sz w:val="20"/>
          <w:szCs w:val="20"/>
        </w:rPr>
        <w:t>(Blinatumomab PSD July 2018)</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2:  Summary of key outstanding matters of concern (Blinatumomab PSD July 2018)"/>
      </w:tblPr>
      <w:tblGrid>
        <w:gridCol w:w="4674"/>
        <w:gridCol w:w="4343"/>
      </w:tblGrid>
      <w:tr w:rsidR="00391D1E" w:rsidRPr="00483EB6" w:rsidTr="00391D1E">
        <w:trPr>
          <w:tblHeader/>
        </w:trPr>
        <w:tc>
          <w:tcPr>
            <w:tcW w:w="4015" w:type="dxa"/>
            <w:vAlign w:val="center"/>
          </w:tcPr>
          <w:p w:rsidR="00391D1E" w:rsidRPr="00483EB6" w:rsidRDefault="00391D1E" w:rsidP="009C4B7A">
            <w:pPr>
              <w:pStyle w:val="Tabletext"/>
              <w:keepNext/>
              <w:jc w:val="center"/>
              <w:rPr>
                <w:b/>
              </w:rPr>
            </w:pPr>
            <w:r w:rsidRPr="00483EB6">
              <w:rPr>
                <w:b/>
              </w:rPr>
              <w:t>Matter of concern (July 2018 PSD</w:t>
            </w:r>
            <w:r w:rsidR="00852CEC" w:rsidRPr="00483EB6">
              <w:rPr>
                <w:b/>
              </w:rPr>
              <w:t xml:space="preserve"> [para]</w:t>
            </w:r>
            <w:r w:rsidRPr="00483EB6">
              <w:rPr>
                <w:b/>
              </w:rPr>
              <w:t>)</w:t>
            </w:r>
          </w:p>
        </w:tc>
        <w:tc>
          <w:tcPr>
            <w:tcW w:w="3731" w:type="dxa"/>
            <w:vAlign w:val="center"/>
          </w:tcPr>
          <w:p w:rsidR="00391D1E" w:rsidRPr="00483EB6" w:rsidRDefault="00391D1E" w:rsidP="00C7151A">
            <w:pPr>
              <w:pStyle w:val="Tabletext"/>
              <w:keepNext/>
              <w:jc w:val="center"/>
              <w:rPr>
                <w:b/>
              </w:rPr>
            </w:pPr>
            <w:r w:rsidRPr="00483EB6">
              <w:rPr>
                <w:b/>
              </w:rPr>
              <w:t>How the resubmission addresses it</w:t>
            </w:r>
          </w:p>
        </w:tc>
      </w:tr>
      <w:tr w:rsidR="00391D1E" w:rsidRPr="00483EB6" w:rsidTr="00391D1E">
        <w:tc>
          <w:tcPr>
            <w:tcW w:w="7746" w:type="dxa"/>
            <w:gridSpan w:val="2"/>
            <w:vAlign w:val="center"/>
          </w:tcPr>
          <w:p w:rsidR="00391D1E" w:rsidRPr="00483EB6" w:rsidRDefault="00391D1E" w:rsidP="00391D1E">
            <w:pPr>
              <w:pStyle w:val="Tabletext"/>
              <w:keepNext/>
              <w:rPr>
                <w:b/>
              </w:rPr>
            </w:pPr>
            <w:r w:rsidRPr="00483EB6">
              <w:rPr>
                <w:b/>
              </w:rPr>
              <w:t>Restriction</w:t>
            </w:r>
          </w:p>
        </w:tc>
      </w:tr>
      <w:tr w:rsidR="00391D1E" w:rsidRPr="00483EB6" w:rsidTr="00391D1E">
        <w:tc>
          <w:tcPr>
            <w:tcW w:w="4015" w:type="dxa"/>
          </w:tcPr>
          <w:p w:rsidR="00391D1E" w:rsidRPr="00483EB6" w:rsidRDefault="00391D1E" w:rsidP="0003268D">
            <w:pPr>
              <w:pStyle w:val="Tabletext"/>
            </w:pPr>
            <w:r w:rsidRPr="00483EB6">
              <w:rPr>
                <w:bCs/>
                <w:szCs w:val="24"/>
              </w:rPr>
              <w:t>[2.3] The PBAC considered that a continuing restriction (written) would limit PBS-subsidised use of blinatumomab to patients who have responded to the drug after two cycles.</w:t>
            </w:r>
          </w:p>
        </w:tc>
        <w:tc>
          <w:tcPr>
            <w:tcW w:w="3731" w:type="dxa"/>
          </w:tcPr>
          <w:p w:rsidR="00391D1E" w:rsidRPr="00483EB6" w:rsidRDefault="00391D1E" w:rsidP="0003268D">
            <w:pPr>
              <w:pStyle w:val="Tabletext"/>
            </w:pPr>
            <w:r w:rsidRPr="00483EB6">
              <w:t>The resubmission requested discrete initial and continuing restrictions</w:t>
            </w:r>
            <w:r w:rsidR="0003268D" w:rsidRPr="00483EB6">
              <w:t xml:space="preserve"> </w:t>
            </w:r>
            <w:r w:rsidRPr="00483EB6">
              <w:t>requiring demonstration of treatment response (&lt;10</w:t>
            </w:r>
            <w:r w:rsidRPr="00483EB6">
              <w:rPr>
                <w:vertAlign w:val="superscript"/>
              </w:rPr>
              <w:t>-4</w:t>
            </w:r>
            <w:r w:rsidRPr="00483EB6">
              <w:t xml:space="preserve"> blasts) to continue treatment.</w:t>
            </w:r>
          </w:p>
        </w:tc>
      </w:tr>
      <w:tr w:rsidR="00391D1E" w:rsidRPr="00483EB6" w:rsidTr="00391D1E">
        <w:tc>
          <w:tcPr>
            <w:tcW w:w="4015" w:type="dxa"/>
          </w:tcPr>
          <w:p w:rsidR="00391D1E" w:rsidRPr="00483EB6" w:rsidRDefault="00391D1E" w:rsidP="0003268D">
            <w:pPr>
              <w:pStyle w:val="Tabletext"/>
              <w:rPr>
                <w:bCs/>
                <w:szCs w:val="24"/>
              </w:rPr>
            </w:pPr>
            <w:r w:rsidRPr="00483EB6">
              <w:rPr>
                <w:bCs/>
                <w:szCs w:val="24"/>
              </w:rPr>
              <w:t>[2.5; 7.3] The PBAC considered that patients achieving multiple remission</w:t>
            </w:r>
            <w:r w:rsidR="0003268D" w:rsidRPr="00483EB6">
              <w:rPr>
                <w:bCs/>
                <w:szCs w:val="24"/>
              </w:rPr>
              <w:t>s</w:t>
            </w:r>
            <w:r w:rsidRPr="00483EB6">
              <w:rPr>
                <w:bCs/>
                <w:szCs w:val="24"/>
              </w:rPr>
              <w:t xml:space="preserve"> would be eligible for multiple courses of blinatumomab under the requested restriction, but no </w:t>
            </w:r>
            <w:r w:rsidRPr="00483EB6">
              <w:t xml:space="preserve">evidence for re-use of blinatumomab was presented. Blinatumomab should be limited to </w:t>
            </w:r>
            <w:proofErr w:type="gramStart"/>
            <w:r w:rsidRPr="00483EB6">
              <w:t>a</w:t>
            </w:r>
            <w:proofErr w:type="gramEnd"/>
            <w:r w:rsidRPr="00483EB6">
              <w:t xml:space="preserve"> once-in-a-lifetime treatment.</w:t>
            </w:r>
          </w:p>
        </w:tc>
        <w:tc>
          <w:tcPr>
            <w:tcW w:w="3731" w:type="dxa"/>
          </w:tcPr>
          <w:p w:rsidR="00391D1E" w:rsidRPr="00483EB6" w:rsidRDefault="009968F7" w:rsidP="009968F7">
            <w:pPr>
              <w:pStyle w:val="Tabletext"/>
            </w:pPr>
            <w:r w:rsidRPr="00483EB6">
              <w:t>The resubmission requested the PBAC reconsider allowing more than one treatment with blinatumomab per patient between the requested MRD restriction and the existing blinatumomab relapsed/refractory listing.</w:t>
            </w:r>
          </w:p>
        </w:tc>
      </w:tr>
      <w:tr w:rsidR="00391D1E" w:rsidRPr="00483EB6" w:rsidTr="00391D1E">
        <w:tc>
          <w:tcPr>
            <w:tcW w:w="4015" w:type="dxa"/>
          </w:tcPr>
          <w:p w:rsidR="00391D1E" w:rsidRPr="00483EB6" w:rsidRDefault="00391D1E" w:rsidP="0003268D">
            <w:pPr>
              <w:pStyle w:val="Tabletext"/>
              <w:rPr>
                <w:bCs/>
                <w:szCs w:val="24"/>
              </w:rPr>
            </w:pPr>
            <w:r w:rsidRPr="00483EB6">
              <w:rPr>
                <w:bCs/>
                <w:szCs w:val="24"/>
              </w:rPr>
              <w:t xml:space="preserve">[7.8] </w:t>
            </w:r>
            <w:r w:rsidR="0003268D" w:rsidRPr="00483EB6">
              <w:rPr>
                <w:bCs/>
                <w:szCs w:val="24"/>
              </w:rPr>
              <w:t xml:space="preserve">The </w:t>
            </w:r>
            <w:r w:rsidRPr="00483EB6">
              <w:rPr>
                <w:bCs/>
                <w:szCs w:val="24"/>
              </w:rPr>
              <w:t>PBAC considered that the level of MRD required for eligibility and the methodology of assessment should be explicitly stated in the PBS restriction.</w:t>
            </w:r>
          </w:p>
        </w:tc>
        <w:tc>
          <w:tcPr>
            <w:tcW w:w="3731" w:type="dxa"/>
          </w:tcPr>
          <w:p w:rsidR="00391D1E" w:rsidRPr="00483EB6" w:rsidRDefault="00391D1E" w:rsidP="004013BD">
            <w:pPr>
              <w:pStyle w:val="Tabletext"/>
            </w:pPr>
            <w:r w:rsidRPr="00483EB6">
              <w:t>The requ</w:t>
            </w:r>
            <w:r w:rsidR="004013BD" w:rsidRPr="00483EB6">
              <w:t>ested restriction includes the level</w:t>
            </w:r>
            <w:r w:rsidRPr="00483EB6">
              <w:rPr>
                <w:bCs/>
                <w:szCs w:val="24"/>
              </w:rPr>
              <w:t xml:space="preserve"> of MRD required for eligibility</w:t>
            </w:r>
            <w:r w:rsidR="000C2BA9" w:rsidRPr="00483EB6">
              <w:rPr>
                <w:bCs/>
                <w:szCs w:val="24"/>
              </w:rPr>
              <w:t xml:space="preserve"> (≥10</w:t>
            </w:r>
            <w:r w:rsidR="000C2BA9" w:rsidRPr="00483EB6">
              <w:rPr>
                <w:bCs/>
                <w:szCs w:val="24"/>
                <w:vertAlign w:val="superscript"/>
              </w:rPr>
              <w:t>-4</w:t>
            </w:r>
            <w:r w:rsidR="000C2BA9" w:rsidRPr="00483EB6">
              <w:rPr>
                <w:bCs/>
                <w:szCs w:val="24"/>
              </w:rPr>
              <w:t>)</w:t>
            </w:r>
            <w:r w:rsidRPr="00483EB6">
              <w:rPr>
                <w:bCs/>
                <w:szCs w:val="24"/>
              </w:rPr>
              <w:t xml:space="preserve">, but </w:t>
            </w:r>
            <w:r w:rsidR="000C2BA9" w:rsidRPr="00483EB6">
              <w:rPr>
                <w:bCs/>
                <w:szCs w:val="24"/>
              </w:rPr>
              <w:t xml:space="preserve">does not </w:t>
            </w:r>
            <w:r w:rsidR="0015661F" w:rsidRPr="00483EB6">
              <w:rPr>
                <w:bCs/>
                <w:szCs w:val="24"/>
              </w:rPr>
              <w:t>specify methodology</w:t>
            </w:r>
            <w:r w:rsidR="0003268D" w:rsidRPr="00483EB6">
              <w:rPr>
                <w:bCs/>
                <w:szCs w:val="24"/>
              </w:rPr>
              <w:t xml:space="preserve"> of </w:t>
            </w:r>
            <w:r w:rsidR="000C2BA9" w:rsidRPr="00483EB6">
              <w:rPr>
                <w:bCs/>
                <w:szCs w:val="24"/>
              </w:rPr>
              <w:t>MRD</w:t>
            </w:r>
            <w:r w:rsidR="0003268D" w:rsidRPr="00483EB6">
              <w:rPr>
                <w:bCs/>
                <w:szCs w:val="24"/>
              </w:rPr>
              <w:t xml:space="preserve"> testing</w:t>
            </w:r>
            <w:r w:rsidR="00483EB6">
              <w:rPr>
                <w:bCs/>
                <w:szCs w:val="24"/>
              </w:rPr>
              <w:t xml:space="preserve">. </w:t>
            </w:r>
          </w:p>
        </w:tc>
      </w:tr>
      <w:tr w:rsidR="00391D1E" w:rsidRPr="00483EB6" w:rsidTr="00391D1E">
        <w:tc>
          <w:tcPr>
            <w:tcW w:w="4015" w:type="dxa"/>
          </w:tcPr>
          <w:p w:rsidR="00391D1E" w:rsidRPr="00483EB6" w:rsidRDefault="00391D1E" w:rsidP="0003268D">
            <w:pPr>
              <w:pStyle w:val="Tabletext"/>
              <w:rPr>
                <w:bCs/>
                <w:szCs w:val="24"/>
              </w:rPr>
            </w:pPr>
            <w:r w:rsidRPr="00483EB6">
              <w:rPr>
                <w:bCs/>
                <w:szCs w:val="24"/>
              </w:rPr>
              <w:t xml:space="preserve">[2.4] The ESC noted </w:t>
            </w:r>
            <w:r w:rsidR="0003268D" w:rsidRPr="00483EB6">
              <w:t>that</w:t>
            </w:r>
            <w:r w:rsidRPr="00483EB6">
              <w:t xml:space="preserve"> data for paediatric, adolescent or Philadelphia chromosome positive patients was either absent or limited in the submission.</w:t>
            </w:r>
          </w:p>
        </w:tc>
        <w:tc>
          <w:tcPr>
            <w:tcW w:w="3731" w:type="dxa"/>
          </w:tcPr>
          <w:p w:rsidR="00391D1E" w:rsidRPr="00483EB6" w:rsidRDefault="00391D1E" w:rsidP="00391D1E">
            <w:pPr>
              <w:pStyle w:val="Tabletext"/>
            </w:pPr>
            <w:r w:rsidRPr="00483EB6">
              <w:t>Applicability of the available clinical evidence to the broader eligible population discussed, and supporting expert evidence presented.</w:t>
            </w:r>
          </w:p>
        </w:tc>
      </w:tr>
      <w:tr w:rsidR="00391D1E" w:rsidRPr="00483EB6" w:rsidTr="00391D1E">
        <w:tc>
          <w:tcPr>
            <w:tcW w:w="7746" w:type="dxa"/>
            <w:gridSpan w:val="2"/>
          </w:tcPr>
          <w:p w:rsidR="00391D1E" w:rsidRPr="00483EB6" w:rsidRDefault="00391D1E" w:rsidP="00391D1E">
            <w:pPr>
              <w:pStyle w:val="Tabletext"/>
              <w:jc w:val="both"/>
            </w:pPr>
            <w:r w:rsidRPr="00483EB6">
              <w:rPr>
                <w:b/>
              </w:rPr>
              <w:t>Clinical evidence</w:t>
            </w:r>
          </w:p>
        </w:tc>
      </w:tr>
      <w:tr w:rsidR="00391D1E" w:rsidRPr="00483EB6" w:rsidTr="00391D1E">
        <w:tc>
          <w:tcPr>
            <w:tcW w:w="4015" w:type="dxa"/>
          </w:tcPr>
          <w:p w:rsidR="00391D1E" w:rsidRPr="00483EB6" w:rsidRDefault="00391D1E" w:rsidP="00D542FD">
            <w:pPr>
              <w:pStyle w:val="Tabletext"/>
              <w:rPr>
                <w:bCs/>
                <w:szCs w:val="24"/>
              </w:rPr>
            </w:pPr>
            <w:r w:rsidRPr="00483EB6">
              <w:rPr>
                <w:bCs/>
                <w:szCs w:val="24"/>
              </w:rPr>
              <w:t>[6.47] The PBAC noted that the population included in the propensity scoring analysis was likely to be significantly different to the eligible population in terms of age, Philadelphia chromosome status, remission history, MRD level and HSCT use, and this may affect survival gains associated with blinatumomab.</w:t>
            </w:r>
          </w:p>
        </w:tc>
        <w:tc>
          <w:tcPr>
            <w:tcW w:w="3731" w:type="dxa"/>
          </w:tcPr>
          <w:p w:rsidR="00391D1E" w:rsidRPr="00483EB6" w:rsidRDefault="00391D1E" w:rsidP="00391D1E">
            <w:pPr>
              <w:pStyle w:val="Tabletext"/>
            </w:pPr>
            <w:r w:rsidRPr="00483EB6">
              <w:t>Applicability of the propensity score analysis to the eligible Australian population discussed in the resubmission.</w:t>
            </w:r>
          </w:p>
        </w:tc>
      </w:tr>
      <w:tr w:rsidR="00391D1E" w:rsidRPr="00483EB6" w:rsidTr="00391D1E">
        <w:tc>
          <w:tcPr>
            <w:tcW w:w="4015" w:type="dxa"/>
          </w:tcPr>
          <w:p w:rsidR="00391D1E" w:rsidRPr="00483EB6" w:rsidRDefault="00391D1E" w:rsidP="00852CEC">
            <w:pPr>
              <w:pStyle w:val="Tabletext"/>
              <w:rPr>
                <w:bCs/>
                <w:szCs w:val="24"/>
              </w:rPr>
            </w:pPr>
            <w:r w:rsidRPr="00483EB6">
              <w:rPr>
                <w:bCs/>
                <w:szCs w:val="24"/>
              </w:rPr>
              <w:t xml:space="preserve">[7.11] The PBAC noted </w:t>
            </w:r>
            <w:r w:rsidR="00D542FD" w:rsidRPr="00483EB6">
              <w:rPr>
                <w:bCs/>
                <w:szCs w:val="24"/>
              </w:rPr>
              <w:t xml:space="preserve">the </w:t>
            </w:r>
            <w:r w:rsidRPr="00483EB6">
              <w:rPr>
                <w:bCs/>
                <w:szCs w:val="24"/>
              </w:rPr>
              <w:t>lack of applicability of the standard of care chemotherapy arm to Australian clinical practice.</w:t>
            </w:r>
          </w:p>
        </w:tc>
        <w:tc>
          <w:tcPr>
            <w:tcW w:w="3731" w:type="dxa"/>
          </w:tcPr>
          <w:p w:rsidR="00391D1E" w:rsidRPr="00483EB6" w:rsidRDefault="00391D1E" w:rsidP="00852CEC">
            <w:pPr>
              <w:pStyle w:val="Tabletext"/>
            </w:pPr>
            <w:r w:rsidRPr="00483EB6">
              <w:t>Applicability of standard of care chemotherapy to Australian clinical practice discussed.</w:t>
            </w:r>
          </w:p>
        </w:tc>
      </w:tr>
      <w:tr w:rsidR="00391D1E" w:rsidRPr="00483EB6" w:rsidTr="00391D1E">
        <w:tc>
          <w:tcPr>
            <w:tcW w:w="4015" w:type="dxa"/>
          </w:tcPr>
          <w:p w:rsidR="00391D1E" w:rsidRPr="00483EB6" w:rsidRDefault="00391D1E" w:rsidP="00D542FD">
            <w:pPr>
              <w:pStyle w:val="Tabletext"/>
              <w:rPr>
                <w:bCs/>
                <w:szCs w:val="24"/>
              </w:rPr>
            </w:pPr>
            <w:r w:rsidRPr="00483EB6">
              <w:rPr>
                <w:bCs/>
                <w:szCs w:val="24"/>
              </w:rPr>
              <w:t xml:space="preserve">[7.11] The PBAC considered the ATE analysis was preferred to the ATT analysis given the ATT analysis had poorer matched covariates and a larger extent of data loss compared to the ATE analysis. </w:t>
            </w:r>
          </w:p>
        </w:tc>
        <w:tc>
          <w:tcPr>
            <w:tcW w:w="3731" w:type="dxa"/>
          </w:tcPr>
          <w:p w:rsidR="00391D1E" w:rsidRPr="00483EB6" w:rsidRDefault="00391D1E" w:rsidP="00852CEC">
            <w:pPr>
              <w:pStyle w:val="Tabletext"/>
            </w:pPr>
            <w:r w:rsidRPr="00483EB6">
              <w:t>The resubmission presented a summary of the propensity score ATE and ATT analyses, but the economic analysis was informed by the ATE analysis.</w:t>
            </w:r>
          </w:p>
        </w:tc>
      </w:tr>
      <w:tr w:rsidR="00391D1E" w:rsidRPr="00483EB6" w:rsidTr="00391D1E">
        <w:tc>
          <w:tcPr>
            <w:tcW w:w="4015" w:type="dxa"/>
          </w:tcPr>
          <w:p w:rsidR="00391D1E" w:rsidRPr="00483EB6" w:rsidRDefault="00391D1E" w:rsidP="00852CEC">
            <w:pPr>
              <w:pStyle w:val="Tabletext"/>
              <w:rPr>
                <w:bCs/>
                <w:szCs w:val="24"/>
              </w:rPr>
            </w:pPr>
            <w:r w:rsidRPr="00483EB6">
              <w:rPr>
                <w:bCs/>
                <w:szCs w:val="24"/>
              </w:rPr>
              <w:t>[7.12] The PBAC considered the magnitude of any improvement in overall survival could not be determined due to the immaturity of the BLAST study data, confounding by HSCT use, the limitations and lack of applicability of the propensity score analysis, and the lack of statistically significant overall survival gain in the ATE analysis.</w:t>
            </w:r>
          </w:p>
        </w:tc>
        <w:tc>
          <w:tcPr>
            <w:tcW w:w="3731" w:type="dxa"/>
          </w:tcPr>
          <w:p w:rsidR="00391D1E" w:rsidRPr="00483EB6" w:rsidRDefault="00391D1E" w:rsidP="000D4948">
            <w:pPr>
              <w:pStyle w:val="Tabletext"/>
            </w:pPr>
            <w:r w:rsidRPr="00483EB6">
              <w:t xml:space="preserve">No additional </w:t>
            </w:r>
            <w:r w:rsidR="000D4948" w:rsidRPr="00483EB6">
              <w:t xml:space="preserve">comparative </w:t>
            </w:r>
            <w:r w:rsidRPr="00483EB6">
              <w:t xml:space="preserve">evidence was presented in the resubmission. Results of a clinician survey and expert opinion from </w:t>
            </w:r>
            <w:r w:rsidR="000D6FCF" w:rsidRPr="00483EB6">
              <w:t xml:space="preserve">the </w:t>
            </w:r>
            <w:r w:rsidRPr="00483EB6">
              <w:t xml:space="preserve">sponsor advisory </w:t>
            </w:r>
            <w:r w:rsidR="000D6FCF" w:rsidRPr="00483EB6">
              <w:t xml:space="preserve">board </w:t>
            </w:r>
            <w:r w:rsidRPr="00483EB6">
              <w:t>were presented to support the clinical evidence.</w:t>
            </w:r>
          </w:p>
        </w:tc>
      </w:tr>
      <w:tr w:rsidR="00391D1E" w:rsidRPr="00483EB6" w:rsidTr="00391D1E">
        <w:tc>
          <w:tcPr>
            <w:tcW w:w="4015" w:type="dxa"/>
          </w:tcPr>
          <w:p w:rsidR="00391D1E" w:rsidRPr="00483EB6" w:rsidRDefault="00391D1E" w:rsidP="00EE0BDA">
            <w:pPr>
              <w:pStyle w:val="Tabletext"/>
              <w:rPr>
                <w:bCs/>
                <w:szCs w:val="24"/>
              </w:rPr>
            </w:pPr>
            <w:r w:rsidRPr="00483EB6">
              <w:rPr>
                <w:b/>
              </w:rPr>
              <w:t>Economic model</w:t>
            </w:r>
          </w:p>
        </w:tc>
        <w:tc>
          <w:tcPr>
            <w:tcW w:w="3731" w:type="dxa"/>
          </w:tcPr>
          <w:p w:rsidR="00391D1E" w:rsidRPr="00483EB6" w:rsidRDefault="00391D1E" w:rsidP="00EE0BDA">
            <w:pPr>
              <w:pStyle w:val="Tabletext"/>
            </w:pPr>
          </w:p>
        </w:tc>
      </w:tr>
      <w:tr w:rsidR="00391D1E" w:rsidRPr="00483EB6" w:rsidTr="00391D1E">
        <w:tc>
          <w:tcPr>
            <w:tcW w:w="4015" w:type="dxa"/>
          </w:tcPr>
          <w:p w:rsidR="00391D1E" w:rsidRPr="00483EB6" w:rsidRDefault="00391D1E" w:rsidP="00852CEC">
            <w:pPr>
              <w:pStyle w:val="Tabletext"/>
              <w:rPr>
                <w:bCs/>
                <w:szCs w:val="24"/>
              </w:rPr>
            </w:pPr>
            <w:r w:rsidRPr="00483EB6">
              <w:t xml:space="preserve">[6.60] The PBAC considered that the clinical evidence did not adequately support or reliably quantify an improvement in overall survival. The PBAC considered that the model was sensitive to the choice of analysis method, with the potentially less appropriate </w:t>
            </w:r>
            <w:r w:rsidR="00852CEC" w:rsidRPr="00483EB6">
              <w:t>ATT method</w:t>
            </w:r>
            <w:r w:rsidRPr="00483EB6">
              <w:t xml:space="preserve"> being used in the base case.</w:t>
            </w:r>
          </w:p>
        </w:tc>
        <w:tc>
          <w:tcPr>
            <w:tcW w:w="3731" w:type="dxa"/>
          </w:tcPr>
          <w:p w:rsidR="00391D1E" w:rsidRPr="00483EB6" w:rsidRDefault="00391D1E" w:rsidP="00852CEC">
            <w:pPr>
              <w:pStyle w:val="Tabletext"/>
            </w:pPr>
            <w:r w:rsidRPr="00483EB6">
              <w:t xml:space="preserve">The resubmission modelled survival benefit using the ATE-weighted propensity score analysis in the base case and included results based on the ATT-weighted analysis as a sensitivity analysis. </w:t>
            </w:r>
            <w:r w:rsidR="00B4008F" w:rsidRPr="00483EB6">
              <w:t>The base case assumes an overall survival advantage for blinatumomab over consolidation chemotherapy.</w:t>
            </w:r>
          </w:p>
        </w:tc>
      </w:tr>
      <w:tr w:rsidR="00391D1E" w:rsidRPr="00483EB6" w:rsidTr="00391D1E">
        <w:tc>
          <w:tcPr>
            <w:tcW w:w="4015" w:type="dxa"/>
          </w:tcPr>
          <w:p w:rsidR="00391D1E" w:rsidRPr="00483EB6" w:rsidRDefault="00391D1E" w:rsidP="00852CEC">
            <w:pPr>
              <w:pStyle w:val="Tabletext"/>
              <w:rPr>
                <w:bCs/>
                <w:szCs w:val="24"/>
              </w:rPr>
            </w:pPr>
            <w:r w:rsidRPr="00483EB6">
              <w:t>[6.60] The PBAC considered that the results of the modelled population (adult patients with B-ALL in first complete remission with MRD ≥ 10</w:t>
            </w:r>
            <w:r w:rsidRPr="00483EB6">
              <w:rPr>
                <w:vertAlign w:val="superscript"/>
              </w:rPr>
              <w:t>-3</w:t>
            </w:r>
            <w:r w:rsidRPr="00483EB6">
              <w:t>) may not be applicable to the broader proposed PBS population and the modelled circumstances of use may not be representative of Australian clinical practice.</w:t>
            </w:r>
          </w:p>
        </w:tc>
        <w:tc>
          <w:tcPr>
            <w:tcW w:w="3731" w:type="dxa"/>
          </w:tcPr>
          <w:p w:rsidR="00391D1E" w:rsidRPr="00483EB6" w:rsidRDefault="00391D1E" w:rsidP="00AD5F4F">
            <w:pPr>
              <w:pStyle w:val="Tabletext"/>
            </w:pPr>
            <w:r w:rsidRPr="00483EB6">
              <w:t>The modelled population remained unchanged in the resubmission. However, sensitivity analyses were included to test the impact of patients populations with MRD ≥10</w:t>
            </w:r>
            <w:r w:rsidRPr="00483EB6">
              <w:rPr>
                <w:vertAlign w:val="superscript"/>
              </w:rPr>
              <w:t>-4</w:t>
            </w:r>
            <w:r w:rsidRPr="00483EB6">
              <w:t xml:space="preserve"> and patients in their 2</w:t>
            </w:r>
            <w:r w:rsidRPr="00483EB6">
              <w:rPr>
                <w:vertAlign w:val="superscript"/>
              </w:rPr>
              <w:t>nd</w:t>
            </w:r>
            <w:r w:rsidRPr="00483EB6">
              <w:t xml:space="preserve"> or 3</w:t>
            </w:r>
            <w:r w:rsidRPr="00483EB6">
              <w:rPr>
                <w:vertAlign w:val="superscript"/>
              </w:rPr>
              <w:t>rd</w:t>
            </w:r>
            <w:r w:rsidRPr="00483EB6">
              <w:t xml:space="preserve"> complete remission (higher baseline risk)</w:t>
            </w:r>
            <w:r w:rsidR="00483EB6">
              <w:t xml:space="preserve">. </w:t>
            </w:r>
          </w:p>
        </w:tc>
      </w:tr>
      <w:tr w:rsidR="00391D1E" w:rsidRPr="00483EB6" w:rsidTr="00391D1E">
        <w:tc>
          <w:tcPr>
            <w:tcW w:w="4015" w:type="dxa"/>
          </w:tcPr>
          <w:p w:rsidR="00391D1E" w:rsidRPr="00483EB6" w:rsidRDefault="00391D1E" w:rsidP="007566B0">
            <w:pPr>
              <w:pStyle w:val="Tabletext"/>
              <w:rPr>
                <w:bCs/>
                <w:szCs w:val="24"/>
              </w:rPr>
            </w:pPr>
            <w:r w:rsidRPr="00483EB6">
              <w:lastRenderedPageBreak/>
              <w:t>[6.60] The PBAC considered that the modelled estimates may not be reliable given structural issues with the three-phase estimation of survival which required major adjustments to reconcile values as well as the lack of a time on treatment curve.</w:t>
            </w:r>
          </w:p>
        </w:tc>
        <w:tc>
          <w:tcPr>
            <w:tcW w:w="3731" w:type="dxa"/>
          </w:tcPr>
          <w:p w:rsidR="00391D1E" w:rsidRPr="00483EB6" w:rsidRDefault="007566B0" w:rsidP="00EE0BDA">
            <w:pPr>
              <w:pStyle w:val="TableText0"/>
              <w:keepNext w:val="0"/>
              <w:widowControl w:val="0"/>
              <w:spacing w:before="0" w:after="0"/>
            </w:pPr>
            <w:r w:rsidRPr="00483EB6">
              <w:t xml:space="preserve">The </w:t>
            </w:r>
            <w:r w:rsidR="00391D1E" w:rsidRPr="00483EB6">
              <w:t>resubmission</w:t>
            </w:r>
            <w:r w:rsidRPr="00483EB6">
              <w:t xml:space="preserve"> </w:t>
            </w:r>
            <w:r w:rsidR="00391D1E" w:rsidRPr="00483EB6">
              <w:t>estimated survival in the consolidation chemotherapy arm from Kaplan-Meier data for the ATE-weighted population of the historical control (0 to 4 years) with long term survival extrapolated using parametric survival functions (fitted to ATE-weighted survival data from 0-10 years from the historical control).</w:t>
            </w:r>
          </w:p>
          <w:p w:rsidR="00391D1E" w:rsidRPr="00483EB6" w:rsidRDefault="00391D1E" w:rsidP="007566B0">
            <w:pPr>
              <w:pStyle w:val="Tabletext"/>
            </w:pPr>
            <w:r w:rsidRPr="00483EB6">
              <w:t>The current model does not include a time on treatment curve but has made a series of crude adjustments to cost estimates to minimise logical inconsistencies.</w:t>
            </w:r>
          </w:p>
        </w:tc>
      </w:tr>
      <w:tr w:rsidR="00391D1E" w:rsidRPr="00483EB6" w:rsidTr="00391D1E">
        <w:tc>
          <w:tcPr>
            <w:tcW w:w="4015" w:type="dxa"/>
          </w:tcPr>
          <w:p w:rsidR="00391D1E" w:rsidRPr="00483EB6" w:rsidRDefault="00391D1E" w:rsidP="007566B0">
            <w:pPr>
              <w:pStyle w:val="Tabletext"/>
              <w:rPr>
                <w:bCs/>
                <w:szCs w:val="24"/>
              </w:rPr>
            </w:pPr>
            <w:r w:rsidRPr="00483EB6">
              <w:t xml:space="preserve">[6.60] The PBAC considered </w:t>
            </w:r>
            <w:r w:rsidR="000D6FCF" w:rsidRPr="00483EB6">
              <w:t xml:space="preserve">that </w:t>
            </w:r>
            <w:r w:rsidRPr="00483EB6">
              <w:t xml:space="preserve">it was inappropriate to only include HSCT as a cost item and that HSCT should have been explicitly included as an event in the economic model. The PBAC acknowledged there may be limited data to inform assumptions relating to HSCTs, but considered inclusion </w:t>
            </w:r>
            <w:r w:rsidR="007566B0" w:rsidRPr="00483EB6">
              <w:t>was</w:t>
            </w:r>
            <w:r w:rsidRPr="00483EB6">
              <w:t xml:space="preserve"> appropriate given HSCT was a treatment effect modifier (blinatumomab was not associated with any improvement in overall survival in patients undergoing HSCT) and is a major clinical event with </w:t>
            </w:r>
            <w:r w:rsidR="007566B0" w:rsidRPr="00483EB6">
              <w:t>discrete</w:t>
            </w:r>
            <w:r w:rsidRPr="00483EB6">
              <w:t xml:space="preserve"> risks, benefits and costs.</w:t>
            </w:r>
          </w:p>
        </w:tc>
        <w:tc>
          <w:tcPr>
            <w:tcW w:w="3731" w:type="dxa"/>
          </w:tcPr>
          <w:p w:rsidR="00391D1E" w:rsidRPr="00483EB6" w:rsidRDefault="00391D1E" w:rsidP="007566B0">
            <w:pPr>
              <w:pStyle w:val="Tabletext"/>
            </w:pPr>
            <w:r w:rsidRPr="00483EB6">
              <w:t>The resubmission continued to exclude HSCT as an event in the model</w:t>
            </w:r>
            <w:r w:rsidR="007566B0" w:rsidRPr="00483EB6">
              <w:t xml:space="preserve">, and </w:t>
            </w:r>
            <w:r w:rsidRPr="00483EB6">
              <w:t xml:space="preserve">argued that including HSCT as an event would increase uncertainty given the limited data. </w:t>
            </w:r>
            <w:r w:rsidR="007566B0" w:rsidRPr="00483EB6">
              <w:t>The</w:t>
            </w:r>
            <w:r w:rsidRPr="00483EB6">
              <w:t xml:space="preserve"> resubmission </w:t>
            </w:r>
            <w:r w:rsidR="007566B0" w:rsidRPr="00483EB6">
              <w:t xml:space="preserve">presented </w:t>
            </w:r>
            <w:r w:rsidRPr="00483EB6">
              <w:t>sensitivity analyses exploring the relative contribution of blinatumomab and HSCT to survival estimates.</w:t>
            </w:r>
          </w:p>
        </w:tc>
      </w:tr>
      <w:tr w:rsidR="00391D1E" w:rsidRPr="00483EB6" w:rsidTr="00391D1E">
        <w:tc>
          <w:tcPr>
            <w:tcW w:w="4015" w:type="dxa"/>
          </w:tcPr>
          <w:p w:rsidR="00391D1E" w:rsidRPr="00483EB6" w:rsidRDefault="00391D1E" w:rsidP="0086513A">
            <w:pPr>
              <w:pStyle w:val="Tabletext"/>
              <w:rPr>
                <w:bCs/>
                <w:szCs w:val="24"/>
              </w:rPr>
            </w:pPr>
            <w:r w:rsidRPr="00483EB6">
              <w:t>[6.60] The PBAC considered the treatment, downstream management, salvage therapy and health state costs may not be reliable given substantial uncertainties with the sources and calculations of all costs.</w:t>
            </w:r>
          </w:p>
        </w:tc>
        <w:tc>
          <w:tcPr>
            <w:tcW w:w="3731" w:type="dxa"/>
          </w:tcPr>
          <w:p w:rsidR="00391D1E" w:rsidRPr="00483EB6" w:rsidRDefault="00391D1E" w:rsidP="0086513A">
            <w:pPr>
              <w:pStyle w:val="Tabletext"/>
            </w:pPr>
            <w:r w:rsidRPr="00483EB6">
              <w:t>The resubmission made the following revisions: consolidation chemotherapy based on a modified hyper-CVAD protocol; inclusion of a relative dose intensity factor to reflect treatment discontinuation in consolidation chemotherapy; inclusion of pre-medication and concomitant intrathecal prophylaxis costs for blinatumomab; updated health state (non-drug) costs using healthcare resource utilisation estimates from a sponsor-commissioned Australian physician survey.</w:t>
            </w:r>
          </w:p>
        </w:tc>
      </w:tr>
      <w:tr w:rsidR="00391D1E" w:rsidRPr="00483EB6" w:rsidTr="00391D1E">
        <w:tc>
          <w:tcPr>
            <w:tcW w:w="4015" w:type="dxa"/>
          </w:tcPr>
          <w:p w:rsidR="00391D1E" w:rsidRPr="00483EB6" w:rsidRDefault="00391D1E" w:rsidP="0086513A">
            <w:pPr>
              <w:pStyle w:val="Tabletext"/>
              <w:rPr>
                <w:bCs/>
                <w:szCs w:val="24"/>
              </w:rPr>
            </w:pPr>
            <w:r w:rsidRPr="00483EB6">
              <w:t>[6.60] The PBAC noted that the overall EQ-5D results for the BLAST study were not provided and there was a lack of adequate documentation or validation to support utility values estimated through a complex multi-step approach.</w:t>
            </w:r>
          </w:p>
        </w:tc>
        <w:tc>
          <w:tcPr>
            <w:tcW w:w="3731" w:type="dxa"/>
          </w:tcPr>
          <w:p w:rsidR="00391D1E" w:rsidRPr="00483EB6" w:rsidRDefault="00391D1E" w:rsidP="0086513A">
            <w:pPr>
              <w:pStyle w:val="Tabletext"/>
            </w:pPr>
            <w:r w:rsidRPr="00483EB6">
              <w:t xml:space="preserve">The resubmission did not provide unadjusted EQ-5D results for the BLAST study. </w:t>
            </w:r>
            <w:r w:rsidR="0086513A" w:rsidRPr="00483EB6">
              <w:t>A</w:t>
            </w:r>
            <w:r w:rsidRPr="00483EB6">
              <w:t xml:space="preserve">dditional documentation </w:t>
            </w:r>
            <w:r w:rsidR="0086513A" w:rsidRPr="00483EB6">
              <w:t xml:space="preserve">was provided for </w:t>
            </w:r>
            <w:r w:rsidRPr="00483EB6">
              <w:t>the approach used and validation of utility estimates</w:t>
            </w:r>
            <w:r w:rsidR="00483EB6">
              <w:t xml:space="preserve">. </w:t>
            </w:r>
          </w:p>
        </w:tc>
      </w:tr>
      <w:tr w:rsidR="00391D1E" w:rsidRPr="00483EB6" w:rsidTr="00391D1E">
        <w:tc>
          <w:tcPr>
            <w:tcW w:w="4015" w:type="dxa"/>
          </w:tcPr>
          <w:p w:rsidR="00391D1E" w:rsidRPr="00483EB6" w:rsidRDefault="00391D1E" w:rsidP="0086513A">
            <w:pPr>
              <w:pStyle w:val="Tabletext"/>
              <w:rPr>
                <w:bCs/>
                <w:szCs w:val="24"/>
              </w:rPr>
            </w:pPr>
            <w:r w:rsidRPr="00483EB6">
              <w:t xml:space="preserve">[6.60] The PBAC considered that the costs in the blinatumomab arm </w:t>
            </w:r>
            <w:r w:rsidR="0086513A" w:rsidRPr="00483EB6">
              <w:t xml:space="preserve">were underestimated </w:t>
            </w:r>
            <w:r w:rsidRPr="00483EB6">
              <w:t xml:space="preserve">as hospitalisation costs were based on the minimum recommended </w:t>
            </w:r>
            <w:r w:rsidR="0086513A" w:rsidRPr="00483EB6">
              <w:t>hospitalisation from</w:t>
            </w:r>
            <w:r w:rsidRPr="00483EB6">
              <w:t xml:space="preserve"> the product information rather than </w:t>
            </w:r>
            <w:r w:rsidR="0086513A" w:rsidRPr="00483EB6">
              <w:t>that reported</w:t>
            </w:r>
            <w:r w:rsidRPr="00483EB6">
              <w:t xml:space="preserve"> in the BLAST study.</w:t>
            </w:r>
          </w:p>
        </w:tc>
        <w:tc>
          <w:tcPr>
            <w:tcW w:w="3731" w:type="dxa"/>
          </w:tcPr>
          <w:p w:rsidR="00391D1E" w:rsidRPr="00483EB6" w:rsidRDefault="00391D1E" w:rsidP="0086513A">
            <w:pPr>
              <w:pStyle w:val="Tabletext"/>
            </w:pPr>
            <w:r w:rsidRPr="00483EB6">
              <w:t>The resubmission introduced new cost items (intrathecal CSF prophylaxis, adverse events) and made other adjustments that resulted in a higher number of blinatumomab associated hospitalisations.</w:t>
            </w:r>
          </w:p>
        </w:tc>
      </w:tr>
      <w:tr w:rsidR="00391D1E" w:rsidRPr="00483EB6" w:rsidTr="00391D1E">
        <w:tc>
          <w:tcPr>
            <w:tcW w:w="4015" w:type="dxa"/>
          </w:tcPr>
          <w:p w:rsidR="00391D1E" w:rsidRPr="00483EB6" w:rsidRDefault="00391D1E" w:rsidP="0086513A">
            <w:pPr>
              <w:pStyle w:val="Tabletext"/>
              <w:rPr>
                <w:bCs/>
                <w:szCs w:val="24"/>
              </w:rPr>
            </w:pPr>
            <w:r w:rsidRPr="00483EB6">
              <w:t xml:space="preserve">[6.60] The PBAC noted that the submission did not address the costs, accuracy and impacts </w:t>
            </w:r>
            <w:r w:rsidR="0086513A" w:rsidRPr="00483EB6">
              <w:t>of</w:t>
            </w:r>
            <w:r w:rsidRPr="00483EB6">
              <w:t xml:space="preserve"> MRD testing.</w:t>
            </w:r>
          </w:p>
        </w:tc>
        <w:tc>
          <w:tcPr>
            <w:tcW w:w="3731" w:type="dxa"/>
          </w:tcPr>
          <w:p w:rsidR="00391D1E" w:rsidRPr="00483EB6" w:rsidRDefault="00391D1E" w:rsidP="0086513A">
            <w:pPr>
              <w:pStyle w:val="Tabletext"/>
            </w:pPr>
            <w:r w:rsidRPr="00483EB6">
              <w:t>The resubmission separately estimated MRD monitoring costs in the blinatumomab arm to assess treatment eligibility and response.</w:t>
            </w:r>
          </w:p>
        </w:tc>
      </w:tr>
      <w:tr w:rsidR="00391D1E" w:rsidRPr="00483EB6" w:rsidTr="00391D1E">
        <w:tc>
          <w:tcPr>
            <w:tcW w:w="4015" w:type="dxa"/>
          </w:tcPr>
          <w:p w:rsidR="00391D1E" w:rsidRPr="00483EB6" w:rsidRDefault="00391D1E" w:rsidP="00711F99">
            <w:pPr>
              <w:pStyle w:val="Tabletext"/>
              <w:tabs>
                <w:tab w:val="left" w:pos="4125"/>
              </w:tabs>
              <w:rPr>
                <w:bCs/>
                <w:szCs w:val="24"/>
              </w:rPr>
            </w:pPr>
            <w:r w:rsidRPr="00483EB6">
              <w:t>[6.60] The PBAC noted that the</w:t>
            </w:r>
            <w:r w:rsidR="0086513A" w:rsidRPr="00483EB6">
              <w:t xml:space="preserve"> base case</w:t>
            </w:r>
            <w:r w:rsidRPr="00483EB6">
              <w:t xml:space="preserve"> ICER </w:t>
            </w:r>
            <w:r w:rsidR="007910CB" w:rsidRPr="00483EB6">
              <w:t>of</w:t>
            </w:r>
            <w:r w:rsidR="00711F99">
              <w:t xml:space="preserve"> </w:t>
            </w:r>
            <w:r w:rsidR="005429F9">
              <w:t>$45,000-$75,000</w:t>
            </w:r>
            <w:r w:rsidRPr="00483EB6">
              <w:t>, was high and significantly underestimated.</w:t>
            </w:r>
          </w:p>
        </w:tc>
        <w:tc>
          <w:tcPr>
            <w:tcW w:w="3731" w:type="dxa"/>
          </w:tcPr>
          <w:p w:rsidR="00391D1E" w:rsidRPr="00483EB6" w:rsidRDefault="00391D1E" w:rsidP="007910CB">
            <w:pPr>
              <w:pStyle w:val="Tabletext"/>
            </w:pPr>
            <w:r w:rsidRPr="00483EB6">
              <w:t xml:space="preserve">The base case ICER </w:t>
            </w:r>
            <w:r w:rsidR="007910CB" w:rsidRPr="00483EB6">
              <w:t>was</w:t>
            </w:r>
            <w:r w:rsidRPr="00483EB6">
              <w:t xml:space="preserve"> </w:t>
            </w:r>
            <w:r w:rsidR="005429F9">
              <w:t xml:space="preserve">$75,000-$105,000 </w:t>
            </w:r>
            <w:r w:rsidRPr="00483EB6">
              <w:t xml:space="preserve">(corrected during the evaluation). </w:t>
            </w:r>
          </w:p>
        </w:tc>
      </w:tr>
      <w:tr w:rsidR="00391D1E" w:rsidRPr="00483EB6" w:rsidTr="00391D1E">
        <w:tc>
          <w:tcPr>
            <w:tcW w:w="4015" w:type="dxa"/>
          </w:tcPr>
          <w:p w:rsidR="00391D1E" w:rsidRPr="00483EB6" w:rsidRDefault="00391D1E" w:rsidP="00EE0BDA">
            <w:pPr>
              <w:pStyle w:val="Tabletext"/>
            </w:pPr>
            <w:r w:rsidRPr="00483EB6">
              <w:rPr>
                <w:b/>
              </w:rPr>
              <w:t>Use of medicines</w:t>
            </w:r>
          </w:p>
        </w:tc>
        <w:tc>
          <w:tcPr>
            <w:tcW w:w="3731" w:type="dxa"/>
          </w:tcPr>
          <w:p w:rsidR="00391D1E" w:rsidRPr="00483EB6" w:rsidRDefault="00391D1E" w:rsidP="00EE0BDA">
            <w:pPr>
              <w:pStyle w:val="Tabletext"/>
            </w:pPr>
          </w:p>
        </w:tc>
      </w:tr>
      <w:tr w:rsidR="00391D1E" w:rsidRPr="00483EB6" w:rsidTr="00391D1E">
        <w:tc>
          <w:tcPr>
            <w:tcW w:w="4015" w:type="dxa"/>
          </w:tcPr>
          <w:p w:rsidR="00391D1E" w:rsidRPr="00483EB6" w:rsidRDefault="00391D1E" w:rsidP="007910CB">
            <w:pPr>
              <w:pStyle w:val="Tabletext"/>
              <w:rPr>
                <w:bCs/>
                <w:szCs w:val="24"/>
              </w:rPr>
            </w:pPr>
            <w:r w:rsidRPr="00483EB6">
              <w:rPr>
                <w:bCs/>
                <w:szCs w:val="24"/>
              </w:rPr>
              <w:t xml:space="preserve">[7.17] </w:t>
            </w:r>
            <w:r w:rsidRPr="00483EB6">
              <w:t>The PBAC considered the eligible population was underestimated in terms of incident ALL population, use of conditional four part multiplier, exclusion of patients with subsequent remissions and uptake of blinatumomab.</w:t>
            </w:r>
          </w:p>
        </w:tc>
        <w:tc>
          <w:tcPr>
            <w:tcW w:w="3731" w:type="dxa"/>
          </w:tcPr>
          <w:p w:rsidR="00391D1E" w:rsidRPr="00483EB6" w:rsidRDefault="00391D1E" w:rsidP="007C1B73">
            <w:pPr>
              <w:pStyle w:val="Tabletext"/>
            </w:pPr>
            <w:r w:rsidRPr="00483EB6">
              <w:t xml:space="preserve">Uptake of blinatumomab in the eligible population increased. </w:t>
            </w:r>
          </w:p>
        </w:tc>
      </w:tr>
      <w:tr w:rsidR="00391D1E" w:rsidRPr="00483EB6" w:rsidTr="00391D1E">
        <w:tc>
          <w:tcPr>
            <w:tcW w:w="4015" w:type="dxa"/>
          </w:tcPr>
          <w:p w:rsidR="00391D1E" w:rsidRPr="00483EB6" w:rsidRDefault="00391D1E" w:rsidP="007910CB">
            <w:pPr>
              <w:pStyle w:val="Tabletext"/>
              <w:rPr>
                <w:bCs/>
                <w:szCs w:val="24"/>
              </w:rPr>
            </w:pPr>
            <w:r w:rsidRPr="00483EB6">
              <w:rPr>
                <w:bCs/>
                <w:szCs w:val="24"/>
              </w:rPr>
              <w:t>[7.19] The PBAC considered that use of blinatumomab in the MRD setting may reduce or delay blinatumomab use in the existing relapsed/refractory listing, and that the impact of these reductions would need reductions in the risk sharing arrangement caps in the relapsed/refractory setting.</w:t>
            </w:r>
          </w:p>
        </w:tc>
        <w:tc>
          <w:tcPr>
            <w:tcW w:w="3731" w:type="dxa"/>
          </w:tcPr>
          <w:p w:rsidR="00391D1E" w:rsidRPr="00483EB6" w:rsidRDefault="00391D1E" w:rsidP="007910CB">
            <w:pPr>
              <w:pStyle w:val="Tabletext"/>
            </w:pPr>
            <w:r w:rsidRPr="00483EB6">
              <w:t xml:space="preserve">The resubmission acknowledged the need for an amended risk share arrangement, </w:t>
            </w:r>
            <w:r w:rsidR="007910CB" w:rsidRPr="00483EB6">
              <w:t xml:space="preserve">particularly </w:t>
            </w:r>
            <w:r w:rsidRPr="00483EB6">
              <w:t>if the PBAC approved more than one blinatumomab treatment between the MRD and relapsed/refractory settings.</w:t>
            </w:r>
          </w:p>
        </w:tc>
      </w:tr>
    </w:tbl>
    <w:p w:rsidR="00203181" w:rsidRPr="00483EB6" w:rsidRDefault="00203181" w:rsidP="00203181">
      <w:pPr>
        <w:pStyle w:val="TableFooter"/>
      </w:pPr>
      <w:r w:rsidRPr="00483EB6">
        <w:t xml:space="preserve">Source: </w:t>
      </w:r>
      <w:r w:rsidR="008C758A" w:rsidRPr="00483EB6">
        <w:t xml:space="preserve">Constructed during the evaluation using </w:t>
      </w:r>
      <w:r w:rsidR="00AD5F4F" w:rsidRPr="00483EB6">
        <w:t>Blinatumomab PSD July 2018.</w:t>
      </w:r>
    </w:p>
    <w:p w:rsidR="00AD5F4F" w:rsidRPr="00483EB6" w:rsidRDefault="00AD5F4F" w:rsidP="00203181">
      <w:pPr>
        <w:pStyle w:val="TableFooter"/>
      </w:pPr>
      <w:r w:rsidRPr="00483EB6">
        <w:t xml:space="preserve">Abbreviations: </w:t>
      </w:r>
      <w:r w:rsidR="00966E41" w:rsidRPr="00483EB6">
        <w:rPr>
          <w:rFonts w:cstheme="minorHAnsi"/>
          <w:color w:val="000000"/>
          <w:szCs w:val="18"/>
          <w:lang w:eastAsia="en-AU"/>
        </w:rPr>
        <w:t xml:space="preserve">ATE, Average treatment effect; ATT, Average treatment effect of the treated; </w:t>
      </w:r>
      <w:r w:rsidR="008470E9" w:rsidRPr="00483EB6">
        <w:t xml:space="preserve">EQ-5D, </w:t>
      </w:r>
      <w:proofErr w:type="spellStart"/>
      <w:r w:rsidR="008470E9" w:rsidRPr="00483EB6">
        <w:t>EuroQoL</w:t>
      </w:r>
      <w:proofErr w:type="spellEnd"/>
      <w:r w:rsidR="008470E9" w:rsidRPr="00483EB6">
        <w:t xml:space="preserve">- 5 dimension questionnaire; </w:t>
      </w:r>
      <w:r w:rsidRPr="00483EB6">
        <w:rPr>
          <w:rFonts w:cstheme="minorHAnsi"/>
          <w:color w:val="000000"/>
          <w:szCs w:val="18"/>
          <w:lang w:eastAsia="en-AU"/>
        </w:rPr>
        <w:t xml:space="preserve">HSCT, Haematopoietic stem cell transplant; ICER, Incremental cost effectiveness ratio; MRD, minimal residual disease; </w:t>
      </w:r>
      <w:proofErr w:type="spellStart"/>
      <w:r w:rsidR="00382677" w:rsidRPr="00483EB6">
        <w:rPr>
          <w:rFonts w:cstheme="minorHAnsi"/>
          <w:color w:val="000000"/>
          <w:szCs w:val="18"/>
          <w:lang w:eastAsia="en-AU"/>
        </w:rPr>
        <w:t>Ph</w:t>
      </w:r>
      <w:proofErr w:type="spellEnd"/>
      <w:r w:rsidR="00382677" w:rsidRPr="00483EB6">
        <w:rPr>
          <w:rFonts w:cstheme="minorHAnsi"/>
          <w:color w:val="000000"/>
          <w:szCs w:val="18"/>
          <w:lang w:eastAsia="en-AU"/>
        </w:rPr>
        <w:t xml:space="preserve">, Philadelphia chromosome; </w:t>
      </w:r>
      <w:r w:rsidR="00966E41" w:rsidRPr="00483EB6">
        <w:rPr>
          <w:rFonts w:cstheme="minorHAnsi"/>
          <w:color w:val="000000"/>
          <w:szCs w:val="18"/>
          <w:lang w:eastAsia="en-AU"/>
        </w:rPr>
        <w:t>PSD, public summary document.</w:t>
      </w:r>
    </w:p>
    <w:p w:rsidR="00B60939" w:rsidRPr="00483EB6" w:rsidRDefault="00203181" w:rsidP="00904FDE">
      <w:pPr>
        <w:pStyle w:val="PBACHeading1"/>
        <w:spacing w:before="120" w:after="120"/>
      </w:pPr>
      <w:bookmarkStart w:id="5" w:name="_Toc536013893"/>
      <w:r w:rsidRPr="00483EB6">
        <w:lastRenderedPageBreak/>
        <w:t xml:space="preserve">Population and </w:t>
      </w:r>
      <w:r w:rsidR="008E0D3C" w:rsidRPr="00483EB6">
        <w:t>d</w:t>
      </w:r>
      <w:r w:rsidRPr="00483EB6">
        <w:t>isease</w:t>
      </w:r>
      <w:bookmarkEnd w:id="5"/>
    </w:p>
    <w:p w:rsidR="006D4AFB" w:rsidRPr="00483EB6" w:rsidRDefault="006D4AFB" w:rsidP="00904FDE">
      <w:pPr>
        <w:pStyle w:val="ListParagraph"/>
        <w:widowControl/>
        <w:numPr>
          <w:ilvl w:val="1"/>
          <w:numId w:val="3"/>
        </w:numPr>
        <w:spacing w:before="120" w:after="120"/>
      </w:pPr>
      <w:r w:rsidRPr="00483EB6">
        <w:t>Acute lymphoblastic leukaemia (ALL) is a rare malignant disease of the bone marrow in which lymphoid precursor cells proliferate (approximately 1-1.5/100,000 of the general population). The incidence of ALL is highest in children under 5 years of age, declines slowly until the mid-20s and then begins to rise again slowly after 50 years of age. ALL may be related to either B-cell or T-cell precursors, with the majority of diagnoses identified as B-cell precursor ALL (B-ALL).</w:t>
      </w:r>
    </w:p>
    <w:p w:rsidR="006D4AFB" w:rsidRPr="00483EB6" w:rsidRDefault="006D4AFB" w:rsidP="00904FDE">
      <w:pPr>
        <w:pStyle w:val="ListParagraph"/>
        <w:widowControl/>
        <w:numPr>
          <w:ilvl w:val="1"/>
          <w:numId w:val="3"/>
        </w:numPr>
        <w:spacing w:before="120" w:after="120"/>
      </w:pPr>
      <w:r w:rsidRPr="00483EB6">
        <w:t xml:space="preserve">Relapse in B-ALL is believed to result from residual </w:t>
      </w:r>
      <w:proofErr w:type="spellStart"/>
      <w:r w:rsidRPr="00483EB6">
        <w:t>leukaemic</w:t>
      </w:r>
      <w:proofErr w:type="spellEnd"/>
      <w:r w:rsidRPr="00483EB6">
        <w:t xml:space="preserve"> blast cells persisting in haematological complete remission, at levels not detected in conventional morphologic assessments (&lt;5% blast cells in bone marrow). The presence of residual </w:t>
      </w:r>
      <w:proofErr w:type="spellStart"/>
      <w:r w:rsidRPr="00483EB6">
        <w:t>leukaemic</w:t>
      </w:r>
      <w:proofErr w:type="spellEnd"/>
      <w:r w:rsidRPr="00483EB6">
        <w:t xml:space="preserve"> blast cells (in patients who have been assessed as having complete remission as assessed by conventional morphology analyses) is referred to as minimal residual disease (MRD) or molecular relapse.</w:t>
      </w:r>
    </w:p>
    <w:p w:rsidR="006D4AFB" w:rsidRPr="00483EB6" w:rsidRDefault="006D4AFB" w:rsidP="00904FDE">
      <w:pPr>
        <w:pStyle w:val="ListParagraph"/>
        <w:widowControl/>
        <w:numPr>
          <w:ilvl w:val="1"/>
          <w:numId w:val="3"/>
        </w:numPr>
        <w:spacing w:before="120" w:after="120"/>
      </w:pPr>
      <w:r w:rsidRPr="00483EB6">
        <w:t>More sensitive assays such as multicolour flow cytometry and polymerase chain reaction (PCR) provide detection of lower concentrations of MRD at levels of prognostic significance strongly correlated with risk of relapse. Different techniques have different sensitivities. Real-time quantitative PCR targeting immunoglobulin (Ig) can amplify a DNA or cDNA sequence unique to the leukemic clone cell resulting in assay sensitivity of 10</w:t>
      </w:r>
      <w:r w:rsidRPr="00483EB6">
        <w:rPr>
          <w:vertAlign w:val="superscript"/>
        </w:rPr>
        <w:t>-4</w:t>
      </w:r>
      <w:r w:rsidRPr="00483EB6">
        <w:t xml:space="preserve"> to 10</w:t>
      </w:r>
      <w:r w:rsidRPr="00483EB6">
        <w:rPr>
          <w:vertAlign w:val="superscript"/>
        </w:rPr>
        <w:t>-5</w:t>
      </w:r>
      <w:r w:rsidRPr="00483EB6">
        <w:t>. Multicolour flow cytometry based on aberrant antigen expressions has an assay sensitivity of approximately 10</w:t>
      </w:r>
      <w:r w:rsidRPr="00483EB6">
        <w:rPr>
          <w:vertAlign w:val="superscript"/>
        </w:rPr>
        <w:t>-4,</w:t>
      </w:r>
      <w:r w:rsidRPr="00483EB6">
        <w:t xml:space="preserve"> or about 1 log less than PCR. While MRD assessment by multi-parametric flow cytometry and PCR are highly correlated, differences in methodology and sensitivity may influence results and therapeutic decisions (Berry et al. 2017).</w:t>
      </w:r>
    </w:p>
    <w:p w:rsidR="006D4AFB" w:rsidRPr="00483EB6" w:rsidRDefault="006D4AFB" w:rsidP="00904FDE">
      <w:pPr>
        <w:pStyle w:val="ListParagraph"/>
        <w:widowControl/>
        <w:numPr>
          <w:ilvl w:val="1"/>
          <w:numId w:val="3"/>
        </w:numPr>
        <w:spacing w:before="120" w:after="120"/>
      </w:pPr>
      <w:r w:rsidRPr="00483EB6">
        <w:t xml:space="preserve">At the July 2018 </w:t>
      </w:r>
      <w:r w:rsidR="00483EB6" w:rsidRPr="00483EB6">
        <w:t>meeting,</w:t>
      </w:r>
      <w:r w:rsidRPr="00483EB6">
        <w:t xml:space="preserve"> the PBAC considered that the MRD threshold of detection of ≥10</w:t>
      </w:r>
      <w:r w:rsidRPr="00483EB6">
        <w:rPr>
          <w:vertAlign w:val="superscript"/>
        </w:rPr>
        <w:t>-4</w:t>
      </w:r>
      <w:r w:rsidRPr="00483EB6">
        <w:t xml:space="preserve"> blasts proposed in the requested restriction is consistent with current clinical practice but</w:t>
      </w:r>
      <w:r w:rsidRPr="00483EB6">
        <w:rPr>
          <w:rFonts w:asciiTheme="minorHAnsi" w:hAnsiTheme="minorHAnsi"/>
          <w:bCs/>
          <w:szCs w:val="24"/>
        </w:rPr>
        <w:t xml:space="preserve"> was based on consensus (clinical opinion) rather than strong evidence</w:t>
      </w:r>
      <w:r w:rsidR="00BE5FD0" w:rsidRPr="00483EB6">
        <w:rPr>
          <w:rFonts w:asciiTheme="minorHAnsi" w:hAnsiTheme="minorHAnsi"/>
          <w:bCs/>
          <w:szCs w:val="24"/>
        </w:rPr>
        <w:t xml:space="preserve">. The Committee noted that as technology improves over time MRD may be detected at lower levels, but </w:t>
      </w:r>
      <w:r w:rsidRPr="00483EB6">
        <w:rPr>
          <w:rFonts w:asciiTheme="minorHAnsi" w:hAnsiTheme="minorHAnsi"/>
          <w:bCs/>
          <w:szCs w:val="24"/>
        </w:rPr>
        <w:t>the clinical relevance of thresholds lower than 10</w:t>
      </w:r>
      <w:r w:rsidRPr="00483EB6">
        <w:rPr>
          <w:rFonts w:asciiTheme="minorHAnsi" w:hAnsiTheme="minorHAnsi"/>
          <w:bCs/>
          <w:szCs w:val="24"/>
          <w:vertAlign w:val="superscript"/>
        </w:rPr>
        <w:t>-4</w:t>
      </w:r>
      <w:r w:rsidRPr="00483EB6">
        <w:rPr>
          <w:rFonts w:asciiTheme="minorHAnsi" w:hAnsiTheme="minorHAnsi"/>
          <w:bCs/>
          <w:szCs w:val="24"/>
        </w:rPr>
        <w:t xml:space="preserve"> had not been established (Blinatumomab PSD July 2018, para 2.9-2.10).</w:t>
      </w:r>
      <w:r w:rsidR="006245DF" w:rsidRPr="00483EB6">
        <w:rPr>
          <w:rFonts w:asciiTheme="minorHAnsi" w:hAnsiTheme="minorHAnsi"/>
          <w:bCs/>
          <w:szCs w:val="24"/>
        </w:rPr>
        <w:t xml:space="preserve"> </w:t>
      </w:r>
    </w:p>
    <w:p w:rsidR="00BE5FD0" w:rsidRPr="00483EB6" w:rsidRDefault="00BE5FD0" w:rsidP="00904FDE">
      <w:pPr>
        <w:pStyle w:val="ListParagraph"/>
        <w:widowControl/>
        <w:numPr>
          <w:ilvl w:val="1"/>
          <w:numId w:val="3"/>
        </w:numPr>
        <w:spacing w:before="120" w:after="120"/>
      </w:pPr>
      <w:r w:rsidRPr="00483EB6">
        <w:t xml:space="preserve">The resubmission acknowledged that the definition of MRD </w:t>
      </w:r>
      <w:r w:rsidR="00C3711C" w:rsidRPr="00483EB6">
        <w:t xml:space="preserve">is likely to change </w:t>
      </w:r>
      <w:r w:rsidRPr="00483EB6">
        <w:t xml:space="preserve">over time, but reiterated that the treatment effect of blinatumomab was not expected to vary with differing levels of sensitivity between the assay methodologies or MRD threshold of detection. The resubmission presented results </w:t>
      </w:r>
      <w:r w:rsidR="006245DF" w:rsidRPr="00483EB6">
        <w:t>from</w:t>
      </w:r>
      <w:r w:rsidRPr="00483EB6">
        <w:t xml:space="preserve"> a </w:t>
      </w:r>
      <w:r w:rsidR="00C3711C" w:rsidRPr="00483EB6">
        <w:t xml:space="preserve">sponsor-commissioned clinician </w:t>
      </w:r>
      <w:r w:rsidRPr="00483EB6">
        <w:t>survey</w:t>
      </w:r>
      <w:r w:rsidR="0090689A" w:rsidRPr="00483EB6">
        <w:t>, in which clinicians considered</w:t>
      </w:r>
      <w:r w:rsidRPr="00483EB6">
        <w:t xml:space="preserve"> </w:t>
      </w:r>
      <w:r w:rsidR="00C3711C" w:rsidRPr="00483EB6">
        <w:t>that if lower levels of MRD are left untreated they would be expected to increase within a short timeframe.</w:t>
      </w:r>
      <w:r w:rsidR="006245DF" w:rsidRPr="00483EB6">
        <w:t xml:space="preserve"> </w:t>
      </w:r>
      <w:r w:rsidR="00C3711C" w:rsidRPr="00483EB6">
        <w:t xml:space="preserve">The survey </w:t>
      </w:r>
      <w:r w:rsidR="006245DF" w:rsidRPr="00483EB6">
        <w:t>suggested variability in accepted MRD thresholds (10</w:t>
      </w:r>
      <w:r w:rsidR="006245DF" w:rsidRPr="00483EB6">
        <w:rPr>
          <w:vertAlign w:val="superscript"/>
        </w:rPr>
        <w:t>-2</w:t>
      </w:r>
      <w:r w:rsidR="006245DF" w:rsidRPr="00483EB6">
        <w:t xml:space="preserve"> to 10</w:t>
      </w:r>
      <w:r w:rsidR="006245DF" w:rsidRPr="00483EB6">
        <w:rPr>
          <w:vertAlign w:val="superscript"/>
        </w:rPr>
        <w:t>-5</w:t>
      </w:r>
      <w:r w:rsidR="006245DF" w:rsidRPr="00483EB6">
        <w:t>) and schedule of MRD testing between clinicians and locations.</w:t>
      </w:r>
    </w:p>
    <w:p w:rsidR="006859E9" w:rsidRPr="00483EB6" w:rsidRDefault="006859E9" w:rsidP="00904FDE">
      <w:pPr>
        <w:widowControl/>
        <w:spacing w:before="120" w:after="120"/>
        <w:ind w:left="720"/>
      </w:pPr>
      <w:r w:rsidRPr="00483EB6">
        <w:rPr>
          <w:rFonts w:asciiTheme="minorHAnsi" w:hAnsiTheme="minorHAnsi"/>
          <w:i/>
        </w:rPr>
        <w:t>For more detail on PBAC’s view, see section 7 PBAC outcome.</w:t>
      </w:r>
    </w:p>
    <w:p w:rsidR="00B60939" w:rsidRPr="00483EB6" w:rsidRDefault="00B50DB8" w:rsidP="00904FDE">
      <w:pPr>
        <w:pStyle w:val="PBACHeading1"/>
        <w:spacing w:before="120" w:after="120"/>
      </w:pPr>
      <w:bookmarkStart w:id="6" w:name="_Toc536013894"/>
      <w:r w:rsidRPr="00483EB6">
        <w:t>Comparator</w:t>
      </w:r>
      <w:bookmarkEnd w:id="6"/>
    </w:p>
    <w:p w:rsidR="00B60939" w:rsidRPr="00483EB6" w:rsidRDefault="006245DF" w:rsidP="00904FDE">
      <w:pPr>
        <w:pStyle w:val="ListParagraph"/>
        <w:widowControl/>
        <w:numPr>
          <w:ilvl w:val="1"/>
          <w:numId w:val="3"/>
        </w:numPr>
        <w:spacing w:before="120" w:after="120"/>
      </w:pPr>
      <w:r w:rsidRPr="00483EB6">
        <w:lastRenderedPageBreak/>
        <w:t xml:space="preserve">The resubmission nominated standard of care </w:t>
      </w:r>
      <w:r w:rsidR="00B11784" w:rsidRPr="00483EB6">
        <w:t xml:space="preserve">consolidation </w:t>
      </w:r>
      <w:r w:rsidRPr="00483EB6">
        <w:t xml:space="preserve">chemotherapy as the main comparator (unchanged from the previous submission). At the July 2018 meeting the PBAC accepted that </w:t>
      </w:r>
      <w:r w:rsidRPr="00483EB6">
        <w:rPr>
          <w:rFonts w:cs="Calibri"/>
          <w:snapToGrid/>
          <w:szCs w:val="24"/>
          <w:lang w:eastAsia="en-AU"/>
        </w:rPr>
        <w:t>blinatumomab may be used in a number of discrete therapeutic roles including as a primary treatment, disease suppression until HSCT (bridge to transplant), optimisation of HSCT (by eliminating MRD) and treatment of molecular relapse and considered that standard of care chemotherapy was the appropriate comparator in all these settings (Blinatumomab PSD July 2018, para 5.4-5.5; 7.9)</w:t>
      </w:r>
      <w:r w:rsidRPr="00483EB6">
        <w:t>.</w:t>
      </w:r>
    </w:p>
    <w:p w:rsidR="006859E9" w:rsidRPr="00483EB6" w:rsidRDefault="00BD6CF3" w:rsidP="00904FDE">
      <w:pPr>
        <w:pStyle w:val="PBACHeading1"/>
        <w:spacing w:before="120" w:after="120"/>
      </w:pPr>
      <w:bookmarkStart w:id="7" w:name="_Toc536013895"/>
      <w:r w:rsidRPr="00483EB6">
        <w:t>C</w:t>
      </w:r>
      <w:r w:rsidR="00B50DB8" w:rsidRPr="00483EB6">
        <w:t>onsideration of the evidence</w:t>
      </w:r>
      <w:bookmarkEnd w:id="7"/>
    </w:p>
    <w:p w:rsidR="006859E9" w:rsidRPr="00483EB6" w:rsidRDefault="006859E9" w:rsidP="00904FDE">
      <w:pPr>
        <w:pStyle w:val="Heading2"/>
        <w:spacing w:before="120" w:after="120"/>
      </w:pPr>
      <w:r w:rsidRPr="00483EB6">
        <w:t xml:space="preserve">Sponsor hearing </w:t>
      </w:r>
    </w:p>
    <w:p w:rsidR="006859E9" w:rsidRPr="00483EB6" w:rsidRDefault="006859E9" w:rsidP="00904FDE">
      <w:pPr>
        <w:widowControl/>
        <w:numPr>
          <w:ilvl w:val="1"/>
          <w:numId w:val="3"/>
        </w:numPr>
        <w:spacing w:before="120" w:after="120"/>
        <w:jc w:val="left"/>
        <w:rPr>
          <w:rFonts w:asciiTheme="minorHAnsi" w:hAnsiTheme="minorHAnsi"/>
          <w:bCs/>
          <w:szCs w:val="24"/>
        </w:rPr>
      </w:pPr>
      <w:r w:rsidRPr="00483EB6">
        <w:rPr>
          <w:rFonts w:asciiTheme="minorHAnsi" w:hAnsiTheme="minorHAnsi"/>
          <w:bCs/>
          <w:szCs w:val="24"/>
        </w:rPr>
        <w:t>There was no hearing for this item.</w:t>
      </w:r>
    </w:p>
    <w:p w:rsidR="006859E9" w:rsidRPr="00483EB6" w:rsidRDefault="006859E9" w:rsidP="00904FDE">
      <w:pPr>
        <w:pStyle w:val="Heading2"/>
        <w:spacing w:before="120" w:after="120"/>
      </w:pPr>
      <w:r w:rsidRPr="00483EB6">
        <w:t>Consumer comments</w:t>
      </w:r>
    </w:p>
    <w:p w:rsidR="006859E9" w:rsidRPr="00483EB6" w:rsidRDefault="006859E9" w:rsidP="00904FDE">
      <w:pPr>
        <w:widowControl/>
        <w:numPr>
          <w:ilvl w:val="1"/>
          <w:numId w:val="3"/>
        </w:numPr>
        <w:spacing w:before="120" w:after="120"/>
        <w:rPr>
          <w:rFonts w:asciiTheme="minorHAnsi" w:hAnsiTheme="minorHAnsi"/>
          <w:bCs/>
          <w:szCs w:val="24"/>
        </w:rPr>
      </w:pPr>
      <w:r w:rsidRPr="00483EB6">
        <w:rPr>
          <w:rFonts w:asciiTheme="minorHAnsi" w:hAnsiTheme="minorHAnsi"/>
          <w:bCs/>
          <w:szCs w:val="24"/>
        </w:rPr>
        <w:t>The PBAC noted and welcomed the input from individuals (</w:t>
      </w:r>
      <w:r w:rsidR="000830CC" w:rsidRPr="00483EB6">
        <w:rPr>
          <w:rFonts w:asciiTheme="minorHAnsi" w:hAnsiTheme="minorHAnsi"/>
          <w:bCs/>
          <w:szCs w:val="24"/>
        </w:rPr>
        <w:t>5</w:t>
      </w:r>
      <w:r w:rsidRPr="00483EB6">
        <w:rPr>
          <w:rFonts w:asciiTheme="minorHAnsi" w:hAnsiTheme="minorHAnsi"/>
          <w:bCs/>
          <w:szCs w:val="24"/>
        </w:rPr>
        <w:t>), health care professionals (</w:t>
      </w:r>
      <w:r w:rsidR="000830CC" w:rsidRPr="00483EB6">
        <w:rPr>
          <w:rFonts w:asciiTheme="minorHAnsi" w:hAnsiTheme="minorHAnsi"/>
          <w:bCs/>
          <w:szCs w:val="24"/>
        </w:rPr>
        <w:t>14</w:t>
      </w:r>
      <w:r w:rsidRPr="00483EB6">
        <w:rPr>
          <w:rFonts w:asciiTheme="minorHAnsi" w:hAnsiTheme="minorHAnsi"/>
          <w:bCs/>
          <w:szCs w:val="24"/>
        </w:rPr>
        <w:t>) and organisations (</w:t>
      </w:r>
      <w:r w:rsidR="000830CC" w:rsidRPr="00483EB6">
        <w:rPr>
          <w:rFonts w:asciiTheme="minorHAnsi" w:hAnsiTheme="minorHAnsi"/>
          <w:bCs/>
          <w:szCs w:val="24"/>
        </w:rPr>
        <w:t>3</w:t>
      </w:r>
      <w:r w:rsidRPr="00483EB6">
        <w:rPr>
          <w:rFonts w:asciiTheme="minorHAnsi" w:hAnsiTheme="minorHAnsi"/>
          <w:bCs/>
          <w:szCs w:val="24"/>
        </w:rPr>
        <w:t xml:space="preserve">) via the Consumer Comments facility on the PBS website. The comments described </w:t>
      </w:r>
      <w:r w:rsidR="005A4276" w:rsidRPr="00483EB6">
        <w:rPr>
          <w:rFonts w:asciiTheme="minorHAnsi" w:hAnsiTheme="minorHAnsi"/>
          <w:bCs/>
          <w:szCs w:val="24"/>
        </w:rPr>
        <w:t xml:space="preserve">benefits of treatment with blinatumomab </w:t>
      </w:r>
      <w:r w:rsidR="000E748B" w:rsidRPr="00483EB6">
        <w:rPr>
          <w:rFonts w:asciiTheme="minorHAnsi" w:hAnsiTheme="minorHAnsi"/>
          <w:bCs/>
          <w:szCs w:val="24"/>
        </w:rPr>
        <w:t xml:space="preserve">as a bridge to HSCT and </w:t>
      </w:r>
      <w:r w:rsidR="005A4276" w:rsidRPr="00483EB6">
        <w:rPr>
          <w:rFonts w:asciiTheme="minorHAnsi" w:hAnsiTheme="minorHAnsi"/>
          <w:bCs/>
          <w:szCs w:val="24"/>
        </w:rPr>
        <w:t>i</w:t>
      </w:r>
      <w:r w:rsidR="000E748B" w:rsidRPr="00483EB6">
        <w:rPr>
          <w:rFonts w:asciiTheme="minorHAnsi" w:hAnsiTheme="minorHAnsi"/>
          <w:bCs/>
          <w:szCs w:val="24"/>
        </w:rPr>
        <w:t xml:space="preserve">ts </w:t>
      </w:r>
      <w:r w:rsidR="005A4276" w:rsidRPr="00483EB6">
        <w:rPr>
          <w:rFonts w:asciiTheme="minorHAnsi" w:hAnsiTheme="minorHAnsi"/>
          <w:bCs/>
          <w:szCs w:val="24"/>
        </w:rPr>
        <w:t>tolerable safety</w:t>
      </w:r>
      <w:r w:rsidR="000E748B" w:rsidRPr="00483EB6">
        <w:rPr>
          <w:rFonts w:asciiTheme="minorHAnsi" w:hAnsiTheme="minorHAnsi"/>
          <w:bCs/>
          <w:szCs w:val="24"/>
        </w:rPr>
        <w:t xml:space="preserve"> profile. The comments also </w:t>
      </w:r>
      <w:r w:rsidR="005A4276" w:rsidRPr="00483EB6">
        <w:rPr>
          <w:rFonts w:asciiTheme="minorHAnsi" w:hAnsiTheme="minorHAnsi"/>
          <w:bCs/>
          <w:szCs w:val="24"/>
        </w:rPr>
        <w:t>emphasised the lack of therapies in the MRD positive setting</w:t>
      </w:r>
      <w:r w:rsidR="000E748B" w:rsidRPr="00483EB6">
        <w:rPr>
          <w:rFonts w:asciiTheme="minorHAnsi" w:hAnsiTheme="minorHAnsi"/>
          <w:bCs/>
          <w:szCs w:val="24"/>
        </w:rPr>
        <w:t xml:space="preserve"> and indicated that blinatumomab is an important treatment option in this setting. </w:t>
      </w:r>
    </w:p>
    <w:p w:rsidR="00630F1C" w:rsidRPr="00483EB6" w:rsidRDefault="00630F1C" w:rsidP="00904FDE">
      <w:pPr>
        <w:widowControl/>
        <w:numPr>
          <w:ilvl w:val="1"/>
          <w:numId w:val="3"/>
        </w:numPr>
        <w:spacing w:before="120" w:after="120"/>
        <w:rPr>
          <w:rFonts w:asciiTheme="minorHAnsi" w:hAnsiTheme="minorHAnsi"/>
          <w:bCs/>
          <w:szCs w:val="24"/>
        </w:rPr>
      </w:pPr>
      <w:r w:rsidRPr="00483EB6">
        <w:rPr>
          <w:rFonts w:asciiTheme="minorHAnsi" w:hAnsiTheme="minorHAnsi"/>
          <w:bCs/>
        </w:rPr>
        <w:t>The</w:t>
      </w:r>
      <w:r w:rsidR="00A67612" w:rsidRPr="00483EB6">
        <w:rPr>
          <w:rFonts w:asciiTheme="minorHAnsi" w:hAnsiTheme="minorHAnsi"/>
          <w:bCs/>
        </w:rPr>
        <w:t xml:space="preserve"> correspondence from the Australian</w:t>
      </w:r>
      <w:r w:rsidRPr="00483EB6">
        <w:rPr>
          <w:rFonts w:asciiTheme="minorHAnsi" w:hAnsiTheme="minorHAnsi"/>
          <w:bCs/>
        </w:rPr>
        <w:t xml:space="preserve"> Leukaemia and Lymphoma Group (ALLG) and Haematology Society of Australia and New Zealand (HSANZ) indicated support for subsidised access to blinatumomab, noting the poor prognosis and high risk of relapse in patients with MRD positive disease. The ALLG and HSANZ </w:t>
      </w:r>
      <w:r w:rsidR="0015220F" w:rsidRPr="00483EB6">
        <w:rPr>
          <w:rFonts w:asciiTheme="minorHAnsi" w:hAnsiTheme="minorHAnsi"/>
          <w:bCs/>
        </w:rPr>
        <w:t xml:space="preserve">considered that the best outcome for patients would be to receive blinatumomab at the time of first molecular failure, rather than waiting for eventual clinical relapse. </w:t>
      </w:r>
      <w:r w:rsidR="00A67612" w:rsidRPr="00483EB6">
        <w:rPr>
          <w:rFonts w:asciiTheme="minorHAnsi" w:hAnsiTheme="minorHAnsi"/>
          <w:bCs/>
        </w:rPr>
        <w:t xml:space="preserve">Further, the correspondence noted that blinatumomab was now being incorporated into many protocols internationally for the treatment of MRD positive disease. </w:t>
      </w:r>
    </w:p>
    <w:p w:rsidR="00630F1C" w:rsidRPr="00483EB6" w:rsidRDefault="00BC2224" w:rsidP="00904FDE">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Rare Cancers Australia </w:t>
      </w:r>
      <w:r w:rsidR="005F2126" w:rsidRPr="00483EB6">
        <w:rPr>
          <w:rFonts w:asciiTheme="minorHAnsi" w:hAnsiTheme="minorHAnsi"/>
          <w:bCs/>
          <w:szCs w:val="24"/>
        </w:rPr>
        <w:t xml:space="preserve">highlighted </w:t>
      </w:r>
      <w:r w:rsidRPr="00483EB6">
        <w:rPr>
          <w:rFonts w:asciiTheme="minorHAnsi" w:hAnsiTheme="minorHAnsi"/>
          <w:bCs/>
          <w:szCs w:val="24"/>
        </w:rPr>
        <w:t xml:space="preserve">the psychological impact of disease on patients </w:t>
      </w:r>
      <w:r w:rsidR="005F2126" w:rsidRPr="00483EB6">
        <w:rPr>
          <w:rFonts w:asciiTheme="minorHAnsi" w:hAnsiTheme="minorHAnsi"/>
          <w:bCs/>
          <w:szCs w:val="24"/>
        </w:rPr>
        <w:t xml:space="preserve">and indicated that availability of blinatumomab in this setting would have a positive impact on the psychological wellbeing of patients in terms of allaying fears of disease relapse and progression. </w:t>
      </w:r>
    </w:p>
    <w:p w:rsidR="005F2126" w:rsidRPr="00483EB6" w:rsidRDefault="005F2126" w:rsidP="00904FDE">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Leukaemia </w:t>
      </w:r>
      <w:r w:rsidR="00A67612" w:rsidRPr="00483EB6">
        <w:rPr>
          <w:rFonts w:asciiTheme="minorHAnsi" w:hAnsiTheme="minorHAnsi"/>
          <w:bCs/>
          <w:szCs w:val="24"/>
        </w:rPr>
        <w:t>Foundation emphasised the poorer prognosis of B-ALL in adult patients compared to that of children who represent the majority of cases</w:t>
      </w:r>
      <w:r w:rsidR="00B33CFC" w:rsidRPr="00483EB6">
        <w:rPr>
          <w:rFonts w:asciiTheme="minorHAnsi" w:hAnsiTheme="minorHAnsi"/>
          <w:bCs/>
          <w:szCs w:val="24"/>
        </w:rPr>
        <w:t xml:space="preserve"> and the importance of achieving MRD negative status in terms of improving survival and suitability for HSCT</w:t>
      </w:r>
      <w:r w:rsidR="00A67612" w:rsidRPr="00483EB6">
        <w:rPr>
          <w:rFonts w:asciiTheme="minorHAnsi" w:hAnsiTheme="minorHAnsi"/>
          <w:bCs/>
          <w:szCs w:val="24"/>
        </w:rPr>
        <w:t xml:space="preserve">. The </w:t>
      </w:r>
      <w:r w:rsidR="00B33875" w:rsidRPr="00483EB6">
        <w:rPr>
          <w:rFonts w:asciiTheme="minorHAnsi" w:hAnsiTheme="minorHAnsi"/>
          <w:bCs/>
          <w:szCs w:val="24"/>
        </w:rPr>
        <w:t>Leukaemia Foundation also</w:t>
      </w:r>
      <w:r w:rsidR="00D17CF1" w:rsidRPr="00483EB6">
        <w:rPr>
          <w:rFonts w:asciiTheme="minorHAnsi" w:hAnsiTheme="minorHAnsi"/>
          <w:bCs/>
          <w:szCs w:val="24"/>
        </w:rPr>
        <w:t xml:space="preserve"> noted</w:t>
      </w:r>
      <w:r w:rsidR="00B33875" w:rsidRPr="00483EB6">
        <w:rPr>
          <w:rFonts w:asciiTheme="minorHAnsi" w:hAnsiTheme="minorHAnsi"/>
          <w:bCs/>
          <w:szCs w:val="24"/>
        </w:rPr>
        <w:t xml:space="preserve"> </w:t>
      </w:r>
      <w:r w:rsidR="00D17CF1" w:rsidRPr="00483EB6">
        <w:rPr>
          <w:rFonts w:asciiTheme="minorHAnsi" w:hAnsiTheme="minorHAnsi"/>
          <w:bCs/>
          <w:szCs w:val="24"/>
        </w:rPr>
        <w:t xml:space="preserve">the many personal positive responses received from patients with ALL who had received treatment with blinatumomab in relation to improvement in quality of life, mental health and reduced </w:t>
      </w:r>
      <w:r w:rsidR="00483EB6" w:rsidRPr="00483EB6">
        <w:rPr>
          <w:rFonts w:asciiTheme="minorHAnsi" w:hAnsiTheme="minorHAnsi"/>
          <w:bCs/>
          <w:szCs w:val="24"/>
        </w:rPr>
        <w:t>side effects</w:t>
      </w:r>
      <w:r w:rsidR="00D17CF1" w:rsidRPr="00483EB6">
        <w:rPr>
          <w:rFonts w:asciiTheme="minorHAnsi" w:hAnsiTheme="minorHAnsi"/>
          <w:bCs/>
          <w:szCs w:val="24"/>
        </w:rPr>
        <w:t xml:space="preserve">. </w:t>
      </w:r>
    </w:p>
    <w:p w:rsidR="00B60939" w:rsidRPr="00483EB6" w:rsidRDefault="00B60939" w:rsidP="00904FDE">
      <w:pPr>
        <w:pStyle w:val="Heading2"/>
        <w:spacing w:before="120" w:after="120"/>
      </w:pPr>
      <w:bookmarkStart w:id="8" w:name="_Toc536013896"/>
      <w:r w:rsidRPr="00483EB6">
        <w:t>Clinical trials</w:t>
      </w:r>
      <w:bookmarkEnd w:id="8"/>
    </w:p>
    <w:p w:rsidR="004A13D6" w:rsidRPr="00483EB6" w:rsidRDefault="004A13D6" w:rsidP="00904FDE">
      <w:pPr>
        <w:pStyle w:val="ListParagraph"/>
        <w:widowControl/>
        <w:numPr>
          <w:ilvl w:val="1"/>
          <w:numId w:val="3"/>
        </w:numPr>
        <w:spacing w:before="120" w:after="120"/>
      </w:pPr>
      <w:r w:rsidRPr="00483EB6">
        <w:lastRenderedPageBreak/>
        <w:t xml:space="preserve">No new clinical evidence relevant to the MRD setting was </w:t>
      </w:r>
      <w:r w:rsidR="006F4492" w:rsidRPr="00483EB6">
        <w:t xml:space="preserve">provided </w:t>
      </w:r>
      <w:r w:rsidRPr="00483EB6">
        <w:t xml:space="preserve">in the resubmission. The resubmission noted that </w:t>
      </w:r>
      <w:r w:rsidRPr="00483EB6">
        <w:rPr>
          <w:kern w:val="16"/>
        </w:rPr>
        <w:t xml:space="preserve">ongoing randomised controlled phase III trials of blinatumomab in this patient population mentioned </w:t>
      </w:r>
      <w:r w:rsidR="002E011D" w:rsidRPr="00483EB6">
        <w:rPr>
          <w:kern w:val="16"/>
        </w:rPr>
        <w:t>at the sponsor hearing at</w:t>
      </w:r>
      <w:r w:rsidRPr="00483EB6">
        <w:rPr>
          <w:kern w:val="16"/>
        </w:rPr>
        <w:t xml:space="preserve"> the July 2018 </w:t>
      </w:r>
      <w:r w:rsidR="002E011D" w:rsidRPr="00483EB6">
        <w:rPr>
          <w:kern w:val="16"/>
        </w:rPr>
        <w:t xml:space="preserve">PBAC </w:t>
      </w:r>
      <w:r w:rsidRPr="00483EB6">
        <w:rPr>
          <w:kern w:val="16"/>
        </w:rPr>
        <w:t xml:space="preserve">meeting </w:t>
      </w:r>
      <w:r w:rsidRPr="00483EB6">
        <w:t>have been amended to single arm studies, and are not yet completed. No additional information was available during the evaluation.</w:t>
      </w:r>
    </w:p>
    <w:p w:rsidR="004A13D6" w:rsidRPr="00483EB6" w:rsidRDefault="004A13D6" w:rsidP="00904FDE">
      <w:pPr>
        <w:pStyle w:val="ListParagraph"/>
        <w:widowControl/>
        <w:numPr>
          <w:ilvl w:val="1"/>
          <w:numId w:val="3"/>
        </w:numPr>
        <w:spacing w:before="120" w:after="120"/>
      </w:pPr>
      <w:r w:rsidRPr="00483EB6">
        <w:t xml:space="preserve">One additional ongoing phase 3 study in children and adolescents with chemotherapy resistant B-ALL (NCT03643276; estimated completion </w:t>
      </w:r>
      <w:r w:rsidR="008201FE" w:rsidRPr="00483EB6">
        <w:t xml:space="preserve">July 14 </w:t>
      </w:r>
      <w:r w:rsidRPr="00483EB6">
        <w:t>202</w:t>
      </w:r>
      <w:r w:rsidR="008201FE" w:rsidRPr="00483EB6">
        <w:t>8</w:t>
      </w:r>
      <w:r w:rsidRPr="00483EB6">
        <w:t xml:space="preserve">) and one additional phase 2 study in the MRD setting (NCT03523429; estimated completion </w:t>
      </w:r>
      <w:r w:rsidR="008201FE" w:rsidRPr="00483EB6">
        <w:t xml:space="preserve">January </w:t>
      </w:r>
      <w:r w:rsidRPr="00483EB6">
        <w:t>202</w:t>
      </w:r>
      <w:r w:rsidR="008201FE" w:rsidRPr="00483EB6">
        <w:t>5</w:t>
      </w:r>
      <w:r w:rsidRPr="00483EB6">
        <w:t>) were identified in the literature search.</w:t>
      </w:r>
      <w:r w:rsidR="008470E9" w:rsidRPr="00483EB6">
        <w:t xml:space="preserve"> Six </w:t>
      </w:r>
      <w:r w:rsidR="00CC707D" w:rsidRPr="00483EB6">
        <w:t xml:space="preserve">ongoing </w:t>
      </w:r>
      <w:r w:rsidR="008470E9" w:rsidRPr="00483EB6">
        <w:t xml:space="preserve">studies identified in the July 2018 submission </w:t>
      </w:r>
      <w:r w:rsidR="00CC707D" w:rsidRPr="00483EB6">
        <w:t xml:space="preserve">remain </w:t>
      </w:r>
      <w:r w:rsidR="008470E9" w:rsidRPr="00483EB6">
        <w:t>ongoing.</w:t>
      </w:r>
      <w:r w:rsidR="00DE3E70" w:rsidRPr="00483EB6">
        <w:t xml:space="preserve"> The ESC noted that </w:t>
      </w:r>
      <w:r w:rsidR="00E56733" w:rsidRPr="00483EB6">
        <w:t xml:space="preserve">the submission advised that these trials have been amended to a single arm </w:t>
      </w:r>
      <w:r w:rsidR="00923D2A" w:rsidRPr="00483EB6">
        <w:t>design because</w:t>
      </w:r>
      <w:r w:rsidR="00E56733" w:rsidRPr="00483EB6">
        <w:t xml:space="preserve"> the use of chemotherapy in this patient group was deemed unethical due to known lack of effect. </w:t>
      </w:r>
    </w:p>
    <w:p w:rsidR="007C262D" w:rsidRPr="00483EB6" w:rsidRDefault="004A13D6" w:rsidP="00904FDE">
      <w:pPr>
        <w:pStyle w:val="ListParagraph"/>
        <w:widowControl/>
        <w:numPr>
          <w:ilvl w:val="1"/>
          <w:numId w:val="3"/>
        </w:numPr>
        <w:spacing w:before="120" w:after="120"/>
      </w:pPr>
      <w:r w:rsidRPr="00483EB6">
        <w:t>The resubmission was based on the same clinical evidence presented at the July 2018 meeting; i.e. a propensity score indirect analysis of one single arm blinatumomab study (BLAST; N=116) and one retrospective historical control cohort study of patients receiving treatment with standard of care chemotherapy (Study 20120148; N=287) in patients with B-ALL in haematological remission with MRD.</w:t>
      </w:r>
    </w:p>
    <w:p w:rsidR="00C81FD3" w:rsidRPr="00483EB6" w:rsidRDefault="001A14CD" w:rsidP="00904FDE">
      <w:pPr>
        <w:pStyle w:val="ListParagraph"/>
        <w:widowControl/>
        <w:numPr>
          <w:ilvl w:val="1"/>
          <w:numId w:val="3"/>
        </w:numPr>
        <w:spacing w:before="120" w:after="120"/>
      </w:pPr>
      <w:r w:rsidRPr="00483EB6">
        <w:t>The results of a sponsor-commissioned</w:t>
      </w:r>
      <w:r w:rsidR="00C81FD3" w:rsidRPr="00483EB6">
        <w:t xml:space="preserve"> online survey of Australian clinicians with experience treating patients with ALL were presented a</w:t>
      </w:r>
      <w:r w:rsidR="00256FDE" w:rsidRPr="00483EB6">
        <w:t>s</w:t>
      </w:r>
      <w:r w:rsidR="00C81FD3" w:rsidRPr="00483EB6">
        <w:t xml:space="preserve"> supportive evidence, in conjunction with advice from an expert advisory committee to the sponsor. The clinician survey was small (</w:t>
      </w:r>
      <w:r w:rsidRPr="00483EB6">
        <w:t>520 haematologists were invited to participate, however the survey was closed after 25 questionnaires were completed</w:t>
      </w:r>
      <w:r w:rsidR="00C81FD3" w:rsidRPr="00483EB6">
        <w:t>), included only three clinician</w:t>
      </w:r>
      <w:r w:rsidRPr="00483EB6">
        <w:t>s</w:t>
      </w:r>
      <w:r w:rsidR="00C81FD3" w:rsidRPr="00483EB6">
        <w:t xml:space="preserve"> with paediatric experience, and may not be representative.</w:t>
      </w:r>
    </w:p>
    <w:p w:rsidR="00862502" w:rsidRPr="00483EB6" w:rsidRDefault="00A73134" w:rsidP="00904FDE">
      <w:pPr>
        <w:pStyle w:val="ListParagraph"/>
        <w:widowControl/>
        <w:numPr>
          <w:ilvl w:val="1"/>
          <w:numId w:val="3"/>
        </w:numPr>
        <w:spacing w:before="120" w:after="120"/>
      </w:pPr>
      <w:r w:rsidRPr="00483EB6">
        <w:rPr>
          <w:rFonts w:cs="Calibri"/>
          <w:snapToGrid/>
          <w:szCs w:val="24"/>
          <w:lang w:eastAsia="en-AU"/>
        </w:rPr>
        <w:t xml:space="preserve">Details of the </w:t>
      </w:r>
      <w:r w:rsidR="008D4635" w:rsidRPr="00483EB6">
        <w:rPr>
          <w:rFonts w:cs="Calibri"/>
          <w:snapToGrid/>
          <w:szCs w:val="24"/>
          <w:lang w:eastAsia="en-AU"/>
        </w:rPr>
        <w:t>studies</w:t>
      </w:r>
      <w:r w:rsidRPr="00483EB6">
        <w:rPr>
          <w:rFonts w:cs="Calibri"/>
          <w:snapToGrid/>
          <w:szCs w:val="24"/>
          <w:lang w:eastAsia="en-AU"/>
        </w:rPr>
        <w:t xml:space="preserve"> presented in the submission are provided in the table below</w:t>
      </w:r>
      <w:r w:rsidR="00483EB6">
        <w:rPr>
          <w:rFonts w:cs="Calibri"/>
          <w:snapToGrid/>
          <w:szCs w:val="24"/>
          <w:lang w:eastAsia="en-AU"/>
        </w:rPr>
        <w:t xml:space="preserve">. </w:t>
      </w:r>
    </w:p>
    <w:p w:rsidR="008E0D3C" w:rsidRPr="00483EB6" w:rsidRDefault="008D4635" w:rsidP="007F29E7">
      <w:pPr>
        <w:keepNext/>
        <w:keepLines/>
        <w:rPr>
          <w:rStyle w:val="CommentReference"/>
        </w:rPr>
      </w:pPr>
      <w:r w:rsidRPr="00483EB6">
        <w:rPr>
          <w:rStyle w:val="CommentReference"/>
        </w:rPr>
        <w:lastRenderedPageBreak/>
        <w:t>Table 3</w:t>
      </w:r>
      <w:r w:rsidR="008E0D3C" w:rsidRPr="00483EB6">
        <w:rPr>
          <w:rStyle w:val="CommentReference"/>
        </w:rPr>
        <w:t xml:space="preserve">:  </w:t>
      </w:r>
      <w:r w:rsidR="00017F48" w:rsidRPr="00483EB6">
        <w:rPr>
          <w:rStyle w:val="CommentReference"/>
        </w:rPr>
        <w:t>Studies</w:t>
      </w:r>
      <w:r w:rsidR="008E0D3C" w:rsidRPr="00483EB6">
        <w:rPr>
          <w:rStyle w:val="CommentReference"/>
        </w:rPr>
        <w:t xml:space="preserve">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2:  Summary of key outstanding matters of concern (Blinatumomab PSD July 2018)"/>
      </w:tblPr>
      <w:tblGrid>
        <w:gridCol w:w="1435"/>
        <w:gridCol w:w="5459"/>
        <w:gridCol w:w="2123"/>
      </w:tblGrid>
      <w:tr w:rsidR="008D4635" w:rsidRPr="00483EB6" w:rsidTr="008470E9">
        <w:trPr>
          <w:tblHeader/>
        </w:trPr>
        <w:tc>
          <w:tcPr>
            <w:tcW w:w="796" w:type="pct"/>
            <w:vAlign w:val="center"/>
          </w:tcPr>
          <w:p w:rsidR="008D4635" w:rsidRPr="00483EB6" w:rsidRDefault="008D4635" w:rsidP="007F29E7">
            <w:pPr>
              <w:pStyle w:val="Tabletext"/>
              <w:keepNext/>
              <w:keepLines/>
              <w:rPr>
                <w:b/>
              </w:rPr>
            </w:pPr>
            <w:r w:rsidRPr="00483EB6">
              <w:rPr>
                <w:b/>
              </w:rPr>
              <w:t>Study ID</w:t>
            </w:r>
          </w:p>
        </w:tc>
        <w:tc>
          <w:tcPr>
            <w:tcW w:w="3027" w:type="pct"/>
            <w:vAlign w:val="center"/>
          </w:tcPr>
          <w:p w:rsidR="008D4635" w:rsidRPr="00483EB6" w:rsidRDefault="008D4635" w:rsidP="007F29E7">
            <w:pPr>
              <w:pStyle w:val="Tabletext"/>
              <w:keepNext/>
              <w:keepLines/>
              <w:jc w:val="center"/>
              <w:rPr>
                <w:b/>
              </w:rPr>
            </w:pPr>
            <w:r w:rsidRPr="00483EB6">
              <w:rPr>
                <w:b/>
              </w:rPr>
              <w:t>Protocol title/ Publication title</w:t>
            </w:r>
          </w:p>
        </w:tc>
        <w:tc>
          <w:tcPr>
            <w:tcW w:w="1177" w:type="pct"/>
            <w:vAlign w:val="center"/>
          </w:tcPr>
          <w:p w:rsidR="008D4635" w:rsidRPr="00483EB6" w:rsidRDefault="008D4635" w:rsidP="007F29E7">
            <w:pPr>
              <w:pStyle w:val="Tabletext"/>
              <w:keepNext/>
              <w:keepLines/>
              <w:jc w:val="center"/>
              <w:rPr>
                <w:b/>
              </w:rPr>
            </w:pPr>
            <w:r w:rsidRPr="00483EB6">
              <w:rPr>
                <w:b/>
              </w:rPr>
              <w:t>Publication citation</w:t>
            </w:r>
          </w:p>
        </w:tc>
      </w:tr>
      <w:tr w:rsidR="008D4635" w:rsidRPr="00483EB6" w:rsidTr="008470E9">
        <w:tc>
          <w:tcPr>
            <w:tcW w:w="5000" w:type="pct"/>
            <w:gridSpan w:val="3"/>
          </w:tcPr>
          <w:p w:rsidR="008D4635" w:rsidRPr="00483EB6" w:rsidRDefault="008D4635" w:rsidP="007F29E7">
            <w:pPr>
              <w:pStyle w:val="Tabletext"/>
              <w:keepNext/>
              <w:keepLines/>
              <w:rPr>
                <w:b/>
              </w:rPr>
            </w:pPr>
            <w:r w:rsidRPr="00483EB6">
              <w:rPr>
                <w:b/>
              </w:rPr>
              <w:t>Key single arm study</w:t>
            </w:r>
          </w:p>
        </w:tc>
      </w:tr>
      <w:tr w:rsidR="008D4635" w:rsidRPr="00483EB6" w:rsidTr="008470E9">
        <w:tc>
          <w:tcPr>
            <w:tcW w:w="796" w:type="pct"/>
            <w:vMerge w:val="restart"/>
          </w:tcPr>
          <w:p w:rsidR="008D4635" w:rsidRPr="00483EB6" w:rsidRDefault="008D4635" w:rsidP="007F29E7">
            <w:pPr>
              <w:pStyle w:val="Tabletext"/>
              <w:keepNext/>
              <w:keepLines/>
              <w:rPr>
                <w:szCs w:val="20"/>
              </w:rPr>
            </w:pPr>
            <w:r w:rsidRPr="00483EB6">
              <w:rPr>
                <w:szCs w:val="20"/>
              </w:rPr>
              <w:t xml:space="preserve">BLAST </w:t>
            </w:r>
          </w:p>
          <w:p w:rsidR="008D4635" w:rsidRPr="00483EB6" w:rsidRDefault="008D4635" w:rsidP="007F29E7">
            <w:pPr>
              <w:pStyle w:val="Tabletext"/>
              <w:keepNext/>
              <w:keepLines/>
              <w:rPr>
                <w:rFonts w:ascii="Times" w:hAnsi="Times"/>
              </w:rPr>
            </w:pPr>
            <w:r w:rsidRPr="00483EB6">
              <w:rPr>
                <w:szCs w:val="20"/>
              </w:rPr>
              <w:t>(MT103-203)</w:t>
            </w:r>
            <w:r w:rsidRPr="00483EB6">
              <w:t xml:space="preserve"> NCT01207388</w:t>
            </w:r>
          </w:p>
        </w:tc>
        <w:tc>
          <w:tcPr>
            <w:tcW w:w="3027" w:type="pct"/>
            <w:tcBorders>
              <w:bottom w:val="nil"/>
            </w:tcBorders>
          </w:tcPr>
          <w:p w:rsidR="008D4635" w:rsidRPr="00483EB6" w:rsidRDefault="008D4635" w:rsidP="007F29E7">
            <w:pPr>
              <w:pStyle w:val="Tabletext"/>
              <w:keepNext/>
              <w:keepLines/>
              <w:rPr>
                <w:szCs w:val="18"/>
              </w:rPr>
            </w:pPr>
            <w:r w:rsidRPr="00483EB6">
              <w:t xml:space="preserve">A confirmatory </w:t>
            </w:r>
            <w:proofErr w:type="spellStart"/>
            <w:r w:rsidRPr="00483EB6">
              <w:t>multicenter</w:t>
            </w:r>
            <w:proofErr w:type="spellEnd"/>
            <w:r w:rsidRPr="00483EB6">
              <w:t xml:space="preserve">, single-arm study to assess the efficacy, safety, and tolerability of the </w:t>
            </w:r>
            <w:proofErr w:type="spellStart"/>
            <w:r w:rsidRPr="00483EB6">
              <w:t>BiTE</w:t>
            </w:r>
            <w:proofErr w:type="spellEnd"/>
            <w:r w:rsidRPr="00483EB6">
              <w:t xml:space="preserve">® antibody </w:t>
            </w:r>
            <w:proofErr w:type="spellStart"/>
            <w:r w:rsidRPr="00483EB6">
              <w:t>blinatumomab</w:t>
            </w:r>
            <w:proofErr w:type="spellEnd"/>
            <w:r w:rsidRPr="00483EB6">
              <w:t xml:space="preserve"> in adult subjects with minimal residual disease (MRD) of B-precursor acute lymphoblastic </w:t>
            </w:r>
            <w:proofErr w:type="spellStart"/>
            <w:r w:rsidRPr="00483EB6">
              <w:t>leukemia</w:t>
            </w:r>
            <w:proofErr w:type="spellEnd"/>
            <w:r w:rsidRPr="00483EB6">
              <w:t>.</w:t>
            </w:r>
          </w:p>
        </w:tc>
        <w:tc>
          <w:tcPr>
            <w:tcW w:w="1177" w:type="pct"/>
            <w:tcBorders>
              <w:bottom w:val="nil"/>
            </w:tcBorders>
          </w:tcPr>
          <w:p w:rsidR="008D4635" w:rsidRPr="00483EB6" w:rsidRDefault="008D4635" w:rsidP="007F29E7">
            <w:pPr>
              <w:pStyle w:val="Tabletext"/>
              <w:keepNext/>
              <w:keepLines/>
              <w:rPr>
                <w:rFonts w:ascii="Times" w:hAnsi="Times"/>
              </w:rPr>
            </w:pPr>
            <w:r w:rsidRPr="00483EB6">
              <w:t>Report date: 24 September 2014.</w:t>
            </w:r>
          </w:p>
        </w:tc>
      </w:tr>
      <w:tr w:rsidR="008D4635" w:rsidRPr="00483EB6" w:rsidTr="008470E9">
        <w:tc>
          <w:tcPr>
            <w:tcW w:w="796" w:type="pct"/>
            <w:vMerge/>
          </w:tcPr>
          <w:p w:rsidR="008D4635" w:rsidRPr="00483EB6" w:rsidRDefault="008D4635" w:rsidP="007F29E7">
            <w:pPr>
              <w:pStyle w:val="Tabletext"/>
              <w:keepNext/>
              <w:keepLines/>
            </w:pPr>
          </w:p>
        </w:tc>
        <w:tc>
          <w:tcPr>
            <w:tcW w:w="3027" w:type="pct"/>
            <w:tcBorders>
              <w:top w:val="nil"/>
              <w:bottom w:val="nil"/>
            </w:tcBorders>
          </w:tcPr>
          <w:p w:rsidR="008D4635" w:rsidRPr="00483EB6" w:rsidRDefault="008D4635" w:rsidP="007F29E7">
            <w:pPr>
              <w:pStyle w:val="Tabletext"/>
              <w:keepNext/>
              <w:keepLines/>
              <w:rPr>
                <w:szCs w:val="18"/>
                <w:lang w:eastAsia="en-AU"/>
              </w:rPr>
            </w:pPr>
            <w:proofErr w:type="spellStart"/>
            <w:r w:rsidRPr="00483EB6">
              <w:rPr>
                <w:color w:val="000000" w:themeColor="text1"/>
              </w:rPr>
              <w:t>Gökbuget</w:t>
            </w:r>
            <w:proofErr w:type="spellEnd"/>
            <w:r w:rsidRPr="00483EB6">
              <w:rPr>
                <w:color w:val="000000" w:themeColor="text1"/>
              </w:rPr>
              <w:t xml:space="preserve">, N., et al. Blinatumomab for minimal residual disease in adults with B-precursor acute lymphoblastic </w:t>
            </w:r>
            <w:proofErr w:type="spellStart"/>
            <w:r w:rsidRPr="00483EB6">
              <w:rPr>
                <w:color w:val="000000" w:themeColor="text1"/>
              </w:rPr>
              <w:t>leukemia</w:t>
            </w:r>
            <w:proofErr w:type="spellEnd"/>
            <w:r w:rsidRPr="00483EB6">
              <w:rPr>
                <w:color w:val="000000" w:themeColor="text1"/>
              </w:rPr>
              <w:t>.</w:t>
            </w:r>
          </w:p>
        </w:tc>
        <w:tc>
          <w:tcPr>
            <w:tcW w:w="1177" w:type="pct"/>
            <w:tcBorders>
              <w:top w:val="nil"/>
              <w:bottom w:val="nil"/>
            </w:tcBorders>
          </w:tcPr>
          <w:p w:rsidR="008D4635" w:rsidRPr="00483EB6" w:rsidRDefault="008D4635" w:rsidP="007F29E7">
            <w:pPr>
              <w:pStyle w:val="Tabletext"/>
              <w:keepNext/>
              <w:keepLines/>
              <w:rPr>
                <w:szCs w:val="18"/>
                <w:lang w:eastAsia="en-AU"/>
              </w:rPr>
            </w:pPr>
            <w:r w:rsidRPr="00483EB6">
              <w:rPr>
                <w:i/>
                <w:color w:val="000000" w:themeColor="text1"/>
              </w:rPr>
              <w:t>Blood First Edition Paper</w:t>
            </w:r>
            <w:r w:rsidRPr="00483EB6">
              <w:rPr>
                <w:color w:val="000000" w:themeColor="text1"/>
              </w:rPr>
              <w:t>, online January 22, 2018.</w:t>
            </w:r>
          </w:p>
        </w:tc>
      </w:tr>
      <w:tr w:rsidR="008D4635" w:rsidRPr="00483EB6" w:rsidTr="008470E9">
        <w:trPr>
          <w:trHeight w:val="231"/>
        </w:trPr>
        <w:tc>
          <w:tcPr>
            <w:tcW w:w="796" w:type="pct"/>
            <w:vMerge/>
          </w:tcPr>
          <w:p w:rsidR="008D4635" w:rsidRPr="00483EB6" w:rsidRDefault="008D4635" w:rsidP="007F29E7">
            <w:pPr>
              <w:pStyle w:val="Tabletext"/>
              <w:keepNext/>
              <w:keepLines/>
            </w:pPr>
          </w:p>
        </w:tc>
        <w:tc>
          <w:tcPr>
            <w:tcW w:w="3027" w:type="pct"/>
            <w:tcBorders>
              <w:top w:val="nil"/>
              <w:bottom w:val="nil"/>
            </w:tcBorders>
          </w:tcPr>
          <w:p w:rsidR="008D4635" w:rsidRPr="00483EB6" w:rsidRDefault="008D4635" w:rsidP="007F29E7">
            <w:pPr>
              <w:pStyle w:val="Tabletext"/>
              <w:keepNext/>
              <w:keepLines/>
              <w:rPr>
                <w:szCs w:val="18"/>
                <w:lang w:eastAsia="en-AU"/>
              </w:rPr>
            </w:pPr>
            <w:proofErr w:type="spellStart"/>
            <w:r w:rsidRPr="00483EB6">
              <w:t>Gökbuget</w:t>
            </w:r>
            <w:proofErr w:type="spellEnd"/>
            <w:r w:rsidRPr="00483EB6">
              <w:t xml:space="preserve">, N., et al. Long-term outcomes after blinatumomab treatment: Follow-up of a phase 2 study in patients (PTS) with minimal residual disease (MRD) positive b-cell precursor acute lymphoblastic </w:t>
            </w:r>
            <w:proofErr w:type="spellStart"/>
            <w:r w:rsidRPr="00483EB6">
              <w:t>leukemia</w:t>
            </w:r>
            <w:proofErr w:type="spellEnd"/>
            <w:r w:rsidRPr="00483EB6">
              <w:t xml:space="preserve"> (ALL).</w:t>
            </w:r>
          </w:p>
        </w:tc>
        <w:tc>
          <w:tcPr>
            <w:tcW w:w="1177" w:type="pct"/>
            <w:tcBorders>
              <w:top w:val="nil"/>
              <w:bottom w:val="nil"/>
            </w:tcBorders>
          </w:tcPr>
          <w:p w:rsidR="008D4635" w:rsidRPr="00483EB6" w:rsidRDefault="008D4635" w:rsidP="007F29E7">
            <w:pPr>
              <w:pStyle w:val="Tabletext"/>
              <w:keepNext/>
              <w:keepLines/>
              <w:rPr>
                <w:i/>
                <w:szCs w:val="18"/>
                <w:lang w:eastAsia="en-AU"/>
              </w:rPr>
            </w:pPr>
            <w:r w:rsidRPr="00483EB6">
              <w:rPr>
                <w:i/>
              </w:rPr>
              <w:t>Blood</w:t>
            </w:r>
            <w:r w:rsidRPr="00483EB6">
              <w:t xml:space="preserve"> 2015; 126(23): 680.</w:t>
            </w:r>
          </w:p>
        </w:tc>
      </w:tr>
      <w:tr w:rsidR="008D4635" w:rsidRPr="00483EB6" w:rsidTr="008470E9">
        <w:trPr>
          <w:trHeight w:val="918"/>
        </w:trPr>
        <w:tc>
          <w:tcPr>
            <w:tcW w:w="796" w:type="pct"/>
            <w:vMerge/>
          </w:tcPr>
          <w:p w:rsidR="008D4635" w:rsidRPr="00483EB6" w:rsidRDefault="008D4635" w:rsidP="007F29E7">
            <w:pPr>
              <w:pStyle w:val="Tabletext"/>
              <w:keepNext/>
              <w:keepLines/>
            </w:pPr>
          </w:p>
        </w:tc>
        <w:tc>
          <w:tcPr>
            <w:tcW w:w="3027" w:type="pct"/>
            <w:tcBorders>
              <w:top w:val="nil"/>
            </w:tcBorders>
          </w:tcPr>
          <w:p w:rsidR="008D4635" w:rsidRPr="00483EB6" w:rsidRDefault="008D4635" w:rsidP="007F29E7">
            <w:pPr>
              <w:pStyle w:val="Tabletext"/>
              <w:keepNext/>
              <w:keepLines/>
              <w:rPr>
                <w:szCs w:val="18"/>
                <w:lang w:eastAsia="en-AU"/>
              </w:rPr>
            </w:pPr>
            <w:proofErr w:type="spellStart"/>
            <w:r w:rsidRPr="00483EB6">
              <w:t>Gökbuget</w:t>
            </w:r>
            <w:proofErr w:type="spellEnd"/>
            <w:r w:rsidRPr="00483EB6">
              <w:t>, N., et al. BLAST: A confirmatory, single-arm, phase 2 study of blinatumomab, a bispecific T-cell engager (</w:t>
            </w:r>
            <w:proofErr w:type="spellStart"/>
            <w:r w:rsidRPr="00483EB6">
              <w:t>BiTE</w:t>
            </w:r>
            <w:proofErr w:type="spellEnd"/>
            <w:r w:rsidRPr="00483EB6">
              <w:t xml:space="preserve">®) antibody construct, in patients with minimal residual disease B-precursor acute lymphoblastic </w:t>
            </w:r>
            <w:proofErr w:type="spellStart"/>
            <w:r w:rsidRPr="00483EB6">
              <w:t>leukemia</w:t>
            </w:r>
            <w:proofErr w:type="spellEnd"/>
            <w:r w:rsidRPr="00483EB6">
              <w:t xml:space="preserve"> (ALL).</w:t>
            </w:r>
          </w:p>
        </w:tc>
        <w:tc>
          <w:tcPr>
            <w:tcW w:w="1177" w:type="pct"/>
            <w:tcBorders>
              <w:top w:val="nil"/>
            </w:tcBorders>
          </w:tcPr>
          <w:p w:rsidR="008D4635" w:rsidRPr="00483EB6" w:rsidRDefault="008D4635" w:rsidP="007F29E7">
            <w:pPr>
              <w:pStyle w:val="Tabletext"/>
              <w:keepNext/>
              <w:keepLines/>
              <w:rPr>
                <w:szCs w:val="18"/>
                <w:lang w:eastAsia="en-AU"/>
              </w:rPr>
            </w:pPr>
            <w:r w:rsidRPr="00483EB6">
              <w:rPr>
                <w:i/>
              </w:rPr>
              <w:t>Blood</w:t>
            </w:r>
            <w:r w:rsidRPr="00483EB6">
              <w:t xml:space="preserve"> 2014; 124(21): 379.</w:t>
            </w:r>
          </w:p>
        </w:tc>
      </w:tr>
      <w:tr w:rsidR="008D4635" w:rsidRPr="00483EB6" w:rsidTr="008470E9">
        <w:tc>
          <w:tcPr>
            <w:tcW w:w="5000" w:type="pct"/>
            <w:gridSpan w:val="3"/>
          </w:tcPr>
          <w:p w:rsidR="008D4635" w:rsidRPr="00483EB6" w:rsidRDefault="008D4635" w:rsidP="007F29E7">
            <w:pPr>
              <w:pStyle w:val="Tabletext"/>
              <w:keepNext/>
              <w:keepLines/>
              <w:rPr>
                <w:b/>
              </w:rPr>
            </w:pPr>
            <w:r w:rsidRPr="00483EB6">
              <w:rPr>
                <w:b/>
              </w:rPr>
              <w:t>Supportive single arm study</w:t>
            </w:r>
          </w:p>
        </w:tc>
      </w:tr>
      <w:tr w:rsidR="008D4635" w:rsidRPr="00483EB6" w:rsidTr="008470E9">
        <w:tc>
          <w:tcPr>
            <w:tcW w:w="796" w:type="pct"/>
            <w:vMerge w:val="restart"/>
          </w:tcPr>
          <w:p w:rsidR="008D4635" w:rsidRPr="00483EB6" w:rsidRDefault="008D4635" w:rsidP="007F29E7">
            <w:pPr>
              <w:pStyle w:val="TableText0"/>
            </w:pPr>
            <w:r w:rsidRPr="00483EB6">
              <w:t>MT103-202</w:t>
            </w:r>
          </w:p>
          <w:p w:rsidR="008D4635" w:rsidRPr="00483EB6" w:rsidRDefault="008D4635" w:rsidP="007F29E7">
            <w:pPr>
              <w:pStyle w:val="Tabletext"/>
              <w:keepNext/>
              <w:keepLines/>
              <w:rPr>
                <w:rFonts w:ascii="Times" w:hAnsi="Times"/>
              </w:rPr>
            </w:pPr>
            <w:r w:rsidRPr="00483EB6">
              <w:t>NCT00560794</w:t>
            </w:r>
          </w:p>
        </w:tc>
        <w:tc>
          <w:tcPr>
            <w:tcW w:w="3027" w:type="pct"/>
            <w:tcBorders>
              <w:bottom w:val="nil"/>
            </w:tcBorders>
          </w:tcPr>
          <w:p w:rsidR="008D4635" w:rsidRPr="00483EB6" w:rsidRDefault="008D4635" w:rsidP="007F29E7">
            <w:pPr>
              <w:pStyle w:val="Tabletext"/>
              <w:keepNext/>
              <w:keepLines/>
              <w:rPr>
                <w:rFonts w:ascii="Times" w:hAnsi="Times"/>
              </w:rPr>
            </w:pPr>
            <w:r w:rsidRPr="00483EB6">
              <w:t xml:space="preserve">An open-label, </w:t>
            </w:r>
            <w:proofErr w:type="spellStart"/>
            <w:r w:rsidRPr="00483EB6">
              <w:t>multicenter</w:t>
            </w:r>
            <w:proofErr w:type="spellEnd"/>
            <w:r w:rsidRPr="00483EB6">
              <w:t xml:space="preserve"> phase 2 study to investigate the efficacy, safety, and tolerability of the Bi-specific T-cell engager (</w:t>
            </w:r>
            <w:proofErr w:type="spellStart"/>
            <w:r w:rsidRPr="00483EB6">
              <w:t>BiTE</w:t>
            </w:r>
            <w:proofErr w:type="spellEnd"/>
            <w:r w:rsidRPr="00483EB6">
              <w:t xml:space="preserve">) MT103 in patients with minimal residual disease (MRD) of positive B-precursor acute lymphoblastic </w:t>
            </w:r>
            <w:proofErr w:type="spellStart"/>
            <w:r w:rsidRPr="00483EB6">
              <w:t>leukemia</w:t>
            </w:r>
            <w:proofErr w:type="spellEnd"/>
            <w:r w:rsidRPr="00483EB6">
              <w:t xml:space="preserve"> (ALL).</w:t>
            </w:r>
          </w:p>
        </w:tc>
        <w:tc>
          <w:tcPr>
            <w:tcW w:w="1177" w:type="pct"/>
            <w:tcBorders>
              <w:bottom w:val="nil"/>
            </w:tcBorders>
          </w:tcPr>
          <w:p w:rsidR="008D4635" w:rsidRPr="00483EB6" w:rsidRDefault="008D4635" w:rsidP="007F29E7">
            <w:pPr>
              <w:pStyle w:val="TableText0"/>
              <w:widowControl w:val="0"/>
            </w:pPr>
            <w:r w:rsidRPr="00483EB6">
              <w:t>Report date: 7 November 2013.</w:t>
            </w:r>
          </w:p>
        </w:tc>
      </w:tr>
      <w:tr w:rsidR="008D4635" w:rsidRPr="00483EB6" w:rsidTr="008470E9">
        <w:tc>
          <w:tcPr>
            <w:tcW w:w="796" w:type="pct"/>
            <w:vMerge/>
          </w:tcPr>
          <w:p w:rsidR="008D4635" w:rsidRPr="00483EB6" w:rsidRDefault="008D4635" w:rsidP="007F29E7">
            <w:pPr>
              <w:pStyle w:val="Tabletext"/>
              <w:keepNext/>
              <w:keepLines/>
            </w:pPr>
          </w:p>
        </w:tc>
        <w:tc>
          <w:tcPr>
            <w:tcW w:w="3027" w:type="pct"/>
            <w:tcBorders>
              <w:top w:val="nil"/>
              <w:bottom w:val="nil"/>
            </w:tcBorders>
          </w:tcPr>
          <w:p w:rsidR="008D4635" w:rsidRPr="00483EB6" w:rsidRDefault="008D4635" w:rsidP="007F29E7">
            <w:pPr>
              <w:pStyle w:val="Tabletext"/>
              <w:keepNext/>
              <w:keepLines/>
              <w:rPr>
                <w:szCs w:val="18"/>
              </w:rPr>
            </w:pPr>
            <w:proofErr w:type="spellStart"/>
            <w:r w:rsidRPr="00483EB6">
              <w:t>Topp</w:t>
            </w:r>
            <w:proofErr w:type="spellEnd"/>
            <w:r w:rsidRPr="00483EB6">
              <w:t>, M. S., et al. Long-term follow-up of hematologic relapse-free survival in a phase 2 study of blinatumomab in patients with MRD in B-lineage ALL.</w:t>
            </w:r>
          </w:p>
        </w:tc>
        <w:tc>
          <w:tcPr>
            <w:tcW w:w="1177" w:type="pct"/>
            <w:tcBorders>
              <w:top w:val="nil"/>
              <w:bottom w:val="nil"/>
            </w:tcBorders>
          </w:tcPr>
          <w:p w:rsidR="008D4635" w:rsidRPr="00483EB6" w:rsidRDefault="008D4635" w:rsidP="007F29E7">
            <w:pPr>
              <w:pStyle w:val="Tabletext"/>
              <w:keepNext/>
              <w:keepLines/>
              <w:rPr>
                <w:i/>
              </w:rPr>
            </w:pPr>
            <w:r w:rsidRPr="00483EB6">
              <w:rPr>
                <w:i/>
              </w:rPr>
              <w:t>Blood</w:t>
            </w:r>
            <w:r w:rsidRPr="00483EB6">
              <w:t xml:space="preserve"> 2012; 120(26): 5185-5187.</w:t>
            </w:r>
          </w:p>
        </w:tc>
      </w:tr>
      <w:tr w:rsidR="008D4635" w:rsidRPr="00483EB6" w:rsidTr="008470E9">
        <w:trPr>
          <w:trHeight w:val="233"/>
        </w:trPr>
        <w:tc>
          <w:tcPr>
            <w:tcW w:w="796" w:type="pct"/>
            <w:vMerge/>
          </w:tcPr>
          <w:p w:rsidR="008D4635" w:rsidRPr="00483EB6" w:rsidRDefault="008D4635" w:rsidP="007F29E7">
            <w:pPr>
              <w:pStyle w:val="Tabletext"/>
              <w:keepNext/>
              <w:keepLines/>
            </w:pPr>
          </w:p>
        </w:tc>
        <w:tc>
          <w:tcPr>
            <w:tcW w:w="3027" w:type="pct"/>
            <w:tcBorders>
              <w:top w:val="nil"/>
              <w:bottom w:val="nil"/>
            </w:tcBorders>
          </w:tcPr>
          <w:p w:rsidR="008D4635" w:rsidRPr="00483EB6" w:rsidRDefault="008D4635" w:rsidP="007F29E7">
            <w:pPr>
              <w:pStyle w:val="Tabletext"/>
              <w:keepNext/>
              <w:keepLines/>
              <w:rPr>
                <w:szCs w:val="18"/>
              </w:rPr>
            </w:pPr>
            <w:r w:rsidRPr="00483EB6">
              <w:t xml:space="preserve">Klinger, M., et al. </w:t>
            </w:r>
            <w:proofErr w:type="spellStart"/>
            <w:r w:rsidRPr="00483EB6">
              <w:t>Immunopharmacologic</w:t>
            </w:r>
            <w:proofErr w:type="spellEnd"/>
            <w:r w:rsidRPr="00483EB6">
              <w:t xml:space="preserve"> response of patients with B-lineage acute lymphoblastic </w:t>
            </w:r>
            <w:proofErr w:type="spellStart"/>
            <w:r w:rsidRPr="00483EB6">
              <w:t>leukemia</w:t>
            </w:r>
            <w:proofErr w:type="spellEnd"/>
            <w:r w:rsidRPr="00483EB6">
              <w:t xml:space="preserve"> to continuous infusion of T cell-engaging CD19/CD3-bispecific </w:t>
            </w:r>
            <w:proofErr w:type="spellStart"/>
            <w:r w:rsidRPr="00483EB6">
              <w:t>BiTE</w:t>
            </w:r>
            <w:proofErr w:type="spellEnd"/>
            <w:r w:rsidRPr="00483EB6">
              <w:t xml:space="preserve"> antibody </w:t>
            </w:r>
            <w:proofErr w:type="spellStart"/>
            <w:r w:rsidRPr="00483EB6">
              <w:t>blinatumomab</w:t>
            </w:r>
            <w:proofErr w:type="spellEnd"/>
            <w:r w:rsidRPr="00483EB6">
              <w:t>.</w:t>
            </w:r>
          </w:p>
        </w:tc>
        <w:tc>
          <w:tcPr>
            <w:tcW w:w="1177" w:type="pct"/>
            <w:tcBorders>
              <w:top w:val="nil"/>
              <w:bottom w:val="nil"/>
            </w:tcBorders>
          </w:tcPr>
          <w:p w:rsidR="008D4635" w:rsidRPr="00483EB6" w:rsidRDefault="008D4635" w:rsidP="007F29E7">
            <w:pPr>
              <w:pStyle w:val="Tabletext"/>
              <w:keepNext/>
              <w:keepLines/>
              <w:rPr>
                <w:rFonts w:ascii="Times" w:hAnsi="Times"/>
              </w:rPr>
            </w:pPr>
            <w:r w:rsidRPr="00483EB6">
              <w:rPr>
                <w:i/>
              </w:rPr>
              <w:t>Blood</w:t>
            </w:r>
            <w:r w:rsidRPr="00483EB6">
              <w:t xml:space="preserve"> 2012; 119(26): 6226-6233.</w:t>
            </w:r>
          </w:p>
        </w:tc>
      </w:tr>
      <w:tr w:rsidR="008D4635" w:rsidRPr="00483EB6" w:rsidTr="008470E9">
        <w:trPr>
          <w:trHeight w:val="232"/>
        </w:trPr>
        <w:tc>
          <w:tcPr>
            <w:tcW w:w="796" w:type="pct"/>
            <w:vMerge/>
            <w:tcBorders>
              <w:bottom w:val="nil"/>
            </w:tcBorders>
          </w:tcPr>
          <w:p w:rsidR="008D4635" w:rsidRPr="00483EB6" w:rsidRDefault="008D4635" w:rsidP="007F29E7">
            <w:pPr>
              <w:pStyle w:val="Tabletext"/>
              <w:keepNext/>
              <w:keepLines/>
            </w:pPr>
          </w:p>
        </w:tc>
        <w:tc>
          <w:tcPr>
            <w:tcW w:w="3027" w:type="pct"/>
            <w:tcBorders>
              <w:top w:val="nil"/>
              <w:bottom w:val="nil"/>
            </w:tcBorders>
          </w:tcPr>
          <w:p w:rsidR="008D4635" w:rsidRPr="00483EB6" w:rsidRDefault="008D4635" w:rsidP="007F29E7">
            <w:pPr>
              <w:pStyle w:val="Tabletext"/>
              <w:keepNext/>
              <w:keepLines/>
              <w:tabs>
                <w:tab w:val="left" w:pos="1515"/>
              </w:tabs>
              <w:rPr>
                <w:szCs w:val="18"/>
              </w:rPr>
            </w:pPr>
            <w:proofErr w:type="spellStart"/>
            <w:r w:rsidRPr="00483EB6">
              <w:t>Topp</w:t>
            </w:r>
            <w:proofErr w:type="spellEnd"/>
            <w:r w:rsidRPr="00483EB6">
              <w:t xml:space="preserve">, M. S., et al. Targeted therapy with the T-cell - Engaging antibody blinatumomab of chemotherapy-refractory minimal residual disease in B-lineage acute lymphoblastic </w:t>
            </w:r>
            <w:proofErr w:type="spellStart"/>
            <w:r w:rsidRPr="00483EB6">
              <w:t>leukemia</w:t>
            </w:r>
            <w:proofErr w:type="spellEnd"/>
            <w:r w:rsidRPr="00483EB6">
              <w:t xml:space="preserve"> </w:t>
            </w:r>
            <w:proofErr w:type="gramStart"/>
            <w:r w:rsidRPr="00483EB6">
              <w:t>patients</w:t>
            </w:r>
            <w:proofErr w:type="gramEnd"/>
            <w:r w:rsidRPr="00483EB6">
              <w:t xml:space="preserve"> results in high response rate and prolonged </w:t>
            </w:r>
            <w:proofErr w:type="spellStart"/>
            <w:r w:rsidRPr="00483EB6">
              <w:t>leukemia</w:t>
            </w:r>
            <w:proofErr w:type="spellEnd"/>
            <w:r w:rsidRPr="00483EB6">
              <w:t>-free survival.</w:t>
            </w:r>
          </w:p>
        </w:tc>
        <w:tc>
          <w:tcPr>
            <w:tcW w:w="1177" w:type="pct"/>
            <w:tcBorders>
              <w:top w:val="nil"/>
              <w:bottom w:val="nil"/>
            </w:tcBorders>
          </w:tcPr>
          <w:p w:rsidR="008D4635" w:rsidRPr="00483EB6" w:rsidRDefault="008D4635" w:rsidP="007F29E7">
            <w:pPr>
              <w:pStyle w:val="Tabletext"/>
              <w:keepNext/>
              <w:keepLines/>
              <w:rPr>
                <w:i/>
                <w:szCs w:val="18"/>
              </w:rPr>
            </w:pPr>
            <w:r w:rsidRPr="00483EB6">
              <w:rPr>
                <w:i/>
              </w:rPr>
              <w:t>Journal of Clinical Oncology</w:t>
            </w:r>
            <w:r w:rsidRPr="00483EB6">
              <w:t xml:space="preserve"> 2011; 29(18): 2493-2498.</w:t>
            </w:r>
          </w:p>
        </w:tc>
      </w:tr>
      <w:tr w:rsidR="008D4635" w:rsidRPr="00483EB6" w:rsidTr="008470E9">
        <w:tc>
          <w:tcPr>
            <w:tcW w:w="5000" w:type="pct"/>
            <w:gridSpan w:val="3"/>
          </w:tcPr>
          <w:p w:rsidR="008D4635" w:rsidRPr="00483EB6" w:rsidRDefault="008D4635" w:rsidP="007F29E7">
            <w:pPr>
              <w:pStyle w:val="Tabletext"/>
              <w:keepNext/>
              <w:keepLines/>
              <w:rPr>
                <w:b/>
              </w:rPr>
            </w:pPr>
            <w:r w:rsidRPr="00483EB6">
              <w:rPr>
                <w:b/>
              </w:rPr>
              <w:t>Supportive single arm study</w:t>
            </w:r>
          </w:p>
        </w:tc>
      </w:tr>
      <w:tr w:rsidR="008D4635" w:rsidRPr="00483EB6" w:rsidTr="008470E9">
        <w:trPr>
          <w:trHeight w:val="113"/>
        </w:trPr>
        <w:tc>
          <w:tcPr>
            <w:tcW w:w="796" w:type="pct"/>
            <w:vMerge w:val="restart"/>
          </w:tcPr>
          <w:p w:rsidR="008D4635" w:rsidRPr="00483EB6" w:rsidRDefault="008D4635" w:rsidP="007F29E7">
            <w:pPr>
              <w:pStyle w:val="TableText0"/>
              <w:rPr>
                <w:rFonts w:eastAsiaTheme="minorEastAsia"/>
              </w:rPr>
            </w:pPr>
            <w:r w:rsidRPr="00483EB6">
              <w:t>20120148</w:t>
            </w:r>
            <w:r w:rsidRPr="00483EB6">
              <w:rPr>
                <w:rFonts w:eastAsiaTheme="minorEastAsia"/>
              </w:rPr>
              <w:t xml:space="preserve"> </w:t>
            </w:r>
          </w:p>
          <w:p w:rsidR="008D4635" w:rsidRPr="00483EB6" w:rsidRDefault="008D4635" w:rsidP="007F29E7">
            <w:pPr>
              <w:pStyle w:val="TableText0"/>
              <w:rPr>
                <w:rFonts w:eastAsiaTheme="minorEastAsia"/>
              </w:rPr>
            </w:pPr>
            <w:r w:rsidRPr="00483EB6">
              <w:rPr>
                <w:rFonts w:eastAsiaTheme="minorEastAsia"/>
              </w:rPr>
              <w:t>(NCT02010931)</w:t>
            </w:r>
          </w:p>
        </w:tc>
        <w:tc>
          <w:tcPr>
            <w:tcW w:w="3027" w:type="pct"/>
            <w:tcBorders>
              <w:bottom w:val="nil"/>
            </w:tcBorders>
          </w:tcPr>
          <w:p w:rsidR="008D4635" w:rsidRPr="00483EB6" w:rsidRDefault="008D4635" w:rsidP="007F29E7">
            <w:pPr>
              <w:pStyle w:val="Tabletext"/>
              <w:keepNext/>
              <w:keepLines/>
              <w:rPr>
                <w:rFonts w:ascii="Times" w:hAnsi="Times"/>
              </w:rPr>
            </w:pPr>
            <w:r w:rsidRPr="00483EB6">
              <w:rPr>
                <w:rFonts w:eastAsiaTheme="minorEastAsia"/>
              </w:rPr>
              <w:t xml:space="preserve">A retrospective analysis of haematological relapse free survival and overall survival in adult patients with Philadelphia-negative B-precursor acute lymphoblastic </w:t>
            </w:r>
            <w:proofErr w:type="spellStart"/>
            <w:r w:rsidRPr="00483EB6">
              <w:rPr>
                <w:rFonts w:eastAsiaTheme="minorEastAsia"/>
              </w:rPr>
              <w:t>leukemia</w:t>
            </w:r>
            <w:proofErr w:type="spellEnd"/>
            <w:r w:rsidRPr="00483EB6">
              <w:rPr>
                <w:rFonts w:eastAsiaTheme="minorEastAsia"/>
              </w:rPr>
              <w:t xml:space="preserve"> in complete haematological remission with minimal residual disease.</w:t>
            </w:r>
          </w:p>
        </w:tc>
        <w:tc>
          <w:tcPr>
            <w:tcW w:w="1177" w:type="pct"/>
            <w:tcBorders>
              <w:bottom w:val="nil"/>
            </w:tcBorders>
          </w:tcPr>
          <w:p w:rsidR="008D4635" w:rsidRPr="00483EB6" w:rsidRDefault="008D4635" w:rsidP="007F29E7">
            <w:pPr>
              <w:pStyle w:val="TableText0"/>
              <w:widowControl w:val="0"/>
            </w:pPr>
            <w:r w:rsidRPr="00483EB6">
              <w:t xml:space="preserve">Report date: </w:t>
            </w:r>
            <w:r w:rsidRPr="00483EB6">
              <w:rPr>
                <w:rFonts w:eastAsiaTheme="minorEastAsia"/>
              </w:rPr>
              <w:t>12 December 2014.</w:t>
            </w:r>
          </w:p>
        </w:tc>
      </w:tr>
      <w:tr w:rsidR="008D4635" w:rsidRPr="00483EB6" w:rsidTr="008470E9">
        <w:trPr>
          <w:trHeight w:val="112"/>
        </w:trPr>
        <w:tc>
          <w:tcPr>
            <w:tcW w:w="796" w:type="pct"/>
            <w:vMerge/>
          </w:tcPr>
          <w:p w:rsidR="008D4635" w:rsidRPr="00483EB6" w:rsidRDefault="008D4635" w:rsidP="007F29E7">
            <w:pPr>
              <w:pStyle w:val="Tabletext"/>
              <w:keepNext/>
              <w:keepLines/>
            </w:pPr>
          </w:p>
        </w:tc>
        <w:tc>
          <w:tcPr>
            <w:tcW w:w="3027" w:type="pct"/>
            <w:tcBorders>
              <w:top w:val="nil"/>
            </w:tcBorders>
          </w:tcPr>
          <w:p w:rsidR="008D4635" w:rsidRPr="00483EB6" w:rsidRDefault="008D4635" w:rsidP="007F29E7">
            <w:pPr>
              <w:pStyle w:val="Tabletext"/>
              <w:keepNext/>
              <w:keepLines/>
              <w:rPr>
                <w:rFonts w:ascii="Times" w:hAnsi="Times"/>
              </w:rPr>
            </w:pPr>
            <w:r w:rsidRPr="00483EB6">
              <w:rPr>
                <w:rFonts w:eastAsiaTheme="minorEastAsia"/>
              </w:rPr>
              <w:t>Propensity score analysis of relapse free survival and overall survival among adult patients with minimal residual disease (MRD) in study 20120148.</w:t>
            </w:r>
          </w:p>
        </w:tc>
        <w:tc>
          <w:tcPr>
            <w:tcW w:w="1177" w:type="pct"/>
            <w:tcBorders>
              <w:top w:val="nil"/>
            </w:tcBorders>
          </w:tcPr>
          <w:p w:rsidR="008D4635" w:rsidRPr="00483EB6" w:rsidRDefault="008D4635" w:rsidP="007F29E7">
            <w:pPr>
              <w:pStyle w:val="Tabletext"/>
              <w:keepNext/>
              <w:keepLines/>
              <w:rPr>
                <w:rFonts w:ascii="Times" w:hAnsi="Times"/>
              </w:rPr>
            </w:pPr>
            <w:r w:rsidRPr="00483EB6">
              <w:t xml:space="preserve">Report date: </w:t>
            </w:r>
            <w:r w:rsidRPr="00483EB6">
              <w:rPr>
                <w:rFonts w:eastAsiaTheme="minorEastAsia"/>
              </w:rPr>
              <w:t>30 January 2017 (updated 19 February 2018).</w:t>
            </w:r>
          </w:p>
        </w:tc>
      </w:tr>
    </w:tbl>
    <w:p w:rsidR="008D4635" w:rsidRPr="00483EB6" w:rsidRDefault="008D4635" w:rsidP="007F29E7">
      <w:pPr>
        <w:pStyle w:val="TableFooter"/>
        <w:keepNext/>
        <w:keepLines/>
      </w:pPr>
      <w:r w:rsidRPr="00483EB6">
        <w:t>Source: Tables 21 and 22, pp.27-29 of the July 2018 submission.</w:t>
      </w:r>
    </w:p>
    <w:p w:rsidR="008D4635" w:rsidRPr="00483EB6" w:rsidRDefault="008D4635" w:rsidP="007F29E7">
      <w:pPr>
        <w:pStyle w:val="TableFooter"/>
        <w:keepNext/>
        <w:keepLines/>
        <w:rPr>
          <w:sz w:val="20"/>
        </w:rPr>
      </w:pPr>
      <w:r w:rsidRPr="00483EB6">
        <w:t>Abbreviations: ALL, acute lymphoblastic leukaemia; MRD, minimal residual disease.</w:t>
      </w:r>
    </w:p>
    <w:p w:rsidR="007F1017" w:rsidRPr="00483EB6" w:rsidRDefault="008F120A" w:rsidP="00904FDE">
      <w:pPr>
        <w:pStyle w:val="ListParagraph"/>
        <w:widowControl/>
        <w:numPr>
          <w:ilvl w:val="1"/>
          <w:numId w:val="3"/>
        </w:numPr>
        <w:spacing w:before="120" w:after="120"/>
      </w:pPr>
      <w:r w:rsidRPr="00483EB6">
        <w:t>The key features o</w:t>
      </w:r>
      <w:r w:rsidR="008D4635" w:rsidRPr="00483EB6">
        <w:t>f the studies</w:t>
      </w:r>
      <w:r w:rsidRPr="00483EB6">
        <w:t xml:space="preserve"> are </w:t>
      </w:r>
      <w:r w:rsidR="002E011D" w:rsidRPr="00483EB6">
        <w:t xml:space="preserve">unchanged from the previous submission and are </w:t>
      </w:r>
      <w:r w:rsidR="008D4635" w:rsidRPr="00483EB6">
        <w:t xml:space="preserve">summarised in the table below. </w:t>
      </w:r>
    </w:p>
    <w:p w:rsidR="007F1017" w:rsidRPr="00483EB6" w:rsidRDefault="008D4635" w:rsidP="00DC1FD4">
      <w:pPr>
        <w:keepNext/>
        <w:keepLines/>
        <w:rPr>
          <w:rStyle w:val="CommentReference"/>
        </w:rPr>
      </w:pPr>
      <w:r w:rsidRPr="00483EB6">
        <w:rPr>
          <w:rStyle w:val="CommentReference"/>
        </w:rPr>
        <w:lastRenderedPageBreak/>
        <w:t>Table 4</w:t>
      </w:r>
      <w:r w:rsidR="007F1017" w:rsidRPr="00483EB6">
        <w:rPr>
          <w:rStyle w:val="CommentReference"/>
        </w:rPr>
        <w:t>: 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4: Key features of the included evidence"/>
      </w:tblPr>
      <w:tblGrid>
        <w:gridCol w:w="953"/>
        <w:gridCol w:w="502"/>
        <w:gridCol w:w="1080"/>
        <w:gridCol w:w="633"/>
        <w:gridCol w:w="1747"/>
        <w:gridCol w:w="1585"/>
        <w:gridCol w:w="1585"/>
        <w:gridCol w:w="932"/>
      </w:tblGrid>
      <w:tr w:rsidR="008D4635" w:rsidRPr="00483EB6" w:rsidTr="00904FDE">
        <w:trPr>
          <w:tblHeader/>
        </w:trPr>
        <w:tc>
          <w:tcPr>
            <w:tcW w:w="528" w:type="pct"/>
            <w:shd w:val="clear" w:color="auto" w:fill="auto"/>
          </w:tcPr>
          <w:p w:rsidR="008D4635" w:rsidRPr="00483EB6" w:rsidRDefault="00017F48" w:rsidP="00DC1FD4">
            <w:pPr>
              <w:pStyle w:val="Tabletext"/>
              <w:keepNext/>
              <w:keepLines/>
              <w:rPr>
                <w:b/>
              </w:rPr>
            </w:pPr>
            <w:r w:rsidRPr="00483EB6">
              <w:rPr>
                <w:b/>
              </w:rPr>
              <w:t>Study</w:t>
            </w:r>
          </w:p>
        </w:tc>
        <w:tc>
          <w:tcPr>
            <w:tcW w:w="278" w:type="pct"/>
            <w:shd w:val="clear" w:color="auto" w:fill="auto"/>
          </w:tcPr>
          <w:p w:rsidR="008D4635" w:rsidRPr="00483EB6" w:rsidRDefault="008D4635" w:rsidP="00DC1FD4">
            <w:pPr>
              <w:pStyle w:val="Tabletext"/>
              <w:keepNext/>
              <w:keepLines/>
              <w:jc w:val="center"/>
              <w:rPr>
                <w:b/>
              </w:rPr>
            </w:pPr>
            <w:r w:rsidRPr="00483EB6">
              <w:rPr>
                <w:b/>
              </w:rPr>
              <w:t>N</w:t>
            </w:r>
          </w:p>
        </w:tc>
        <w:tc>
          <w:tcPr>
            <w:tcW w:w="599" w:type="pct"/>
            <w:shd w:val="clear" w:color="auto" w:fill="auto"/>
          </w:tcPr>
          <w:p w:rsidR="008D4635" w:rsidRPr="00483EB6" w:rsidRDefault="008D4635" w:rsidP="00DC1FD4">
            <w:pPr>
              <w:pStyle w:val="Tabletext"/>
              <w:keepNext/>
              <w:keepLines/>
              <w:jc w:val="center"/>
              <w:rPr>
                <w:b/>
              </w:rPr>
            </w:pPr>
            <w:r w:rsidRPr="00483EB6">
              <w:rPr>
                <w:b/>
              </w:rPr>
              <w:t>Design</w:t>
            </w:r>
          </w:p>
        </w:tc>
        <w:tc>
          <w:tcPr>
            <w:tcW w:w="351" w:type="pct"/>
            <w:shd w:val="clear" w:color="auto" w:fill="auto"/>
          </w:tcPr>
          <w:p w:rsidR="008D4635" w:rsidRPr="00483EB6" w:rsidRDefault="008D4635" w:rsidP="00DC1FD4">
            <w:pPr>
              <w:pStyle w:val="Tabletext"/>
              <w:keepNext/>
              <w:keepLines/>
              <w:jc w:val="center"/>
              <w:rPr>
                <w:b/>
              </w:rPr>
            </w:pPr>
            <w:r w:rsidRPr="00483EB6">
              <w:rPr>
                <w:b/>
              </w:rPr>
              <w:t>Risk of bias</w:t>
            </w:r>
          </w:p>
        </w:tc>
        <w:tc>
          <w:tcPr>
            <w:tcW w:w="969" w:type="pct"/>
          </w:tcPr>
          <w:p w:rsidR="008D4635" w:rsidRPr="00483EB6" w:rsidRDefault="008D4635" w:rsidP="00DC1FD4">
            <w:pPr>
              <w:pStyle w:val="Tabletext"/>
              <w:keepNext/>
              <w:keepLines/>
              <w:jc w:val="center"/>
              <w:rPr>
                <w:b/>
              </w:rPr>
            </w:pPr>
            <w:r w:rsidRPr="00483EB6">
              <w:rPr>
                <w:b/>
              </w:rPr>
              <w:t>Intervention</w:t>
            </w:r>
          </w:p>
        </w:tc>
        <w:tc>
          <w:tcPr>
            <w:tcW w:w="879" w:type="pct"/>
            <w:shd w:val="clear" w:color="auto" w:fill="auto"/>
          </w:tcPr>
          <w:p w:rsidR="008D4635" w:rsidRPr="00483EB6" w:rsidRDefault="008D4635" w:rsidP="00DC1FD4">
            <w:pPr>
              <w:pStyle w:val="Tabletext"/>
              <w:keepNext/>
              <w:keepLines/>
              <w:jc w:val="center"/>
              <w:rPr>
                <w:b/>
              </w:rPr>
            </w:pPr>
            <w:r w:rsidRPr="00483EB6">
              <w:rPr>
                <w:b/>
              </w:rPr>
              <w:t>Patient population</w:t>
            </w:r>
          </w:p>
        </w:tc>
        <w:tc>
          <w:tcPr>
            <w:tcW w:w="879" w:type="pct"/>
            <w:shd w:val="clear" w:color="auto" w:fill="auto"/>
          </w:tcPr>
          <w:p w:rsidR="008D4635" w:rsidRPr="00483EB6" w:rsidRDefault="008D4635" w:rsidP="00DC1FD4">
            <w:pPr>
              <w:pStyle w:val="Tabletext"/>
              <w:keepNext/>
              <w:keepLines/>
              <w:jc w:val="center"/>
              <w:rPr>
                <w:b/>
              </w:rPr>
            </w:pPr>
            <w:r w:rsidRPr="00483EB6">
              <w:rPr>
                <w:b/>
              </w:rPr>
              <w:t>Outcome</w:t>
            </w:r>
          </w:p>
        </w:tc>
        <w:tc>
          <w:tcPr>
            <w:tcW w:w="517" w:type="pct"/>
            <w:shd w:val="clear" w:color="auto" w:fill="auto"/>
          </w:tcPr>
          <w:p w:rsidR="008D4635" w:rsidRPr="00483EB6" w:rsidRDefault="008D4635" w:rsidP="00DC1FD4">
            <w:pPr>
              <w:pStyle w:val="Tabletext"/>
              <w:keepNext/>
              <w:keepLines/>
              <w:jc w:val="center"/>
              <w:rPr>
                <w:b/>
              </w:rPr>
            </w:pPr>
            <w:r w:rsidRPr="00483EB6">
              <w:rPr>
                <w:b/>
              </w:rPr>
              <w:t>Use in model</w:t>
            </w:r>
          </w:p>
        </w:tc>
      </w:tr>
      <w:tr w:rsidR="008D4635" w:rsidRPr="00483EB6" w:rsidTr="00904FDE">
        <w:trPr>
          <w:tblHeader/>
        </w:trPr>
        <w:tc>
          <w:tcPr>
            <w:tcW w:w="528" w:type="pct"/>
            <w:shd w:val="clear" w:color="auto" w:fill="auto"/>
          </w:tcPr>
          <w:p w:rsidR="008D4635" w:rsidRPr="00483EB6" w:rsidRDefault="008D4635" w:rsidP="00DC1FD4">
            <w:pPr>
              <w:pStyle w:val="Tabletext"/>
              <w:keepNext/>
              <w:keepLines/>
            </w:pPr>
            <w:r w:rsidRPr="00483EB6">
              <w:rPr>
                <w:shd w:val="clear" w:color="auto" w:fill="FFFFFF"/>
              </w:rPr>
              <w:t>BLAST</w:t>
            </w:r>
          </w:p>
        </w:tc>
        <w:tc>
          <w:tcPr>
            <w:tcW w:w="278" w:type="pct"/>
            <w:shd w:val="clear" w:color="auto" w:fill="auto"/>
          </w:tcPr>
          <w:p w:rsidR="008D4635" w:rsidRPr="00483EB6" w:rsidRDefault="008D4635" w:rsidP="00DC1FD4">
            <w:pPr>
              <w:pStyle w:val="Tabletext"/>
              <w:keepNext/>
              <w:keepLines/>
              <w:jc w:val="center"/>
            </w:pPr>
            <w:r w:rsidRPr="00483EB6">
              <w:t>116</w:t>
            </w:r>
          </w:p>
        </w:tc>
        <w:tc>
          <w:tcPr>
            <w:tcW w:w="599" w:type="pct"/>
            <w:shd w:val="clear" w:color="auto" w:fill="auto"/>
          </w:tcPr>
          <w:p w:rsidR="008D4635" w:rsidRPr="00483EB6" w:rsidRDefault="008D4635" w:rsidP="00DC1FD4">
            <w:pPr>
              <w:pStyle w:val="Tabletext"/>
              <w:keepNext/>
              <w:keepLines/>
              <w:rPr>
                <w:shd w:val="clear" w:color="auto" w:fill="FFFFFF"/>
              </w:rPr>
            </w:pPr>
            <w:r w:rsidRPr="00483EB6">
              <w:rPr>
                <w:shd w:val="clear" w:color="auto" w:fill="FFFFFF"/>
              </w:rPr>
              <w:t>Phase II,</w:t>
            </w:r>
          </w:p>
          <w:p w:rsidR="008D4635" w:rsidRPr="00483EB6" w:rsidRDefault="008D4635" w:rsidP="00DC1FD4">
            <w:pPr>
              <w:pStyle w:val="Tabletext"/>
              <w:keepNext/>
              <w:keepLines/>
            </w:pPr>
            <w:r w:rsidRPr="00483EB6">
              <w:rPr>
                <w:shd w:val="clear" w:color="auto" w:fill="FFFFFF"/>
              </w:rPr>
              <w:t>open label, multicentre, single arm</w:t>
            </w:r>
          </w:p>
        </w:tc>
        <w:tc>
          <w:tcPr>
            <w:tcW w:w="351" w:type="pct"/>
            <w:shd w:val="clear" w:color="auto" w:fill="auto"/>
          </w:tcPr>
          <w:p w:rsidR="008D4635" w:rsidRPr="00483EB6" w:rsidRDefault="008D4635" w:rsidP="00DC1FD4">
            <w:pPr>
              <w:pStyle w:val="Tabletext"/>
              <w:keepNext/>
              <w:keepLines/>
              <w:jc w:val="center"/>
            </w:pPr>
            <w:r w:rsidRPr="00483EB6">
              <w:t>High</w:t>
            </w:r>
          </w:p>
        </w:tc>
        <w:tc>
          <w:tcPr>
            <w:tcW w:w="969" w:type="pct"/>
          </w:tcPr>
          <w:p w:rsidR="008D4635" w:rsidRPr="00483EB6" w:rsidRDefault="008D4635" w:rsidP="00DC1FD4">
            <w:pPr>
              <w:pStyle w:val="TableText0"/>
              <w:spacing w:before="0" w:after="0"/>
            </w:pPr>
            <w:r w:rsidRPr="00483EB6">
              <w:t>Blinatumomab IV</w:t>
            </w:r>
          </w:p>
          <w:p w:rsidR="008D4635" w:rsidRPr="00483EB6" w:rsidRDefault="008D4635" w:rsidP="00DC1FD4">
            <w:pPr>
              <w:pStyle w:val="TableText0"/>
              <w:spacing w:before="0" w:after="0"/>
            </w:pPr>
            <w:r w:rsidRPr="00483EB6">
              <w:t>15 mcg/m</w:t>
            </w:r>
            <w:r w:rsidRPr="00483EB6">
              <w:rPr>
                <w:vertAlign w:val="superscript"/>
              </w:rPr>
              <w:t>2</w:t>
            </w:r>
            <w:r w:rsidRPr="00483EB6">
              <w:t xml:space="preserve">/day </w:t>
            </w:r>
          </w:p>
          <w:p w:rsidR="008D4635" w:rsidRPr="00483EB6" w:rsidRDefault="008D4635" w:rsidP="00DC1FD4">
            <w:pPr>
              <w:pStyle w:val="TableText0"/>
              <w:spacing w:before="0" w:after="0"/>
            </w:pPr>
            <w:r w:rsidRPr="00483EB6">
              <w:t xml:space="preserve">(4 </w:t>
            </w:r>
            <w:proofErr w:type="spellStart"/>
            <w:r w:rsidRPr="00483EB6">
              <w:t>wks</w:t>
            </w:r>
            <w:proofErr w:type="spellEnd"/>
            <w:r w:rsidRPr="00483EB6">
              <w:t>),</w:t>
            </w:r>
          </w:p>
          <w:p w:rsidR="008D4635" w:rsidRPr="00483EB6" w:rsidRDefault="008D4635" w:rsidP="00DC1FD4">
            <w:pPr>
              <w:pStyle w:val="TableText0"/>
              <w:spacing w:before="0" w:after="0"/>
            </w:pPr>
            <w:r w:rsidRPr="00483EB6">
              <w:t xml:space="preserve">Treatment free </w:t>
            </w:r>
          </w:p>
          <w:p w:rsidR="008D4635" w:rsidRPr="00483EB6" w:rsidRDefault="008D4635" w:rsidP="00DC1FD4">
            <w:pPr>
              <w:pStyle w:val="TableText0"/>
              <w:spacing w:before="0" w:after="0"/>
            </w:pPr>
            <w:r w:rsidRPr="00483EB6">
              <w:t xml:space="preserve">(2 </w:t>
            </w:r>
            <w:proofErr w:type="spellStart"/>
            <w:r w:rsidRPr="00483EB6">
              <w:t>wks</w:t>
            </w:r>
            <w:proofErr w:type="spellEnd"/>
            <w:r w:rsidRPr="00483EB6">
              <w:t>),</w:t>
            </w:r>
          </w:p>
          <w:p w:rsidR="008D4635" w:rsidRPr="00483EB6" w:rsidRDefault="008D4635" w:rsidP="00DC1FD4">
            <w:pPr>
              <w:pStyle w:val="TableText0"/>
              <w:spacing w:before="0" w:after="0"/>
            </w:pPr>
            <w:r w:rsidRPr="00483EB6">
              <w:t>Up to 4 cycles.</w:t>
            </w:r>
          </w:p>
        </w:tc>
        <w:tc>
          <w:tcPr>
            <w:tcW w:w="879" w:type="pct"/>
            <w:shd w:val="clear" w:color="auto" w:fill="auto"/>
          </w:tcPr>
          <w:p w:rsidR="008D4635" w:rsidRPr="00483EB6" w:rsidRDefault="008D4635" w:rsidP="00DC1FD4">
            <w:pPr>
              <w:pStyle w:val="TableText0"/>
              <w:spacing w:before="0" w:after="0"/>
            </w:pPr>
            <w:r w:rsidRPr="00483EB6">
              <w:t>B-ALL ≥18 years,</w:t>
            </w:r>
          </w:p>
          <w:p w:rsidR="008D4635" w:rsidRPr="00483EB6" w:rsidRDefault="008D4635" w:rsidP="00DC1FD4">
            <w:pPr>
              <w:pStyle w:val="TableText0"/>
              <w:spacing w:before="0" w:after="0"/>
            </w:pPr>
            <w:r w:rsidRPr="00483EB6">
              <w:t>haematological complete remission,</w:t>
            </w:r>
          </w:p>
          <w:p w:rsidR="008D4635" w:rsidRPr="00483EB6" w:rsidRDefault="008D4635" w:rsidP="00DC1FD4">
            <w:pPr>
              <w:pStyle w:val="Tabletext"/>
              <w:keepNext/>
              <w:keepLines/>
            </w:pPr>
            <w:r w:rsidRPr="00483EB6">
              <w:t>MRD ≥10</w:t>
            </w:r>
            <w:r w:rsidRPr="00483EB6">
              <w:rPr>
                <w:vertAlign w:val="superscript"/>
              </w:rPr>
              <w:t>-3</w:t>
            </w:r>
            <w:r w:rsidRPr="00483EB6">
              <w:t xml:space="preserve"> in an assay with minimum sensitivity of 10</w:t>
            </w:r>
            <w:r w:rsidRPr="00483EB6">
              <w:rPr>
                <w:vertAlign w:val="superscript"/>
              </w:rPr>
              <w:t>-4</w:t>
            </w:r>
            <w:r w:rsidRPr="00483EB6">
              <w:t xml:space="preserve"> by PCR or flow cytometry,</w:t>
            </w:r>
          </w:p>
          <w:p w:rsidR="008D4635" w:rsidRPr="00483EB6" w:rsidRDefault="008D4635" w:rsidP="00DC1FD4">
            <w:pPr>
              <w:pStyle w:val="Tabletext"/>
              <w:keepNext/>
              <w:keepLines/>
            </w:pPr>
            <w:r w:rsidRPr="00483EB6">
              <w:t>ECOG performance status ≤1.</w:t>
            </w:r>
          </w:p>
        </w:tc>
        <w:tc>
          <w:tcPr>
            <w:tcW w:w="879" w:type="pct"/>
            <w:shd w:val="clear" w:color="auto" w:fill="auto"/>
          </w:tcPr>
          <w:p w:rsidR="008D4635" w:rsidRPr="00483EB6" w:rsidRDefault="008D4635" w:rsidP="00DC1FD4">
            <w:pPr>
              <w:pStyle w:val="TableText0"/>
              <w:spacing w:before="0" w:after="0"/>
            </w:pPr>
            <w:r w:rsidRPr="00483EB6">
              <w:t>MRD response rate,</w:t>
            </w:r>
          </w:p>
          <w:p w:rsidR="008D4635" w:rsidRPr="00483EB6" w:rsidRDefault="008D4635" w:rsidP="00DC1FD4">
            <w:pPr>
              <w:pStyle w:val="TableText0"/>
              <w:spacing w:before="0" w:after="0"/>
            </w:pPr>
            <w:r w:rsidRPr="00483EB6">
              <w:t>haematological RFS at 18 months,</w:t>
            </w:r>
          </w:p>
          <w:p w:rsidR="008D4635" w:rsidRPr="00483EB6" w:rsidRDefault="008D4635" w:rsidP="00DC1FD4">
            <w:pPr>
              <w:pStyle w:val="TableText0"/>
              <w:spacing w:before="0" w:after="0"/>
            </w:pPr>
            <w:r w:rsidRPr="00483EB6">
              <w:t xml:space="preserve">overall survival from first blinatumomab dose, 100-day mortality after </w:t>
            </w:r>
            <w:proofErr w:type="spellStart"/>
            <w:r w:rsidRPr="00483EB6">
              <w:t>alloHSCT</w:t>
            </w:r>
            <w:proofErr w:type="spellEnd"/>
            <w:r w:rsidRPr="00483EB6">
              <w:t>; EQ-5D, EORTC-QLQ-C30</w:t>
            </w:r>
          </w:p>
        </w:tc>
        <w:tc>
          <w:tcPr>
            <w:tcW w:w="517" w:type="pct"/>
            <w:shd w:val="clear" w:color="auto" w:fill="auto"/>
          </w:tcPr>
          <w:p w:rsidR="008D4635" w:rsidRPr="00483EB6" w:rsidRDefault="008D4635" w:rsidP="00DC1FD4">
            <w:pPr>
              <w:pStyle w:val="Tabletext"/>
              <w:keepNext/>
              <w:keepLines/>
            </w:pPr>
            <w:r w:rsidRPr="00483EB6">
              <w:t>Propensity score-adjusted hazard ratios (ATE and ATT).</w:t>
            </w:r>
          </w:p>
        </w:tc>
      </w:tr>
      <w:tr w:rsidR="008D4635" w:rsidRPr="00483EB6" w:rsidTr="00904FDE">
        <w:trPr>
          <w:tblHeader/>
        </w:trPr>
        <w:tc>
          <w:tcPr>
            <w:tcW w:w="528" w:type="pct"/>
            <w:shd w:val="clear" w:color="auto" w:fill="auto"/>
          </w:tcPr>
          <w:p w:rsidR="008D4635" w:rsidRPr="00483EB6" w:rsidRDefault="008D4635" w:rsidP="00DC1FD4">
            <w:pPr>
              <w:pStyle w:val="Tabletext"/>
              <w:keepNext/>
              <w:keepLines/>
            </w:pPr>
            <w:r w:rsidRPr="00483EB6">
              <w:rPr>
                <w:shd w:val="clear" w:color="auto" w:fill="FFFFFF"/>
              </w:rPr>
              <w:t>MT103-202</w:t>
            </w:r>
          </w:p>
        </w:tc>
        <w:tc>
          <w:tcPr>
            <w:tcW w:w="278" w:type="pct"/>
            <w:shd w:val="clear" w:color="auto" w:fill="auto"/>
          </w:tcPr>
          <w:p w:rsidR="008D4635" w:rsidRPr="00483EB6" w:rsidRDefault="008D4635" w:rsidP="00DC1FD4">
            <w:pPr>
              <w:pStyle w:val="Tabletext"/>
              <w:keepNext/>
              <w:keepLines/>
              <w:jc w:val="center"/>
            </w:pPr>
            <w:r w:rsidRPr="00483EB6">
              <w:t>21</w:t>
            </w:r>
          </w:p>
        </w:tc>
        <w:tc>
          <w:tcPr>
            <w:tcW w:w="599" w:type="pct"/>
            <w:shd w:val="clear" w:color="auto" w:fill="auto"/>
          </w:tcPr>
          <w:p w:rsidR="008D4635" w:rsidRPr="00483EB6" w:rsidRDefault="008D4635" w:rsidP="00DC1FD4">
            <w:pPr>
              <w:pStyle w:val="Tabletext"/>
              <w:keepNext/>
              <w:keepLines/>
            </w:pPr>
            <w:r w:rsidRPr="00483EB6">
              <w:rPr>
                <w:shd w:val="clear" w:color="auto" w:fill="FFFFFF"/>
              </w:rPr>
              <w:t>Phase II, exploratory, open label, multicentre, single arm</w:t>
            </w:r>
          </w:p>
        </w:tc>
        <w:tc>
          <w:tcPr>
            <w:tcW w:w="351" w:type="pct"/>
            <w:shd w:val="clear" w:color="auto" w:fill="auto"/>
          </w:tcPr>
          <w:p w:rsidR="008D4635" w:rsidRPr="00483EB6" w:rsidRDefault="008D4635" w:rsidP="00DC1FD4">
            <w:pPr>
              <w:pStyle w:val="Tabletext"/>
              <w:keepNext/>
              <w:keepLines/>
              <w:jc w:val="center"/>
            </w:pPr>
            <w:r w:rsidRPr="00483EB6">
              <w:t>High</w:t>
            </w:r>
          </w:p>
        </w:tc>
        <w:tc>
          <w:tcPr>
            <w:tcW w:w="969" w:type="pct"/>
          </w:tcPr>
          <w:p w:rsidR="008D4635" w:rsidRPr="00483EB6" w:rsidRDefault="008D4635" w:rsidP="00DC1FD4">
            <w:pPr>
              <w:pStyle w:val="TableText0"/>
              <w:spacing w:before="0" w:after="0"/>
            </w:pPr>
            <w:r w:rsidRPr="00483EB6">
              <w:t>Blinatumomab IV</w:t>
            </w:r>
          </w:p>
          <w:p w:rsidR="008D4635" w:rsidRPr="00483EB6" w:rsidRDefault="008D4635" w:rsidP="00DC1FD4">
            <w:pPr>
              <w:pStyle w:val="TableText0"/>
              <w:spacing w:before="0" w:after="0"/>
            </w:pPr>
            <w:r w:rsidRPr="00483EB6">
              <w:t>15 mcg/m</w:t>
            </w:r>
            <w:r w:rsidRPr="00483EB6">
              <w:rPr>
                <w:vertAlign w:val="superscript"/>
              </w:rPr>
              <w:t>2</w:t>
            </w:r>
            <w:r w:rsidRPr="00483EB6">
              <w:t xml:space="preserve">/day </w:t>
            </w:r>
          </w:p>
          <w:p w:rsidR="008D4635" w:rsidRPr="00483EB6" w:rsidRDefault="008D4635" w:rsidP="00DC1FD4">
            <w:pPr>
              <w:pStyle w:val="TableText0"/>
              <w:spacing w:before="0" w:after="0"/>
            </w:pPr>
            <w:r w:rsidRPr="00483EB6">
              <w:t xml:space="preserve">(4 weeks), </w:t>
            </w:r>
          </w:p>
          <w:p w:rsidR="008D4635" w:rsidRPr="00483EB6" w:rsidRDefault="008D4635" w:rsidP="00DC1FD4">
            <w:pPr>
              <w:pStyle w:val="TableText0"/>
              <w:spacing w:before="0" w:after="0"/>
            </w:pPr>
            <w:r w:rsidRPr="00483EB6">
              <w:t>Treatment free</w:t>
            </w:r>
          </w:p>
          <w:p w:rsidR="008D4635" w:rsidRPr="00483EB6" w:rsidRDefault="008D4635" w:rsidP="00DC1FD4">
            <w:pPr>
              <w:pStyle w:val="TableText0"/>
              <w:spacing w:before="0" w:after="0"/>
            </w:pPr>
            <w:r w:rsidRPr="00483EB6">
              <w:t xml:space="preserve"> (2 weeks),</w:t>
            </w:r>
          </w:p>
          <w:p w:rsidR="008D4635" w:rsidRPr="00483EB6" w:rsidRDefault="008D4635" w:rsidP="00DC1FD4">
            <w:pPr>
              <w:pStyle w:val="TableText0"/>
              <w:spacing w:before="0" w:after="0"/>
            </w:pPr>
            <w:r w:rsidRPr="00483EB6">
              <w:t>Increased to</w:t>
            </w:r>
          </w:p>
          <w:p w:rsidR="008D4635" w:rsidRPr="00483EB6" w:rsidRDefault="008D4635" w:rsidP="00DC1FD4">
            <w:pPr>
              <w:pStyle w:val="TableText0"/>
              <w:spacing w:before="0" w:after="0"/>
            </w:pPr>
            <w:r w:rsidRPr="00483EB6">
              <w:t xml:space="preserve">30 </w:t>
            </w:r>
            <w:proofErr w:type="spellStart"/>
            <w:r w:rsidRPr="00483EB6">
              <w:t>ug</w:t>
            </w:r>
            <w:proofErr w:type="spellEnd"/>
            <w:r w:rsidRPr="00483EB6">
              <w:t>/m</w:t>
            </w:r>
            <w:r w:rsidRPr="00483EB6">
              <w:rPr>
                <w:vertAlign w:val="superscript"/>
              </w:rPr>
              <w:t>2</w:t>
            </w:r>
            <w:r w:rsidRPr="00483EB6">
              <w:t>/day if no response cycle 1, increased for all non-responders cycle 2.</w:t>
            </w:r>
          </w:p>
        </w:tc>
        <w:tc>
          <w:tcPr>
            <w:tcW w:w="879" w:type="pct"/>
            <w:shd w:val="clear" w:color="auto" w:fill="auto"/>
          </w:tcPr>
          <w:p w:rsidR="008D4635" w:rsidRPr="00483EB6" w:rsidRDefault="008D4635" w:rsidP="00DC1FD4">
            <w:pPr>
              <w:pStyle w:val="TableText0"/>
              <w:spacing w:before="0" w:after="0"/>
            </w:pPr>
            <w:r w:rsidRPr="00483EB6">
              <w:t>B-ALL ≥18 years,</w:t>
            </w:r>
          </w:p>
          <w:p w:rsidR="008D4635" w:rsidRPr="00483EB6" w:rsidRDefault="008D4635" w:rsidP="00DC1FD4">
            <w:pPr>
              <w:pStyle w:val="Tabletext"/>
              <w:keepNext/>
              <w:keepLines/>
            </w:pPr>
            <w:r w:rsidRPr="00483EB6">
              <w:t>Haematological complete remission, MRD ≥10</w:t>
            </w:r>
            <w:r w:rsidRPr="00483EB6">
              <w:rPr>
                <w:vertAlign w:val="superscript"/>
              </w:rPr>
              <w:t>-4</w:t>
            </w:r>
            <w:r w:rsidRPr="00483EB6">
              <w:t xml:space="preserve"> in an assay with minimum sensitivity of 10</w:t>
            </w:r>
            <w:r w:rsidRPr="00483EB6">
              <w:rPr>
                <w:vertAlign w:val="superscript"/>
              </w:rPr>
              <w:t>-4</w:t>
            </w:r>
            <w:r w:rsidRPr="00483EB6">
              <w:t xml:space="preserve"> by PCR,</w:t>
            </w:r>
          </w:p>
          <w:p w:rsidR="008D4635" w:rsidRPr="00483EB6" w:rsidRDefault="008D4635" w:rsidP="00DC1FD4">
            <w:pPr>
              <w:pStyle w:val="Tabletext"/>
              <w:keepNext/>
              <w:keepLines/>
            </w:pPr>
            <w:r w:rsidRPr="00483EB6">
              <w:t>ECOG performance status ≤1.</w:t>
            </w:r>
          </w:p>
        </w:tc>
        <w:tc>
          <w:tcPr>
            <w:tcW w:w="879" w:type="pct"/>
            <w:shd w:val="clear" w:color="auto" w:fill="auto"/>
          </w:tcPr>
          <w:p w:rsidR="008D4635" w:rsidRPr="00483EB6" w:rsidRDefault="008D4635" w:rsidP="00DC1FD4">
            <w:pPr>
              <w:pStyle w:val="TableText0"/>
              <w:spacing w:before="0" w:after="0"/>
            </w:pPr>
            <w:r w:rsidRPr="00483EB6">
              <w:t>MRD response rate,</w:t>
            </w:r>
          </w:p>
          <w:p w:rsidR="008D4635" w:rsidRPr="00483EB6" w:rsidRDefault="008D4635" w:rsidP="00DC1FD4">
            <w:pPr>
              <w:pStyle w:val="TableText0"/>
              <w:spacing w:before="0" w:after="0"/>
            </w:pPr>
            <w:r w:rsidRPr="00483EB6">
              <w:t>haematological RFS,</w:t>
            </w:r>
          </w:p>
          <w:p w:rsidR="008D4635" w:rsidRPr="00483EB6" w:rsidRDefault="008D4635" w:rsidP="00DC1FD4">
            <w:pPr>
              <w:pStyle w:val="Tabletext"/>
              <w:keepNext/>
              <w:keepLines/>
            </w:pPr>
            <w:r w:rsidRPr="00483EB6">
              <w:t>MRD progression.</w:t>
            </w:r>
          </w:p>
        </w:tc>
        <w:tc>
          <w:tcPr>
            <w:tcW w:w="517" w:type="pct"/>
            <w:shd w:val="clear" w:color="auto" w:fill="auto"/>
          </w:tcPr>
          <w:p w:rsidR="008D4635" w:rsidRPr="00483EB6" w:rsidRDefault="008D4635" w:rsidP="00DC1FD4">
            <w:pPr>
              <w:pStyle w:val="Tabletext"/>
              <w:keepNext/>
              <w:keepLines/>
            </w:pPr>
            <w:r w:rsidRPr="00483EB6">
              <w:t>Not used</w:t>
            </w:r>
          </w:p>
        </w:tc>
      </w:tr>
      <w:tr w:rsidR="008D4635" w:rsidRPr="00483EB6" w:rsidTr="00904FDE">
        <w:trPr>
          <w:tblHeader/>
        </w:trPr>
        <w:tc>
          <w:tcPr>
            <w:tcW w:w="528" w:type="pct"/>
            <w:shd w:val="clear" w:color="auto" w:fill="auto"/>
          </w:tcPr>
          <w:p w:rsidR="008D4635" w:rsidRPr="00483EB6" w:rsidRDefault="008D4635" w:rsidP="00DC1FD4">
            <w:pPr>
              <w:pStyle w:val="Tabletext"/>
              <w:keepNext/>
              <w:keepLines/>
            </w:pPr>
            <w:r w:rsidRPr="00483EB6">
              <w:rPr>
                <w:shd w:val="clear" w:color="auto" w:fill="FFFFFF"/>
              </w:rPr>
              <w:t>20120148</w:t>
            </w:r>
          </w:p>
        </w:tc>
        <w:tc>
          <w:tcPr>
            <w:tcW w:w="278" w:type="pct"/>
            <w:shd w:val="clear" w:color="auto" w:fill="auto"/>
          </w:tcPr>
          <w:p w:rsidR="008D4635" w:rsidRPr="00483EB6" w:rsidRDefault="008D4635" w:rsidP="00DC1FD4">
            <w:pPr>
              <w:pStyle w:val="Tabletext"/>
              <w:keepNext/>
              <w:keepLines/>
              <w:jc w:val="center"/>
            </w:pPr>
            <w:r w:rsidRPr="00483EB6">
              <w:t>287</w:t>
            </w:r>
          </w:p>
        </w:tc>
        <w:tc>
          <w:tcPr>
            <w:tcW w:w="599" w:type="pct"/>
            <w:shd w:val="clear" w:color="auto" w:fill="auto"/>
          </w:tcPr>
          <w:p w:rsidR="008D4635" w:rsidRPr="00483EB6" w:rsidRDefault="008D4635" w:rsidP="00DC1FD4">
            <w:pPr>
              <w:pStyle w:val="Tabletext"/>
              <w:keepNext/>
              <w:keepLines/>
            </w:pPr>
            <w:r w:rsidRPr="00483EB6">
              <w:rPr>
                <w:shd w:val="clear" w:color="auto" w:fill="FFFFFF"/>
              </w:rPr>
              <w:t>Retrospective historical cohort</w:t>
            </w:r>
          </w:p>
        </w:tc>
        <w:tc>
          <w:tcPr>
            <w:tcW w:w="351" w:type="pct"/>
            <w:shd w:val="clear" w:color="auto" w:fill="auto"/>
          </w:tcPr>
          <w:p w:rsidR="008D4635" w:rsidRPr="00483EB6" w:rsidRDefault="008D4635" w:rsidP="00DC1FD4">
            <w:pPr>
              <w:pStyle w:val="Tabletext"/>
              <w:keepNext/>
              <w:keepLines/>
              <w:jc w:val="center"/>
            </w:pPr>
            <w:r w:rsidRPr="00483EB6">
              <w:t>High</w:t>
            </w:r>
          </w:p>
        </w:tc>
        <w:tc>
          <w:tcPr>
            <w:tcW w:w="969" w:type="pct"/>
          </w:tcPr>
          <w:p w:rsidR="008D4635" w:rsidRPr="00483EB6" w:rsidRDefault="008D4635" w:rsidP="00DC1FD4">
            <w:pPr>
              <w:pStyle w:val="TableText0"/>
              <w:spacing w:before="0" w:after="0"/>
            </w:pPr>
            <w:r w:rsidRPr="00483EB6">
              <w:t>Non-interventional,</w:t>
            </w:r>
          </w:p>
          <w:p w:rsidR="008D4635" w:rsidRPr="00483EB6" w:rsidRDefault="008D4635" w:rsidP="00DC1FD4">
            <w:pPr>
              <w:pStyle w:val="TableText0"/>
              <w:spacing w:before="0" w:after="0"/>
            </w:pPr>
            <w:r w:rsidRPr="00483EB6">
              <w:t>Standard-of-care treatment as per site study protocols.</w:t>
            </w:r>
          </w:p>
        </w:tc>
        <w:tc>
          <w:tcPr>
            <w:tcW w:w="879" w:type="pct"/>
            <w:shd w:val="clear" w:color="auto" w:fill="auto"/>
          </w:tcPr>
          <w:p w:rsidR="008D4635" w:rsidRPr="00483EB6" w:rsidRDefault="008D4635" w:rsidP="00DC1FD4">
            <w:pPr>
              <w:pStyle w:val="TableText0"/>
              <w:spacing w:before="0" w:after="0"/>
            </w:pPr>
            <w:proofErr w:type="spellStart"/>
            <w:r w:rsidRPr="00483EB6">
              <w:t>Ph</w:t>
            </w:r>
            <w:proofErr w:type="spellEnd"/>
            <w:r w:rsidRPr="00483EB6">
              <w:t>- B-ALL ≥15 years,</w:t>
            </w:r>
          </w:p>
          <w:p w:rsidR="008D4635" w:rsidRPr="00483EB6" w:rsidRDefault="008D4635" w:rsidP="00DC1FD4">
            <w:pPr>
              <w:pStyle w:val="Tabletext"/>
              <w:keepNext/>
              <w:keepLines/>
            </w:pPr>
            <w:r w:rsidRPr="00483EB6">
              <w:t>Haematological complete remission,</w:t>
            </w:r>
          </w:p>
          <w:p w:rsidR="008D4635" w:rsidRPr="00483EB6" w:rsidRDefault="008D4635" w:rsidP="00DC1FD4">
            <w:pPr>
              <w:pStyle w:val="Tabletext"/>
              <w:keepNext/>
              <w:keepLines/>
            </w:pPr>
            <w:r w:rsidRPr="00483EB6">
              <w:t>MRD ≥10</w:t>
            </w:r>
            <w:r w:rsidRPr="00483EB6">
              <w:rPr>
                <w:vertAlign w:val="superscript"/>
              </w:rPr>
              <w:t>-4</w:t>
            </w:r>
            <w:r w:rsidRPr="00483EB6">
              <w:t xml:space="preserve"> by PCR or ≥10</w:t>
            </w:r>
            <w:r w:rsidRPr="00483EB6">
              <w:rPr>
                <w:vertAlign w:val="superscript"/>
              </w:rPr>
              <w:t>-3</w:t>
            </w:r>
            <w:r w:rsidRPr="00483EB6">
              <w:t xml:space="preserve"> by flow cytometry.</w:t>
            </w:r>
          </w:p>
        </w:tc>
        <w:tc>
          <w:tcPr>
            <w:tcW w:w="879" w:type="pct"/>
            <w:shd w:val="clear" w:color="auto" w:fill="auto"/>
          </w:tcPr>
          <w:p w:rsidR="008D4635" w:rsidRPr="00483EB6" w:rsidRDefault="008D4635" w:rsidP="00DC1FD4">
            <w:pPr>
              <w:pStyle w:val="TableText0"/>
              <w:spacing w:before="0" w:after="0"/>
            </w:pPr>
            <w:r w:rsidRPr="00483EB6">
              <w:t>Haematological RFS, overall survival from MRD detection,</w:t>
            </w:r>
          </w:p>
          <w:p w:rsidR="008D4635" w:rsidRPr="00483EB6" w:rsidRDefault="008D4635" w:rsidP="00DC1FD4">
            <w:pPr>
              <w:pStyle w:val="TableText0"/>
              <w:spacing w:before="0" w:after="0"/>
            </w:pPr>
            <w:r w:rsidRPr="00483EB6">
              <w:t xml:space="preserve">100-day mortality after </w:t>
            </w:r>
            <w:proofErr w:type="spellStart"/>
            <w:r w:rsidRPr="00483EB6">
              <w:t>alloHSCT</w:t>
            </w:r>
            <w:proofErr w:type="spellEnd"/>
            <w:r w:rsidRPr="00483EB6">
              <w:t>,</w:t>
            </w:r>
          </w:p>
        </w:tc>
        <w:tc>
          <w:tcPr>
            <w:tcW w:w="517" w:type="pct"/>
            <w:shd w:val="clear" w:color="auto" w:fill="auto"/>
          </w:tcPr>
          <w:p w:rsidR="008D4635" w:rsidRPr="00483EB6" w:rsidRDefault="008D4635" w:rsidP="00DC1FD4">
            <w:pPr>
              <w:pStyle w:val="Tabletext"/>
              <w:keepNext/>
              <w:keepLines/>
            </w:pPr>
            <w:r w:rsidRPr="00483EB6">
              <w:t>Propensity score-adjusted survival curve (ATT and ATE)</w:t>
            </w:r>
          </w:p>
        </w:tc>
      </w:tr>
    </w:tbl>
    <w:p w:rsidR="008D4635" w:rsidRPr="00483EB6" w:rsidRDefault="008D4635" w:rsidP="00DC1FD4">
      <w:pPr>
        <w:pStyle w:val="TableFooter"/>
        <w:keepNext/>
        <w:keepLines/>
        <w:rPr>
          <w:sz w:val="20"/>
        </w:rPr>
      </w:pPr>
      <w:r w:rsidRPr="00483EB6">
        <w:t xml:space="preserve">Source: Table 23, p.31 of the </w:t>
      </w:r>
      <w:r w:rsidR="007310C1" w:rsidRPr="00483EB6">
        <w:t xml:space="preserve">of the July 2018 </w:t>
      </w:r>
      <w:r w:rsidRPr="00483EB6">
        <w:t>submission.</w:t>
      </w:r>
    </w:p>
    <w:p w:rsidR="008D4635" w:rsidRPr="00483EB6" w:rsidRDefault="008D4635" w:rsidP="00DC1FD4">
      <w:pPr>
        <w:pStyle w:val="TableFooter"/>
        <w:keepNext/>
        <w:keepLines/>
      </w:pPr>
      <w:r w:rsidRPr="00483EB6">
        <w:t xml:space="preserve">Abbreviations: </w:t>
      </w:r>
      <w:proofErr w:type="spellStart"/>
      <w:r w:rsidRPr="00483EB6">
        <w:t>alloHSCT</w:t>
      </w:r>
      <w:proofErr w:type="spellEnd"/>
      <w:r w:rsidRPr="00483EB6">
        <w:t xml:space="preserve">, allogeneic haematopoietic stem cell transplantation; ATE, average treatment effects; ATT, average treatment effect of the treated weights; B-ALL, B-cell precursor acute lymphoblastic leukaemia; ECOG, Eastern Cooperative Oncology Group; </w:t>
      </w:r>
      <w:r w:rsidR="008470E9" w:rsidRPr="00483EB6">
        <w:t xml:space="preserve">EQ-5D, </w:t>
      </w:r>
      <w:proofErr w:type="spellStart"/>
      <w:r w:rsidR="008470E9" w:rsidRPr="00483EB6">
        <w:t>EuroQoL</w:t>
      </w:r>
      <w:proofErr w:type="spellEnd"/>
      <w:r w:rsidR="008470E9" w:rsidRPr="00483EB6">
        <w:t xml:space="preserve">- 5 dimension questionnaire; </w:t>
      </w:r>
      <w:r w:rsidRPr="00483EB6">
        <w:t xml:space="preserve">MRD, minimal residual disease; </w:t>
      </w:r>
      <w:proofErr w:type="spellStart"/>
      <w:r w:rsidRPr="00483EB6">
        <w:t>Ph</w:t>
      </w:r>
      <w:proofErr w:type="spellEnd"/>
      <w:r w:rsidRPr="00483EB6">
        <w:t xml:space="preserve">-, Philadelphia chromosome negative; </w:t>
      </w:r>
      <w:r w:rsidRPr="00483EB6">
        <w:rPr>
          <w:szCs w:val="16"/>
          <w:lang w:eastAsia="en-AU"/>
        </w:rPr>
        <w:t xml:space="preserve">PCR, Polymerase chain reaction; </w:t>
      </w:r>
      <w:r w:rsidRPr="00483EB6">
        <w:t>RFS, relapse free survival.</w:t>
      </w:r>
    </w:p>
    <w:p w:rsidR="007D2FE8" w:rsidRPr="00483EB6" w:rsidRDefault="007D2FE8" w:rsidP="00904FDE">
      <w:pPr>
        <w:keepNext/>
        <w:keepLines/>
        <w:spacing w:before="120" w:after="120"/>
        <w:rPr>
          <w:u w:val="single"/>
        </w:rPr>
      </w:pPr>
      <w:r w:rsidRPr="00483EB6">
        <w:rPr>
          <w:u w:val="single"/>
        </w:rPr>
        <w:t>Applicability issues</w:t>
      </w:r>
    </w:p>
    <w:p w:rsidR="009656AE" w:rsidRPr="00483EB6" w:rsidRDefault="0038245D" w:rsidP="00904FDE">
      <w:pPr>
        <w:pStyle w:val="ListParagraph"/>
        <w:keepNext/>
        <w:keepLines/>
        <w:widowControl/>
        <w:numPr>
          <w:ilvl w:val="1"/>
          <w:numId w:val="3"/>
        </w:numPr>
        <w:spacing w:before="120" w:after="120"/>
      </w:pPr>
      <w:proofErr w:type="gramStart"/>
      <w:r w:rsidRPr="00483EB6">
        <w:rPr>
          <w:rFonts w:asciiTheme="minorHAnsi" w:hAnsiTheme="minorHAnsi"/>
          <w:bCs/>
          <w:szCs w:val="24"/>
        </w:rPr>
        <w:t>At the July 2018 meeting the PBAC considered that</w:t>
      </w:r>
      <w:r w:rsidR="008B23DB" w:rsidRPr="00483EB6">
        <w:rPr>
          <w:rFonts w:asciiTheme="minorHAnsi" w:hAnsiTheme="minorHAnsi"/>
          <w:bCs/>
          <w:szCs w:val="24"/>
        </w:rPr>
        <w:t xml:space="preserve"> </w:t>
      </w:r>
      <w:r w:rsidRPr="00483EB6">
        <w:t>the propensity score adjustments led to better matching o</w:t>
      </w:r>
      <w:r w:rsidR="008B23DB" w:rsidRPr="00483EB6">
        <w:t>f known patient characteristics</w:t>
      </w:r>
      <w:r w:rsidRPr="00483EB6">
        <w:t xml:space="preserve"> </w:t>
      </w:r>
      <w:r w:rsidR="008B23DB" w:rsidRPr="00483EB6">
        <w:t>but</w:t>
      </w:r>
      <w:r w:rsidRPr="00483EB6">
        <w:t xml:space="preserve"> may have reduced the applicability of results t</w:t>
      </w:r>
      <w:r w:rsidR="008B23DB" w:rsidRPr="00483EB6">
        <w:t>o the broader target population, as it</w:t>
      </w:r>
      <w:r w:rsidRPr="00483EB6">
        <w:t xml:space="preserve"> excluded patients with Philadelphia chromosome positive B-ALL, subsequent complete remissions, or a smaller extent of minimal residual disease (MRD ≥10</w:t>
      </w:r>
      <w:r w:rsidRPr="00483EB6">
        <w:rPr>
          <w:vertAlign w:val="superscript"/>
        </w:rPr>
        <w:t>-4</w:t>
      </w:r>
      <w:r w:rsidRPr="00483EB6">
        <w:t xml:space="preserve"> to &lt;10</w:t>
      </w:r>
      <w:r w:rsidRPr="00483EB6">
        <w:rPr>
          <w:vertAlign w:val="superscript"/>
        </w:rPr>
        <w:t>-3</w:t>
      </w:r>
      <w:r w:rsidR="00862F65" w:rsidRPr="00483EB6">
        <w:t>),</w:t>
      </w:r>
      <w:r w:rsidRPr="00483EB6">
        <w:t xml:space="preserve"> </w:t>
      </w:r>
      <w:r w:rsidR="007D2FE8" w:rsidRPr="00483EB6">
        <w:t xml:space="preserve">who </w:t>
      </w:r>
      <w:r w:rsidR="00256FDE" w:rsidRPr="00483EB6">
        <w:t>would be</w:t>
      </w:r>
      <w:r w:rsidR="007D2FE8" w:rsidRPr="00483EB6">
        <w:t xml:space="preserve"> </w:t>
      </w:r>
      <w:r w:rsidRPr="00483EB6">
        <w:t>eligible for blinatumomab under the proposed PBS restriction (Blinatumomab PSD July 2018, para 6.34).</w:t>
      </w:r>
      <w:proofErr w:type="gramEnd"/>
    </w:p>
    <w:p w:rsidR="00C81FD3" w:rsidRPr="00483EB6" w:rsidRDefault="00B16BC4" w:rsidP="00904FDE">
      <w:pPr>
        <w:pStyle w:val="ListParagraph"/>
        <w:widowControl/>
        <w:numPr>
          <w:ilvl w:val="1"/>
          <w:numId w:val="3"/>
        </w:numPr>
        <w:spacing w:before="120" w:after="120"/>
      </w:pPr>
      <w:r w:rsidRPr="00483EB6">
        <w:t>No evidence was presented supporting the use of blinatumomab in children</w:t>
      </w:r>
      <w:r w:rsidR="00E97A0C" w:rsidRPr="00483EB6">
        <w:t>, despite the submission assuming that around 37% of the treated population would be children</w:t>
      </w:r>
      <w:r w:rsidRPr="00483EB6">
        <w:t xml:space="preserve">. </w:t>
      </w:r>
      <w:r w:rsidR="00862F65" w:rsidRPr="00483EB6">
        <w:t>Th</w:t>
      </w:r>
      <w:r w:rsidR="008B23DB" w:rsidRPr="00483EB6">
        <w:t>e resubmission acknowledged age is a prognostic factor, but noted that the PBAC previously recommended blinatumomab for use in children in</w:t>
      </w:r>
      <w:r w:rsidR="005046C0" w:rsidRPr="00483EB6">
        <w:t xml:space="preserve"> the</w:t>
      </w:r>
      <w:r w:rsidR="008B23DB" w:rsidRPr="00483EB6">
        <w:t xml:space="preserve"> relapsed/refractory setting based on </w:t>
      </w:r>
      <w:r w:rsidR="007310C1" w:rsidRPr="00483EB6">
        <w:t xml:space="preserve">a </w:t>
      </w:r>
      <w:r w:rsidR="008B23DB" w:rsidRPr="00483EB6">
        <w:t>similar level of evidence and absence of available comparative data.</w:t>
      </w:r>
      <w:r w:rsidR="00A20973" w:rsidRPr="00483EB6">
        <w:t xml:space="preserve"> At the July 2018 meeting, the PBAC considered that the </w:t>
      </w:r>
      <w:r w:rsidR="00A20973" w:rsidRPr="00483EB6">
        <w:lastRenderedPageBreak/>
        <w:t>appropriate eligible population should include patients of any age (i.e. including children and adolescents) (Blinatumomab PSD July 2018, para 7.3)</w:t>
      </w:r>
      <w:r w:rsidR="00483EB6">
        <w:t xml:space="preserve">. </w:t>
      </w:r>
      <w:r w:rsidR="008B23DB" w:rsidRPr="00483EB6">
        <w:t xml:space="preserve"> </w:t>
      </w:r>
    </w:p>
    <w:p w:rsidR="0038245D" w:rsidRPr="00483EB6" w:rsidRDefault="00890A25" w:rsidP="00904FDE">
      <w:pPr>
        <w:pStyle w:val="ListParagraph"/>
        <w:widowControl/>
        <w:numPr>
          <w:ilvl w:val="1"/>
          <w:numId w:val="3"/>
        </w:numPr>
        <w:spacing w:before="120" w:after="120"/>
      </w:pPr>
      <w:r w:rsidRPr="00483EB6">
        <w:rPr>
          <w:rFonts w:asciiTheme="minorHAnsi" w:hAnsiTheme="minorHAnsi" w:cstheme="minorHAnsi"/>
          <w:szCs w:val="24"/>
        </w:rPr>
        <w:t xml:space="preserve">The resubmission </w:t>
      </w:r>
      <w:r w:rsidR="00234645" w:rsidRPr="00483EB6">
        <w:rPr>
          <w:rFonts w:asciiTheme="minorHAnsi" w:hAnsiTheme="minorHAnsi" w:cstheme="minorHAnsi"/>
          <w:szCs w:val="24"/>
        </w:rPr>
        <w:t>stated that while tyrosine kinase inhibitors have greatly improved the prognosis of Philadelphia chromosome positive patients, the applicability of results from the Philadelphia chromosome negative population remains uncertain. However, the resubmission argued that the impact is likely to be small given Philadelphia chromosome positive patients represent a small subgroup of the disease (20-30% adults; 5% children).</w:t>
      </w:r>
    </w:p>
    <w:p w:rsidR="00234645" w:rsidRPr="00483EB6" w:rsidRDefault="00234645" w:rsidP="00904FDE">
      <w:pPr>
        <w:pStyle w:val="ListParagraph"/>
        <w:widowControl/>
        <w:numPr>
          <w:ilvl w:val="1"/>
          <w:numId w:val="3"/>
        </w:numPr>
        <w:spacing w:before="120" w:after="120"/>
      </w:pPr>
      <w:r w:rsidRPr="00483EB6">
        <w:t>The resubmission agreed with PBAC’s previous consideration that blinatumomab may be more effective in the first complete remission setting than in later remissions, but that, over time, blinatumomab would predominantly be used in first complete remission (Blinatumomab PSD July 2018, para 2.6).</w:t>
      </w:r>
    </w:p>
    <w:p w:rsidR="00461AD1" w:rsidRPr="00483EB6" w:rsidRDefault="00D252D3" w:rsidP="00904FDE">
      <w:pPr>
        <w:pStyle w:val="ListParagraph"/>
        <w:widowControl/>
        <w:numPr>
          <w:ilvl w:val="1"/>
          <w:numId w:val="3"/>
        </w:numPr>
        <w:spacing w:before="120" w:after="120"/>
      </w:pPr>
      <w:r w:rsidRPr="00483EB6">
        <w:rPr>
          <w:rFonts w:asciiTheme="minorHAnsi" w:hAnsiTheme="minorHAnsi" w:cstheme="minorHAnsi"/>
          <w:szCs w:val="24"/>
        </w:rPr>
        <w:t>The resubmission acknowledged the high rate of HSCT observed in the BLAST study (72.6%)</w:t>
      </w:r>
      <w:r w:rsidR="008A2FD1" w:rsidRPr="00483EB6">
        <w:rPr>
          <w:rFonts w:asciiTheme="minorHAnsi" w:hAnsiTheme="minorHAnsi" w:cstheme="minorHAnsi"/>
          <w:szCs w:val="24"/>
        </w:rPr>
        <w:t xml:space="preserve"> compared to the historical control (38.5%)</w:t>
      </w:r>
      <w:r w:rsidRPr="00483EB6">
        <w:rPr>
          <w:rFonts w:asciiTheme="minorHAnsi" w:hAnsiTheme="minorHAnsi" w:cstheme="minorHAnsi"/>
          <w:szCs w:val="24"/>
        </w:rPr>
        <w:t xml:space="preserve"> may have been due to a more aggressive approach to HSCT, high rates of HSCT in older patients or offering HSCT with mismatched donors</w:t>
      </w:r>
      <w:r w:rsidR="00E045F0" w:rsidRPr="00483EB6">
        <w:rPr>
          <w:rFonts w:asciiTheme="minorHAnsi" w:hAnsiTheme="minorHAnsi" w:cstheme="minorHAnsi"/>
          <w:szCs w:val="24"/>
        </w:rPr>
        <w:t>.</w:t>
      </w:r>
      <w:r w:rsidRPr="00483EB6">
        <w:rPr>
          <w:iCs/>
        </w:rPr>
        <w:t xml:space="preserve"> </w:t>
      </w:r>
      <w:r w:rsidR="008A2FD1" w:rsidRPr="00483EB6">
        <w:rPr>
          <w:iCs/>
        </w:rPr>
        <w:t>The sponsor’s advisory board claimed that the transplant rate from the TOWER trial in the relapsed/refractory setting would be more representative of clinical practice (standard of care 23.9%; blinatumomab 24.7%). The advisory board also suggested that blinatumomab treatment of MRD may lead to a reduced number of HSCTs as some patients would decline to undergo transplantation following successful treatment with blinatumomab.</w:t>
      </w:r>
      <w:r w:rsidR="00C469AB" w:rsidRPr="00483EB6">
        <w:rPr>
          <w:iCs/>
        </w:rPr>
        <w:t xml:space="preserve"> </w:t>
      </w:r>
      <w:r w:rsidR="00467B8F" w:rsidRPr="00483EB6">
        <w:rPr>
          <w:iCs/>
        </w:rPr>
        <w:t>On the other hand, blinatumomab may act as a bridge to transplant in some patients. Overall, t</w:t>
      </w:r>
      <w:r w:rsidRPr="00483EB6">
        <w:rPr>
          <w:iCs/>
        </w:rPr>
        <w:t>he difference in transplant rates makes it difficult to ascertain likely survival outcomes in clinical practice with blinatumomab treatment.</w:t>
      </w:r>
      <w:r w:rsidR="00EF1073" w:rsidRPr="00483EB6">
        <w:rPr>
          <w:i/>
          <w:iCs/>
        </w:rPr>
        <w:t xml:space="preserve"> </w:t>
      </w:r>
    </w:p>
    <w:p w:rsidR="00D252D3" w:rsidRPr="00483EB6" w:rsidRDefault="00EF1073" w:rsidP="00904FDE">
      <w:pPr>
        <w:pStyle w:val="ListParagraph"/>
        <w:widowControl/>
        <w:numPr>
          <w:ilvl w:val="1"/>
          <w:numId w:val="3"/>
        </w:numPr>
        <w:spacing w:before="120" w:after="120"/>
      </w:pPr>
      <w:r w:rsidRPr="00483EB6">
        <w:rPr>
          <w:iCs/>
        </w:rPr>
        <w:t>The ESC considered that the high rate of HSCT obser</w:t>
      </w:r>
      <w:r w:rsidR="000706A3" w:rsidRPr="00483EB6">
        <w:rPr>
          <w:iCs/>
        </w:rPr>
        <w:t xml:space="preserve">ved in the BLAST study was reflective of </w:t>
      </w:r>
      <w:r w:rsidR="009C55A2" w:rsidRPr="00483EB6">
        <w:rPr>
          <w:iCs/>
        </w:rPr>
        <w:t>the younger age of patients</w:t>
      </w:r>
      <w:r w:rsidR="003670A1" w:rsidRPr="00483EB6">
        <w:rPr>
          <w:iCs/>
        </w:rPr>
        <w:t xml:space="preserve"> in BLAST</w:t>
      </w:r>
      <w:r w:rsidR="009C55A2" w:rsidRPr="00483EB6">
        <w:rPr>
          <w:iCs/>
        </w:rPr>
        <w:t xml:space="preserve"> and </w:t>
      </w:r>
      <w:r w:rsidR="00A413FC" w:rsidRPr="00483EB6">
        <w:rPr>
          <w:iCs/>
        </w:rPr>
        <w:t>considere</w:t>
      </w:r>
      <w:r w:rsidR="009C55A2" w:rsidRPr="00483EB6">
        <w:rPr>
          <w:iCs/>
        </w:rPr>
        <w:t xml:space="preserve">d that the transplant rate from the TOWER trial would be more representative of </w:t>
      </w:r>
      <w:r w:rsidR="00023FC3" w:rsidRPr="00483EB6">
        <w:rPr>
          <w:iCs/>
        </w:rPr>
        <w:t>the transplant rate in adult patients in clinical practice</w:t>
      </w:r>
      <w:r w:rsidR="009C55A2" w:rsidRPr="00483EB6">
        <w:rPr>
          <w:iCs/>
        </w:rPr>
        <w:t>.</w:t>
      </w:r>
      <w:r w:rsidR="00023FC3" w:rsidRPr="00483EB6">
        <w:rPr>
          <w:iCs/>
        </w:rPr>
        <w:t xml:space="preserve"> The ESC disagreed with the </w:t>
      </w:r>
      <w:r w:rsidR="00632D2E" w:rsidRPr="00483EB6">
        <w:rPr>
          <w:iCs/>
        </w:rPr>
        <w:t xml:space="preserve">submission’s claim </w:t>
      </w:r>
      <w:r w:rsidR="00023FC3" w:rsidRPr="00483EB6">
        <w:rPr>
          <w:iCs/>
        </w:rPr>
        <w:t>that blinatumomab treatment would lead to a reduced number of HSCTs in adult patients</w:t>
      </w:r>
      <w:r w:rsidR="00632D2E" w:rsidRPr="00483EB6">
        <w:rPr>
          <w:iCs/>
        </w:rPr>
        <w:t>,</w:t>
      </w:r>
      <w:r w:rsidR="00023FC3" w:rsidRPr="00483EB6">
        <w:rPr>
          <w:iCs/>
        </w:rPr>
        <w:t xml:space="preserve"> noting there is currently no evidence</w:t>
      </w:r>
      <w:r w:rsidR="00461AD1" w:rsidRPr="00483EB6">
        <w:rPr>
          <w:iCs/>
        </w:rPr>
        <w:t xml:space="preserve"> that</w:t>
      </w:r>
      <w:r w:rsidR="00023FC3" w:rsidRPr="00483EB6">
        <w:rPr>
          <w:iCs/>
        </w:rPr>
        <w:t xml:space="preserve"> achieving MRD negative status would translate to a cure. </w:t>
      </w:r>
      <w:r w:rsidR="003957B3" w:rsidRPr="00483EB6">
        <w:rPr>
          <w:iCs/>
        </w:rPr>
        <w:t xml:space="preserve">The ESC </w:t>
      </w:r>
      <w:r w:rsidR="003502D8" w:rsidRPr="00483EB6">
        <w:rPr>
          <w:iCs/>
        </w:rPr>
        <w:t>considered that in clinical practice, blinatumomab would be used as a bridge to transplant</w:t>
      </w:r>
      <w:r w:rsidR="009C55A2" w:rsidRPr="00483EB6">
        <w:rPr>
          <w:iCs/>
        </w:rPr>
        <w:t xml:space="preserve"> in </w:t>
      </w:r>
      <w:r w:rsidR="00DC2E8B" w:rsidRPr="00483EB6">
        <w:rPr>
          <w:iCs/>
        </w:rPr>
        <w:t xml:space="preserve">suitable </w:t>
      </w:r>
      <w:r w:rsidR="009C55A2" w:rsidRPr="00483EB6">
        <w:rPr>
          <w:iCs/>
        </w:rPr>
        <w:t>patients</w:t>
      </w:r>
      <w:r w:rsidR="003502D8" w:rsidRPr="00483EB6">
        <w:rPr>
          <w:iCs/>
        </w:rPr>
        <w:t xml:space="preserve"> given </w:t>
      </w:r>
      <w:r w:rsidR="001A4B7F" w:rsidRPr="00483EB6">
        <w:rPr>
          <w:iCs/>
        </w:rPr>
        <w:t>MRD positive patients</w:t>
      </w:r>
      <w:r w:rsidR="003502D8" w:rsidRPr="00483EB6">
        <w:rPr>
          <w:iCs/>
        </w:rPr>
        <w:t xml:space="preserve"> are designated as high risk </w:t>
      </w:r>
      <w:r w:rsidR="00377CA7" w:rsidRPr="00483EB6">
        <w:rPr>
          <w:iCs/>
        </w:rPr>
        <w:t>and current clinical consensus</w:t>
      </w:r>
      <w:r w:rsidR="00461AD1" w:rsidRPr="00483EB6">
        <w:rPr>
          <w:iCs/>
        </w:rPr>
        <w:t xml:space="preserve"> i</w:t>
      </w:r>
      <w:r w:rsidR="00DC2E8B" w:rsidRPr="00483EB6">
        <w:rPr>
          <w:iCs/>
        </w:rPr>
        <w:t>s</w:t>
      </w:r>
      <w:r w:rsidR="00377CA7" w:rsidRPr="00483EB6">
        <w:rPr>
          <w:iCs/>
        </w:rPr>
        <w:t xml:space="preserve"> that HSCT provides the best chance of cure for this population. </w:t>
      </w:r>
    </w:p>
    <w:p w:rsidR="00234645" w:rsidRPr="00483EB6" w:rsidRDefault="00234645" w:rsidP="00904FDE">
      <w:pPr>
        <w:pStyle w:val="ListParagraph"/>
        <w:widowControl/>
        <w:numPr>
          <w:ilvl w:val="1"/>
          <w:numId w:val="3"/>
        </w:numPr>
        <w:spacing w:before="120" w:after="120"/>
      </w:pPr>
      <w:r w:rsidRPr="00483EB6">
        <w:t>The resubmission acknowledged that there was limited information about the standard of care chemotherapies used in Study 201210148 (historical cohort), and that the chemotherapy regimens used were more than 10 years old. The resubmission noted that patients in the historical control study received various intensive standard or investigational chemotherapy regimens according to adult protocols. The most common protocol used in the historical control study was GMALL</w:t>
      </w:r>
      <w:r w:rsidR="00F87818" w:rsidRPr="00483EB6">
        <w:t xml:space="preserve"> (German multicentre study group or adult ALL)</w:t>
      </w:r>
      <w:r w:rsidR="00F203C2" w:rsidRPr="00483EB6">
        <w:t xml:space="preserve">, while </w:t>
      </w:r>
      <w:r w:rsidRPr="00483EB6">
        <w:t xml:space="preserve">the </w:t>
      </w:r>
      <w:r w:rsidR="00D16C94" w:rsidRPr="00483EB6">
        <w:t xml:space="preserve">resubmission stated that </w:t>
      </w:r>
      <w:r w:rsidRPr="00483EB6">
        <w:t xml:space="preserve">hyper-CVAD treatment protocol </w:t>
      </w:r>
      <w:r w:rsidR="00F203C2" w:rsidRPr="00483EB6">
        <w:t xml:space="preserve">is the most common protocol in </w:t>
      </w:r>
      <w:r w:rsidRPr="00483EB6">
        <w:t xml:space="preserve">current </w:t>
      </w:r>
      <w:r w:rsidR="00F203C2" w:rsidRPr="00483EB6">
        <w:t xml:space="preserve">Australian </w:t>
      </w:r>
      <w:r w:rsidRPr="00483EB6">
        <w:t>clinical practice</w:t>
      </w:r>
      <w:r w:rsidR="00F203C2" w:rsidRPr="00483EB6">
        <w:t xml:space="preserve"> </w:t>
      </w:r>
      <w:r w:rsidR="00F203C2" w:rsidRPr="00483EB6">
        <w:lastRenderedPageBreak/>
        <w:t>(</w:t>
      </w:r>
      <w:r w:rsidRPr="00483EB6">
        <w:t>based on feedback from Australian clinicians</w:t>
      </w:r>
      <w:r w:rsidR="00F203C2" w:rsidRPr="00483EB6">
        <w:t>)</w:t>
      </w:r>
      <w:r w:rsidRPr="00483EB6">
        <w:t>.</w:t>
      </w:r>
      <w:r w:rsidR="00A951DF" w:rsidRPr="00483EB6">
        <w:t xml:space="preserve"> The ESC </w:t>
      </w:r>
      <w:r w:rsidR="00025004" w:rsidRPr="00483EB6">
        <w:t>considered that</w:t>
      </w:r>
      <w:r w:rsidR="003A1AD9" w:rsidRPr="00483EB6">
        <w:t xml:space="preserve">, while the chemotherapy backbones used in the historical control arms were unlikely to differ </w:t>
      </w:r>
      <w:r w:rsidR="00483EB6">
        <w:t xml:space="preserve">significantly </w:t>
      </w:r>
      <w:r w:rsidR="003A1AD9" w:rsidRPr="00483EB6">
        <w:t>to those used in current practice, the</w:t>
      </w:r>
      <w:r w:rsidR="00177DEF" w:rsidRPr="00483EB6">
        <w:t>re have been improve</w:t>
      </w:r>
      <w:r w:rsidR="002D107B" w:rsidRPr="00483EB6">
        <w:t>ments</w:t>
      </w:r>
      <w:r w:rsidR="00177DEF" w:rsidRPr="00483EB6">
        <w:t xml:space="preserve"> in</w:t>
      </w:r>
      <w:r w:rsidR="003A1AD9" w:rsidRPr="00483EB6">
        <w:t xml:space="preserve"> supportive care </w:t>
      </w:r>
      <w:r w:rsidR="007200E4" w:rsidRPr="00483EB6">
        <w:t>and disease management since the historical control (wherein most patients were treated between 2000 and 2010)</w:t>
      </w:r>
      <w:r w:rsidR="00483EB6">
        <w:t xml:space="preserve">. </w:t>
      </w:r>
      <w:r w:rsidR="006F69B1" w:rsidRPr="00483EB6">
        <w:t xml:space="preserve">Overall, the ESC considered that this may have confounded the comparison as differences in supportive care and disease management may account for some of the differences in outcomes observed between BLAST and the historical control study. </w:t>
      </w:r>
    </w:p>
    <w:p w:rsidR="00B60939" w:rsidRPr="00483EB6" w:rsidRDefault="00B60939" w:rsidP="00904FDE">
      <w:pPr>
        <w:pStyle w:val="Heading2"/>
        <w:spacing w:before="120" w:after="120"/>
      </w:pPr>
      <w:bookmarkStart w:id="9" w:name="_Toc536013897"/>
      <w:r w:rsidRPr="00483EB6">
        <w:t>Comparative effectiveness</w:t>
      </w:r>
      <w:bookmarkEnd w:id="9"/>
    </w:p>
    <w:p w:rsidR="002C2775" w:rsidRPr="00483EB6" w:rsidRDefault="008470E9" w:rsidP="00904FDE">
      <w:pPr>
        <w:pStyle w:val="ListParagraph"/>
        <w:widowControl/>
        <w:numPr>
          <w:ilvl w:val="1"/>
          <w:numId w:val="3"/>
        </w:numPr>
        <w:spacing w:before="120" w:after="120"/>
      </w:pPr>
      <w:r w:rsidRPr="00483EB6">
        <w:t xml:space="preserve">The resubmission relied on the </w:t>
      </w:r>
      <w:r w:rsidR="008D1040" w:rsidRPr="00483EB6">
        <w:t>results of the propensity score weighted indirect analysis for the</w:t>
      </w:r>
      <w:r w:rsidR="00F87818" w:rsidRPr="00483EB6">
        <w:t xml:space="preserve"> average treatment effect</w:t>
      </w:r>
      <w:r w:rsidR="008D1040" w:rsidRPr="00483EB6">
        <w:t xml:space="preserve"> </w:t>
      </w:r>
      <w:r w:rsidR="00F87818" w:rsidRPr="00483EB6">
        <w:t>(</w:t>
      </w:r>
      <w:r w:rsidR="008D1040" w:rsidRPr="00483EB6">
        <w:t>ATE</w:t>
      </w:r>
      <w:r w:rsidR="00F87818" w:rsidRPr="00483EB6">
        <w:t>)</w:t>
      </w:r>
      <w:r w:rsidR="008D1040" w:rsidRPr="00483EB6">
        <w:t xml:space="preserve"> and</w:t>
      </w:r>
      <w:r w:rsidR="00F87818" w:rsidRPr="00483EB6">
        <w:t xml:space="preserve"> average treatment effect of the treated</w:t>
      </w:r>
      <w:r w:rsidR="008D1040" w:rsidRPr="00483EB6">
        <w:t xml:space="preserve"> </w:t>
      </w:r>
      <w:r w:rsidR="00F87818" w:rsidRPr="00483EB6">
        <w:t>(</w:t>
      </w:r>
      <w:r w:rsidR="008D1040" w:rsidRPr="00483EB6">
        <w:t>ATT</w:t>
      </w:r>
      <w:r w:rsidR="00F87818" w:rsidRPr="00483EB6">
        <w:t xml:space="preserve">) </w:t>
      </w:r>
      <w:r w:rsidR="008D1040" w:rsidRPr="00483EB6">
        <w:t>populations</w:t>
      </w:r>
      <w:r w:rsidR="00C63D1A" w:rsidRPr="00483EB6">
        <w:t xml:space="preserve"> previously considered by the P</w:t>
      </w:r>
      <w:r w:rsidR="008D1040" w:rsidRPr="00483EB6">
        <w:t>B</w:t>
      </w:r>
      <w:r w:rsidR="00C63D1A" w:rsidRPr="00483EB6">
        <w:t>A</w:t>
      </w:r>
      <w:r w:rsidR="008D1040" w:rsidRPr="00483EB6">
        <w:t>C at the July 2018 meeting.</w:t>
      </w:r>
      <w:r w:rsidR="00D3620F" w:rsidRPr="00483EB6">
        <w:t xml:space="preserve"> The primary propensity score-b</w:t>
      </w:r>
      <w:r w:rsidR="007A3E9D" w:rsidRPr="00483EB6">
        <w:t>ased weight used was ATE with the</w:t>
      </w:r>
      <w:r w:rsidR="00D3620F" w:rsidRPr="00483EB6">
        <w:t xml:space="preserve"> analysis using ATT </w:t>
      </w:r>
      <w:r w:rsidR="007A3E9D" w:rsidRPr="00483EB6">
        <w:t xml:space="preserve">presented </w:t>
      </w:r>
      <w:r w:rsidR="00D3620F" w:rsidRPr="00483EB6">
        <w:t>as a sensitivity analysis.</w:t>
      </w:r>
      <w:r w:rsidR="00C67FE8" w:rsidRPr="00483EB6">
        <w:t xml:space="preserve"> The ESC </w:t>
      </w:r>
      <w:r w:rsidR="0023288A" w:rsidRPr="00483EB6">
        <w:t>considered that while</w:t>
      </w:r>
      <w:r w:rsidR="00C67FE8" w:rsidRPr="00483EB6">
        <w:t xml:space="preserve"> the ATE analysis resulted in better-matched covariates and a smaller extent of data loss compared to the ATT method used in the July 2018 submission</w:t>
      </w:r>
      <w:r w:rsidR="0023288A" w:rsidRPr="00483EB6">
        <w:t xml:space="preserve">, </w:t>
      </w:r>
      <w:r w:rsidR="00F73366" w:rsidRPr="00483EB6">
        <w:t>the applicability</w:t>
      </w:r>
      <w:r w:rsidR="00657F38" w:rsidRPr="00483EB6">
        <w:t xml:space="preserve"> of the propensity matched population to the</w:t>
      </w:r>
      <w:r w:rsidR="00B950B7" w:rsidRPr="00483EB6">
        <w:t xml:space="preserve"> Australian population remained </w:t>
      </w:r>
      <w:r w:rsidR="00DE4D8C" w:rsidRPr="00483EB6">
        <w:t xml:space="preserve">an </w:t>
      </w:r>
      <w:r w:rsidR="00B950B7" w:rsidRPr="00483EB6">
        <w:t>outstanding</w:t>
      </w:r>
      <w:r w:rsidR="00DE4D8C" w:rsidRPr="00483EB6">
        <w:t xml:space="preserve"> issue</w:t>
      </w:r>
      <w:r w:rsidR="00C67FE8" w:rsidRPr="00483EB6">
        <w:t>.</w:t>
      </w:r>
      <w:r w:rsidR="006F7949" w:rsidRPr="00483EB6">
        <w:t xml:space="preserve"> The ESC </w:t>
      </w:r>
      <w:r w:rsidR="00A04D29" w:rsidRPr="00483EB6">
        <w:t xml:space="preserve">maintained </w:t>
      </w:r>
      <w:r w:rsidR="007140C5" w:rsidRPr="00483EB6">
        <w:t xml:space="preserve">that the </w:t>
      </w:r>
      <w:r w:rsidR="00FD4842" w:rsidRPr="00483EB6">
        <w:t>propensity-matched</w:t>
      </w:r>
      <w:r w:rsidR="007140C5" w:rsidRPr="00483EB6">
        <w:t xml:space="preserve"> population </w:t>
      </w:r>
      <w:r w:rsidR="00941E26" w:rsidRPr="00483EB6">
        <w:t>would likely</w:t>
      </w:r>
      <w:r w:rsidR="00E0182D" w:rsidRPr="00483EB6">
        <w:t xml:space="preserve"> differ to the </w:t>
      </w:r>
      <w:r w:rsidR="00324419" w:rsidRPr="00483EB6">
        <w:t>Australian PBS population</w:t>
      </w:r>
      <w:r w:rsidR="00A04D29" w:rsidRPr="00483EB6">
        <w:t xml:space="preserve"> as the propensity score analysis</w:t>
      </w:r>
      <w:r w:rsidR="00A660FD" w:rsidRPr="00483EB6">
        <w:t xml:space="preserve"> excluded </w:t>
      </w:r>
      <w:proofErr w:type="spellStart"/>
      <w:r w:rsidR="00A660FD" w:rsidRPr="00483EB6">
        <w:t>Ph</w:t>
      </w:r>
      <w:proofErr w:type="spellEnd"/>
      <w:r w:rsidR="00A660FD" w:rsidRPr="00483EB6">
        <w:t>+</w:t>
      </w:r>
      <w:r w:rsidR="00A04D29" w:rsidRPr="00483EB6">
        <w:t xml:space="preserve"> patients</w:t>
      </w:r>
      <w:r w:rsidR="003957B3" w:rsidRPr="00483EB6">
        <w:t xml:space="preserve">, </w:t>
      </w:r>
      <w:r w:rsidR="007200E4" w:rsidRPr="00483EB6">
        <w:t xml:space="preserve">excluded children, </w:t>
      </w:r>
      <w:r w:rsidR="003957B3" w:rsidRPr="00483EB6">
        <w:t>excluded</w:t>
      </w:r>
      <w:r w:rsidR="00707781" w:rsidRPr="00483EB6">
        <w:t xml:space="preserve"> patients with a smaller</w:t>
      </w:r>
      <w:r w:rsidR="00A04D29" w:rsidRPr="00483EB6">
        <w:t xml:space="preserve"> exten</w:t>
      </w:r>
      <w:r w:rsidR="001407DF" w:rsidRPr="00483EB6">
        <w:t>t of</w:t>
      </w:r>
      <w:r w:rsidR="00A660FD" w:rsidRPr="00483EB6">
        <w:t xml:space="preserve"> MRD positive disease</w:t>
      </w:r>
      <w:r w:rsidR="007200E4" w:rsidRPr="00483EB6">
        <w:t xml:space="preserve"> and</w:t>
      </w:r>
      <w:r w:rsidR="003957B3" w:rsidRPr="00483EB6">
        <w:rPr>
          <w:rFonts w:asciiTheme="minorHAnsi" w:hAnsiTheme="minorHAnsi" w:cstheme="minorHAnsi"/>
        </w:rPr>
        <w:t xml:space="preserve"> had</w:t>
      </w:r>
      <w:r w:rsidR="001407DF" w:rsidRPr="00483EB6">
        <w:rPr>
          <w:rFonts w:asciiTheme="minorHAnsi" w:hAnsiTheme="minorHAnsi" w:cstheme="minorHAnsi"/>
        </w:rPr>
        <w:t xml:space="preserve"> a high </w:t>
      </w:r>
      <w:r w:rsidR="008E31F3" w:rsidRPr="00483EB6">
        <w:rPr>
          <w:rFonts w:asciiTheme="minorHAnsi" w:hAnsiTheme="minorHAnsi" w:cstheme="minorHAnsi"/>
        </w:rPr>
        <w:t>rate</w:t>
      </w:r>
      <w:r w:rsidR="001407DF" w:rsidRPr="00483EB6">
        <w:rPr>
          <w:rFonts w:asciiTheme="minorHAnsi" w:hAnsiTheme="minorHAnsi" w:cstheme="minorHAnsi"/>
        </w:rPr>
        <w:t xml:space="preserve"> of HSCT</w:t>
      </w:r>
      <w:r w:rsidR="007200E4" w:rsidRPr="00483EB6">
        <w:rPr>
          <w:rFonts w:asciiTheme="minorHAnsi" w:hAnsiTheme="minorHAnsi" w:cstheme="minorHAnsi"/>
        </w:rPr>
        <w:t>.</w:t>
      </w:r>
    </w:p>
    <w:p w:rsidR="00A84E91" w:rsidRPr="00483EB6" w:rsidRDefault="008D1040" w:rsidP="00904FDE">
      <w:pPr>
        <w:pStyle w:val="ListParagraph"/>
        <w:widowControl/>
        <w:numPr>
          <w:ilvl w:val="1"/>
          <w:numId w:val="3"/>
        </w:numPr>
        <w:spacing w:before="120" w:after="120"/>
        <w:rPr>
          <w:rFonts w:asciiTheme="minorHAnsi" w:eastAsiaTheme="minorHAnsi" w:hAnsiTheme="minorHAnsi"/>
          <w:snapToGrid/>
          <w:color w:val="000000"/>
        </w:rPr>
      </w:pPr>
      <w:r w:rsidRPr="00483EB6">
        <w:rPr>
          <w:rFonts w:asciiTheme="minorHAnsi" w:hAnsiTheme="minorHAnsi" w:cstheme="minorHAnsi"/>
          <w:szCs w:val="24"/>
        </w:rPr>
        <w:t xml:space="preserve">Table 5 </w:t>
      </w:r>
      <w:r w:rsidR="00161C7A" w:rsidRPr="00483EB6">
        <w:rPr>
          <w:rFonts w:asciiTheme="minorHAnsi" w:hAnsiTheme="minorHAnsi" w:cstheme="minorHAnsi"/>
          <w:szCs w:val="24"/>
        </w:rPr>
        <w:t xml:space="preserve">and Figure 1 </w:t>
      </w:r>
      <w:r w:rsidRPr="00483EB6">
        <w:rPr>
          <w:rFonts w:asciiTheme="minorHAnsi" w:hAnsiTheme="minorHAnsi" w:cstheme="minorHAnsi"/>
          <w:szCs w:val="24"/>
        </w:rPr>
        <w:t>summarise the propensity score weighted indirect comparison of blinatumomab and standard of care chemoth</w:t>
      </w:r>
      <w:r w:rsidR="00F527DA" w:rsidRPr="00483EB6">
        <w:rPr>
          <w:rFonts w:asciiTheme="minorHAnsi" w:hAnsiTheme="minorHAnsi" w:cstheme="minorHAnsi"/>
          <w:szCs w:val="24"/>
        </w:rPr>
        <w:t>erapy for relapse free survival</w:t>
      </w:r>
      <w:r w:rsidRPr="00483EB6">
        <w:rPr>
          <w:rFonts w:asciiTheme="minorHAnsi" w:hAnsiTheme="minorHAnsi" w:cstheme="minorHAnsi"/>
          <w:szCs w:val="24"/>
        </w:rPr>
        <w:t xml:space="preserve"> </w:t>
      </w:r>
      <w:r w:rsidR="00F527DA" w:rsidRPr="00483EB6">
        <w:rPr>
          <w:rFonts w:asciiTheme="minorHAnsi" w:hAnsiTheme="minorHAnsi" w:cstheme="minorHAnsi"/>
          <w:szCs w:val="24"/>
        </w:rPr>
        <w:t>(</w:t>
      </w:r>
      <w:r w:rsidRPr="00483EB6">
        <w:rPr>
          <w:rFonts w:asciiTheme="minorHAnsi" w:hAnsiTheme="minorHAnsi" w:cstheme="minorHAnsi"/>
          <w:szCs w:val="24"/>
        </w:rPr>
        <w:t>ATE and ATT analyses</w:t>
      </w:r>
      <w:r w:rsidR="00F527DA" w:rsidRPr="00483EB6">
        <w:rPr>
          <w:rFonts w:asciiTheme="minorHAnsi" w:hAnsiTheme="minorHAnsi" w:cstheme="minorHAnsi"/>
          <w:szCs w:val="24"/>
        </w:rPr>
        <w:t>)</w:t>
      </w:r>
      <w:r w:rsidRPr="00483EB6">
        <w:rPr>
          <w:rFonts w:asciiTheme="minorHAnsi" w:eastAsiaTheme="minorHAnsi" w:hAnsiTheme="minorHAnsi"/>
          <w:snapToGrid/>
          <w:color w:val="000000"/>
        </w:rPr>
        <w:t>.</w:t>
      </w:r>
    </w:p>
    <w:p w:rsidR="008D1040" w:rsidRPr="00483EB6" w:rsidRDefault="008D1040" w:rsidP="008D1040">
      <w:pPr>
        <w:keepNext/>
        <w:keepLines/>
        <w:rPr>
          <w:rFonts w:ascii="Arial Narrow" w:hAnsi="Arial Narrow"/>
          <w:b/>
          <w:sz w:val="20"/>
          <w:szCs w:val="20"/>
        </w:rPr>
      </w:pPr>
      <w:r w:rsidRPr="00483EB6">
        <w:rPr>
          <w:rFonts w:ascii="Arial Narrow" w:hAnsi="Arial Narrow"/>
          <w:b/>
          <w:sz w:val="20"/>
          <w:szCs w:val="20"/>
        </w:rPr>
        <w:t>Table 5: Relapse free survival (RFS) propensity scoring analysis (ATE and ATT; PAS; stabilised IPTW)</w:t>
      </w:r>
    </w:p>
    <w:tbl>
      <w:tblPr>
        <w:tblStyle w:val="TableGrid"/>
        <w:tblW w:w="9022" w:type="dxa"/>
        <w:tblInd w:w="-5" w:type="dxa"/>
        <w:tblLayout w:type="fixed"/>
        <w:tblLook w:val="04A0" w:firstRow="1" w:lastRow="0" w:firstColumn="1" w:lastColumn="0" w:noHBand="0" w:noVBand="1"/>
        <w:tblCaption w:val="Table 5: Relapse free survival (RFS) propensity scoring analysis (ATE and ATT; PAS; stabilised IPTW)"/>
      </w:tblPr>
      <w:tblGrid>
        <w:gridCol w:w="2478"/>
        <w:gridCol w:w="1636"/>
        <w:gridCol w:w="1636"/>
        <w:gridCol w:w="1636"/>
        <w:gridCol w:w="1636"/>
      </w:tblGrid>
      <w:tr w:rsidR="008D1040" w:rsidRPr="00483EB6" w:rsidTr="00904FDE">
        <w:trPr>
          <w:trHeight w:val="287"/>
          <w:tblHeader/>
        </w:trPr>
        <w:tc>
          <w:tcPr>
            <w:tcW w:w="2478" w:type="dxa"/>
            <w:vMerge w:val="restart"/>
            <w:vAlign w:val="center"/>
          </w:tcPr>
          <w:p w:rsidR="008D1040" w:rsidRPr="00483EB6" w:rsidRDefault="008D1040" w:rsidP="00001121">
            <w:pPr>
              <w:keepNext/>
              <w:jc w:val="left"/>
              <w:rPr>
                <w:rFonts w:ascii="Arial Narrow" w:hAnsi="Arial Narrow"/>
                <w:b/>
                <w:sz w:val="20"/>
                <w:szCs w:val="20"/>
              </w:rPr>
            </w:pPr>
          </w:p>
        </w:tc>
        <w:tc>
          <w:tcPr>
            <w:tcW w:w="3272" w:type="dxa"/>
            <w:gridSpan w:val="2"/>
            <w:tcBorders>
              <w:right w:val="double" w:sz="4" w:space="0" w:color="auto"/>
            </w:tcBorders>
            <w:vAlign w:val="center"/>
          </w:tcPr>
          <w:p w:rsidR="008D1040" w:rsidRPr="00483EB6" w:rsidRDefault="008D1040" w:rsidP="00001121">
            <w:pPr>
              <w:keepNext/>
              <w:ind w:left="-65" w:right="-79"/>
              <w:jc w:val="center"/>
              <w:rPr>
                <w:rFonts w:ascii="Arial Narrow" w:hAnsi="Arial Narrow" w:cstheme="minorBidi"/>
                <w:b/>
                <w:sz w:val="20"/>
              </w:rPr>
            </w:pPr>
            <w:r w:rsidRPr="00483EB6">
              <w:rPr>
                <w:rFonts w:ascii="Arial Narrow" w:hAnsi="Arial Narrow" w:cstheme="minorBidi"/>
                <w:b/>
                <w:sz w:val="20"/>
              </w:rPr>
              <w:t>ATE analysis</w:t>
            </w:r>
          </w:p>
        </w:tc>
        <w:tc>
          <w:tcPr>
            <w:tcW w:w="3272" w:type="dxa"/>
            <w:gridSpan w:val="2"/>
            <w:tcBorders>
              <w:left w:val="double" w:sz="4" w:space="0" w:color="auto"/>
            </w:tcBorders>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cstheme="minorBidi"/>
                <w:b/>
                <w:sz w:val="20"/>
              </w:rPr>
              <w:t>ATT analysis</w:t>
            </w:r>
          </w:p>
        </w:tc>
      </w:tr>
      <w:tr w:rsidR="008D1040" w:rsidRPr="00483EB6" w:rsidTr="00904FDE">
        <w:trPr>
          <w:trHeight w:val="287"/>
          <w:tblHeader/>
        </w:trPr>
        <w:tc>
          <w:tcPr>
            <w:tcW w:w="2478" w:type="dxa"/>
            <w:vMerge/>
            <w:vAlign w:val="center"/>
          </w:tcPr>
          <w:p w:rsidR="008D1040" w:rsidRPr="00483EB6" w:rsidRDefault="008D1040" w:rsidP="00001121">
            <w:pPr>
              <w:keepNext/>
              <w:jc w:val="left"/>
              <w:rPr>
                <w:rFonts w:ascii="Arial Narrow" w:hAnsi="Arial Narrow"/>
                <w:b/>
                <w:sz w:val="20"/>
                <w:szCs w:val="20"/>
              </w:rPr>
            </w:pPr>
          </w:p>
        </w:tc>
        <w:tc>
          <w:tcPr>
            <w:tcW w:w="1636" w:type="dxa"/>
            <w:vAlign w:val="center"/>
          </w:tcPr>
          <w:p w:rsidR="008D1040" w:rsidRPr="00483EB6" w:rsidRDefault="008D1040" w:rsidP="00001121">
            <w:pPr>
              <w:keepNext/>
              <w:ind w:left="-65" w:right="-79"/>
              <w:jc w:val="center"/>
              <w:rPr>
                <w:rFonts w:ascii="Arial Narrow" w:hAnsi="Arial Narrow"/>
                <w:b/>
                <w:sz w:val="20"/>
              </w:rPr>
            </w:pPr>
            <w:r w:rsidRPr="00483EB6">
              <w:rPr>
                <w:rFonts w:ascii="Arial Narrow" w:hAnsi="Arial Narrow"/>
                <w:b/>
                <w:sz w:val="20"/>
              </w:rPr>
              <w:t>Blinatumomab (N=78.5)</w:t>
            </w:r>
          </w:p>
        </w:tc>
        <w:tc>
          <w:tcPr>
            <w:tcW w:w="1636" w:type="dxa"/>
            <w:tcBorders>
              <w:right w:val="double" w:sz="4" w:space="0" w:color="auto"/>
            </w:tcBorders>
            <w:vAlign w:val="center"/>
          </w:tcPr>
          <w:p w:rsidR="008D1040" w:rsidRPr="00483EB6" w:rsidRDefault="008D1040" w:rsidP="00001121">
            <w:pPr>
              <w:keepNext/>
              <w:ind w:left="-65" w:right="-79"/>
              <w:jc w:val="center"/>
              <w:rPr>
                <w:rFonts w:ascii="Arial Narrow" w:hAnsi="Arial Narrow" w:cstheme="minorBidi"/>
                <w:b/>
                <w:sz w:val="20"/>
              </w:rPr>
            </w:pPr>
            <w:r w:rsidRPr="00483EB6">
              <w:rPr>
                <w:rFonts w:ascii="Arial Narrow" w:hAnsi="Arial Narrow" w:cstheme="minorBidi"/>
                <w:b/>
                <w:sz w:val="20"/>
              </w:rPr>
              <w:t>Historical control (N=174.3)</w:t>
            </w:r>
          </w:p>
        </w:tc>
        <w:tc>
          <w:tcPr>
            <w:tcW w:w="1636" w:type="dxa"/>
            <w:tcBorders>
              <w:left w:val="double" w:sz="4" w:space="0" w:color="auto"/>
            </w:tcBorders>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b/>
                <w:sz w:val="20"/>
              </w:rPr>
              <w:t>Blinatumomab (N=20.9)</w:t>
            </w:r>
          </w:p>
        </w:tc>
        <w:tc>
          <w:tcPr>
            <w:tcW w:w="1636" w:type="dxa"/>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cstheme="minorBidi"/>
                <w:b/>
                <w:sz w:val="20"/>
              </w:rPr>
              <w:t>Historical control (N=44.4)</w:t>
            </w:r>
          </w:p>
        </w:tc>
      </w:tr>
      <w:tr w:rsidR="008D1040" w:rsidRPr="00483EB6" w:rsidTr="00904FDE">
        <w:trPr>
          <w:tblHeader/>
        </w:trPr>
        <w:tc>
          <w:tcPr>
            <w:tcW w:w="9022" w:type="dxa"/>
            <w:gridSpan w:val="5"/>
            <w:tcBorders>
              <w:bottom w:val="single" w:sz="4" w:space="0" w:color="auto"/>
            </w:tcBorders>
          </w:tcPr>
          <w:p w:rsidR="008D1040" w:rsidRPr="00483EB6" w:rsidRDefault="008D1040" w:rsidP="00001121">
            <w:pPr>
              <w:keepNext/>
              <w:jc w:val="left"/>
              <w:rPr>
                <w:rFonts w:ascii="Arial Narrow" w:hAnsi="Arial Narrow"/>
                <w:b/>
                <w:sz w:val="20"/>
              </w:rPr>
            </w:pPr>
            <w:r w:rsidRPr="00483EB6">
              <w:rPr>
                <w:rFonts w:ascii="Arial Narrow" w:hAnsi="Arial Narrow"/>
                <w:b/>
                <w:sz w:val="20"/>
              </w:rPr>
              <w:t xml:space="preserve">Stabilised IPTW </w:t>
            </w:r>
            <w:r w:rsidRPr="00483EB6">
              <w:rPr>
                <w:rFonts w:ascii="Arial Narrow" w:hAnsi="Arial Narrow" w:cstheme="minorHAnsi"/>
                <w:b/>
                <w:sz w:val="20"/>
                <w:szCs w:val="20"/>
              </w:rPr>
              <w:t xml:space="preserve">Kaplan-Meier estimates </w:t>
            </w:r>
            <w:r w:rsidRPr="00483EB6">
              <w:rPr>
                <w:rFonts w:ascii="Arial Narrow" w:hAnsi="Arial Narrow"/>
                <w:b/>
                <w:sz w:val="20"/>
              </w:rPr>
              <w:t xml:space="preserve">(not adjusted for </w:t>
            </w:r>
            <w:proofErr w:type="spellStart"/>
            <w:r w:rsidRPr="00483EB6">
              <w:rPr>
                <w:rFonts w:ascii="Arial Narrow" w:hAnsi="Arial Narrow"/>
                <w:b/>
                <w:sz w:val="20"/>
              </w:rPr>
              <w:t>alloHSCT</w:t>
            </w:r>
            <w:proofErr w:type="spellEnd"/>
            <w:r w:rsidRPr="00483EB6">
              <w:rPr>
                <w:rFonts w:ascii="Arial Narrow" w:hAnsi="Arial Narrow"/>
                <w:b/>
                <w:sz w:val="20"/>
              </w:rPr>
              <w:t>)</w:t>
            </w:r>
          </w:p>
        </w:tc>
      </w:tr>
      <w:tr w:rsidR="008D1040" w:rsidRPr="00483EB6" w:rsidTr="00904FDE">
        <w:trPr>
          <w:tblHeader/>
        </w:trPr>
        <w:tc>
          <w:tcPr>
            <w:tcW w:w="2478" w:type="dxa"/>
            <w:tcBorders>
              <w:bottom w:val="single" w:sz="4" w:space="0" w:color="auto"/>
            </w:tcBorders>
          </w:tcPr>
          <w:p w:rsidR="008D1040" w:rsidRPr="00483EB6" w:rsidRDefault="008D1040" w:rsidP="00001121">
            <w:pPr>
              <w:keepNext/>
              <w:tabs>
                <w:tab w:val="right" w:pos="2462"/>
              </w:tabs>
              <w:rPr>
                <w:rFonts w:ascii="Arial Narrow" w:hAnsi="Arial Narrow"/>
                <w:sz w:val="20"/>
                <w:szCs w:val="20"/>
                <w:vertAlign w:val="superscript"/>
              </w:rPr>
            </w:pPr>
            <w:r w:rsidRPr="00483EB6">
              <w:rPr>
                <w:rFonts w:ascii="Arial Narrow" w:hAnsi="Arial Narrow"/>
                <w:sz w:val="20"/>
                <w:szCs w:val="20"/>
              </w:rPr>
              <w:t>18 months (95% CI)</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0.67 (0.58, 0.78)</w:t>
            </w:r>
          </w:p>
        </w:tc>
        <w:tc>
          <w:tcPr>
            <w:tcW w:w="1636" w:type="dxa"/>
            <w:tcBorders>
              <w:bottom w:val="single" w:sz="4" w:space="0" w:color="auto"/>
              <w:right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0.39 (0.33, 0.48) </w:t>
            </w:r>
          </w:p>
        </w:tc>
        <w:tc>
          <w:tcPr>
            <w:tcW w:w="1636" w:type="dxa"/>
            <w:tcBorders>
              <w:left w:val="double" w:sz="4" w:space="0" w:color="auto"/>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0.64 (0.54, 0.76)</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0.33 (0.26, 0.42)</w:t>
            </w:r>
          </w:p>
        </w:tc>
      </w:tr>
      <w:tr w:rsidR="008D1040" w:rsidRPr="00483EB6" w:rsidTr="00904FDE">
        <w:trPr>
          <w:tblHeader/>
        </w:trPr>
        <w:tc>
          <w:tcPr>
            <w:tcW w:w="2478" w:type="dxa"/>
            <w:tcBorders>
              <w:bottom w:val="double" w:sz="4" w:space="0" w:color="auto"/>
            </w:tcBorders>
          </w:tcPr>
          <w:p w:rsidR="008D1040" w:rsidRPr="00483EB6" w:rsidRDefault="008D1040" w:rsidP="00001121">
            <w:pPr>
              <w:keepNext/>
              <w:tabs>
                <w:tab w:val="right" w:pos="2462"/>
              </w:tabs>
              <w:rPr>
                <w:rFonts w:ascii="Arial Narrow" w:hAnsi="Arial Narrow"/>
                <w:sz w:val="20"/>
                <w:szCs w:val="20"/>
              </w:rPr>
            </w:pPr>
            <w:r w:rsidRPr="00483EB6">
              <w:rPr>
                <w:rFonts w:ascii="Arial Narrow" w:hAnsi="Arial Narrow"/>
                <w:b/>
                <w:sz w:val="20"/>
                <w:szCs w:val="20"/>
              </w:rPr>
              <w:t>RFS median months (95% CI)</w:t>
            </w:r>
          </w:p>
        </w:tc>
        <w:tc>
          <w:tcPr>
            <w:tcW w:w="1636" w:type="dxa"/>
            <w:tcBorders>
              <w:bottom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35.2 </w:t>
            </w:r>
            <w:proofErr w:type="spellStart"/>
            <w:r w:rsidRPr="00483EB6">
              <w:rPr>
                <w:rFonts w:ascii="Arial Narrow" w:hAnsi="Arial Narrow"/>
                <w:sz w:val="20"/>
              </w:rPr>
              <w:t>mths</w:t>
            </w:r>
            <w:proofErr w:type="spellEnd"/>
            <w:r w:rsidRPr="00483EB6">
              <w:rPr>
                <w:rFonts w:ascii="Arial Narrow" w:hAnsi="Arial Narrow"/>
                <w:sz w:val="20"/>
              </w:rPr>
              <w:t xml:space="preserve"> (24.2, NE)</w:t>
            </w:r>
          </w:p>
        </w:tc>
        <w:tc>
          <w:tcPr>
            <w:tcW w:w="1636" w:type="dxa"/>
            <w:tcBorders>
              <w:bottom w:val="double" w:sz="4" w:space="0" w:color="auto"/>
              <w:right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8.3 </w:t>
            </w:r>
            <w:proofErr w:type="spellStart"/>
            <w:r w:rsidRPr="00483EB6">
              <w:rPr>
                <w:rFonts w:ascii="Arial Narrow" w:hAnsi="Arial Narrow"/>
                <w:sz w:val="20"/>
              </w:rPr>
              <w:t>mths</w:t>
            </w:r>
            <w:proofErr w:type="spellEnd"/>
            <w:r w:rsidRPr="00483EB6">
              <w:rPr>
                <w:rFonts w:ascii="Arial Narrow" w:hAnsi="Arial Narrow"/>
                <w:sz w:val="20"/>
              </w:rPr>
              <w:t xml:space="preserve"> (6.2, 11.8)</w:t>
            </w:r>
          </w:p>
        </w:tc>
        <w:tc>
          <w:tcPr>
            <w:tcW w:w="1636" w:type="dxa"/>
            <w:tcBorders>
              <w:left w:val="double" w:sz="4" w:space="0" w:color="auto"/>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35.2 </w:t>
            </w:r>
            <w:proofErr w:type="spellStart"/>
            <w:r w:rsidRPr="00483EB6">
              <w:rPr>
                <w:rFonts w:ascii="Arial Narrow" w:hAnsi="Arial Narrow"/>
                <w:sz w:val="20"/>
              </w:rPr>
              <w:t>mths</w:t>
            </w:r>
            <w:proofErr w:type="spellEnd"/>
            <w:r w:rsidRPr="00483EB6">
              <w:rPr>
                <w:rFonts w:ascii="Arial Narrow" w:hAnsi="Arial Narrow"/>
                <w:sz w:val="20"/>
              </w:rPr>
              <w:t xml:space="preserve"> (6.3, NE)</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6.5 </w:t>
            </w:r>
            <w:proofErr w:type="spellStart"/>
            <w:r w:rsidRPr="00483EB6">
              <w:rPr>
                <w:rFonts w:ascii="Arial Narrow" w:hAnsi="Arial Narrow"/>
                <w:sz w:val="20"/>
              </w:rPr>
              <w:t>mths</w:t>
            </w:r>
            <w:proofErr w:type="spellEnd"/>
            <w:r w:rsidRPr="00483EB6">
              <w:rPr>
                <w:rFonts w:ascii="Arial Narrow" w:hAnsi="Arial Narrow"/>
                <w:sz w:val="20"/>
              </w:rPr>
              <w:t xml:space="preserve"> (2.9, 11.4)</w:t>
            </w:r>
          </w:p>
        </w:tc>
      </w:tr>
      <w:tr w:rsidR="008D1040" w:rsidRPr="00483EB6" w:rsidTr="00904FDE">
        <w:trPr>
          <w:tblHeader/>
        </w:trPr>
        <w:tc>
          <w:tcPr>
            <w:tcW w:w="2478" w:type="dxa"/>
            <w:tcBorders>
              <w:top w:val="double" w:sz="4" w:space="0" w:color="auto"/>
              <w:right w:val="single" w:sz="4" w:space="0" w:color="auto"/>
            </w:tcBorders>
          </w:tcPr>
          <w:p w:rsidR="008D1040" w:rsidRPr="00483EB6" w:rsidRDefault="008D1040" w:rsidP="00001121">
            <w:pPr>
              <w:keepNext/>
              <w:jc w:val="left"/>
              <w:rPr>
                <w:rFonts w:ascii="Arial Narrow" w:hAnsi="Arial Narrow"/>
                <w:b/>
                <w:sz w:val="20"/>
              </w:rPr>
            </w:pPr>
            <w:r w:rsidRPr="00483EB6">
              <w:rPr>
                <w:rFonts w:ascii="Arial Narrow" w:hAnsi="Arial Narrow"/>
                <w:b/>
                <w:sz w:val="20"/>
              </w:rPr>
              <w:t xml:space="preserve">Stabilised IPTW </w:t>
            </w:r>
          </w:p>
        </w:tc>
        <w:tc>
          <w:tcPr>
            <w:tcW w:w="3272" w:type="dxa"/>
            <w:gridSpan w:val="2"/>
            <w:tcBorders>
              <w:top w:val="double" w:sz="4" w:space="0" w:color="auto"/>
              <w:left w:val="single" w:sz="4" w:space="0" w:color="auto"/>
              <w:right w:val="double" w:sz="4" w:space="0" w:color="auto"/>
            </w:tcBorders>
          </w:tcPr>
          <w:p w:rsidR="008D1040" w:rsidRPr="00483EB6" w:rsidRDefault="008D1040" w:rsidP="00001121">
            <w:pPr>
              <w:keepNext/>
              <w:jc w:val="center"/>
              <w:rPr>
                <w:rFonts w:ascii="Arial Narrow" w:hAnsi="Arial Narrow"/>
                <w:b/>
                <w:sz w:val="20"/>
              </w:rPr>
            </w:pPr>
            <w:r w:rsidRPr="00483EB6">
              <w:rPr>
                <w:rFonts w:ascii="Arial Narrow" w:hAnsi="Arial Narrow"/>
                <w:b/>
                <w:sz w:val="20"/>
              </w:rPr>
              <w:t>Hazard ratio (95% CI)</w:t>
            </w:r>
            <w:r w:rsidRPr="00483EB6">
              <w:rPr>
                <w:rFonts w:ascii="Arial Narrow" w:hAnsi="Arial Narrow"/>
                <w:b/>
                <w:sz w:val="20"/>
                <w:vertAlign w:val="superscript"/>
              </w:rPr>
              <w:t>a</w:t>
            </w:r>
          </w:p>
        </w:tc>
        <w:tc>
          <w:tcPr>
            <w:tcW w:w="3272" w:type="dxa"/>
            <w:gridSpan w:val="2"/>
            <w:tcBorders>
              <w:top w:val="double" w:sz="4" w:space="0" w:color="auto"/>
              <w:left w:val="double" w:sz="4" w:space="0" w:color="auto"/>
            </w:tcBorders>
          </w:tcPr>
          <w:p w:rsidR="008D1040" w:rsidRPr="00483EB6" w:rsidRDefault="008D1040" w:rsidP="00001121">
            <w:pPr>
              <w:keepNext/>
              <w:jc w:val="center"/>
              <w:rPr>
                <w:rFonts w:ascii="Arial Narrow" w:hAnsi="Arial Narrow"/>
                <w:b/>
                <w:sz w:val="20"/>
              </w:rPr>
            </w:pPr>
            <w:r w:rsidRPr="00483EB6">
              <w:rPr>
                <w:rFonts w:ascii="Arial Narrow" w:hAnsi="Arial Narrow"/>
                <w:b/>
                <w:sz w:val="20"/>
              </w:rPr>
              <w:t>Hazard ratio (95% CI)</w:t>
            </w:r>
            <w:r w:rsidRPr="00483EB6">
              <w:rPr>
                <w:rFonts w:ascii="Arial Narrow" w:hAnsi="Arial Narrow"/>
                <w:b/>
                <w:sz w:val="20"/>
                <w:vertAlign w:val="superscript"/>
              </w:rPr>
              <w:t>a</w:t>
            </w:r>
          </w:p>
        </w:tc>
      </w:tr>
      <w:tr w:rsidR="008D1040" w:rsidRPr="00483EB6" w:rsidTr="00904FDE">
        <w:trPr>
          <w:tblHeader/>
        </w:trPr>
        <w:tc>
          <w:tcPr>
            <w:tcW w:w="2478" w:type="dxa"/>
            <w:tcBorders>
              <w:top w:val="single" w:sz="4" w:space="0" w:color="auto"/>
            </w:tcBorders>
          </w:tcPr>
          <w:p w:rsidR="008D1040" w:rsidRPr="00483EB6" w:rsidRDefault="008D1040" w:rsidP="00001121">
            <w:pPr>
              <w:keepNext/>
              <w:tabs>
                <w:tab w:val="right" w:pos="2462"/>
              </w:tabs>
              <w:rPr>
                <w:rFonts w:ascii="Arial Narrow" w:hAnsi="Arial Narrow"/>
                <w:b/>
                <w:sz w:val="20"/>
                <w:szCs w:val="20"/>
              </w:rPr>
            </w:pPr>
            <w:r w:rsidRPr="00483EB6">
              <w:rPr>
                <w:rFonts w:ascii="Arial Narrow" w:hAnsi="Arial Narrow"/>
                <w:sz w:val="20"/>
                <w:szCs w:val="20"/>
              </w:rPr>
              <w:t xml:space="preserve">not adjusted for </w:t>
            </w:r>
            <w:proofErr w:type="spellStart"/>
            <w:r w:rsidRPr="00483EB6">
              <w:rPr>
                <w:rFonts w:ascii="Arial Narrow" w:hAnsi="Arial Narrow"/>
                <w:sz w:val="20"/>
                <w:szCs w:val="20"/>
              </w:rPr>
              <w:t>alloHSCT</w:t>
            </w:r>
            <w:proofErr w:type="spellEnd"/>
          </w:p>
        </w:tc>
        <w:tc>
          <w:tcPr>
            <w:tcW w:w="3272" w:type="dxa"/>
            <w:gridSpan w:val="2"/>
            <w:tcBorders>
              <w:top w:val="single" w:sz="4" w:space="0" w:color="auto"/>
              <w:right w:val="double" w:sz="4" w:space="0" w:color="auto"/>
            </w:tcBorders>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szCs w:val="20"/>
              </w:rPr>
              <w:t>0.47 (0.30, 0.73)</w:t>
            </w:r>
          </w:p>
        </w:tc>
        <w:tc>
          <w:tcPr>
            <w:tcW w:w="3272" w:type="dxa"/>
            <w:gridSpan w:val="2"/>
            <w:tcBorders>
              <w:top w:val="single" w:sz="4" w:space="0" w:color="auto"/>
              <w:lef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szCs w:val="20"/>
              </w:rPr>
              <w:t>0.42 (0.29, 0.60)</w:t>
            </w:r>
          </w:p>
        </w:tc>
      </w:tr>
      <w:tr w:rsidR="008D1040" w:rsidRPr="00483EB6" w:rsidTr="00904FDE">
        <w:trPr>
          <w:tblHeader/>
        </w:trPr>
        <w:tc>
          <w:tcPr>
            <w:tcW w:w="2478" w:type="dxa"/>
            <w:tcBorders>
              <w:top w:val="single" w:sz="4" w:space="0" w:color="auto"/>
            </w:tcBorders>
          </w:tcPr>
          <w:p w:rsidR="008D1040" w:rsidRPr="00483EB6" w:rsidRDefault="008D1040" w:rsidP="00001121">
            <w:pPr>
              <w:keepNext/>
              <w:tabs>
                <w:tab w:val="right" w:pos="2462"/>
              </w:tabs>
              <w:rPr>
                <w:rFonts w:ascii="Arial Narrow" w:hAnsi="Arial Narrow"/>
                <w:b/>
                <w:sz w:val="20"/>
                <w:szCs w:val="20"/>
              </w:rPr>
            </w:pPr>
            <w:r w:rsidRPr="00483EB6">
              <w:rPr>
                <w:rFonts w:ascii="Arial Narrow" w:hAnsi="Arial Narrow"/>
                <w:sz w:val="20"/>
                <w:szCs w:val="20"/>
              </w:rPr>
              <w:t xml:space="preserve">adjusted for </w:t>
            </w:r>
            <w:proofErr w:type="spellStart"/>
            <w:r w:rsidRPr="00483EB6">
              <w:rPr>
                <w:rFonts w:ascii="Arial Narrow" w:hAnsi="Arial Narrow"/>
                <w:sz w:val="20"/>
                <w:szCs w:val="20"/>
              </w:rPr>
              <w:t>alloHSCT</w:t>
            </w:r>
            <w:proofErr w:type="spellEnd"/>
          </w:p>
        </w:tc>
        <w:tc>
          <w:tcPr>
            <w:tcW w:w="3272" w:type="dxa"/>
            <w:gridSpan w:val="2"/>
            <w:tcBorders>
              <w:top w:val="single" w:sz="4" w:space="0" w:color="auto"/>
              <w:right w:val="double" w:sz="4" w:space="0" w:color="auto"/>
            </w:tcBorders>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szCs w:val="20"/>
              </w:rPr>
              <w:t>0.50 (0.32, 0.78)</w:t>
            </w:r>
          </w:p>
        </w:tc>
        <w:tc>
          <w:tcPr>
            <w:tcW w:w="3272" w:type="dxa"/>
            <w:gridSpan w:val="2"/>
            <w:tcBorders>
              <w:top w:val="single" w:sz="4" w:space="0" w:color="auto"/>
              <w:lef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szCs w:val="20"/>
              </w:rPr>
              <w:t>0.45 (0.31, 0.65)</w:t>
            </w:r>
          </w:p>
        </w:tc>
      </w:tr>
    </w:tbl>
    <w:p w:rsidR="008D1040" w:rsidRPr="00483EB6" w:rsidRDefault="008D1040" w:rsidP="008D1040">
      <w:pPr>
        <w:keepNext/>
        <w:rPr>
          <w:rFonts w:ascii="Arial Narrow" w:hAnsi="Arial Narrow"/>
          <w:sz w:val="18"/>
          <w:szCs w:val="18"/>
        </w:rPr>
      </w:pPr>
      <w:r w:rsidRPr="00483EB6">
        <w:rPr>
          <w:rFonts w:ascii="Arial Narrow" w:hAnsi="Arial Narrow"/>
          <w:sz w:val="18"/>
          <w:szCs w:val="18"/>
        </w:rPr>
        <w:t>Source: Table 21, p.66 of the resubmission; Tables 2.6.15, p.73, and 2.6.14, p.142 of the July 2018 commentary.</w:t>
      </w:r>
    </w:p>
    <w:p w:rsidR="008D1040" w:rsidRPr="00483EB6" w:rsidRDefault="008D1040" w:rsidP="008D1040">
      <w:pPr>
        <w:keepNext/>
        <w:rPr>
          <w:rFonts w:ascii="Arial Narrow" w:hAnsi="Arial Narrow"/>
          <w:sz w:val="18"/>
          <w:szCs w:val="18"/>
        </w:rPr>
      </w:pPr>
      <w:r w:rsidRPr="00483EB6">
        <w:rPr>
          <w:rFonts w:ascii="Arial Narrow" w:hAnsi="Arial Narrow"/>
          <w:sz w:val="18"/>
          <w:szCs w:val="18"/>
        </w:rPr>
        <w:t xml:space="preserve">Abbreviations: </w:t>
      </w:r>
      <w:proofErr w:type="spellStart"/>
      <w:r w:rsidRPr="00483EB6">
        <w:rPr>
          <w:rFonts w:ascii="Arial Narrow" w:hAnsi="Arial Narrow"/>
          <w:sz w:val="18"/>
          <w:szCs w:val="18"/>
        </w:rPr>
        <w:t>alloHSCT</w:t>
      </w:r>
      <w:proofErr w:type="spellEnd"/>
      <w:r w:rsidRPr="00483EB6">
        <w:rPr>
          <w:rFonts w:ascii="Arial Narrow" w:hAnsi="Arial Narrow"/>
          <w:sz w:val="18"/>
          <w:szCs w:val="18"/>
        </w:rPr>
        <w:t xml:space="preserve">, allogeneic haematopoietic stem cell transplantation; ATE, average treatment effect; ATT, </w:t>
      </w:r>
      <w:r w:rsidRPr="00483EB6">
        <w:rPr>
          <w:rFonts w:ascii="Arial Narrow" w:hAnsi="Arial Narrow" w:cstheme="minorHAnsi"/>
          <w:color w:val="000000"/>
          <w:sz w:val="18"/>
          <w:szCs w:val="18"/>
          <w:lang w:eastAsia="en-AU"/>
        </w:rPr>
        <w:t>average treatment effect of the treated</w:t>
      </w:r>
      <w:r w:rsidRPr="00483EB6">
        <w:rPr>
          <w:rFonts w:ascii="Arial Narrow" w:hAnsi="Arial Narrow"/>
          <w:sz w:val="18"/>
          <w:szCs w:val="18"/>
        </w:rPr>
        <w:t>; CI, confidence interval; IPTW, inverse probability of treatment weight; NE, not evaluable; PAS, primary analysis set; RFS, relapse free survival.</w:t>
      </w:r>
    </w:p>
    <w:p w:rsidR="008D1040" w:rsidRPr="00483EB6" w:rsidRDefault="008D1040" w:rsidP="008D1040">
      <w:pPr>
        <w:keepNext/>
        <w:rPr>
          <w:rFonts w:ascii="Arial Narrow" w:hAnsi="Arial Narrow"/>
          <w:sz w:val="18"/>
          <w:szCs w:val="18"/>
        </w:rPr>
      </w:pPr>
      <w:proofErr w:type="gramStart"/>
      <w:r w:rsidRPr="00483EB6">
        <w:rPr>
          <w:rFonts w:ascii="Arial Narrow" w:hAnsi="Arial Narrow"/>
          <w:sz w:val="18"/>
          <w:szCs w:val="18"/>
          <w:vertAlign w:val="superscript"/>
        </w:rPr>
        <w:t>a</w:t>
      </w:r>
      <w:proofErr w:type="gramEnd"/>
      <w:r w:rsidRPr="00483EB6">
        <w:rPr>
          <w:rFonts w:ascii="Arial Narrow" w:hAnsi="Arial Narrow"/>
          <w:sz w:val="18"/>
          <w:szCs w:val="18"/>
        </w:rPr>
        <w:t xml:space="preserve"> Results &lt;1 favour blinatumomab. Statistically significant comparative results in bold.</w:t>
      </w:r>
    </w:p>
    <w:p w:rsidR="008D1040" w:rsidRPr="00483EB6" w:rsidRDefault="008D1040" w:rsidP="008D1040">
      <w:pPr>
        <w:widowControl/>
        <w:rPr>
          <w:rFonts w:asciiTheme="minorHAnsi" w:eastAsiaTheme="minorHAnsi" w:hAnsiTheme="minorHAnsi"/>
          <w:snapToGrid/>
        </w:rPr>
      </w:pPr>
      <w:r w:rsidRPr="00483EB6">
        <w:rPr>
          <w:rFonts w:asciiTheme="minorHAnsi" w:eastAsiaTheme="minorHAnsi" w:hAnsiTheme="minorHAnsi"/>
          <w:snapToGrid/>
        </w:rPr>
        <w:t xml:space="preserve"> </w:t>
      </w:r>
    </w:p>
    <w:p w:rsidR="00161C7A" w:rsidRPr="00483EB6" w:rsidRDefault="00161C7A" w:rsidP="007F29E7">
      <w:pPr>
        <w:pStyle w:val="TableHeading0"/>
        <w:keepLines/>
        <w:spacing w:after="0"/>
        <w:jc w:val="both"/>
        <w:rPr>
          <w:lang w:eastAsia="en-AU"/>
        </w:rPr>
      </w:pPr>
      <w:r w:rsidRPr="00483EB6">
        <w:rPr>
          <w:lang w:eastAsia="en-AU"/>
        </w:rPr>
        <w:lastRenderedPageBreak/>
        <w:t>Figure 1: Kaplan-Meier relapse-free survival with blinatumomab and consolidation chemotherapy (ATE-weighted survival data)</w:t>
      </w:r>
    </w:p>
    <w:p w:rsidR="00161C7A" w:rsidRPr="00C058E5" w:rsidRDefault="00161C7A" w:rsidP="007F29E7">
      <w:pPr>
        <w:keepNext/>
        <w:keepLines/>
        <w:rPr>
          <w:rFonts w:ascii="Arial Narrow" w:hAnsi="Arial Narrow"/>
          <w:snapToGrid/>
          <w:sz w:val="18"/>
          <w:lang w:eastAsia="en-AU"/>
        </w:rPr>
      </w:pPr>
      <w:r w:rsidRPr="00483EB6">
        <w:rPr>
          <w:noProof/>
          <w:lang w:eastAsia="en-AU"/>
        </w:rPr>
        <w:drawing>
          <wp:inline distT="0" distB="0" distL="0" distR="0" wp14:anchorId="5C7BEA80" wp14:editId="18E01A9A">
            <wp:extent cx="5732145" cy="3181985"/>
            <wp:effectExtent l="0" t="0" r="1905" b="0"/>
            <wp:docPr id="135" name="Picture 135" title="Figure 1: Kaplan-Meier relapse-free survival with blinatumomab and consolidation chemotherapy (ATE-weighted survival data"/>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Grp="1"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2145" cy="3181985"/>
                    </a:xfrm>
                    <a:prstGeom prst="rect">
                      <a:avLst/>
                    </a:prstGeom>
                    <a:noFill/>
                    <a:ln>
                      <a:noFill/>
                    </a:ln>
                  </pic:spPr>
                </pic:pic>
              </a:graphicData>
            </a:graphic>
          </wp:inline>
        </w:drawing>
      </w:r>
      <w:r w:rsidRPr="00C058E5">
        <w:rPr>
          <w:rFonts w:ascii="Arial Narrow" w:hAnsi="Arial Narrow"/>
          <w:snapToGrid/>
          <w:sz w:val="18"/>
          <w:lang w:eastAsia="en-AU"/>
        </w:rPr>
        <w:t>Source: Figure 26, p.132 of the resubmission</w:t>
      </w:r>
    </w:p>
    <w:p w:rsidR="00DA3167" w:rsidRPr="00483EB6" w:rsidRDefault="003B0807" w:rsidP="00904FDE">
      <w:pPr>
        <w:pStyle w:val="ListParagraph"/>
        <w:widowControl/>
        <w:numPr>
          <w:ilvl w:val="1"/>
          <w:numId w:val="3"/>
        </w:numPr>
        <w:spacing w:before="120" w:after="120"/>
      </w:pPr>
      <w:r w:rsidRPr="00483EB6">
        <w:t xml:space="preserve">In the primary ATE analysis, blinatumomab showed a statistically significant increase in median relapse free survival of 26.9 months compared with standard of care chemotherapy (not adjusted for </w:t>
      </w:r>
      <w:proofErr w:type="spellStart"/>
      <w:r w:rsidRPr="00483EB6">
        <w:t>alloHSCT</w:t>
      </w:r>
      <w:proofErr w:type="spellEnd"/>
      <w:r w:rsidRPr="00483EB6">
        <w:t xml:space="preserve">). Similar results were reported for the exploratory ATT analysis; median relapse free survival of 28.7 months (not adjusted for </w:t>
      </w:r>
      <w:proofErr w:type="spellStart"/>
      <w:r w:rsidRPr="00483EB6">
        <w:t>alloHSCT</w:t>
      </w:r>
      <w:proofErr w:type="spellEnd"/>
      <w:r w:rsidRPr="00483EB6">
        <w:t>).</w:t>
      </w:r>
      <w:r w:rsidR="00225AA0" w:rsidRPr="00483EB6">
        <w:t xml:space="preserve"> The ESC noted </w:t>
      </w:r>
      <w:r w:rsidR="00592BD7" w:rsidRPr="00483EB6">
        <w:t xml:space="preserve">the plateau in the relapse-free survival curve of the </w:t>
      </w:r>
      <w:r w:rsidR="006F42D8" w:rsidRPr="00483EB6">
        <w:rPr>
          <w:rFonts w:asciiTheme="minorHAnsi" w:hAnsiTheme="minorHAnsi" w:cstheme="minorHAnsi"/>
          <w:szCs w:val="24"/>
        </w:rPr>
        <w:t>standard of care chemotherapy</w:t>
      </w:r>
      <w:r w:rsidR="00592BD7" w:rsidRPr="00483EB6">
        <w:t xml:space="preserve"> arm after 48 months</w:t>
      </w:r>
      <w:r w:rsidR="00B27509" w:rsidRPr="00483EB6">
        <w:t>. The ESC noted this</w:t>
      </w:r>
      <w:r w:rsidR="00592BD7" w:rsidRPr="00483EB6">
        <w:t xml:space="preserve"> was consistent with the clinical course of </w:t>
      </w:r>
      <w:r w:rsidR="00B27509" w:rsidRPr="00483EB6">
        <w:t>B-ALL</w:t>
      </w:r>
      <w:r w:rsidR="00592BD7" w:rsidRPr="00483EB6">
        <w:t xml:space="preserve"> </w:t>
      </w:r>
      <w:r w:rsidR="00B27509" w:rsidRPr="00483EB6">
        <w:t>in that the</w:t>
      </w:r>
      <w:r w:rsidR="00592BD7" w:rsidRPr="00483EB6">
        <w:t xml:space="preserve"> </w:t>
      </w:r>
      <w:r w:rsidR="00B27509" w:rsidRPr="00483EB6">
        <w:t>majority of</w:t>
      </w:r>
      <w:r w:rsidR="00592BD7" w:rsidRPr="00483EB6">
        <w:t xml:space="preserve"> r</w:t>
      </w:r>
      <w:r w:rsidR="00B27509" w:rsidRPr="00483EB6">
        <w:t xml:space="preserve">elapses occur in the first few years following treatment. </w:t>
      </w:r>
    </w:p>
    <w:p w:rsidR="00F527DA" w:rsidRPr="00483EB6" w:rsidRDefault="00F527DA" w:rsidP="00904FDE">
      <w:pPr>
        <w:pStyle w:val="ListParagraph"/>
        <w:widowControl/>
        <w:numPr>
          <w:ilvl w:val="1"/>
          <w:numId w:val="3"/>
        </w:numPr>
        <w:spacing w:before="120" w:after="120"/>
      </w:pPr>
      <w:r w:rsidRPr="00483EB6">
        <w:t xml:space="preserve">Table 6 </w:t>
      </w:r>
      <w:r w:rsidR="00161C7A" w:rsidRPr="00483EB6">
        <w:t xml:space="preserve">and Figure 2 </w:t>
      </w:r>
      <w:r w:rsidRPr="00483EB6">
        <w:t xml:space="preserve">summarise the results of the propensity score weighted indirect </w:t>
      </w:r>
      <w:r w:rsidRPr="00483EB6">
        <w:rPr>
          <w:rFonts w:asciiTheme="minorHAnsi" w:hAnsiTheme="minorHAnsi" w:cstheme="minorHAnsi"/>
          <w:szCs w:val="24"/>
        </w:rPr>
        <w:t xml:space="preserve">comparison of blinatumomab and standard of care chemotherapy in </w:t>
      </w:r>
      <w:r w:rsidRPr="00483EB6">
        <w:t xml:space="preserve">overall survival </w:t>
      </w:r>
      <w:r w:rsidRPr="00483EB6">
        <w:rPr>
          <w:rFonts w:asciiTheme="minorHAnsi" w:hAnsiTheme="minorHAnsi" w:cstheme="minorHAnsi"/>
          <w:szCs w:val="24"/>
        </w:rPr>
        <w:t xml:space="preserve">(ATE and ATT analyses), </w:t>
      </w:r>
      <w:r w:rsidRPr="00483EB6">
        <w:t>presented at the July 2018 meeting.</w:t>
      </w:r>
    </w:p>
    <w:p w:rsidR="008D1040" w:rsidRPr="00483EB6" w:rsidRDefault="008D1040" w:rsidP="008D1040">
      <w:pPr>
        <w:keepNext/>
        <w:keepLines/>
        <w:rPr>
          <w:rFonts w:ascii="Arial Narrow" w:hAnsi="Arial Narrow"/>
          <w:b/>
          <w:sz w:val="20"/>
          <w:szCs w:val="20"/>
        </w:rPr>
      </w:pPr>
      <w:r w:rsidRPr="00483EB6">
        <w:rPr>
          <w:rFonts w:ascii="Arial Narrow" w:hAnsi="Arial Narrow"/>
          <w:b/>
          <w:sz w:val="20"/>
          <w:szCs w:val="20"/>
        </w:rPr>
        <w:t>Table 6: Overall survival (OS) propensity scoring analysis (ATE and ATT; PAS; stabilised IPTW)</w:t>
      </w:r>
    </w:p>
    <w:tbl>
      <w:tblPr>
        <w:tblStyle w:val="TableGrid"/>
        <w:tblW w:w="9022" w:type="dxa"/>
        <w:tblInd w:w="-5" w:type="dxa"/>
        <w:tblLayout w:type="fixed"/>
        <w:tblLook w:val="04A0" w:firstRow="1" w:lastRow="0" w:firstColumn="1" w:lastColumn="0" w:noHBand="0" w:noVBand="1"/>
        <w:tblCaption w:val="Table 6: Overall survival (OS) propensity scoring analysis (ATE and ATT; PAS; stabilised IPTW)"/>
      </w:tblPr>
      <w:tblGrid>
        <w:gridCol w:w="2478"/>
        <w:gridCol w:w="1636"/>
        <w:gridCol w:w="1636"/>
        <w:gridCol w:w="1636"/>
        <w:gridCol w:w="1636"/>
      </w:tblGrid>
      <w:tr w:rsidR="008D1040" w:rsidRPr="00483EB6" w:rsidTr="00904FDE">
        <w:trPr>
          <w:trHeight w:val="287"/>
          <w:tblHeader/>
        </w:trPr>
        <w:tc>
          <w:tcPr>
            <w:tcW w:w="2478" w:type="dxa"/>
            <w:vMerge w:val="restart"/>
            <w:vAlign w:val="center"/>
          </w:tcPr>
          <w:p w:rsidR="008D1040" w:rsidRPr="00483EB6" w:rsidRDefault="008D1040" w:rsidP="00001121">
            <w:pPr>
              <w:keepNext/>
              <w:jc w:val="left"/>
              <w:rPr>
                <w:rFonts w:ascii="Arial Narrow" w:hAnsi="Arial Narrow"/>
                <w:b/>
                <w:sz w:val="20"/>
                <w:szCs w:val="20"/>
              </w:rPr>
            </w:pPr>
          </w:p>
        </w:tc>
        <w:tc>
          <w:tcPr>
            <w:tcW w:w="3272" w:type="dxa"/>
            <w:gridSpan w:val="2"/>
            <w:tcBorders>
              <w:right w:val="double" w:sz="4" w:space="0" w:color="auto"/>
            </w:tcBorders>
            <w:vAlign w:val="center"/>
          </w:tcPr>
          <w:p w:rsidR="008D1040" w:rsidRPr="00483EB6" w:rsidRDefault="008D1040" w:rsidP="00001121">
            <w:pPr>
              <w:keepNext/>
              <w:ind w:left="-65" w:right="-79"/>
              <w:jc w:val="center"/>
              <w:rPr>
                <w:rFonts w:ascii="Arial Narrow" w:hAnsi="Arial Narrow" w:cstheme="minorBidi"/>
                <w:b/>
                <w:sz w:val="20"/>
              </w:rPr>
            </w:pPr>
            <w:r w:rsidRPr="00483EB6">
              <w:rPr>
                <w:rFonts w:ascii="Arial Narrow" w:hAnsi="Arial Narrow" w:cstheme="minorBidi"/>
                <w:b/>
                <w:sz w:val="20"/>
              </w:rPr>
              <w:t>ATE analysis</w:t>
            </w:r>
          </w:p>
        </w:tc>
        <w:tc>
          <w:tcPr>
            <w:tcW w:w="3272" w:type="dxa"/>
            <w:gridSpan w:val="2"/>
            <w:tcBorders>
              <w:left w:val="double" w:sz="4" w:space="0" w:color="auto"/>
            </w:tcBorders>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cstheme="minorBidi"/>
                <w:b/>
                <w:sz w:val="20"/>
              </w:rPr>
              <w:t>ATT</w:t>
            </w:r>
          </w:p>
        </w:tc>
      </w:tr>
      <w:tr w:rsidR="008D1040" w:rsidRPr="00483EB6" w:rsidTr="00904FDE">
        <w:trPr>
          <w:trHeight w:val="287"/>
          <w:tblHeader/>
        </w:trPr>
        <w:tc>
          <w:tcPr>
            <w:tcW w:w="2478" w:type="dxa"/>
            <w:vMerge/>
            <w:vAlign w:val="center"/>
          </w:tcPr>
          <w:p w:rsidR="008D1040" w:rsidRPr="00483EB6" w:rsidRDefault="008D1040" w:rsidP="00001121">
            <w:pPr>
              <w:keepNext/>
              <w:jc w:val="left"/>
              <w:rPr>
                <w:rFonts w:ascii="Arial Narrow" w:hAnsi="Arial Narrow"/>
                <w:b/>
                <w:sz w:val="20"/>
                <w:szCs w:val="20"/>
              </w:rPr>
            </w:pPr>
          </w:p>
        </w:tc>
        <w:tc>
          <w:tcPr>
            <w:tcW w:w="1636" w:type="dxa"/>
            <w:vAlign w:val="center"/>
          </w:tcPr>
          <w:p w:rsidR="008D1040" w:rsidRPr="00483EB6" w:rsidRDefault="008D1040" w:rsidP="00001121">
            <w:pPr>
              <w:keepNext/>
              <w:ind w:left="-65" w:right="-79"/>
              <w:jc w:val="center"/>
              <w:rPr>
                <w:rFonts w:ascii="Arial Narrow" w:hAnsi="Arial Narrow"/>
                <w:b/>
                <w:sz w:val="20"/>
              </w:rPr>
            </w:pPr>
            <w:r w:rsidRPr="00483EB6">
              <w:rPr>
                <w:rFonts w:ascii="Arial Narrow" w:hAnsi="Arial Narrow"/>
                <w:b/>
                <w:sz w:val="20"/>
              </w:rPr>
              <w:t>Blinatumomab (N=78.5)</w:t>
            </w:r>
          </w:p>
        </w:tc>
        <w:tc>
          <w:tcPr>
            <w:tcW w:w="1636" w:type="dxa"/>
            <w:tcBorders>
              <w:right w:val="double" w:sz="4" w:space="0" w:color="auto"/>
            </w:tcBorders>
            <w:vAlign w:val="center"/>
          </w:tcPr>
          <w:p w:rsidR="008D1040" w:rsidRPr="00483EB6" w:rsidRDefault="008D1040" w:rsidP="00001121">
            <w:pPr>
              <w:keepNext/>
              <w:ind w:left="-65" w:right="-79"/>
              <w:jc w:val="center"/>
              <w:rPr>
                <w:rFonts w:ascii="Arial Narrow" w:hAnsi="Arial Narrow" w:cstheme="minorBidi"/>
                <w:b/>
                <w:sz w:val="20"/>
              </w:rPr>
            </w:pPr>
            <w:r w:rsidRPr="00483EB6">
              <w:rPr>
                <w:rFonts w:ascii="Arial Narrow" w:hAnsi="Arial Narrow" w:cstheme="minorBidi"/>
                <w:b/>
                <w:sz w:val="20"/>
              </w:rPr>
              <w:t>Historical control (N=174.3)</w:t>
            </w:r>
          </w:p>
        </w:tc>
        <w:tc>
          <w:tcPr>
            <w:tcW w:w="1636" w:type="dxa"/>
            <w:tcBorders>
              <w:left w:val="double" w:sz="4" w:space="0" w:color="auto"/>
            </w:tcBorders>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b/>
                <w:sz w:val="20"/>
              </w:rPr>
              <w:t>Blinatumomab (N=20.9)</w:t>
            </w:r>
          </w:p>
        </w:tc>
        <w:tc>
          <w:tcPr>
            <w:tcW w:w="1636" w:type="dxa"/>
            <w:vAlign w:val="center"/>
          </w:tcPr>
          <w:p w:rsidR="008D1040" w:rsidRPr="00483EB6" w:rsidRDefault="008D1040" w:rsidP="00001121">
            <w:pPr>
              <w:ind w:left="-65" w:right="-79"/>
              <w:jc w:val="center"/>
              <w:rPr>
                <w:rFonts w:ascii="Arial Narrow" w:hAnsi="Arial Narrow" w:cstheme="minorBidi"/>
                <w:b/>
                <w:sz w:val="20"/>
              </w:rPr>
            </w:pPr>
            <w:r w:rsidRPr="00483EB6">
              <w:rPr>
                <w:rFonts w:ascii="Arial Narrow" w:hAnsi="Arial Narrow" w:cstheme="minorBidi"/>
                <w:b/>
                <w:sz w:val="20"/>
              </w:rPr>
              <w:t>Historical control (N=44.4)</w:t>
            </w:r>
          </w:p>
        </w:tc>
      </w:tr>
      <w:tr w:rsidR="008D1040" w:rsidRPr="00483EB6" w:rsidTr="00904FDE">
        <w:trPr>
          <w:tblHeader/>
        </w:trPr>
        <w:tc>
          <w:tcPr>
            <w:tcW w:w="9022" w:type="dxa"/>
            <w:gridSpan w:val="5"/>
            <w:tcBorders>
              <w:bottom w:val="single" w:sz="4" w:space="0" w:color="auto"/>
            </w:tcBorders>
          </w:tcPr>
          <w:p w:rsidR="008D1040" w:rsidRPr="00483EB6" w:rsidRDefault="008D1040" w:rsidP="00001121">
            <w:pPr>
              <w:keepNext/>
              <w:jc w:val="left"/>
              <w:rPr>
                <w:rFonts w:ascii="Arial Narrow" w:hAnsi="Arial Narrow"/>
                <w:b/>
                <w:sz w:val="20"/>
              </w:rPr>
            </w:pPr>
            <w:r w:rsidRPr="00483EB6">
              <w:rPr>
                <w:rFonts w:ascii="Arial Narrow" w:hAnsi="Arial Narrow"/>
                <w:b/>
                <w:sz w:val="20"/>
              </w:rPr>
              <w:t xml:space="preserve">Stabilised IPTW </w:t>
            </w:r>
            <w:r w:rsidRPr="00483EB6">
              <w:rPr>
                <w:rFonts w:ascii="Arial Narrow" w:hAnsi="Arial Narrow" w:cstheme="minorHAnsi"/>
                <w:b/>
                <w:sz w:val="20"/>
                <w:szCs w:val="20"/>
              </w:rPr>
              <w:t xml:space="preserve">Kaplan-Meier estimates </w:t>
            </w:r>
            <w:r w:rsidRPr="00483EB6">
              <w:rPr>
                <w:rFonts w:ascii="Arial Narrow" w:hAnsi="Arial Narrow"/>
                <w:b/>
                <w:sz w:val="20"/>
              </w:rPr>
              <w:t xml:space="preserve">(not adjusted for </w:t>
            </w:r>
            <w:proofErr w:type="spellStart"/>
            <w:r w:rsidRPr="00483EB6">
              <w:rPr>
                <w:rFonts w:ascii="Arial Narrow" w:hAnsi="Arial Narrow"/>
                <w:b/>
                <w:sz w:val="20"/>
              </w:rPr>
              <w:t>alloHSCT</w:t>
            </w:r>
            <w:proofErr w:type="spellEnd"/>
            <w:r w:rsidRPr="00483EB6">
              <w:rPr>
                <w:rFonts w:ascii="Arial Narrow" w:hAnsi="Arial Narrow"/>
                <w:b/>
                <w:sz w:val="20"/>
              </w:rPr>
              <w:t>)</w:t>
            </w:r>
          </w:p>
        </w:tc>
      </w:tr>
      <w:tr w:rsidR="008D1040" w:rsidRPr="00483EB6" w:rsidTr="00904FDE">
        <w:trPr>
          <w:tblHeader/>
        </w:trPr>
        <w:tc>
          <w:tcPr>
            <w:tcW w:w="2478" w:type="dxa"/>
            <w:tcBorders>
              <w:bottom w:val="single" w:sz="4" w:space="0" w:color="auto"/>
            </w:tcBorders>
          </w:tcPr>
          <w:p w:rsidR="008D1040" w:rsidRPr="00483EB6" w:rsidRDefault="008D1040" w:rsidP="00001121">
            <w:pPr>
              <w:keepNext/>
              <w:tabs>
                <w:tab w:val="right" w:pos="2462"/>
              </w:tabs>
              <w:rPr>
                <w:rFonts w:ascii="Arial Narrow" w:hAnsi="Arial Narrow"/>
                <w:sz w:val="20"/>
                <w:szCs w:val="20"/>
                <w:vertAlign w:val="superscript"/>
              </w:rPr>
            </w:pPr>
            <w:r w:rsidRPr="00483EB6">
              <w:rPr>
                <w:rFonts w:ascii="Arial Narrow" w:hAnsi="Arial Narrow"/>
                <w:sz w:val="20"/>
                <w:szCs w:val="20"/>
              </w:rPr>
              <w:t>18 months (95% CI)</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0.71 (0.62, 0.81)</w:t>
            </w:r>
          </w:p>
        </w:tc>
        <w:tc>
          <w:tcPr>
            <w:tcW w:w="1636" w:type="dxa"/>
            <w:tcBorders>
              <w:bottom w:val="single" w:sz="4" w:space="0" w:color="auto"/>
              <w:right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0.55 (0.48, 0.63)</w:t>
            </w:r>
          </w:p>
        </w:tc>
        <w:tc>
          <w:tcPr>
            <w:tcW w:w="1636" w:type="dxa"/>
            <w:tcBorders>
              <w:left w:val="double" w:sz="4" w:space="0" w:color="auto"/>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0.71 (0.62, 082)</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0.51 (0.42, 0.62)</w:t>
            </w:r>
          </w:p>
        </w:tc>
      </w:tr>
      <w:tr w:rsidR="008D1040" w:rsidRPr="00483EB6" w:rsidTr="00904FDE">
        <w:trPr>
          <w:tblHeader/>
        </w:trPr>
        <w:tc>
          <w:tcPr>
            <w:tcW w:w="2478" w:type="dxa"/>
            <w:tcBorders>
              <w:bottom w:val="double" w:sz="4" w:space="0" w:color="auto"/>
            </w:tcBorders>
          </w:tcPr>
          <w:p w:rsidR="008D1040" w:rsidRPr="00483EB6" w:rsidRDefault="008D1040" w:rsidP="00001121">
            <w:pPr>
              <w:keepNext/>
              <w:tabs>
                <w:tab w:val="right" w:pos="2462"/>
              </w:tabs>
              <w:rPr>
                <w:rFonts w:ascii="Arial Narrow" w:hAnsi="Arial Narrow"/>
                <w:sz w:val="20"/>
                <w:szCs w:val="20"/>
              </w:rPr>
            </w:pPr>
            <w:r w:rsidRPr="00483EB6">
              <w:rPr>
                <w:rFonts w:ascii="Arial Narrow" w:hAnsi="Arial Narrow"/>
                <w:b/>
                <w:sz w:val="20"/>
                <w:szCs w:val="20"/>
              </w:rPr>
              <w:t>OS median months (95% CI)</w:t>
            </w:r>
          </w:p>
        </w:tc>
        <w:tc>
          <w:tcPr>
            <w:tcW w:w="1636" w:type="dxa"/>
            <w:tcBorders>
              <w:bottom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36.5 </w:t>
            </w:r>
            <w:proofErr w:type="spellStart"/>
            <w:r w:rsidRPr="00483EB6">
              <w:rPr>
                <w:rFonts w:ascii="Arial Narrow" w:hAnsi="Arial Narrow"/>
                <w:sz w:val="20"/>
              </w:rPr>
              <w:t>mths</w:t>
            </w:r>
            <w:proofErr w:type="spellEnd"/>
            <w:r w:rsidRPr="00483EB6">
              <w:rPr>
                <w:rFonts w:ascii="Arial Narrow" w:hAnsi="Arial Narrow"/>
                <w:sz w:val="20"/>
              </w:rPr>
              <w:t xml:space="preserve"> (24.2, NE)</w:t>
            </w:r>
          </w:p>
        </w:tc>
        <w:tc>
          <w:tcPr>
            <w:tcW w:w="1636" w:type="dxa"/>
            <w:tcBorders>
              <w:bottom w:val="double" w:sz="4" w:space="0" w:color="auto"/>
              <w:right w:val="doub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27.2 </w:t>
            </w:r>
            <w:proofErr w:type="spellStart"/>
            <w:r w:rsidRPr="00483EB6">
              <w:rPr>
                <w:rFonts w:ascii="Arial Narrow" w:hAnsi="Arial Narrow"/>
                <w:sz w:val="20"/>
              </w:rPr>
              <w:t>mths</w:t>
            </w:r>
            <w:proofErr w:type="spellEnd"/>
            <w:r w:rsidRPr="00483EB6">
              <w:rPr>
                <w:rFonts w:ascii="Arial Narrow" w:hAnsi="Arial Narrow"/>
                <w:sz w:val="20"/>
              </w:rPr>
              <w:t xml:space="preserve"> (16.4,38.6)</w:t>
            </w:r>
          </w:p>
        </w:tc>
        <w:tc>
          <w:tcPr>
            <w:tcW w:w="1636" w:type="dxa"/>
            <w:tcBorders>
              <w:left w:val="double" w:sz="4" w:space="0" w:color="auto"/>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NR (15.8, NE)</w:t>
            </w:r>
          </w:p>
        </w:tc>
        <w:tc>
          <w:tcPr>
            <w:tcW w:w="1636" w:type="dxa"/>
            <w:tcBorders>
              <w:bottom w:val="single" w:sz="4" w:space="0" w:color="auto"/>
            </w:tcBorders>
          </w:tcPr>
          <w:p w:rsidR="008D1040" w:rsidRPr="00483EB6" w:rsidRDefault="008D1040" w:rsidP="00001121">
            <w:pPr>
              <w:keepNext/>
              <w:ind w:left="-91" w:right="-94"/>
              <w:jc w:val="center"/>
              <w:rPr>
                <w:rFonts w:ascii="Arial Narrow" w:hAnsi="Arial Narrow"/>
                <w:sz w:val="20"/>
              </w:rPr>
            </w:pPr>
            <w:r w:rsidRPr="00483EB6">
              <w:rPr>
                <w:rFonts w:ascii="Arial Narrow" w:hAnsi="Arial Narrow"/>
                <w:sz w:val="20"/>
              </w:rPr>
              <w:t xml:space="preserve">19.6 </w:t>
            </w:r>
            <w:proofErr w:type="spellStart"/>
            <w:r w:rsidRPr="00483EB6">
              <w:rPr>
                <w:rFonts w:ascii="Arial Narrow" w:hAnsi="Arial Narrow"/>
                <w:sz w:val="20"/>
              </w:rPr>
              <w:t>mths</w:t>
            </w:r>
            <w:proofErr w:type="spellEnd"/>
            <w:r w:rsidRPr="00483EB6">
              <w:rPr>
                <w:rFonts w:ascii="Arial Narrow" w:hAnsi="Arial Narrow"/>
                <w:sz w:val="20"/>
              </w:rPr>
              <w:t xml:space="preserve"> (11.7, 45.5)</w:t>
            </w:r>
          </w:p>
        </w:tc>
      </w:tr>
      <w:tr w:rsidR="008D1040" w:rsidRPr="00483EB6" w:rsidTr="00904FDE">
        <w:trPr>
          <w:tblHeader/>
        </w:trPr>
        <w:tc>
          <w:tcPr>
            <w:tcW w:w="2478" w:type="dxa"/>
            <w:tcBorders>
              <w:top w:val="double" w:sz="4" w:space="0" w:color="auto"/>
              <w:right w:val="single" w:sz="4" w:space="0" w:color="auto"/>
            </w:tcBorders>
          </w:tcPr>
          <w:p w:rsidR="008D1040" w:rsidRPr="00483EB6" w:rsidRDefault="008D1040" w:rsidP="00001121">
            <w:pPr>
              <w:keepNext/>
              <w:jc w:val="left"/>
              <w:rPr>
                <w:rFonts w:ascii="Arial Narrow" w:hAnsi="Arial Narrow"/>
                <w:b/>
                <w:sz w:val="20"/>
              </w:rPr>
            </w:pPr>
            <w:r w:rsidRPr="00483EB6">
              <w:rPr>
                <w:rFonts w:ascii="Arial Narrow" w:hAnsi="Arial Narrow"/>
                <w:b/>
                <w:sz w:val="20"/>
              </w:rPr>
              <w:t xml:space="preserve">Stabilised IPTW </w:t>
            </w:r>
          </w:p>
        </w:tc>
        <w:tc>
          <w:tcPr>
            <w:tcW w:w="3272" w:type="dxa"/>
            <w:gridSpan w:val="2"/>
            <w:tcBorders>
              <w:top w:val="double" w:sz="4" w:space="0" w:color="auto"/>
              <w:left w:val="single" w:sz="4" w:space="0" w:color="auto"/>
              <w:right w:val="double" w:sz="4" w:space="0" w:color="auto"/>
            </w:tcBorders>
          </w:tcPr>
          <w:p w:rsidR="008D1040" w:rsidRPr="00483EB6" w:rsidRDefault="008D1040" w:rsidP="00001121">
            <w:pPr>
              <w:keepNext/>
              <w:jc w:val="center"/>
              <w:rPr>
                <w:rFonts w:ascii="Arial Narrow" w:hAnsi="Arial Narrow"/>
                <w:b/>
                <w:sz w:val="20"/>
              </w:rPr>
            </w:pPr>
            <w:r w:rsidRPr="00483EB6">
              <w:rPr>
                <w:rFonts w:ascii="Arial Narrow" w:hAnsi="Arial Narrow"/>
                <w:b/>
                <w:sz w:val="20"/>
              </w:rPr>
              <w:t>Hazard ratio (95% CI)</w:t>
            </w:r>
            <w:r w:rsidRPr="00483EB6">
              <w:rPr>
                <w:rFonts w:ascii="Arial Narrow" w:hAnsi="Arial Narrow"/>
                <w:b/>
                <w:sz w:val="20"/>
                <w:vertAlign w:val="superscript"/>
              </w:rPr>
              <w:t>a</w:t>
            </w:r>
          </w:p>
        </w:tc>
        <w:tc>
          <w:tcPr>
            <w:tcW w:w="3272" w:type="dxa"/>
            <w:gridSpan w:val="2"/>
            <w:tcBorders>
              <w:top w:val="double" w:sz="4" w:space="0" w:color="auto"/>
              <w:left w:val="double" w:sz="4" w:space="0" w:color="auto"/>
            </w:tcBorders>
          </w:tcPr>
          <w:p w:rsidR="008D1040" w:rsidRPr="00483EB6" w:rsidRDefault="008D1040" w:rsidP="00001121">
            <w:pPr>
              <w:keepNext/>
              <w:jc w:val="center"/>
              <w:rPr>
                <w:rFonts w:ascii="Arial Narrow" w:hAnsi="Arial Narrow"/>
                <w:b/>
                <w:sz w:val="20"/>
              </w:rPr>
            </w:pPr>
            <w:r w:rsidRPr="00483EB6">
              <w:rPr>
                <w:rFonts w:ascii="Arial Narrow" w:hAnsi="Arial Narrow"/>
                <w:b/>
                <w:sz w:val="20"/>
              </w:rPr>
              <w:t>Hazard ratio (95% CI)</w:t>
            </w:r>
            <w:r w:rsidRPr="00483EB6">
              <w:rPr>
                <w:rFonts w:ascii="Arial Narrow" w:hAnsi="Arial Narrow"/>
                <w:b/>
                <w:sz w:val="20"/>
                <w:vertAlign w:val="superscript"/>
              </w:rPr>
              <w:t>a</w:t>
            </w:r>
          </w:p>
        </w:tc>
      </w:tr>
      <w:tr w:rsidR="008D1040" w:rsidRPr="00483EB6" w:rsidTr="00904FDE">
        <w:trPr>
          <w:tblHeader/>
        </w:trPr>
        <w:tc>
          <w:tcPr>
            <w:tcW w:w="2478" w:type="dxa"/>
            <w:tcBorders>
              <w:top w:val="single" w:sz="4" w:space="0" w:color="auto"/>
            </w:tcBorders>
          </w:tcPr>
          <w:p w:rsidR="008D1040" w:rsidRPr="00483EB6" w:rsidRDefault="008D1040" w:rsidP="00001121">
            <w:pPr>
              <w:keepNext/>
              <w:tabs>
                <w:tab w:val="right" w:pos="2462"/>
              </w:tabs>
              <w:rPr>
                <w:rFonts w:ascii="Arial Narrow" w:hAnsi="Arial Narrow"/>
                <w:b/>
                <w:sz w:val="20"/>
                <w:szCs w:val="20"/>
              </w:rPr>
            </w:pPr>
            <w:r w:rsidRPr="00483EB6">
              <w:rPr>
                <w:rFonts w:ascii="Arial Narrow" w:hAnsi="Arial Narrow"/>
                <w:sz w:val="20"/>
                <w:szCs w:val="20"/>
              </w:rPr>
              <w:t xml:space="preserve">not adjusted for </w:t>
            </w:r>
            <w:proofErr w:type="spellStart"/>
            <w:r w:rsidRPr="00483EB6">
              <w:rPr>
                <w:rFonts w:ascii="Arial Narrow" w:hAnsi="Arial Narrow"/>
                <w:sz w:val="20"/>
                <w:szCs w:val="20"/>
              </w:rPr>
              <w:t>alloHSCT</w:t>
            </w:r>
            <w:proofErr w:type="spellEnd"/>
          </w:p>
        </w:tc>
        <w:tc>
          <w:tcPr>
            <w:tcW w:w="3272" w:type="dxa"/>
            <w:gridSpan w:val="2"/>
            <w:tcBorders>
              <w:top w:val="single" w:sz="4" w:space="0" w:color="auto"/>
              <w:righ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sz w:val="20"/>
              </w:rPr>
              <w:t>0.68 (0.42, 1.09)</w:t>
            </w:r>
          </w:p>
        </w:tc>
        <w:tc>
          <w:tcPr>
            <w:tcW w:w="3272" w:type="dxa"/>
            <w:gridSpan w:val="2"/>
            <w:tcBorders>
              <w:top w:val="single" w:sz="4" w:space="0" w:color="auto"/>
              <w:lef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rPr>
              <w:t>0.58 (0.37, 0.91)</w:t>
            </w:r>
          </w:p>
        </w:tc>
      </w:tr>
      <w:tr w:rsidR="008D1040" w:rsidRPr="00483EB6" w:rsidTr="00904FDE">
        <w:trPr>
          <w:tblHeader/>
        </w:trPr>
        <w:tc>
          <w:tcPr>
            <w:tcW w:w="2478" w:type="dxa"/>
            <w:tcBorders>
              <w:top w:val="single" w:sz="4" w:space="0" w:color="auto"/>
            </w:tcBorders>
          </w:tcPr>
          <w:p w:rsidR="008D1040" w:rsidRPr="00483EB6" w:rsidRDefault="008D1040" w:rsidP="00001121">
            <w:pPr>
              <w:keepNext/>
              <w:tabs>
                <w:tab w:val="right" w:pos="2462"/>
              </w:tabs>
              <w:rPr>
                <w:rFonts w:ascii="Arial Narrow" w:hAnsi="Arial Narrow"/>
                <w:b/>
                <w:sz w:val="20"/>
                <w:szCs w:val="20"/>
              </w:rPr>
            </w:pPr>
            <w:r w:rsidRPr="00483EB6">
              <w:rPr>
                <w:rFonts w:ascii="Arial Narrow" w:hAnsi="Arial Narrow"/>
                <w:sz w:val="20"/>
                <w:szCs w:val="20"/>
              </w:rPr>
              <w:t xml:space="preserve">adjusted for </w:t>
            </w:r>
            <w:proofErr w:type="spellStart"/>
            <w:r w:rsidRPr="00483EB6">
              <w:rPr>
                <w:rFonts w:ascii="Arial Narrow" w:hAnsi="Arial Narrow"/>
                <w:sz w:val="20"/>
                <w:szCs w:val="20"/>
              </w:rPr>
              <w:t>alloHSCT</w:t>
            </w:r>
            <w:proofErr w:type="spellEnd"/>
          </w:p>
        </w:tc>
        <w:tc>
          <w:tcPr>
            <w:tcW w:w="3272" w:type="dxa"/>
            <w:gridSpan w:val="2"/>
            <w:tcBorders>
              <w:top w:val="single" w:sz="4" w:space="0" w:color="auto"/>
              <w:righ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sz w:val="20"/>
              </w:rPr>
              <w:t>0.76 (0.47, 1.24)</w:t>
            </w:r>
          </w:p>
        </w:tc>
        <w:tc>
          <w:tcPr>
            <w:tcW w:w="3272" w:type="dxa"/>
            <w:gridSpan w:val="2"/>
            <w:tcBorders>
              <w:top w:val="single" w:sz="4" w:space="0" w:color="auto"/>
              <w:left w:val="double" w:sz="4" w:space="0" w:color="auto"/>
            </w:tcBorders>
            <w:vAlign w:val="center"/>
          </w:tcPr>
          <w:p w:rsidR="008D1040" w:rsidRPr="00483EB6" w:rsidRDefault="008D1040" w:rsidP="00001121">
            <w:pPr>
              <w:keepNext/>
              <w:jc w:val="center"/>
              <w:rPr>
                <w:rFonts w:ascii="Arial Narrow" w:hAnsi="Arial Narrow"/>
                <w:b/>
                <w:sz w:val="20"/>
                <w:szCs w:val="20"/>
              </w:rPr>
            </w:pPr>
            <w:r w:rsidRPr="00483EB6">
              <w:rPr>
                <w:rFonts w:ascii="Arial Narrow" w:hAnsi="Arial Narrow"/>
                <w:b/>
                <w:sz w:val="20"/>
              </w:rPr>
              <w:t>0.63 (0.41, 0.98)</w:t>
            </w:r>
          </w:p>
        </w:tc>
      </w:tr>
    </w:tbl>
    <w:p w:rsidR="008D1040" w:rsidRPr="00483EB6" w:rsidRDefault="008D1040" w:rsidP="008D1040">
      <w:pPr>
        <w:keepNext/>
        <w:keepLines/>
        <w:rPr>
          <w:rFonts w:ascii="Arial Narrow" w:hAnsi="Arial Narrow"/>
          <w:sz w:val="18"/>
          <w:szCs w:val="18"/>
        </w:rPr>
      </w:pPr>
      <w:r w:rsidRPr="00483EB6">
        <w:rPr>
          <w:rFonts w:ascii="Arial Narrow" w:hAnsi="Arial Narrow"/>
          <w:sz w:val="18"/>
          <w:szCs w:val="18"/>
        </w:rPr>
        <w:t>Source: Table 21, p.66 of the resubmission; Tables 2.6.16, p.141 and 2.6.17, p.142 of the July 2018 commentary.</w:t>
      </w:r>
    </w:p>
    <w:p w:rsidR="008D1040" w:rsidRPr="00483EB6" w:rsidRDefault="008D1040" w:rsidP="008D1040">
      <w:pPr>
        <w:keepNext/>
        <w:keepLines/>
        <w:rPr>
          <w:rFonts w:ascii="Arial Narrow" w:hAnsi="Arial Narrow"/>
          <w:sz w:val="18"/>
          <w:szCs w:val="18"/>
        </w:rPr>
      </w:pPr>
      <w:r w:rsidRPr="00483EB6">
        <w:rPr>
          <w:rFonts w:ascii="Arial Narrow" w:hAnsi="Arial Narrow"/>
          <w:sz w:val="18"/>
          <w:szCs w:val="18"/>
        </w:rPr>
        <w:t xml:space="preserve">Abbreviations: </w:t>
      </w:r>
      <w:proofErr w:type="spellStart"/>
      <w:r w:rsidRPr="00483EB6">
        <w:rPr>
          <w:rFonts w:ascii="Arial Narrow" w:hAnsi="Arial Narrow"/>
          <w:sz w:val="18"/>
          <w:szCs w:val="18"/>
        </w:rPr>
        <w:t>alloHSCT</w:t>
      </w:r>
      <w:proofErr w:type="spellEnd"/>
      <w:r w:rsidRPr="00483EB6">
        <w:rPr>
          <w:rFonts w:ascii="Arial Narrow" w:hAnsi="Arial Narrow"/>
          <w:sz w:val="18"/>
          <w:szCs w:val="18"/>
        </w:rPr>
        <w:t xml:space="preserve">, allogeneic haematopoietic stem cell transplantation; ATE, average treatment effect; ATT, </w:t>
      </w:r>
      <w:r w:rsidRPr="00483EB6">
        <w:rPr>
          <w:rFonts w:ascii="Arial Narrow" w:hAnsi="Arial Narrow" w:cstheme="minorHAnsi"/>
          <w:color w:val="000000"/>
          <w:sz w:val="18"/>
          <w:szCs w:val="18"/>
          <w:lang w:eastAsia="en-AU"/>
        </w:rPr>
        <w:t>average treatment effect of the treated</w:t>
      </w:r>
      <w:r w:rsidRPr="00483EB6">
        <w:rPr>
          <w:rFonts w:ascii="Arial Narrow" w:hAnsi="Arial Narrow"/>
          <w:sz w:val="18"/>
          <w:szCs w:val="18"/>
        </w:rPr>
        <w:t xml:space="preserve">; CI, confidence interval; IPTW, inverse probability of treatment weight; NE, not evaluable; NR, not reached; OS, overall survival </w:t>
      </w:r>
      <w:r w:rsidRPr="00483EB6">
        <w:rPr>
          <w:rFonts w:ascii="Arial Narrow" w:hAnsi="Arial Narrow" w:cstheme="minorHAnsi"/>
          <w:sz w:val="18"/>
          <w:szCs w:val="18"/>
        </w:rPr>
        <w:t>PAS, primary analysis set</w:t>
      </w:r>
      <w:r w:rsidRPr="00483EB6">
        <w:rPr>
          <w:rFonts w:ascii="Arial Narrow" w:hAnsi="Arial Narrow"/>
          <w:sz w:val="18"/>
          <w:szCs w:val="18"/>
        </w:rPr>
        <w:t>.</w:t>
      </w:r>
    </w:p>
    <w:p w:rsidR="008D1040" w:rsidRPr="00483EB6" w:rsidRDefault="008D1040" w:rsidP="008D1040">
      <w:pPr>
        <w:keepNext/>
        <w:keepLines/>
        <w:rPr>
          <w:rFonts w:ascii="Arial Narrow" w:hAnsi="Arial Narrow"/>
          <w:sz w:val="18"/>
          <w:szCs w:val="18"/>
        </w:rPr>
      </w:pPr>
      <w:proofErr w:type="gramStart"/>
      <w:r w:rsidRPr="00483EB6">
        <w:rPr>
          <w:rFonts w:ascii="Arial Narrow" w:hAnsi="Arial Narrow"/>
          <w:sz w:val="18"/>
          <w:szCs w:val="18"/>
          <w:vertAlign w:val="superscript"/>
        </w:rPr>
        <w:t>a</w:t>
      </w:r>
      <w:proofErr w:type="gramEnd"/>
      <w:r w:rsidRPr="00483EB6">
        <w:rPr>
          <w:rFonts w:ascii="Arial Narrow" w:hAnsi="Arial Narrow"/>
          <w:sz w:val="18"/>
          <w:szCs w:val="18"/>
        </w:rPr>
        <w:t xml:space="preserve"> Results &lt;1 favour blinatumomab. Statistically significant comparative results in bold.</w:t>
      </w:r>
    </w:p>
    <w:p w:rsidR="008D1040" w:rsidRPr="00483EB6" w:rsidRDefault="008D1040" w:rsidP="008D1040">
      <w:pPr>
        <w:rPr>
          <w:rFonts w:ascii="Arial Narrow" w:hAnsi="Arial Narrow"/>
          <w:sz w:val="18"/>
          <w:szCs w:val="18"/>
        </w:rPr>
      </w:pPr>
    </w:p>
    <w:p w:rsidR="00161C7A" w:rsidRPr="00483EB6" w:rsidRDefault="00161C7A" w:rsidP="00161C7A">
      <w:pPr>
        <w:pStyle w:val="TableHeading0"/>
        <w:spacing w:after="0"/>
        <w:jc w:val="both"/>
        <w:rPr>
          <w:lang w:eastAsia="en-AU"/>
        </w:rPr>
      </w:pPr>
      <w:r w:rsidRPr="00483EB6">
        <w:rPr>
          <w:lang w:eastAsia="en-AU"/>
        </w:rPr>
        <w:lastRenderedPageBreak/>
        <w:t>Figure 2: Kaplan-Meier overall survival with blinatumomab and consolidation chemotherapy (ATE-weighted survival data)</w:t>
      </w:r>
    </w:p>
    <w:p w:rsidR="00161C7A" w:rsidRPr="00483EB6" w:rsidRDefault="00161C7A" w:rsidP="00161C7A">
      <w:pPr>
        <w:rPr>
          <w:snapToGrid/>
          <w:color w:val="3366FF"/>
          <w:lang w:eastAsia="en-AU"/>
        </w:rPr>
      </w:pPr>
      <w:r w:rsidRPr="00483EB6">
        <w:rPr>
          <w:noProof/>
          <w:lang w:eastAsia="en-AU"/>
        </w:rPr>
        <w:drawing>
          <wp:inline distT="0" distB="0" distL="0" distR="0" wp14:anchorId="68694136" wp14:editId="28F7A875">
            <wp:extent cx="5732145" cy="3181985"/>
            <wp:effectExtent l="0" t="0" r="1905" b="0"/>
            <wp:docPr id="199" name="Picture 199" title="Figure 2: Kaplan-Meier overall survival with blinatumomab and consolidation chemotherapy (ATE-weighted survival data)"/>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Grp="1"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2145" cy="3181985"/>
                    </a:xfrm>
                    <a:prstGeom prst="rect">
                      <a:avLst/>
                    </a:prstGeom>
                    <a:noFill/>
                    <a:ln>
                      <a:noFill/>
                    </a:ln>
                  </pic:spPr>
                </pic:pic>
              </a:graphicData>
            </a:graphic>
          </wp:inline>
        </w:drawing>
      </w:r>
    </w:p>
    <w:p w:rsidR="00161C7A" w:rsidRPr="00483EB6" w:rsidRDefault="00161C7A" w:rsidP="00161C7A">
      <w:pPr>
        <w:pStyle w:val="TableFooter"/>
        <w:rPr>
          <w:snapToGrid/>
          <w:lang w:eastAsia="en-AU"/>
        </w:rPr>
      </w:pPr>
      <w:r w:rsidRPr="00483EB6">
        <w:rPr>
          <w:snapToGrid/>
          <w:lang w:eastAsia="en-AU"/>
        </w:rPr>
        <w:t>Source: Figure 27, p.132 of the resubmission</w:t>
      </w:r>
    </w:p>
    <w:p w:rsidR="008D1040" w:rsidRPr="00483EB6" w:rsidRDefault="003B0807" w:rsidP="00904FDE">
      <w:pPr>
        <w:pStyle w:val="ListParagraph"/>
        <w:widowControl/>
        <w:numPr>
          <w:ilvl w:val="1"/>
          <w:numId w:val="3"/>
        </w:numPr>
        <w:spacing w:before="120" w:after="120"/>
      </w:pPr>
      <w:r w:rsidRPr="00483EB6">
        <w:t xml:space="preserve">In the primary ATE analysis blinatumomab showed no statistically significant difference in overall survival compared to standard of care chemotherapy (hazard ratio 0.68; 95% CI 0.42, 1.09). However, results from the exploratory ATT analysis showed a statistically significant increase in overall survival (median not reached for blinatumomab vs 19.6 months for standard of care chemotherapy; HR 0.58; 95% CI 0.37, 0.91; not adjusted for </w:t>
      </w:r>
      <w:proofErr w:type="spellStart"/>
      <w:r w:rsidRPr="00483EB6">
        <w:t>alloHSCT</w:t>
      </w:r>
      <w:proofErr w:type="spellEnd"/>
      <w:r w:rsidRPr="00483EB6">
        <w:t>).</w:t>
      </w:r>
    </w:p>
    <w:p w:rsidR="00F527DA" w:rsidRPr="00483EB6" w:rsidRDefault="00F527DA" w:rsidP="00904FDE">
      <w:pPr>
        <w:pStyle w:val="ListParagraph"/>
        <w:widowControl/>
        <w:numPr>
          <w:ilvl w:val="1"/>
          <w:numId w:val="3"/>
        </w:numPr>
        <w:spacing w:before="120" w:after="120"/>
      </w:pPr>
      <w:r w:rsidRPr="00483EB6">
        <w:t xml:space="preserve">Table 7 summarises the impact of </w:t>
      </w:r>
      <w:r w:rsidR="00DA0BDB" w:rsidRPr="00483EB6">
        <w:t>haematopoietic stem cell transplant (</w:t>
      </w:r>
      <w:r w:rsidRPr="00483EB6">
        <w:t>HSCT</w:t>
      </w:r>
      <w:r w:rsidR="00DA0BDB" w:rsidRPr="00483EB6">
        <w:t>)</w:t>
      </w:r>
      <w:r w:rsidRPr="00483EB6">
        <w:t xml:space="preserve"> on overall survival using a Cox proportional hazards model with an interaction term for treatment and the time-dependent HSCT covariate. </w:t>
      </w:r>
    </w:p>
    <w:p w:rsidR="00F527DA" w:rsidRPr="00483EB6" w:rsidRDefault="00F527DA" w:rsidP="00163E97">
      <w:pPr>
        <w:keepNext/>
        <w:keepLines/>
        <w:rPr>
          <w:rFonts w:ascii="Arial Narrow" w:hAnsi="Arial Narrow" w:cstheme="minorHAnsi"/>
          <w:b/>
          <w:sz w:val="20"/>
          <w:szCs w:val="20"/>
        </w:rPr>
      </w:pPr>
      <w:r w:rsidRPr="00483EB6">
        <w:rPr>
          <w:rFonts w:ascii="Arial Narrow" w:hAnsi="Arial Narrow" w:cstheme="minorHAnsi"/>
          <w:b/>
          <w:sz w:val="20"/>
          <w:szCs w:val="20"/>
        </w:rPr>
        <w:t>Table 7: Treatment effect / time dependent HSCT covariate interaction for overall survival (</w:t>
      </w:r>
      <w:r w:rsidR="00DB309E" w:rsidRPr="00483EB6">
        <w:rPr>
          <w:rFonts w:ascii="Arial Narrow" w:hAnsi="Arial Narrow" w:cstheme="minorHAnsi"/>
          <w:b/>
          <w:sz w:val="20"/>
          <w:szCs w:val="20"/>
        </w:rPr>
        <w:t xml:space="preserve">ATE </w:t>
      </w:r>
      <w:r w:rsidRPr="00483EB6">
        <w:rPr>
          <w:rFonts w:ascii="Arial Narrow" w:hAnsi="Arial Narrow" w:cstheme="minorHAnsi"/>
          <w:b/>
          <w:sz w:val="20"/>
          <w:szCs w:val="20"/>
        </w:rPr>
        <w:t>stabilised IPTW)</w:t>
      </w:r>
    </w:p>
    <w:tbl>
      <w:tblPr>
        <w:tblStyle w:val="TableGrid"/>
        <w:tblW w:w="0" w:type="auto"/>
        <w:tblInd w:w="-5" w:type="dxa"/>
        <w:tblLook w:val="04A0" w:firstRow="1" w:lastRow="0" w:firstColumn="1" w:lastColumn="0" w:noHBand="0" w:noVBand="1"/>
        <w:tblCaption w:val="Table 7: Treatment effect / time dependent HSCT covariate interaction for overall survival (ATE stabilised IPTW)"/>
      </w:tblPr>
      <w:tblGrid>
        <w:gridCol w:w="2694"/>
        <w:gridCol w:w="3164"/>
        <w:gridCol w:w="3164"/>
      </w:tblGrid>
      <w:tr w:rsidR="00F527DA" w:rsidRPr="00483EB6" w:rsidTr="00904FDE">
        <w:trPr>
          <w:tblHeader/>
        </w:trPr>
        <w:tc>
          <w:tcPr>
            <w:tcW w:w="2694" w:type="dxa"/>
            <w:vAlign w:val="center"/>
          </w:tcPr>
          <w:p w:rsidR="00F527DA" w:rsidRPr="00483EB6" w:rsidRDefault="00F527DA" w:rsidP="00163E97">
            <w:pPr>
              <w:keepNext/>
              <w:keepLines/>
              <w:jc w:val="left"/>
              <w:rPr>
                <w:rFonts w:ascii="Arial Narrow" w:hAnsi="Arial Narrow"/>
                <w:b/>
                <w:sz w:val="20"/>
                <w:szCs w:val="20"/>
              </w:rPr>
            </w:pPr>
          </w:p>
        </w:tc>
        <w:tc>
          <w:tcPr>
            <w:tcW w:w="3164" w:type="dxa"/>
            <w:vAlign w:val="center"/>
          </w:tcPr>
          <w:p w:rsidR="00F527DA" w:rsidRPr="00483EB6" w:rsidRDefault="00F527DA" w:rsidP="00163E97">
            <w:pPr>
              <w:keepNext/>
              <w:keepLines/>
              <w:ind w:left="-65" w:right="-79"/>
              <w:jc w:val="center"/>
              <w:rPr>
                <w:rFonts w:ascii="Arial Narrow" w:hAnsi="Arial Narrow"/>
                <w:b/>
                <w:sz w:val="20"/>
              </w:rPr>
            </w:pPr>
            <w:r w:rsidRPr="00483EB6">
              <w:rPr>
                <w:rFonts w:ascii="Arial Narrow" w:hAnsi="Arial Narrow"/>
                <w:b/>
                <w:sz w:val="20"/>
              </w:rPr>
              <w:t>HSCT status</w:t>
            </w:r>
          </w:p>
        </w:tc>
        <w:tc>
          <w:tcPr>
            <w:tcW w:w="3164" w:type="dxa"/>
            <w:vAlign w:val="center"/>
          </w:tcPr>
          <w:p w:rsidR="00F527DA" w:rsidRPr="00483EB6" w:rsidRDefault="00F527DA" w:rsidP="00163E97">
            <w:pPr>
              <w:keepNext/>
              <w:keepLines/>
              <w:ind w:left="-65" w:right="-79"/>
              <w:jc w:val="center"/>
              <w:rPr>
                <w:rFonts w:ascii="Arial Narrow" w:hAnsi="Arial Narrow" w:cstheme="minorBidi"/>
                <w:b/>
                <w:sz w:val="20"/>
              </w:rPr>
            </w:pPr>
            <w:r w:rsidRPr="00483EB6">
              <w:rPr>
                <w:rFonts w:ascii="Arial Narrow" w:hAnsi="Arial Narrow"/>
                <w:b/>
                <w:sz w:val="20"/>
              </w:rPr>
              <w:t>Hazard ratio (95% CI)</w:t>
            </w:r>
            <w:r w:rsidRPr="00483EB6">
              <w:rPr>
                <w:rFonts w:ascii="Arial Narrow" w:hAnsi="Arial Narrow"/>
                <w:b/>
                <w:sz w:val="20"/>
                <w:vertAlign w:val="superscript"/>
              </w:rPr>
              <w:t>a</w:t>
            </w:r>
          </w:p>
        </w:tc>
      </w:tr>
      <w:tr w:rsidR="00F527DA" w:rsidRPr="00483EB6" w:rsidTr="00904FDE">
        <w:trPr>
          <w:tblHeader/>
        </w:trPr>
        <w:tc>
          <w:tcPr>
            <w:tcW w:w="2694" w:type="dxa"/>
            <w:vMerge w:val="restart"/>
            <w:vAlign w:val="center"/>
          </w:tcPr>
          <w:p w:rsidR="00F527DA" w:rsidRPr="00483EB6" w:rsidRDefault="00F527DA" w:rsidP="00163E97">
            <w:pPr>
              <w:keepNext/>
              <w:keepLines/>
              <w:tabs>
                <w:tab w:val="right" w:pos="2462"/>
              </w:tabs>
              <w:rPr>
                <w:rFonts w:ascii="Arial Narrow" w:hAnsi="Arial Narrow"/>
                <w:sz w:val="20"/>
                <w:szCs w:val="20"/>
              </w:rPr>
            </w:pPr>
            <w:r w:rsidRPr="00483EB6">
              <w:rPr>
                <w:rFonts w:ascii="Arial Narrow" w:hAnsi="Arial Narrow"/>
                <w:sz w:val="20"/>
                <w:szCs w:val="20"/>
              </w:rPr>
              <w:t>Blinatumomab vs control</w:t>
            </w:r>
          </w:p>
        </w:tc>
        <w:tc>
          <w:tcPr>
            <w:tcW w:w="3164" w:type="dxa"/>
          </w:tcPr>
          <w:p w:rsidR="00F527DA" w:rsidRPr="00483EB6" w:rsidRDefault="00F527DA" w:rsidP="00163E97">
            <w:pPr>
              <w:keepNext/>
              <w:keepLines/>
              <w:widowControl/>
              <w:jc w:val="center"/>
              <w:rPr>
                <w:rFonts w:ascii="Arial Narrow" w:hAnsi="Arial Narrow"/>
                <w:sz w:val="20"/>
              </w:rPr>
            </w:pPr>
            <w:r w:rsidRPr="00483EB6">
              <w:rPr>
                <w:rFonts w:ascii="Arial Narrow" w:hAnsi="Arial Narrow"/>
                <w:sz w:val="20"/>
              </w:rPr>
              <w:t>No HSCT</w:t>
            </w:r>
          </w:p>
        </w:tc>
        <w:tc>
          <w:tcPr>
            <w:tcW w:w="3164" w:type="dxa"/>
          </w:tcPr>
          <w:p w:rsidR="00F527DA" w:rsidRPr="00483EB6" w:rsidRDefault="00F527DA" w:rsidP="00163E97">
            <w:pPr>
              <w:keepNext/>
              <w:keepLines/>
              <w:widowControl/>
              <w:jc w:val="center"/>
              <w:rPr>
                <w:rFonts w:ascii="Arial Narrow" w:hAnsi="Arial Narrow"/>
                <w:b/>
                <w:sz w:val="20"/>
              </w:rPr>
            </w:pPr>
            <w:r w:rsidRPr="00483EB6">
              <w:rPr>
                <w:rFonts w:ascii="Arial Narrow" w:hAnsi="Arial Narrow"/>
                <w:b/>
                <w:sz w:val="20"/>
              </w:rPr>
              <w:t xml:space="preserve">0.405 (0.165, 0.995) </w:t>
            </w:r>
          </w:p>
        </w:tc>
      </w:tr>
      <w:tr w:rsidR="00F527DA" w:rsidRPr="00483EB6" w:rsidTr="00904FDE">
        <w:trPr>
          <w:tblHeader/>
        </w:trPr>
        <w:tc>
          <w:tcPr>
            <w:tcW w:w="2694" w:type="dxa"/>
            <w:vMerge/>
            <w:tcBorders>
              <w:bottom w:val="single" w:sz="4" w:space="0" w:color="auto"/>
            </w:tcBorders>
          </w:tcPr>
          <w:p w:rsidR="00F527DA" w:rsidRPr="00483EB6" w:rsidRDefault="00F527DA" w:rsidP="00163E97">
            <w:pPr>
              <w:keepNext/>
              <w:keepLines/>
              <w:tabs>
                <w:tab w:val="right" w:pos="2462"/>
              </w:tabs>
              <w:rPr>
                <w:rFonts w:ascii="Arial Narrow" w:hAnsi="Arial Narrow"/>
                <w:sz w:val="20"/>
                <w:szCs w:val="20"/>
              </w:rPr>
            </w:pPr>
          </w:p>
        </w:tc>
        <w:tc>
          <w:tcPr>
            <w:tcW w:w="3164" w:type="dxa"/>
            <w:tcBorders>
              <w:bottom w:val="single" w:sz="4" w:space="0" w:color="auto"/>
            </w:tcBorders>
          </w:tcPr>
          <w:p w:rsidR="00F527DA" w:rsidRPr="00483EB6" w:rsidRDefault="00F527DA" w:rsidP="00163E97">
            <w:pPr>
              <w:keepNext/>
              <w:keepLines/>
              <w:widowControl/>
              <w:jc w:val="center"/>
              <w:rPr>
                <w:rFonts w:ascii="Arial Narrow" w:hAnsi="Arial Narrow"/>
                <w:sz w:val="20"/>
              </w:rPr>
            </w:pPr>
            <w:r w:rsidRPr="00483EB6">
              <w:rPr>
                <w:rFonts w:ascii="Arial Narrow" w:hAnsi="Arial Narrow"/>
                <w:sz w:val="20"/>
              </w:rPr>
              <w:t>After HSCT</w:t>
            </w:r>
          </w:p>
        </w:tc>
        <w:tc>
          <w:tcPr>
            <w:tcW w:w="3164" w:type="dxa"/>
            <w:tcBorders>
              <w:bottom w:val="single" w:sz="4" w:space="0" w:color="auto"/>
            </w:tcBorders>
          </w:tcPr>
          <w:p w:rsidR="00F527DA" w:rsidRPr="00483EB6" w:rsidRDefault="005E2A62" w:rsidP="00163E97">
            <w:pPr>
              <w:keepNext/>
              <w:keepLines/>
              <w:widowControl/>
              <w:jc w:val="center"/>
              <w:rPr>
                <w:rFonts w:ascii="Arial Narrow" w:hAnsi="Arial Narrow"/>
                <w:sz w:val="20"/>
              </w:rPr>
            </w:pPr>
            <w:r w:rsidRPr="00483EB6">
              <w:rPr>
                <w:rFonts w:ascii="Arial Narrow" w:hAnsi="Arial Narrow"/>
                <w:sz w:val="20"/>
              </w:rPr>
              <w:t>1.033</w:t>
            </w:r>
            <w:r w:rsidRPr="00483EB6" w:rsidDel="005E2A62">
              <w:rPr>
                <w:rFonts w:ascii="Arial Narrow" w:hAnsi="Arial Narrow"/>
                <w:sz w:val="20"/>
              </w:rPr>
              <w:t xml:space="preserve"> </w:t>
            </w:r>
            <w:r w:rsidR="00F527DA" w:rsidRPr="00483EB6">
              <w:rPr>
                <w:rFonts w:ascii="Arial Narrow" w:hAnsi="Arial Narrow"/>
                <w:sz w:val="20"/>
              </w:rPr>
              <w:t>(0.611, 1.748)</w:t>
            </w:r>
          </w:p>
        </w:tc>
      </w:tr>
    </w:tbl>
    <w:p w:rsidR="00F527DA" w:rsidRPr="00483EB6" w:rsidRDefault="00F527DA" w:rsidP="00163E97">
      <w:pPr>
        <w:keepNext/>
        <w:keepLines/>
        <w:rPr>
          <w:rFonts w:ascii="Arial Narrow" w:hAnsi="Arial Narrow"/>
          <w:sz w:val="18"/>
          <w:szCs w:val="18"/>
        </w:rPr>
      </w:pPr>
      <w:r w:rsidRPr="00483EB6">
        <w:rPr>
          <w:rFonts w:ascii="Arial Narrow" w:hAnsi="Arial Narrow"/>
          <w:sz w:val="18"/>
          <w:szCs w:val="18"/>
        </w:rPr>
        <w:t xml:space="preserve">Source: </w:t>
      </w:r>
      <w:r w:rsidRPr="00483EB6">
        <w:rPr>
          <w:rFonts w:ascii="Arial Narrow" w:hAnsi="Arial Narrow" w:cstheme="minorHAnsi"/>
          <w:sz w:val="18"/>
          <w:szCs w:val="18"/>
        </w:rPr>
        <w:t xml:space="preserve">Table 10-1, p.50 </w:t>
      </w:r>
      <w:r w:rsidRPr="00483EB6">
        <w:rPr>
          <w:rFonts w:ascii="Arial Narrow" w:hAnsi="Arial Narrow"/>
          <w:sz w:val="18"/>
          <w:szCs w:val="18"/>
        </w:rPr>
        <w:t>of the 203-148 MRD Propensity Score Analysis Report: Feb18.</w:t>
      </w:r>
    </w:p>
    <w:p w:rsidR="00F527DA" w:rsidRPr="00483EB6" w:rsidRDefault="00F527DA" w:rsidP="00163E97">
      <w:pPr>
        <w:keepNext/>
        <w:keepLines/>
        <w:rPr>
          <w:rFonts w:ascii="Arial Narrow" w:hAnsi="Arial Narrow"/>
          <w:sz w:val="18"/>
          <w:szCs w:val="18"/>
        </w:rPr>
      </w:pPr>
      <w:r w:rsidRPr="00483EB6">
        <w:rPr>
          <w:rFonts w:ascii="Arial Narrow" w:hAnsi="Arial Narrow"/>
          <w:sz w:val="18"/>
          <w:szCs w:val="18"/>
        </w:rPr>
        <w:t xml:space="preserve">Abbreviations: </w:t>
      </w:r>
      <w:r w:rsidRPr="00483EB6">
        <w:rPr>
          <w:rFonts w:ascii="Arial Narrow" w:hAnsi="Arial Narrow" w:cstheme="minorHAnsi"/>
          <w:color w:val="000000"/>
          <w:sz w:val="18"/>
          <w:szCs w:val="18"/>
          <w:lang w:eastAsia="en-AU"/>
        </w:rPr>
        <w:t>HSCT, haematopoietic stem cell transplantation;</w:t>
      </w:r>
      <w:r w:rsidRPr="00483EB6">
        <w:rPr>
          <w:rFonts w:ascii="Arial Narrow" w:hAnsi="Arial Narrow"/>
          <w:sz w:val="18"/>
          <w:szCs w:val="18"/>
        </w:rPr>
        <w:t xml:space="preserve"> CI, confidence interval; IPTW, inverse probability of treatment weight.</w:t>
      </w:r>
    </w:p>
    <w:p w:rsidR="00F527DA" w:rsidRPr="00483EB6" w:rsidRDefault="00F527DA" w:rsidP="00163E97">
      <w:pPr>
        <w:keepNext/>
        <w:keepLines/>
        <w:widowControl/>
        <w:jc w:val="left"/>
        <w:rPr>
          <w:rFonts w:ascii="Arial Narrow" w:hAnsi="Arial Narrow"/>
          <w:sz w:val="18"/>
          <w:szCs w:val="18"/>
        </w:rPr>
      </w:pPr>
      <w:proofErr w:type="gramStart"/>
      <w:r w:rsidRPr="00483EB6">
        <w:rPr>
          <w:rFonts w:ascii="Arial Narrow" w:hAnsi="Arial Narrow" w:cstheme="minorHAnsi"/>
          <w:sz w:val="18"/>
          <w:szCs w:val="18"/>
          <w:vertAlign w:val="superscript"/>
        </w:rPr>
        <w:t>a</w:t>
      </w:r>
      <w:proofErr w:type="gramEnd"/>
      <w:r w:rsidRPr="00483EB6">
        <w:rPr>
          <w:rFonts w:ascii="Arial Narrow" w:hAnsi="Arial Narrow" w:cstheme="minorHAnsi"/>
          <w:sz w:val="18"/>
          <w:szCs w:val="18"/>
        </w:rPr>
        <w:t xml:space="preserve"> </w:t>
      </w:r>
      <w:r w:rsidRPr="00483EB6">
        <w:rPr>
          <w:rFonts w:ascii="Arial Narrow" w:hAnsi="Arial Narrow"/>
          <w:sz w:val="18"/>
          <w:szCs w:val="18"/>
        </w:rPr>
        <w:t>Results &lt;1 favour blinatumomab. Statistically significant results in bold.</w:t>
      </w:r>
    </w:p>
    <w:p w:rsidR="00AA3DF6" w:rsidRPr="00483EB6" w:rsidRDefault="00AA3DF6" w:rsidP="00163E97">
      <w:pPr>
        <w:keepNext/>
        <w:keepLines/>
        <w:widowControl/>
        <w:jc w:val="left"/>
        <w:rPr>
          <w:rFonts w:ascii="Arial Narrow" w:hAnsi="Arial Narrow"/>
          <w:b/>
          <w:sz w:val="20"/>
        </w:rPr>
      </w:pPr>
      <w:r w:rsidRPr="00483EB6">
        <w:rPr>
          <w:rFonts w:ascii="Arial Narrow" w:hAnsi="Arial Narrow"/>
          <w:sz w:val="18"/>
          <w:szCs w:val="18"/>
        </w:rPr>
        <w:t>Note that patient numbers/weights for this analysis were not provided in the propensity score analysis report</w:t>
      </w:r>
    </w:p>
    <w:p w:rsidR="002A70F0" w:rsidRPr="00483EB6" w:rsidRDefault="003B0807" w:rsidP="00904FDE">
      <w:pPr>
        <w:pStyle w:val="ListParagraph"/>
        <w:widowControl/>
        <w:numPr>
          <w:ilvl w:val="1"/>
          <w:numId w:val="3"/>
        </w:numPr>
        <w:spacing w:before="120" w:after="120"/>
      </w:pPr>
      <w:proofErr w:type="spellStart"/>
      <w:r w:rsidRPr="00483EB6">
        <w:t>Blinatumomab</w:t>
      </w:r>
      <w:proofErr w:type="spellEnd"/>
      <w:r w:rsidRPr="00483EB6">
        <w:t xml:space="preserve"> was associated with a statistically significant improvement in overall survival prior to or in the absence of HSCT, but there was no difference in overall survival following HSCT.</w:t>
      </w:r>
      <w:r w:rsidR="00D16C94" w:rsidRPr="00483EB6">
        <w:t xml:space="preserve"> </w:t>
      </w:r>
    </w:p>
    <w:p w:rsidR="003B0807" w:rsidRPr="00483EB6" w:rsidRDefault="00E33674" w:rsidP="00904FDE">
      <w:pPr>
        <w:pStyle w:val="ListParagraph"/>
        <w:widowControl/>
        <w:numPr>
          <w:ilvl w:val="1"/>
          <w:numId w:val="3"/>
        </w:numPr>
        <w:spacing w:before="120" w:after="120"/>
      </w:pPr>
      <w:r w:rsidRPr="00483EB6">
        <w:t xml:space="preserve">The ESC noted that updated </w:t>
      </w:r>
      <w:r w:rsidR="00F621E9" w:rsidRPr="00483EB6">
        <w:t>survival data</w:t>
      </w:r>
      <w:r w:rsidR="00422ACF" w:rsidRPr="00483EB6">
        <w:t xml:space="preserve"> from BLAST (Goekbuget et al., 2018)</w:t>
      </w:r>
      <w:r w:rsidR="00F621E9" w:rsidRPr="00483EB6">
        <w:t xml:space="preserve"> </w:t>
      </w:r>
      <w:r w:rsidRPr="00483EB6">
        <w:t xml:space="preserve">provided with the </w:t>
      </w:r>
      <w:r w:rsidR="00B97FC6">
        <w:t>Pre-Sub-Committee Response (</w:t>
      </w:r>
      <w:r w:rsidRPr="00483EB6">
        <w:t>PSC</w:t>
      </w:r>
      <w:r w:rsidR="00422ACF" w:rsidRPr="00483EB6">
        <w:t>R</w:t>
      </w:r>
      <w:r w:rsidR="00B97FC6">
        <w:t>)</w:t>
      </w:r>
      <w:r w:rsidR="00F621E9" w:rsidRPr="00483EB6">
        <w:t xml:space="preserve"> </w:t>
      </w:r>
      <w:r w:rsidR="00E9609F" w:rsidRPr="00483EB6">
        <w:t>indicated</w:t>
      </w:r>
      <w:r w:rsidR="00F621E9" w:rsidRPr="00483EB6">
        <w:t xml:space="preserve"> that overall survival </w:t>
      </w:r>
      <w:r w:rsidR="00F53F2E" w:rsidRPr="00483EB6">
        <w:t xml:space="preserve">across patients </w:t>
      </w:r>
      <w:r w:rsidR="00422ACF" w:rsidRPr="00483EB6">
        <w:t>in</w:t>
      </w:r>
      <w:r w:rsidR="00F53F2E" w:rsidRPr="00483EB6">
        <w:t xml:space="preserve"> continuous complete remission w</w:t>
      </w:r>
      <w:r w:rsidR="003C00A3" w:rsidRPr="00483EB6">
        <w:t>ere</w:t>
      </w:r>
      <w:r w:rsidR="00F53F2E" w:rsidRPr="00483EB6">
        <w:t xml:space="preserve"> </w:t>
      </w:r>
      <w:r w:rsidR="00F570AB" w:rsidRPr="00483EB6">
        <w:t xml:space="preserve">generally </w:t>
      </w:r>
      <w:r w:rsidR="00F53F2E" w:rsidRPr="00483EB6">
        <w:t xml:space="preserve">similar regardless of whether </w:t>
      </w:r>
      <w:r w:rsidR="00256B6C" w:rsidRPr="00483EB6">
        <w:t xml:space="preserve">or not </w:t>
      </w:r>
      <w:r w:rsidR="00F53F2E" w:rsidRPr="00483EB6">
        <w:t>patients received HSCT</w:t>
      </w:r>
      <w:r w:rsidR="003C00A3" w:rsidRPr="00483EB6">
        <w:t xml:space="preserve"> (Figure 3)</w:t>
      </w:r>
      <w:r w:rsidR="00F53F2E" w:rsidRPr="00483EB6">
        <w:t xml:space="preserve">. </w:t>
      </w:r>
      <w:r w:rsidR="003C00A3" w:rsidRPr="00483EB6">
        <w:t>The ESC noted</w:t>
      </w:r>
      <w:r w:rsidR="00256B6C" w:rsidRPr="00483EB6">
        <w:t xml:space="preserve"> that, at the time of </w:t>
      </w:r>
      <w:r w:rsidR="00256B6C" w:rsidRPr="00483EB6">
        <w:lastRenderedPageBreak/>
        <w:t>the data-cut,</w:t>
      </w:r>
      <w:r w:rsidR="003C00A3" w:rsidRPr="00483EB6">
        <w:t xml:space="preserve"> mortality in patients who did not undergo HSCT was largely </w:t>
      </w:r>
      <w:r w:rsidR="004F7B20" w:rsidRPr="00483EB6">
        <w:t>due to</w:t>
      </w:r>
      <w:r w:rsidR="003C00A3" w:rsidRPr="00483EB6">
        <w:t xml:space="preserve"> relapse</w:t>
      </w:r>
      <w:r w:rsidR="00F570AB" w:rsidRPr="00483EB6">
        <w:t>, while</w:t>
      </w:r>
      <w:r w:rsidR="004F7B20" w:rsidRPr="00483EB6">
        <w:t xml:space="preserve"> mortality in patients who underwent HSCT was </w:t>
      </w:r>
      <w:r w:rsidR="00D03FDB" w:rsidRPr="00483EB6">
        <w:t>mainly</w:t>
      </w:r>
      <w:r w:rsidR="002A1684" w:rsidRPr="00483EB6">
        <w:t xml:space="preserve"> </w:t>
      </w:r>
      <w:r w:rsidR="00F570AB" w:rsidRPr="00483EB6">
        <w:t>in</w:t>
      </w:r>
      <w:r w:rsidR="00D03FDB" w:rsidRPr="00483EB6">
        <w:t xml:space="preserve"> un-relapsed </w:t>
      </w:r>
      <w:r w:rsidR="00F570AB" w:rsidRPr="00483EB6">
        <w:t>patients</w:t>
      </w:r>
      <w:r w:rsidR="00D03FDB" w:rsidRPr="00483EB6">
        <w:t xml:space="preserve"> </w:t>
      </w:r>
      <w:r w:rsidR="00C96CA5" w:rsidRPr="00483EB6">
        <w:t>and</w:t>
      </w:r>
      <w:r w:rsidR="00D03FDB" w:rsidRPr="00483EB6">
        <w:t xml:space="preserve"> </w:t>
      </w:r>
      <w:r w:rsidR="00F570AB" w:rsidRPr="00483EB6">
        <w:t xml:space="preserve">likely </w:t>
      </w:r>
      <w:r w:rsidR="004F7B20" w:rsidRPr="00483EB6">
        <w:t xml:space="preserve">due to HSCT complications </w:t>
      </w:r>
      <w:r w:rsidR="00D03FDB" w:rsidRPr="00483EB6">
        <w:t xml:space="preserve">(Figure 4). </w:t>
      </w:r>
      <w:r w:rsidR="00AF136B" w:rsidRPr="00483EB6">
        <w:t xml:space="preserve">The ESC considered that </w:t>
      </w:r>
      <w:r w:rsidR="00256B6C" w:rsidRPr="00483EB6">
        <w:t>deaths due to HSCT complications would likely occur in the first few years post-HSCT</w:t>
      </w:r>
      <w:r w:rsidR="00E9609F" w:rsidRPr="00483EB6">
        <w:t>,</w:t>
      </w:r>
      <w:r w:rsidR="00256B6C" w:rsidRPr="00483EB6">
        <w:t xml:space="preserve"> and</w:t>
      </w:r>
      <w:r w:rsidR="00E9609F" w:rsidRPr="00483EB6">
        <w:t xml:space="preserve"> thus </w:t>
      </w:r>
      <w:r w:rsidR="004A1219" w:rsidRPr="00483EB6">
        <w:t>a</w:t>
      </w:r>
      <w:r w:rsidR="00E9609F" w:rsidRPr="00483EB6">
        <w:t xml:space="preserve"> difference in overall survival with HSCT versus without HSCT </w:t>
      </w:r>
      <w:r w:rsidR="00EB4581" w:rsidRPr="00483EB6">
        <w:t>may</w:t>
      </w:r>
      <w:r w:rsidR="00E9609F" w:rsidRPr="00483EB6">
        <w:t xml:space="preserve"> become </w:t>
      </w:r>
      <w:r w:rsidR="004A1219" w:rsidRPr="00483EB6">
        <w:t>apparent</w:t>
      </w:r>
      <w:r w:rsidR="00E9609F" w:rsidRPr="00483EB6">
        <w:t xml:space="preserve"> over time </w:t>
      </w:r>
      <w:r w:rsidR="004A1219" w:rsidRPr="00483EB6">
        <w:t>(with future data-cuts) given current clinical consensus is that HSCT provides the best chance of cure for this population</w:t>
      </w:r>
      <w:r w:rsidR="00AF136B" w:rsidRPr="00483EB6">
        <w:t xml:space="preserve">. </w:t>
      </w:r>
      <w:r w:rsidR="00E9609F" w:rsidRPr="00483EB6">
        <w:t>T</w:t>
      </w:r>
      <w:r w:rsidR="00256B6C" w:rsidRPr="00483EB6">
        <w:t>he ESC noted that t</w:t>
      </w:r>
      <w:r w:rsidR="00AF136B" w:rsidRPr="00483EB6">
        <w:t>he majority of patients who underwent HSCT in continuous complete remission remained relapse free.</w:t>
      </w:r>
    </w:p>
    <w:p w:rsidR="00023F93" w:rsidRPr="00483EB6" w:rsidRDefault="00023F93" w:rsidP="00C058E5">
      <w:pPr>
        <w:pStyle w:val="TableHeading0"/>
        <w:keepLines/>
        <w:spacing w:after="0"/>
        <w:jc w:val="both"/>
        <w:rPr>
          <w:lang w:eastAsia="en-AU"/>
        </w:rPr>
      </w:pPr>
      <w:r w:rsidRPr="00483EB6">
        <w:rPr>
          <w:lang w:eastAsia="en-AU"/>
        </w:rPr>
        <w:t xml:space="preserve">Figure 3: Updated BLAST Kaplan-Meier survival </w:t>
      </w:r>
      <w:r w:rsidR="003C00A3" w:rsidRPr="00483EB6">
        <w:rPr>
          <w:lang w:eastAsia="en-AU"/>
        </w:rPr>
        <w:t xml:space="preserve">curves by HSCT use </w:t>
      </w:r>
    </w:p>
    <w:p w:rsidR="00BA0DB1" w:rsidRPr="00483EB6" w:rsidRDefault="00023F93" w:rsidP="00C058E5">
      <w:pPr>
        <w:pStyle w:val="ListParagraph"/>
        <w:keepNext/>
        <w:keepLines/>
        <w:widowControl/>
        <w:ind w:left="0"/>
      </w:pPr>
      <w:r w:rsidRPr="00483EB6">
        <w:rPr>
          <w:noProof/>
          <w:snapToGrid/>
          <w:lang w:eastAsia="en-AU"/>
        </w:rPr>
        <w:drawing>
          <wp:inline distT="0" distB="0" distL="0" distR="0" wp14:anchorId="01E13704" wp14:editId="6C703A54">
            <wp:extent cx="5731200" cy="2274830"/>
            <wp:effectExtent l="0" t="0" r="3175" b="0"/>
            <wp:docPr id="2" name="Picture 2" title="Figure 3: Updated BLAST Kaplan-Meier survival curves by HSCT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1200" cy="2274830"/>
                    </a:xfrm>
                    <a:prstGeom prst="rect">
                      <a:avLst/>
                    </a:prstGeom>
                  </pic:spPr>
                </pic:pic>
              </a:graphicData>
            </a:graphic>
          </wp:inline>
        </w:drawing>
      </w:r>
      <w:r w:rsidR="00BA0DB1" w:rsidRPr="00483EB6">
        <w:rPr>
          <w:rFonts w:ascii="Arial Narrow" w:hAnsi="Arial Narrow"/>
          <w:snapToGrid/>
          <w:sz w:val="18"/>
          <w:lang w:eastAsia="en-AU"/>
        </w:rPr>
        <w:t xml:space="preserve">Source: Goekbuget et al., 2018 presentation </w:t>
      </w:r>
      <w:r w:rsidR="00C479FE" w:rsidRPr="00483EB6">
        <w:rPr>
          <w:rFonts w:ascii="Arial Narrow" w:hAnsi="Arial Narrow"/>
          <w:snapToGrid/>
          <w:sz w:val="18"/>
          <w:lang w:eastAsia="en-AU"/>
        </w:rPr>
        <w:t>at</w:t>
      </w:r>
      <w:r w:rsidR="00BA0DB1" w:rsidRPr="00483EB6">
        <w:rPr>
          <w:rFonts w:ascii="Arial Narrow" w:hAnsi="Arial Narrow"/>
          <w:snapToGrid/>
          <w:sz w:val="18"/>
          <w:lang w:eastAsia="en-AU"/>
        </w:rPr>
        <w:t xml:space="preserve"> </w:t>
      </w:r>
      <w:r w:rsidR="00C479FE" w:rsidRPr="00483EB6">
        <w:rPr>
          <w:rFonts w:ascii="Arial Narrow" w:hAnsi="Arial Narrow"/>
          <w:snapToGrid/>
          <w:sz w:val="18"/>
          <w:lang w:eastAsia="en-AU"/>
        </w:rPr>
        <w:t>the American Society of Haematology (</w:t>
      </w:r>
      <w:r w:rsidR="00BA0DB1" w:rsidRPr="00483EB6">
        <w:rPr>
          <w:rFonts w:ascii="Arial Narrow" w:hAnsi="Arial Narrow"/>
          <w:snapToGrid/>
          <w:sz w:val="18"/>
          <w:lang w:eastAsia="en-AU"/>
        </w:rPr>
        <w:t>ASH</w:t>
      </w:r>
      <w:r w:rsidR="00C479FE" w:rsidRPr="00483EB6">
        <w:rPr>
          <w:rFonts w:ascii="Arial Narrow" w:hAnsi="Arial Narrow"/>
          <w:snapToGrid/>
          <w:sz w:val="18"/>
          <w:lang w:eastAsia="en-AU"/>
        </w:rPr>
        <w:t>)</w:t>
      </w:r>
      <w:r w:rsidR="00BA0DB1" w:rsidRPr="00483EB6">
        <w:rPr>
          <w:rFonts w:ascii="Arial Narrow" w:hAnsi="Arial Narrow"/>
          <w:snapToGrid/>
          <w:sz w:val="18"/>
          <w:lang w:eastAsia="en-AU"/>
        </w:rPr>
        <w:t xml:space="preserve"> 2018 Annual Meeting provided with the PSCR </w:t>
      </w:r>
    </w:p>
    <w:p w:rsidR="00DF1929" w:rsidRPr="00483EB6" w:rsidRDefault="00BA0DB1" w:rsidP="00C058E5">
      <w:pPr>
        <w:pStyle w:val="TableHeading0"/>
        <w:keepLines/>
        <w:spacing w:after="0"/>
        <w:jc w:val="both"/>
        <w:rPr>
          <w:lang w:eastAsia="en-AU"/>
        </w:rPr>
      </w:pPr>
      <w:r w:rsidRPr="00483EB6">
        <w:rPr>
          <w:lang w:eastAsia="en-AU"/>
        </w:rPr>
        <w:t>Figure 4</w:t>
      </w:r>
      <w:r w:rsidR="00DF1929" w:rsidRPr="00483EB6">
        <w:rPr>
          <w:lang w:eastAsia="en-AU"/>
        </w:rPr>
        <w:t xml:space="preserve">: </w:t>
      </w:r>
      <w:r w:rsidR="004110A6" w:rsidRPr="00483EB6">
        <w:rPr>
          <w:lang w:eastAsia="en-AU"/>
        </w:rPr>
        <w:t xml:space="preserve">Proportion of patients in relapse/relapse-free disease state by HSCT use </w:t>
      </w:r>
    </w:p>
    <w:p w:rsidR="00DF1929" w:rsidRPr="00483EB6" w:rsidRDefault="00DF1929" w:rsidP="00C058E5">
      <w:pPr>
        <w:pStyle w:val="ListParagraph"/>
        <w:keepNext/>
        <w:keepLines/>
        <w:widowControl/>
        <w:spacing w:after="0"/>
        <w:ind w:left="0"/>
        <w:rPr>
          <w:rFonts w:ascii="Arial Narrow" w:hAnsi="Arial Narrow"/>
          <w:snapToGrid/>
          <w:sz w:val="18"/>
          <w:lang w:eastAsia="en-AU"/>
        </w:rPr>
      </w:pPr>
      <w:r w:rsidRPr="00483EB6">
        <w:rPr>
          <w:rFonts w:ascii="Arial Narrow" w:hAnsi="Arial Narrow"/>
          <w:noProof/>
          <w:snapToGrid/>
          <w:sz w:val="18"/>
          <w:lang w:eastAsia="en-AU"/>
        </w:rPr>
        <w:drawing>
          <wp:inline distT="0" distB="0" distL="0" distR="0" wp14:anchorId="392D83FA" wp14:editId="6C7FFC01">
            <wp:extent cx="5731200" cy="2707310"/>
            <wp:effectExtent l="0" t="0" r="3175" b="0"/>
            <wp:docPr id="4" name="Picture 4" title="Figure 4: Proportion of patients in relapse/relapse-free disease state by HSCT us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200" cy="2707310"/>
                    </a:xfrm>
                    <a:prstGeom prst="rect">
                      <a:avLst/>
                    </a:prstGeom>
                  </pic:spPr>
                </pic:pic>
              </a:graphicData>
            </a:graphic>
          </wp:inline>
        </w:drawing>
      </w:r>
    </w:p>
    <w:p w:rsidR="0015220F" w:rsidRPr="00C058E5" w:rsidRDefault="001A4B7F" w:rsidP="00C058E5">
      <w:pPr>
        <w:keepNext/>
        <w:keepLines/>
        <w:widowControl/>
        <w:rPr>
          <w:rFonts w:ascii="Arial Narrow" w:hAnsi="Arial Narrow"/>
          <w:snapToGrid/>
          <w:sz w:val="18"/>
          <w:lang w:eastAsia="en-AU"/>
        </w:rPr>
      </w:pPr>
      <w:r w:rsidRPr="00C058E5">
        <w:rPr>
          <w:rFonts w:ascii="Arial Narrow" w:hAnsi="Arial Narrow"/>
          <w:snapToGrid/>
          <w:sz w:val="18"/>
          <w:lang w:eastAsia="en-AU"/>
        </w:rPr>
        <w:t>Source: Goekbuget et al., 2018 presentation at the American Society of Haematology (ASH) 2018 Annual Meeting provided with the PSCR</w:t>
      </w:r>
    </w:p>
    <w:p w:rsidR="0015220F" w:rsidRPr="00483EB6" w:rsidRDefault="0015220F" w:rsidP="0015220F">
      <w:pPr>
        <w:pStyle w:val="ListParagraph"/>
        <w:widowControl/>
      </w:pPr>
    </w:p>
    <w:p w:rsidR="00D73705" w:rsidRPr="00483EB6" w:rsidRDefault="00D73705" w:rsidP="0015220F">
      <w:pPr>
        <w:pStyle w:val="ListParagraph"/>
        <w:keepNext/>
        <w:keepLines/>
        <w:widowControl/>
        <w:numPr>
          <w:ilvl w:val="1"/>
          <w:numId w:val="3"/>
        </w:numPr>
        <w:spacing w:after="0"/>
      </w:pPr>
      <w:r w:rsidRPr="00483EB6">
        <w:lastRenderedPageBreak/>
        <w:t xml:space="preserve">The PBAC considered that MRD positive patients treated with blinatumomab would follow one of the </w:t>
      </w:r>
      <w:r w:rsidR="005C09BD" w:rsidRPr="00483EB6">
        <w:t>below</w:t>
      </w:r>
      <w:r w:rsidRPr="00483EB6">
        <w:t xml:space="preserve"> </w:t>
      </w:r>
      <w:r w:rsidR="00323624" w:rsidRPr="00483EB6">
        <w:t xml:space="preserve">simplified </w:t>
      </w:r>
      <w:r w:rsidRPr="00483EB6">
        <w:t xml:space="preserve">pathways: </w:t>
      </w:r>
    </w:p>
    <w:p w:rsidR="00D73705" w:rsidRPr="00483EB6" w:rsidRDefault="00D73705" w:rsidP="0015220F">
      <w:pPr>
        <w:pStyle w:val="ListParagraph"/>
        <w:keepNext/>
        <w:keepLines/>
        <w:widowControl/>
        <w:numPr>
          <w:ilvl w:val="0"/>
          <w:numId w:val="13"/>
        </w:numPr>
        <w:spacing w:after="0"/>
      </w:pPr>
      <w:r w:rsidRPr="00483EB6">
        <w:t>MRD negative -&gt; HSCT -&gt; survival</w:t>
      </w:r>
      <w:r w:rsidR="007A3965" w:rsidRPr="00483EB6">
        <w:t xml:space="preserve"> (potential for </w:t>
      </w:r>
      <w:r w:rsidRPr="00483EB6">
        <w:t>cure</w:t>
      </w:r>
      <w:r w:rsidR="007A3965" w:rsidRPr="00483EB6">
        <w:t>)</w:t>
      </w:r>
    </w:p>
    <w:p w:rsidR="00D73705" w:rsidRPr="00483EB6" w:rsidRDefault="00D73705" w:rsidP="0015220F">
      <w:pPr>
        <w:pStyle w:val="ListParagraph"/>
        <w:keepNext/>
        <w:keepLines/>
        <w:widowControl/>
        <w:numPr>
          <w:ilvl w:val="0"/>
          <w:numId w:val="13"/>
        </w:numPr>
        <w:spacing w:after="0"/>
      </w:pPr>
      <w:r w:rsidRPr="00483EB6">
        <w:t xml:space="preserve">MRD negative -&gt; HSCT -&gt; </w:t>
      </w:r>
      <w:r w:rsidR="00C24CAD" w:rsidRPr="00483EB6">
        <w:t>death from relapse or HSCT complications</w:t>
      </w:r>
    </w:p>
    <w:p w:rsidR="00C24CAD" w:rsidRPr="00483EB6" w:rsidRDefault="00C24CAD" w:rsidP="0015220F">
      <w:pPr>
        <w:pStyle w:val="ListParagraph"/>
        <w:keepNext/>
        <w:keepLines/>
        <w:widowControl/>
        <w:numPr>
          <w:ilvl w:val="0"/>
          <w:numId w:val="13"/>
        </w:numPr>
        <w:spacing w:after="0"/>
      </w:pPr>
      <w:r w:rsidRPr="00483EB6">
        <w:t>MRD negative -&gt; no HSCT -&gt; survival</w:t>
      </w:r>
      <w:r w:rsidR="007A3965" w:rsidRPr="00483EB6">
        <w:t xml:space="preserve"> (potential for </w:t>
      </w:r>
      <w:r w:rsidRPr="00483EB6">
        <w:t>cure</w:t>
      </w:r>
      <w:r w:rsidR="007A3965" w:rsidRPr="00483EB6">
        <w:t>)</w:t>
      </w:r>
    </w:p>
    <w:p w:rsidR="00C24CAD" w:rsidRPr="00483EB6" w:rsidRDefault="00C24CAD" w:rsidP="0015220F">
      <w:pPr>
        <w:pStyle w:val="ListParagraph"/>
        <w:keepNext/>
        <w:keepLines/>
        <w:widowControl/>
        <w:numPr>
          <w:ilvl w:val="0"/>
          <w:numId w:val="13"/>
        </w:numPr>
        <w:spacing w:after="0"/>
      </w:pPr>
      <w:r w:rsidRPr="00483EB6">
        <w:t xml:space="preserve">MRD negative -&gt; no HSCT -&gt; death from relapse </w:t>
      </w:r>
    </w:p>
    <w:p w:rsidR="00C24CAD" w:rsidRPr="00483EB6" w:rsidRDefault="00C24CAD" w:rsidP="0015220F">
      <w:pPr>
        <w:pStyle w:val="ListParagraph"/>
        <w:keepNext/>
        <w:keepLines/>
        <w:widowControl/>
        <w:numPr>
          <w:ilvl w:val="0"/>
          <w:numId w:val="13"/>
        </w:numPr>
        <w:spacing w:after="0"/>
      </w:pPr>
      <w:r w:rsidRPr="00483EB6">
        <w:t>MRD positive -&gt; HSCT -&gt; survival</w:t>
      </w:r>
      <w:r w:rsidR="007A3965" w:rsidRPr="00483EB6">
        <w:t xml:space="preserve"> (potential for</w:t>
      </w:r>
      <w:r w:rsidR="00112A4E" w:rsidRPr="00483EB6">
        <w:t xml:space="preserve"> </w:t>
      </w:r>
      <w:r w:rsidRPr="00483EB6">
        <w:t>cure</w:t>
      </w:r>
      <w:r w:rsidR="007A3965" w:rsidRPr="00483EB6">
        <w:t>)</w:t>
      </w:r>
    </w:p>
    <w:p w:rsidR="00C24CAD" w:rsidRPr="00483EB6" w:rsidRDefault="00C24CAD" w:rsidP="0015220F">
      <w:pPr>
        <w:pStyle w:val="ListParagraph"/>
        <w:keepNext/>
        <w:keepLines/>
        <w:widowControl/>
        <w:numPr>
          <w:ilvl w:val="0"/>
          <w:numId w:val="13"/>
        </w:numPr>
        <w:spacing w:after="0"/>
      </w:pPr>
      <w:r w:rsidRPr="00483EB6">
        <w:t>MRD positive -&gt; HSCT -&gt; death from relapse or HSCT complications</w:t>
      </w:r>
    </w:p>
    <w:p w:rsidR="00C24CAD" w:rsidRPr="00483EB6" w:rsidRDefault="00C24CAD" w:rsidP="0015220F">
      <w:pPr>
        <w:pStyle w:val="ListParagraph"/>
        <w:keepNext/>
        <w:keepLines/>
        <w:widowControl/>
        <w:numPr>
          <w:ilvl w:val="0"/>
          <w:numId w:val="13"/>
        </w:numPr>
        <w:spacing w:after="0"/>
      </w:pPr>
      <w:r w:rsidRPr="00483EB6">
        <w:t>MRD positive -&gt; no HSCT -&gt; survival</w:t>
      </w:r>
      <w:r w:rsidR="007A3965" w:rsidRPr="00483EB6">
        <w:t xml:space="preserve"> (potential for </w:t>
      </w:r>
      <w:r w:rsidRPr="00483EB6">
        <w:t>cure</w:t>
      </w:r>
      <w:r w:rsidR="007A3965" w:rsidRPr="00483EB6">
        <w:t>)</w:t>
      </w:r>
    </w:p>
    <w:p w:rsidR="00C24CAD" w:rsidRPr="00483EB6" w:rsidRDefault="00C24CAD" w:rsidP="0015220F">
      <w:pPr>
        <w:pStyle w:val="ListParagraph"/>
        <w:keepNext/>
        <w:keepLines/>
        <w:widowControl/>
        <w:numPr>
          <w:ilvl w:val="0"/>
          <w:numId w:val="13"/>
        </w:numPr>
        <w:spacing w:after="120"/>
        <w:ind w:left="1434" w:hanging="357"/>
      </w:pPr>
      <w:r w:rsidRPr="00483EB6">
        <w:t>MRD positive -&gt; no HSCT -&gt; death from relapse</w:t>
      </w:r>
      <w:r w:rsidR="0015220F" w:rsidRPr="00483EB6">
        <w:t>.</w:t>
      </w:r>
    </w:p>
    <w:p w:rsidR="006A0E45" w:rsidRPr="00483EB6" w:rsidRDefault="00323624" w:rsidP="00904FDE">
      <w:pPr>
        <w:pStyle w:val="ListParagraph"/>
        <w:widowControl/>
        <w:numPr>
          <w:ilvl w:val="1"/>
          <w:numId w:val="3"/>
        </w:numPr>
        <w:spacing w:after="120"/>
      </w:pPr>
      <w:r w:rsidRPr="00483EB6">
        <w:t xml:space="preserve">The PBAC considered that in some pathways </w:t>
      </w:r>
      <w:r w:rsidR="00957586" w:rsidRPr="00483EB6">
        <w:t xml:space="preserve">it was unclear whether </w:t>
      </w:r>
      <w:r w:rsidRPr="00483EB6">
        <w:t xml:space="preserve">the patient outcome would be </w:t>
      </w:r>
      <w:r w:rsidR="00957586" w:rsidRPr="00483EB6">
        <w:t xml:space="preserve">attributable to either blinatumomab or HSCT, while in other pathways the outcome may be </w:t>
      </w:r>
      <w:r w:rsidRPr="00483EB6">
        <w:t xml:space="preserve">fully attributable to </w:t>
      </w:r>
      <w:r w:rsidR="00957586" w:rsidRPr="00483EB6">
        <w:t xml:space="preserve">a either a single course or multiple courses of </w:t>
      </w:r>
      <w:r w:rsidRPr="00483EB6">
        <w:t>blinatumomab</w:t>
      </w:r>
      <w:r w:rsidR="00957586" w:rsidRPr="00483EB6">
        <w:t>.</w:t>
      </w:r>
      <w:r w:rsidRPr="00483EB6">
        <w:t xml:space="preserve"> </w:t>
      </w:r>
      <w:r w:rsidR="006A0E45" w:rsidRPr="00483EB6">
        <w:t xml:space="preserve">The PBAC </w:t>
      </w:r>
      <w:r w:rsidRPr="00483EB6">
        <w:t xml:space="preserve">also </w:t>
      </w:r>
      <w:r w:rsidR="006A0E45" w:rsidRPr="00483EB6">
        <w:t xml:space="preserve">considered that treatment with blinatumomab may </w:t>
      </w:r>
      <w:r w:rsidR="00061430" w:rsidRPr="00483EB6">
        <w:t xml:space="preserve">not effect long-term outcomes </w:t>
      </w:r>
      <w:r w:rsidR="006A0E45" w:rsidRPr="00483EB6">
        <w:t>in some patient</w:t>
      </w:r>
      <w:r w:rsidR="00061430" w:rsidRPr="00483EB6">
        <w:t>s</w:t>
      </w:r>
      <w:r w:rsidR="006A0E45" w:rsidRPr="00483EB6">
        <w:t xml:space="preserve"> who may relapse regardless of treatment. </w:t>
      </w:r>
    </w:p>
    <w:p w:rsidR="003B0807" w:rsidRPr="00483EB6" w:rsidRDefault="003B0807" w:rsidP="00904FDE">
      <w:pPr>
        <w:pStyle w:val="ListParagraph"/>
        <w:widowControl/>
        <w:numPr>
          <w:ilvl w:val="1"/>
          <w:numId w:val="3"/>
        </w:numPr>
        <w:spacing w:after="120"/>
      </w:pPr>
      <w:r w:rsidRPr="00483EB6">
        <w:t xml:space="preserve">At the July 2018 </w:t>
      </w:r>
      <w:r w:rsidR="00483EB6" w:rsidRPr="00483EB6">
        <w:t>meeting,</w:t>
      </w:r>
      <w:r w:rsidRPr="00483EB6">
        <w:t xml:space="preserve"> the PBAC considered that </w:t>
      </w:r>
      <w:r w:rsidR="004A419A" w:rsidRPr="00483EB6">
        <w:rPr>
          <w:rFonts w:asciiTheme="minorHAnsi" w:hAnsiTheme="minorHAnsi"/>
          <w:szCs w:val="20"/>
        </w:rPr>
        <w:t xml:space="preserve">the claim of superior comparative effectiveness was adequately supported by the data, </w:t>
      </w:r>
      <w:r w:rsidR="00C63D1A" w:rsidRPr="00483EB6">
        <w:rPr>
          <w:rFonts w:asciiTheme="minorHAnsi" w:hAnsiTheme="minorHAnsi"/>
          <w:szCs w:val="20"/>
        </w:rPr>
        <w:t>al</w:t>
      </w:r>
      <w:r w:rsidR="004A419A" w:rsidRPr="00483EB6">
        <w:rPr>
          <w:rFonts w:asciiTheme="minorHAnsi" w:hAnsiTheme="minorHAnsi"/>
          <w:szCs w:val="20"/>
        </w:rPr>
        <w:t>though the magnitude of the incremental effectiveness was uncertain</w:t>
      </w:r>
      <w:r w:rsidR="0048363D" w:rsidRPr="00483EB6">
        <w:rPr>
          <w:rFonts w:asciiTheme="minorHAnsi" w:hAnsiTheme="minorHAnsi"/>
          <w:szCs w:val="20"/>
        </w:rPr>
        <w:t>. T</w:t>
      </w:r>
      <w:r w:rsidR="0048363D" w:rsidRPr="00483EB6">
        <w:t>he Committee considered that the clinical evidence did not adequately support or reliably quantify an improvement in overall survival compared to consolidation chemotherapy</w:t>
      </w:r>
      <w:r w:rsidR="0048363D" w:rsidRPr="00483EB6">
        <w:rPr>
          <w:rFonts w:asciiTheme="minorHAnsi" w:hAnsiTheme="minorHAnsi"/>
          <w:szCs w:val="20"/>
        </w:rPr>
        <w:t xml:space="preserve"> </w:t>
      </w:r>
      <w:r w:rsidR="004A419A" w:rsidRPr="00483EB6">
        <w:rPr>
          <w:rFonts w:asciiTheme="minorHAnsi" w:hAnsiTheme="minorHAnsi"/>
          <w:szCs w:val="20"/>
        </w:rPr>
        <w:t>(Blinatumomab PSD July 2018, para 6.47</w:t>
      </w:r>
      <w:r w:rsidR="0048363D" w:rsidRPr="00483EB6">
        <w:rPr>
          <w:rFonts w:asciiTheme="minorHAnsi" w:hAnsiTheme="minorHAnsi"/>
          <w:szCs w:val="20"/>
        </w:rPr>
        <w:t xml:space="preserve">). </w:t>
      </w:r>
    </w:p>
    <w:p w:rsidR="006606E1" w:rsidRPr="00483EB6" w:rsidRDefault="006606E1" w:rsidP="00904FDE">
      <w:pPr>
        <w:pStyle w:val="ListParagraph"/>
        <w:widowControl/>
        <w:numPr>
          <w:ilvl w:val="1"/>
          <w:numId w:val="3"/>
        </w:numPr>
        <w:spacing w:after="120"/>
      </w:pPr>
      <w:r w:rsidRPr="00483EB6">
        <w:rPr>
          <w:rFonts w:asciiTheme="minorHAnsi" w:hAnsiTheme="minorHAnsi"/>
          <w:szCs w:val="20"/>
        </w:rPr>
        <w:t>The PSCR</w:t>
      </w:r>
      <w:r w:rsidR="008213DF" w:rsidRPr="00483EB6">
        <w:rPr>
          <w:rFonts w:asciiTheme="minorHAnsi" w:hAnsiTheme="minorHAnsi"/>
          <w:szCs w:val="20"/>
        </w:rPr>
        <w:t xml:space="preserve"> presented</w:t>
      </w:r>
      <w:r w:rsidRPr="00483EB6">
        <w:rPr>
          <w:rFonts w:asciiTheme="minorHAnsi" w:hAnsiTheme="minorHAnsi"/>
          <w:szCs w:val="20"/>
        </w:rPr>
        <w:t xml:space="preserve"> updated overall survival</w:t>
      </w:r>
      <w:r w:rsidR="008213DF" w:rsidRPr="00483EB6">
        <w:rPr>
          <w:rFonts w:asciiTheme="minorHAnsi" w:hAnsiTheme="minorHAnsi"/>
          <w:szCs w:val="20"/>
        </w:rPr>
        <w:t xml:space="preserve"> data</w:t>
      </w:r>
      <w:r w:rsidRPr="00483EB6">
        <w:rPr>
          <w:rFonts w:asciiTheme="minorHAnsi" w:hAnsiTheme="minorHAnsi"/>
          <w:szCs w:val="20"/>
        </w:rPr>
        <w:t xml:space="preserve"> from the </w:t>
      </w:r>
      <w:r w:rsidR="001A4B7F" w:rsidRPr="00483EB6">
        <w:rPr>
          <w:rFonts w:asciiTheme="minorHAnsi" w:hAnsiTheme="minorHAnsi"/>
          <w:szCs w:val="20"/>
        </w:rPr>
        <w:t xml:space="preserve">single-arm </w:t>
      </w:r>
      <w:r w:rsidRPr="00483EB6">
        <w:rPr>
          <w:rFonts w:asciiTheme="minorHAnsi" w:hAnsiTheme="minorHAnsi"/>
          <w:szCs w:val="20"/>
        </w:rPr>
        <w:t xml:space="preserve">BLAST study (Figure 3). </w:t>
      </w:r>
      <w:r w:rsidR="002A70F0" w:rsidRPr="00483EB6">
        <w:rPr>
          <w:rFonts w:asciiTheme="minorHAnsi" w:hAnsiTheme="minorHAnsi"/>
          <w:szCs w:val="20"/>
        </w:rPr>
        <w:t>The ESC considered th</w:t>
      </w:r>
      <w:r w:rsidR="00163E97" w:rsidRPr="00483EB6">
        <w:rPr>
          <w:rFonts w:asciiTheme="minorHAnsi" w:hAnsiTheme="minorHAnsi"/>
          <w:szCs w:val="20"/>
        </w:rPr>
        <w:t>ese data were</w:t>
      </w:r>
      <w:r w:rsidR="002A70F0" w:rsidRPr="00483EB6">
        <w:rPr>
          <w:rFonts w:asciiTheme="minorHAnsi" w:hAnsiTheme="minorHAnsi"/>
          <w:szCs w:val="20"/>
        </w:rPr>
        <w:t xml:space="preserve"> informative because t</w:t>
      </w:r>
      <w:r w:rsidR="002A70F0" w:rsidRPr="00483EB6">
        <w:t>he PBAC previously considered the BLAST data were immature in the context of claiming an overall survival advantage (Blinatumomab PSD July 2018, para 7.12).</w:t>
      </w:r>
    </w:p>
    <w:p w:rsidR="00645CF6" w:rsidRPr="00483EB6" w:rsidRDefault="00023F93" w:rsidP="00C058E5">
      <w:pPr>
        <w:pStyle w:val="TableHeading0"/>
        <w:spacing w:after="0"/>
        <w:jc w:val="both"/>
        <w:rPr>
          <w:lang w:eastAsia="en-AU"/>
        </w:rPr>
      </w:pPr>
      <w:r w:rsidRPr="00483EB6">
        <w:rPr>
          <w:lang w:eastAsia="en-AU"/>
        </w:rPr>
        <w:lastRenderedPageBreak/>
        <w:t xml:space="preserve">Figure </w:t>
      </w:r>
      <w:r w:rsidR="00DF1929" w:rsidRPr="00483EB6">
        <w:rPr>
          <w:lang w:eastAsia="en-AU"/>
        </w:rPr>
        <w:t>5</w:t>
      </w:r>
      <w:r w:rsidR="00645CF6" w:rsidRPr="00483EB6">
        <w:rPr>
          <w:lang w:eastAsia="en-AU"/>
        </w:rPr>
        <w:t xml:space="preserve">: </w:t>
      </w:r>
      <w:r w:rsidR="00A10BFC" w:rsidRPr="00483EB6">
        <w:rPr>
          <w:lang w:eastAsia="en-AU"/>
        </w:rPr>
        <w:t xml:space="preserve">Updated BLAST </w:t>
      </w:r>
      <w:r w:rsidR="00645CF6" w:rsidRPr="00483EB6">
        <w:rPr>
          <w:lang w:eastAsia="en-AU"/>
        </w:rPr>
        <w:t>Kaplan-Meier</w:t>
      </w:r>
      <w:r w:rsidR="00A10BFC" w:rsidRPr="00483EB6">
        <w:rPr>
          <w:lang w:eastAsia="en-AU"/>
        </w:rPr>
        <w:t xml:space="preserve"> curve for</w:t>
      </w:r>
      <w:r w:rsidR="00645CF6" w:rsidRPr="00483EB6">
        <w:rPr>
          <w:lang w:eastAsia="en-AU"/>
        </w:rPr>
        <w:t xml:space="preserve"> overall survival</w:t>
      </w:r>
      <w:r w:rsidR="007F2F8F" w:rsidRPr="00483EB6">
        <w:rPr>
          <w:lang w:eastAsia="en-AU"/>
        </w:rPr>
        <w:t xml:space="preserve"> (FAS, not censored at </w:t>
      </w:r>
      <w:proofErr w:type="spellStart"/>
      <w:r w:rsidR="007F2F8F" w:rsidRPr="00483EB6">
        <w:rPr>
          <w:lang w:eastAsia="en-AU"/>
        </w:rPr>
        <w:t>alloHSCT</w:t>
      </w:r>
      <w:proofErr w:type="spellEnd"/>
      <w:r w:rsidR="007F2F8F" w:rsidRPr="00483EB6">
        <w:rPr>
          <w:lang w:eastAsia="en-AU"/>
        </w:rPr>
        <w:t xml:space="preserve"> or post-</w:t>
      </w:r>
      <w:proofErr w:type="spellStart"/>
      <w:r w:rsidR="007F2F8F" w:rsidRPr="00483EB6">
        <w:rPr>
          <w:lang w:eastAsia="en-AU"/>
        </w:rPr>
        <w:t>blinatumomab</w:t>
      </w:r>
      <w:proofErr w:type="spellEnd"/>
      <w:r w:rsidR="007F2F8F" w:rsidRPr="00483EB6">
        <w:rPr>
          <w:lang w:eastAsia="en-AU"/>
        </w:rPr>
        <w:t xml:space="preserve"> chemotherapy)</w:t>
      </w:r>
    </w:p>
    <w:p w:rsidR="00C058E5" w:rsidRPr="00C058E5" w:rsidRDefault="00645CF6" w:rsidP="00C058E5">
      <w:pPr>
        <w:pStyle w:val="ListParagraph"/>
        <w:widowControl/>
        <w:spacing w:after="0"/>
        <w:ind w:left="0"/>
        <w:rPr>
          <w:rFonts w:ascii="Arial Narrow" w:hAnsi="Arial Narrow"/>
          <w:snapToGrid/>
          <w:sz w:val="18"/>
          <w:lang w:eastAsia="en-AU"/>
        </w:rPr>
      </w:pPr>
      <w:r w:rsidRPr="00483EB6">
        <w:rPr>
          <w:noProof/>
          <w:snapToGrid/>
          <w:lang w:eastAsia="en-AU"/>
        </w:rPr>
        <w:drawing>
          <wp:inline distT="0" distB="0" distL="0" distR="0" wp14:anchorId="545973A1" wp14:editId="1BF4F93F">
            <wp:extent cx="5731200" cy="2927502"/>
            <wp:effectExtent l="0" t="0" r="3175" b="6350"/>
            <wp:docPr id="1" name="Picture 1" title="Figure 5: Updated BLAST Kaplan-Meier curve for overall survival (FAS, not censored at alloHSCT or post-blinatumomab chemothera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200" cy="2927502"/>
                    </a:xfrm>
                    <a:prstGeom prst="rect">
                      <a:avLst/>
                    </a:prstGeom>
                  </pic:spPr>
                </pic:pic>
              </a:graphicData>
            </a:graphic>
          </wp:inline>
        </w:drawing>
      </w:r>
      <w:bookmarkStart w:id="10" w:name="_Toc536013898"/>
      <w:r w:rsidR="008A2959" w:rsidRPr="00C058E5">
        <w:rPr>
          <w:rFonts w:ascii="Arial Narrow" w:hAnsi="Arial Narrow"/>
          <w:snapToGrid/>
          <w:sz w:val="18"/>
          <w:lang w:eastAsia="en-AU"/>
        </w:rPr>
        <w:t xml:space="preserve">Source: </w:t>
      </w:r>
      <w:r w:rsidR="00D60189" w:rsidRPr="00C058E5">
        <w:rPr>
          <w:rFonts w:ascii="Arial Narrow" w:hAnsi="Arial Narrow"/>
          <w:snapToGrid/>
          <w:sz w:val="18"/>
          <w:lang w:eastAsia="en-AU"/>
        </w:rPr>
        <w:t>Goekbuget et al., 2018 abstract provided with PSCR</w:t>
      </w:r>
    </w:p>
    <w:p w:rsidR="008A2959" w:rsidRPr="00C058E5" w:rsidRDefault="00D60189" w:rsidP="00C058E5">
      <w:pPr>
        <w:pStyle w:val="ListParagraph"/>
        <w:widowControl/>
        <w:spacing w:after="0"/>
        <w:ind w:left="0"/>
        <w:rPr>
          <w:rFonts w:ascii="Arial Narrow" w:hAnsi="Arial Narrow"/>
          <w:sz w:val="18"/>
        </w:rPr>
      </w:pPr>
      <w:r w:rsidRPr="00C058E5">
        <w:rPr>
          <w:rFonts w:ascii="Arial Narrow" w:hAnsi="Arial Narrow"/>
          <w:snapToGrid/>
          <w:sz w:val="18"/>
          <w:lang w:eastAsia="en-AU"/>
        </w:rPr>
        <w:t xml:space="preserve">Abbreviations: </w:t>
      </w:r>
      <w:proofErr w:type="spellStart"/>
      <w:r w:rsidRPr="00C058E5">
        <w:rPr>
          <w:rFonts w:ascii="Arial Narrow" w:hAnsi="Arial Narrow"/>
          <w:sz w:val="18"/>
          <w:szCs w:val="18"/>
        </w:rPr>
        <w:t>alloHSCT</w:t>
      </w:r>
      <w:proofErr w:type="spellEnd"/>
      <w:r w:rsidRPr="00C058E5">
        <w:rPr>
          <w:rFonts w:ascii="Arial Narrow" w:hAnsi="Arial Narrow"/>
          <w:sz w:val="18"/>
          <w:szCs w:val="18"/>
        </w:rPr>
        <w:t>, allogeneic haematopoietic stem cell transplantation</w:t>
      </w:r>
      <w:r w:rsidRPr="00C058E5">
        <w:rPr>
          <w:rFonts w:ascii="Arial Narrow" w:hAnsi="Arial Narrow"/>
          <w:snapToGrid/>
          <w:sz w:val="18"/>
          <w:lang w:eastAsia="en-AU"/>
        </w:rPr>
        <w:t xml:space="preserve">; FAS, full analysis set. </w:t>
      </w:r>
    </w:p>
    <w:p w:rsidR="008A2959" w:rsidRPr="00483EB6" w:rsidRDefault="008A2959" w:rsidP="00904FDE">
      <w:pPr>
        <w:pStyle w:val="ListParagraph"/>
        <w:widowControl/>
        <w:spacing w:after="120"/>
      </w:pPr>
    </w:p>
    <w:p w:rsidR="00F10A87" w:rsidRPr="00483EB6" w:rsidRDefault="00D41532" w:rsidP="00904FDE">
      <w:pPr>
        <w:pStyle w:val="ListParagraph"/>
        <w:widowControl/>
        <w:numPr>
          <w:ilvl w:val="1"/>
          <w:numId w:val="3"/>
        </w:numPr>
        <w:spacing w:after="120"/>
      </w:pPr>
      <w:r w:rsidRPr="00483EB6">
        <w:rPr>
          <w:rFonts w:asciiTheme="minorHAnsi" w:hAnsiTheme="minorHAnsi"/>
          <w:szCs w:val="20"/>
        </w:rPr>
        <w:t>From the updated data, median overall survival was 36.5</w:t>
      </w:r>
      <w:r w:rsidR="008519BE" w:rsidRPr="00483EB6">
        <w:rPr>
          <w:rFonts w:asciiTheme="minorHAnsi" w:hAnsiTheme="minorHAnsi"/>
          <w:szCs w:val="20"/>
        </w:rPr>
        <w:t xml:space="preserve"> months</w:t>
      </w:r>
      <w:r w:rsidRPr="00483EB6">
        <w:rPr>
          <w:rFonts w:asciiTheme="minorHAnsi" w:hAnsiTheme="minorHAnsi"/>
          <w:szCs w:val="20"/>
        </w:rPr>
        <w:t xml:space="preserve"> (95% CI 22.0</w:t>
      </w:r>
      <w:r w:rsidR="00B11BD7" w:rsidRPr="00483EB6">
        <w:rPr>
          <w:rFonts w:asciiTheme="minorHAnsi" w:hAnsiTheme="minorHAnsi"/>
          <w:szCs w:val="20"/>
        </w:rPr>
        <w:t>, not</w:t>
      </w:r>
      <w:r w:rsidRPr="00483EB6">
        <w:rPr>
          <w:rFonts w:asciiTheme="minorHAnsi" w:hAnsiTheme="minorHAnsi"/>
          <w:szCs w:val="20"/>
        </w:rPr>
        <w:t xml:space="preserve"> estimable) with a median follow up of 4.5 years</w:t>
      </w:r>
      <w:r w:rsidR="00D52C61" w:rsidRPr="00483EB6">
        <w:rPr>
          <w:rFonts w:asciiTheme="minorHAnsi" w:hAnsiTheme="minorHAnsi"/>
          <w:szCs w:val="20"/>
        </w:rPr>
        <w:t xml:space="preserve"> (53.1 months)</w:t>
      </w:r>
      <w:r w:rsidRPr="00483EB6">
        <w:rPr>
          <w:rFonts w:asciiTheme="minorHAnsi" w:hAnsiTheme="minorHAnsi"/>
          <w:szCs w:val="20"/>
        </w:rPr>
        <w:t>.</w:t>
      </w:r>
      <w:r w:rsidR="008213DF" w:rsidRPr="00483EB6">
        <w:rPr>
          <w:rFonts w:asciiTheme="minorHAnsi" w:hAnsiTheme="minorHAnsi"/>
          <w:szCs w:val="20"/>
        </w:rPr>
        <w:t xml:space="preserve"> The ESC noted</w:t>
      </w:r>
      <w:r w:rsidR="00B0642E" w:rsidRPr="00483EB6">
        <w:rPr>
          <w:rFonts w:asciiTheme="minorHAnsi" w:hAnsiTheme="minorHAnsi"/>
          <w:szCs w:val="20"/>
        </w:rPr>
        <w:t xml:space="preserve"> that </w:t>
      </w:r>
      <w:r w:rsidR="00522954" w:rsidRPr="00483EB6">
        <w:rPr>
          <w:rFonts w:asciiTheme="minorHAnsi" w:hAnsiTheme="minorHAnsi"/>
          <w:szCs w:val="20"/>
        </w:rPr>
        <w:t xml:space="preserve">the </w:t>
      </w:r>
      <w:r w:rsidR="00B0642E" w:rsidRPr="00483EB6">
        <w:rPr>
          <w:rFonts w:asciiTheme="minorHAnsi" w:hAnsiTheme="minorHAnsi"/>
          <w:szCs w:val="20"/>
        </w:rPr>
        <w:t>overall survival</w:t>
      </w:r>
      <w:r w:rsidR="00522954" w:rsidRPr="00483EB6">
        <w:rPr>
          <w:rFonts w:asciiTheme="minorHAnsi" w:hAnsiTheme="minorHAnsi"/>
          <w:szCs w:val="20"/>
        </w:rPr>
        <w:t xml:space="preserve"> curve</w:t>
      </w:r>
      <w:r w:rsidR="00B0642E" w:rsidRPr="00483EB6">
        <w:rPr>
          <w:rFonts w:asciiTheme="minorHAnsi" w:hAnsiTheme="minorHAnsi"/>
          <w:szCs w:val="20"/>
        </w:rPr>
        <w:t xml:space="preserve"> </w:t>
      </w:r>
      <w:r w:rsidR="001A4B7F" w:rsidRPr="00483EB6">
        <w:rPr>
          <w:rFonts w:asciiTheme="minorHAnsi" w:hAnsiTheme="minorHAnsi"/>
          <w:szCs w:val="20"/>
        </w:rPr>
        <w:t>indicate</w:t>
      </w:r>
      <w:r w:rsidR="00426B86" w:rsidRPr="00483EB6">
        <w:rPr>
          <w:rFonts w:asciiTheme="minorHAnsi" w:hAnsiTheme="minorHAnsi"/>
          <w:szCs w:val="20"/>
        </w:rPr>
        <w:t>s</w:t>
      </w:r>
      <w:r w:rsidR="00B0642E" w:rsidRPr="00483EB6">
        <w:rPr>
          <w:rFonts w:asciiTheme="minorHAnsi" w:hAnsiTheme="minorHAnsi"/>
          <w:szCs w:val="20"/>
        </w:rPr>
        <w:t xml:space="preserve"> a </w:t>
      </w:r>
      <w:r w:rsidR="008519BE" w:rsidRPr="00483EB6">
        <w:rPr>
          <w:rFonts w:asciiTheme="minorHAnsi" w:hAnsiTheme="minorHAnsi"/>
          <w:szCs w:val="20"/>
        </w:rPr>
        <w:t>plateau</w:t>
      </w:r>
      <w:r w:rsidR="00522954" w:rsidRPr="00483EB6">
        <w:rPr>
          <w:rFonts w:asciiTheme="minorHAnsi" w:hAnsiTheme="minorHAnsi"/>
          <w:szCs w:val="20"/>
        </w:rPr>
        <w:t xml:space="preserve"> </w:t>
      </w:r>
      <w:r w:rsidR="00163E97" w:rsidRPr="00483EB6">
        <w:rPr>
          <w:rFonts w:asciiTheme="minorHAnsi" w:hAnsiTheme="minorHAnsi"/>
          <w:szCs w:val="20"/>
        </w:rPr>
        <w:t>after</w:t>
      </w:r>
      <w:r w:rsidR="00522954" w:rsidRPr="00483EB6">
        <w:rPr>
          <w:rFonts w:asciiTheme="minorHAnsi" w:hAnsiTheme="minorHAnsi"/>
          <w:szCs w:val="20"/>
        </w:rPr>
        <w:t xml:space="preserve"> 48 months</w:t>
      </w:r>
      <w:r w:rsidR="00426B86" w:rsidRPr="00483EB6">
        <w:rPr>
          <w:rFonts w:asciiTheme="minorHAnsi" w:hAnsiTheme="minorHAnsi"/>
          <w:szCs w:val="20"/>
        </w:rPr>
        <w:t>;</w:t>
      </w:r>
      <w:r w:rsidR="008519BE" w:rsidRPr="00483EB6">
        <w:rPr>
          <w:rFonts w:asciiTheme="minorHAnsi" w:hAnsiTheme="minorHAnsi"/>
          <w:szCs w:val="20"/>
        </w:rPr>
        <w:t xml:space="preserve"> however, given the small </w:t>
      </w:r>
      <w:r w:rsidR="00426B86" w:rsidRPr="00483EB6">
        <w:rPr>
          <w:rFonts w:asciiTheme="minorHAnsi" w:hAnsiTheme="minorHAnsi"/>
          <w:szCs w:val="20"/>
        </w:rPr>
        <w:t>number</w:t>
      </w:r>
      <w:r w:rsidR="008519BE" w:rsidRPr="00483EB6">
        <w:rPr>
          <w:rFonts w:asciiTheme="minorHAnsi" w:hAnsiTheme="minorHAnsi"/>
          <w:szCs w:val="20"/>
        </w:rPr>
        <w:t xml:space="preserve"> of patients remaining at risk </w:t>
      </w:r>
      <w:r w:rsidR="00522954" w:rsidRPr="00483EB6">
        <w:rPr>
          <w:rFonts w:asciiTheme="minorHAnsi" w:hAnsiTheme="minorHAnsi"/>
          <w:szCs w:val="20"/>
        </w:rPr>
        <w:t>in this part of the curve</w:t>
      </w:r>
      <w:r w:rsidR="008519BE" w:rsidRPr="00483EB6">
        <w:rPr>
          <w:rFonts w:asciiTheme="minorHAnsi" w:hAnsiTheme="minorHAnsi"/>
          <w:szCs w:val="20"/>
        </w:rPr>
        <w:t xml:space="preserve">, the ESC considered </w:t>
      </w:r>
      <w:r w:rsidR="00426B86" w:rsidRPr="00483EB6">
        <w:rPr>
          <w:rFonts w:asciiTheme="minorHAnsi" w:hAnsiTheme="minorHAnsi"/>
          <w:szCs w:val="20"/>
        </w:rPr>
        <w:t xml:space="preserve">the data were still immature and </w:t>
      </w:r>
      <w:r w:rsidR="008519BE" w:rsidRPr="00483EB6">
        <w:rPr>
          <w:rFonts w:asciiTheme="minorHAnsi" w:hAnsiTheme="minorHAnsi"/>
          <w:szCs w:val="20"/>
        </w:rPr>
        <w:t xml:space="preserve">it </w:t>
      </w:r>
      <w:r w:rsidR="00163E97" w:rsidRPr="00483EB6">
        <w:rPr>
          <w:rFonts w:asciiTheme="minorHAnsi" w:hAnsiTheme="minorHAnsi"/>
          <w:szCs w:val="20"/>
        </w:rPr>
        <w:t xml:space="preserve">was </w:t>
      </w:r>
      <w:r w:rsidR="008519BE" w:rsidRPr="00483EB6">
        <w:rPr>
          <w:rFonts w:asciiTheme="minorHAnsi" w:hAnsiTheme="minorHAnsi"/>
          <w:szCs w:val="20"/>
        </w:rPr>
        <w:t>uncertain whether the observed plateau</w:t>
      </w:r>
      <w:r w:rsidR="00522954" w:rsidRPr="00483EB6">
        <w:rPr>
          <w:rFonts w:asciiTheme="minorHAnsi" w:hAnsiTheme="minorHAnsi"/>
          <w:szCs w:val="20"/>
        </w:rPr>
        <w:t xml:space="preserve"> </w:t>
      </w:r>
      <w:r w:rsidR="00E16784" w:rsidRPr="00483EB6">
        <w:rPr>
          <w:rFonts w:asciiTheme="minorHAnsi" w:hAnsiTheme="minorHAnsi"/>
          <w:szCs w:val="20"/>
        </w:rPr>
        <w:t xml:space="preserve">would translate </w:t>
      </w:r>
      <w:r w:rsidR="00522954" w:rsidRPr="00483EB6">
        <w:rPr>
          <w:rFonts w:asciiTheme="minorHAnsi" w:hAnsiTheme="minorHAnsi"/>
          <w:szCs w:val="20"/>
        </w:rPr>
        <w:t>to a long-term survival benefit</w:t>
      </w:r>
      <w:r w:rsidR="002622BD" w:rsidRPr="00483EB6">
        <w:rPr>
          <w:rFonts w:asciiTheme="minorHAnsi" w:hAnsiTheme="minorHAnsi"/>
          <w:szCs w:val="20"/>
        </w:rPr>
        <w:t xml:space="preserve"> in the </w:t>
      </w:r>
      <w:r w:rsidR="00163E97" w:rsidRPr="00483EB6">
        <w:rPr>
          <w:rFonts w:asciiTheme="minorHAnsi" w:hAnsiTheme="minorHAnsi"/>
          <w:szCs w:val="20"/>
        </w:rPr>
        <w:t xml:space="preserve">remaining </w:t>
      </w:r>
      <w:r w:rsidR="002622BD" w:rsidRPr="00483EB6">
        <w:rPr>
          <w:rFonts w:asciiTheme="minorHAnsi" w:hAnsiTheme="minorHAnsi"/>
          <w:szCs w:val="20"/>
        </w:rPr>
        <w:t>patients</w:t>
      </w:r>
      <w:r w:rsidR="00522954" w:rsidRPr="00483EB6">
        <w:rPr>
          <w:rFonts w:asciiTheme="minorHAnsi" w:hAnsiTheme="minorHAnsi"/>
          <w:szCs w:val="20"/>
        </w:rPr>
        <w:t xml:space="preserve">. The ESC considered that more mature data from the BLAST study in the future would be informative in determining </w:t>
      </w:r>
      <w:r w:rsidR="002622BD" w:rsidRPr="00483EB6">
        <w:rPr>
          <w:rFonts w:asciiTheme="minorHAnsi" w:hAnsiTheme="minorHAnsi"/>
          <w:szCs w:val="20"/>
        </w:rPr>
        <w:t xml:space="preserve">the durability of survival. </w:t>
      </w:r>
    </w:p>
    <w:p w:rsidR="001A4B7F" w:rsidRDefault="001A4B7F" w:rsidP="00904FDE">
      <w:pPr>
        <w:pStyle w:val="ListParagraph"/>
        <w:numPr>
          <w:ilvl w:val="1"/>
          <w:numId w:val="3"/>
        </w:numPr>
        <w:spacing w:after="120"/>
      </w:pPr>
      <w:r w:rsidRPr="00483EB6">
        <w:t xml:space="preserve">The ESC noted </w:t>
      </w:r>
      <w:r w:rsidR="00E4757F" w:rsidRPr="00483EB6">
        <w:t xml:space="preserve">that the updated data from the single-arm BLAST study were not included in the comparative analysis (i.e. the propensity score weighted indirect analysis for the ATE and ATT). The ESC considered that the magnitude of benefit </w:t>
      </w:r>
      <w:r w:rsidR="00CF6EEF" w:rsidRPr="00483EB6">
        <w:t xml:space="preserve">compared with standard of care chemotherapy </w:t>
      </w:r>
      <w:r w:rsidR="00E4757F" w:rsidRPr="00483EB6">
        <w:t xml:space="preserve">remains uncertain and </w:t>
      </w:r>
      <w:r w:rsidR="00CF6EEF" w:rsidRPr="00483EB6">
        <w:t xml:space="preserve">that </w:t>
      </w:r>
      <w:r w:rsidR="00E4757F" w:rsidRPr="00483EB6">
        <w:t xml:space="preserve">it would be </w:t>
      </w:r>
      <w:r w:rsidR="00A16681" w:rsidRPr="00483EB6">
        <w:t xml:space="preserve">informative </w:t>
      </w:r>
      <w:r w:rsidR="00E4757F" w:rsidRPr="00483EB6">
        <w:t xml:space="preserve">for the updated data to be included in the comparative analysis. </w:t>
      </w:r>
      <w:r w:rsidR="00D96007" w:rsidRPr="00483EB6">
        <w:t>The Pre-PBAC Response</w:t>
      </w:r>
      <w:r w:rsidR="00911B0B" w:rsidRPr="00483EB6">
        <w:t xml:space="preserve"> </w:t>
      </w:r>
      <w:r w:rsidR="00D96007" w:rsidRPr="00483EB6">
        <w:t xml:space="preserve">did not provide </w:t>
      </w:r>
      <w:r w:rsidR="00911B0B" w:rsidRPr="00483EB6">
        <w:t>a revised</w:t>
      </w:r>
      <w:r w:rsidR="00D96007" w:rsidRPr="00483EB6">
        <w:t xml:space="preserve"> comparative analysis </w:t>
      </w:r>
      <w:r w:rsidR="00911B0B" w:rsidRPr="00483EB6">
        <w:t xml:space="preserve">incorporating </w:t>
      </w:r>
      <w:r w:rsidR="00991CEA" w:rsidRPr="00483EB6">
        <w:t>updated</w:t>
      </w:r>
      <w:r w:rsidR="00911B0B" w:rsidRPr="00483EB6">
        <w:t xml:space="preserve"> survival data from the BLAST trial</w:t>
      </w:r>
      <w:r w:rsidR="00991CEA" w:rsidRPr="00483EB6">
        <w:t xml:space="preserve"> </w:t>
      </w:r>
      <w:r w:rsidR="001C0345" w:rsidRPr="00483EB6">
        <w:t xml:space="preserve">and contended </w:t>
      </w:r>
      <w:r w:rsidR="00991CEA" w:rsidRPr="00483EB6">
        <w:t xml:space="preserve">that given the consistency with earlier data, incorporating the updated survival data would </w:t>
      </w:r>
      <w:r w:rsidR="00703BEE" w:rsidRPr="00483EB6">
        <w:t xml:space="preserve">be </w:t>
      </w:r>
      <w:r w:rsidR="00991CEA" w:rsidRPr="00483EB6">
        <w:t xml:space="preserve">unlikely </w:t>
      </w:r>
      <w:r w:rsidR="00703BEE" w:rsidRPr="00483EB6">
        <w:t xml:space="preserve">to </w:t>
      </w:r>
      <w:r w:rsidR="00991CEA" w:rsidRPr="00483EB6">
        <w:t xml:space="preserve">change the results. </w:t>
      </w:r>
    </w:p>
    <w:p w:rsidR="00AA2C07" w:rsidRPr="00483EB6" w:rsidRDefault="00AA2C07" w:rsidP="00904FDE">
      <w:pPr>
        <w:pStyle w:val="ListParagraph"/>
        <w:spacing w:after="120"/>
      </w:pPr>
    </w:p>
    <w:p w:rsidR="00B60939" w:rsidRPr="00483EB6" w:rsidRDefault="00B60939" w:rsidP="00904FDE">
      <w:pPr>
        <w:pStyle w:val="Heading2"/>
        <w:keepNext/>
        <w:keepLines/>
        <w:spacing w:after="120"/>
      </w:pPr>
      <w:r w:rsidRPr="00483EB6">
        <w:lastRenderedPageBreak/>
        <w:t>Comparative harms</w:t>
      </w:r>
      <w:bookmarkEnd w:id="10"/>
    </w:p>
    <w:p w:rsidR="00B60939" w:rsidRPr="00483EB6" w:rsidRDefault="003B0807" w:rsidP="00904FDE">
      <w:pPr>
        <w:pStyle w:val="ListParagraph"/>
        <w:keepNext/>
        <w:keepLines/>
        <w:widowControl/>
        <w:numPr>
          <w:ilvl w:val="1"/>
          <w:numId w:val="3"/>
        </w:numPr>
        <w:spacing w:after="120"/>
      </w:pPr>
      <w:r w:rsidRPr="00483EB6">
        <w:t xml:space="preserve">No new clinical safety data </w:t>
      </w:r>
      <w:proofErr w:type="gramStart"/>
      <w:r w:rsidRPr="00483EB6">
        <w:t>were presented</w:t>
      </w:r>
      <w:proofErr w:type="gramEnd"/>
      <w:r w:rsidRPr="00483EB6">
        <w:t xml:space="preserve"> in addition to that considered by the </w:t>
      </w:r>
      <w:r w:rsidR="00C63D1A" w:rsidRPr="00483EB6">
        <w:t>PBAC</w:t>
      </w:r>
      <w:r w:rsidRPr="00483EB6">
        <w:t xml:space="preserve"> at the July 2018 meeting. Table 8 summarises the </w:t>
      </w:r>
      <w:r w:rsidR="004A419A" w:rsidRPr="00483EB6">
        <w:t xml:space="preserve">key treatment emergent adverse events </w:t>
      </w:r>
      <w:r w:rsidR="00BF08FE" w:rsidRPr="00483EB6">
        <w:t xml:space="preserve">for blinatumomab </w:t>
      </w:r>
      <w:r w:rsidR="008D56F5" w:rsidRPr="00483EB6">
        <w:t>in the BLAST and</w:t>
      </w:r>
      <w:r w:rsidR="004A419A" w:rsidRPr="00483EB6">
        <w:t xml:space="preserve"> MT103-202 </w:t>
      </w:r>
      <w:r w:rsidR="008D56F5" w:rsidRPr="00483EB6">
        <w:t xml:space="preserve">studies </w:t>
      </w:r>
      <w:r w:rsidR="00E32E20" w:rsidRPr="00483EB6">
        <w:t xml:space="preserve">in the </w:t>
      </w:r>
      <w:r w:rsidR="008D56F5" w:rsidRPr="00483EB6">
        <w:t xml:space="preserve">MRD setting </w:t>
      </w:r>
      <w:r w:rsidR="004A419A" w:rsidRPr="00483EB6">
        <w:t xml:space="preserve">and </w:t>
      </w:r>
      <w:r w:rsidR="008D56F5" w:rsidRPr="00483EB6">
        <w:t xml:space="preserve">comparative safety in the </w:t>
      </w:r>
      <w:r w:rsidR="004A419A" w:rsidRPr="00483EB6">
        <w:t xml:space="preserve">TOWER </w:t>
      </w:r>
      <w:r w:rsidR="008D56F5" w:rsidRPr="00483EB6">
        <w:t xml:space="preserve">study </w:t>
      </w:r>
      <w:r w:rsidR="00E32E20" w:rsidRPr="00483EB6">
        <w:t xml:space="preserve">in the </w:t>
      </w:r>
      <w:r w:rsidR="008D56F5" w:rsidRPr="00483EB6">
        <w:t>relapsed/refractory setting</w:t>
      </w:r>
      <w:r w:rsidR="004A419A" w:rsidRPr="00483EB6">
        <w:t>.</w:t>
      </w:r>
      <w:r w:rsidR="005E2A62" w:rsidRPr="00483EB6">
        <w:t xml:space="preserve"> </w:t>
      </w:r>
      <w:r w:rsidR="00BB1D45" w:rsidRPr="00483EB6">
        <w:t>As with the previous submission, n</w:t>
      </w:r>
      <w:r w:rsidR="005E2A62" w:rsidRPr="00483EB6">
        <w:t xml:space="preserve">o safety data were presented for standard of care chemotherapy </w:t>
      </w:r>
      <w:r w:rsidR="00BB1D45" w:rsidRPr="00483EB6">
        <w:t xml:space="preserve">in the </w:t>
      </w:r>
      <w:r w:rsidR="005E2A62" w:rsidRPr="00483EB6">
        <w:t xml:space="preserve">MRD </w:t>
      </w:r>
      <w:r w:rsidR="00BB1D45" w:rsidRPr="00483EB6">
        <w:t>setting</w:t>
      </w:r>
      <w:r w:rsidR="005E2A62" w:rsidRPr="00483EB6">
        <w:t>.</w:t>
      </w:r>
    </w:p>
    <w:p w:rsidR="004A419A" w:rsidRPr="00483EB6" w:rsidRDefault="004A419A" w:rsidP="004A419A">
      <w:pPr>
        <w:keepNext/>
        <w:keepLines/>
        <w:rPr>
          <w:rStyle w:val="CommentReference"/>
        </w:rPr>
      </w:pPr>
      <w:r w:rsidRPr="00483EB6">
        <w:rPr>
          <w:rStyle w:val="CommentReference"/>
        </w:rPr>
        <w:t>Table 8: Comparison of key treatment related adverse events</w:t>
      </w:r>
    </w:p>
    <w:tbl>
      <w:tblPr>
        <w:tblStyle w:val="ASDTable1"/>
        <w:tblW w:w="9066" w:type="dxa"/>
        <w:tblLayout w:type="fixed"/>
        <w:tblLook w:val="04A0" w:firstRow="1" w:lastRow="0" w:firstColumn="1" w:lastColumn="0" w:noHBand="0" w:noVBand="1"/>
        <w:tblCaption w:val="Table 8: Comparison of key treatment related adverse events"/>
      </w:tblPr>
      <w:tblGrid>
        <w:gridCol w:w="1464"/>
        <w:gridCol w:w="1295"/>
        <w:gridCol w:w="1252"/>
        <w:gridCol w:w="1218"/>
        <w:gridCol w:w="979"/>
        <w:gridCol w:w="1378"/>
        <w:gridCol w:w="1480"/>
      </w:tblGrid>
      <w:tr w:rsidR="004A419A" w:rsidRPr="00483EB6" w:rsidTr="00904FDE">
        <w:trPr>
          <w:trHeight w:val="102"/>
          <w:tblHeader/>
        </w:trPr>
        <w:tc>
          <w:tcPr>
            <w:tcW w:w="1464" w:type="dxa"/>
            <w:vMerge w:val="restart"/>
          </w:tcPr>
          <w:p w:rsidR="004A419A" w:rsidRPr="00483EB6" w:rsidRDefault="004A419A" w:rsidP="00001121">
            <w:pPr>
              <w:keepNext/>
              <w:keepLines/>
              <w:ind w:left="-64"/>
              <w:jc w:val="center"/>
              <w:rPr>
                <w:rFonts w:ascii="Arial Narrow" w:hAnsi="Arial Narrow"/>
                <w:b/>
                <w:sz w:val="20"/>
                <w:szCs w:val="20"/>
              </w:rPr>
            </w:pPr>
          </w:p>
        </w:tc>
        <w:tc>
          <w:tcPr>
            <w:tcW w:w="1295" w:type="dxa"/>
            <w:tcBorders>
              <w:right w:val="double" w:sz="4" w:space="0" w:color="auto"/>
            </w:tcBorders>
          </w:tcPr>
          <w:p w:rsidR="004A419A" w:rsidRPr="00483EB6" w:rsidRDefault="004A419A" w:rsidP="00001121">
            <w:pPr>
              <w:keepNext/>
              <w:keepLines/>
              <w:ind w:left="-109" w:right="-79"/>
              <w:jc w:val="center"/>
              <w:rPr>
                <w:rFonts w:ascii="Arial Narrow" w:hAnsi="Arial Narrow"/>
                <w:b/>
                <w:sz w:val="20"/>
                <w:szCs w:val="20"/>
              </w:rPr>
            </w:pPr>
            <w:r w:rsidRPr="00483EB6">
              <w:rPr>
                <w:rFonts w:ascii="Arial Narrow" w:hAnsi="Arial Narrow"/>
                <w:b/>
                <w:sz w:val="20"/>
                <w:szCs w:val="20"/>
              </w:rPr>
              <w:t>MT103-202</w:t>
            </w:r>
          </w:p>
        </w:tc>
        <w:tc>
          <w:tcPr>
            <w:tcW w:w="1252" w:type="dxa"/>
            <w:tcBorders>
              <w:right w:val="double" w:sz="4" w:space="0" w:color="auto"/>
            </w:tcBorders>
          </w:tcPr>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BLAST</w:t>
            </w:r>
          </w:p>
        </w:tc>
        <w:tc>
          <w:tcPr>
            <w:tcW w:w="5055" w:type="dxa"/>
            <w:gridSpan w:val="4"/>
            <w:tcBorders>
              <w:left w:val="double" w:sz="4" w:space="0" w:color="auto"/>
            </w:tcBorders>
          </w:tcPr>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TOWER (relapsed/refractory setting)</w:t>
            </w:r>
          </w:p>
        </w:tc>
      </w:tr>
      <w:tr w:rsidR="004A419A" w:rsidRPr="00483EB6" w:rsidTr="00904FDE">
        <w:trPr>
          <w:tblHeader/>
        </w:trPr>
        <w:tc>
          <w:tcPr>
            <w:tcW w:w="1464" w:type="dxa"/>
            <w:vMerge/>
          </w:tcPr>
          <w:p w:rsidR="004A419A" w:rsidRPr="00483EB6" w:rsidRDefault="004A419A" w:rsidP="00001121">
            <w:pPr>
              <w:keepNext/>
              <w:keepLines/>
              <w:ind w:left="-64"/>
              <w:jc w:val="center"/>
              <w:rPr>
                <w:rFonts w:ascii="Arial Narrow" w:hAnsi="Arial Narrow"/>
                <w:b/>
                <w:sz w:val="20"/>
                <w:szCs w:val="20"/>
              </w:rPr>
            </w:pPr>
          </w:p>
        </w:tc>
        <w:tc>
          <w:tcPr>
            <w:tcW w:w="1295" w:type="dxa"/>
            <w:vMerge w:val="restart"/>
            <w:tcBorders>
              <w:right w:val="double" w:sz="4" w:space="0" w:color="auto"/>
            </w:tcBorders>
            <w:vAlign w:val="center"/>
          </w:tcPr>
          <w:p w:rsidR="004A419A" w:rsidRPr="00483EB6" w:rsidRDefault="004A419A" w:rsidP="00001121">
            <w:pPr>
              <w:keepNext/>
              <w:keepLines/>
              <w:ind w:left="-109" w:right="-79"/>
              <w:jc w:val="center"/>
              <w:rPr>
                <w:rFonts w:ascii="Arial Narrow" w:hAnsi="Arial Narrow"/>
                <w:b/>
                <w:sz w:val="20"/>
                <w:szCs w:val="20"/>
              </w:rPr>
            </w:pPr>
            <w:r w:rsidRPr="00483EB6">
              <w:rPr>
                <w:rFonts w:ascii="Arial Narrow" w:hAnsi="Arial Narrow"/>
                <w:b/>
                <w:sz w:val="20"/>
                <w:szCs w:val="20"/>
              </w:rPr>
              <w:t>Blinatumomab</w:t>
            </w:r>
          </w:p>
          <w:p w:rsidR="004A419A" w:rsidRPr="00483EB6" w:rsidRDefault="004A419A" w:rsidP="00001121">
            <w:pPr>
              <w:keepNext/>
              <w:keepLines/>
              <w:ind w:left="-109" w:right="-79"/>
              <w:jc w:val="center"/>
              <w:rPr>
                <w:rFonts w:ascii="Arial Narrow" w:hAnsi="Arial Narrow"/>
                <w:b/>
                <w:sz w:val="20"/>
                <w:szCs w:val="20"/>
              </w:rPr>
            </w:pPr>
            <w:r w:rsidRPr="00483EB6">
              <w:rPr>
                <w:rFonts w:ascii="Arial Narrow" w:hAnsi="Arial Narrow"/>
                <w:b/>
                <w:sz w:val="20"/>
                <w:szCs w:val="20"/>
              </w:rPr>
              <w:t>(N=21)</w:t>
            </w:r>
          </w:p>
        </w:tc>
        <w:tc>
          <w:tcPr>
            <w:tcW w:w="1252" w:type="dxa"/>
            <w:vMerge w:val="restart"/>
            <w:tcBorders>
              <w:right w:val="double" w:sz="4" w:space="0" w:color="auto"/>
            </w:tcBorders>
            <w:vAlign w:val="center"/>
          </w:tcPr>
          <w:p w:rsidR="004A419A" w:rsidRPr="00483EB6" w:rsidRDefault="004A419A" w:rsidP="00001121">
            <w:pPr>
              <w:keepNext/>
              <w:keepLines/>
              <w:ind w:left="-109" w:right="-79"/>
              <w:jc w:val="center"/>
              <w:rPr>
                <w:rFonts w:ascii="Arial Narrow" w:hAnsi="Arial Narrow"/>
                <w:b/>
                <w:sz w:val="20"/>
                <w:szCs w:val="20"/>
              </w:rPr>
            </w:pPr>
            <w:r w:rsidRPr="00483EB6">
              <w:rPr>
                <w:rFonts w:ascii="Arial Narrow" w:hAnsi="Arial Narrow"/>
                <w:b/>
                <w:sz w:val="20"/>
                <w:szCs w:val="20"/>
              </w:rPr>
              <w:t>Blinatumomab</w:t>
            </w:r>
          </w:p>
          <w:p w:rsidR="004A419A" w:rsidRPr="00483EB6" w:rsidRDefault="004A419A" w:rsidP="00001121">
            <w:pPr>
              <w:keepNext/>
              <w:keepLines/>
              <w:ind w:left="-94" w:right="-79"/>
              <w:jc w:val="center"/>
              <w:rPr>
                <w:rFonts w:ascii="Arial Narrow" w:hAnsi="Arial Narrow"/>
                <w:b/>
                <w:sz w:val="20"/>
                <w:szCs w:val="20"/>
              </w:rPr>
            </w:pPr>
            <w:r w:rsidRPr="00483EB6">
              <w:rPr>
                <w:rFonts w:ascii="Arial Narrow" w:hAnsi="Arial Narrow"/>
                <w:b/>
                <w:sz w:val="20"/>
                <w:szCs w:val="20"/>
              </w:rPr>
              <w:t>(N=116)</w:t>
            </w:r>
          </w:p>
        </w:tc>
        <w:tc>
          <w:tcPr>
            <w:tcW w:w="1218" w:type="dxa"/>
            <w:vMerge w:val="restart"/>
            <w:tcBorders>
              <w:left w:val="double" w:sz="4" w:space="0" w:color="auto"/>
            </w:tcBorders>
            <w:vAlign w:val="center"/>
          </w:tcPr>
          <w:p w:rsidR="004A419A" w:rsidRPr="00483EB6" w:rsidRDefault="004A419A" w:rsidP="00001121">
            <w:pPr>
              <w:keepNext/>
              <w:keepLines/>
              <w:ind w:left="-92" w:right="-79"/>
              <w:jc w:val="center"/>
              <w:rPr>
                <w:rFonts w:ascii="Arial Narrow" w:hAnsi="Arial Narrow"/>
                <w:b/>
                <w:sz w:val="20"/>
                <w:szCs w:val="20"/>
                <w:vertAlign w:val="superscript"/>
              </w:rPr>
            </w:pPr>
            <w:r w:rsidRPr="00483EB6">
              <w:rPr>
                <w:rFonts w:ascii="Arial Narrow" w:hAnsi="Arial Narrow"/>
                <w:b/>
                <w:sz w:val="20"/>
                <w:szCs w:val="20"/>
              </w:rPr>
              <w:t>Blinatumomab</w:t>
            </w:r>
          </w:p>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(N=267)</w:t>
            </w:r>
          </w:p>
        </w:tc>
        <w:tc>
          <w:tcPr>
            <w:tcW w:w="979" w:type="dxa"/>
            <w:vMerge w:val="restart"/>
            <w:vAlign w:val="center"/>
          </w:tcPr>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 xml:space="preserve">SOC </w:t>
            </w:r>
          </w:p>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(N=109)</w:t>
            </w:r>
          </w:p>
        </w:tc>
        <w:tc>
          <w:tcPr>
            <w:tcW w:w="2858" w:type="dxa"/>
            <w:gridSpan w:val="2"/>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b/>
                <w:sz w:val="20"/>
                <w:szCs w:val="20"/>
              </w:rPr>
              <w:t xml:space="preserve">Blinatumomab vs SOC </w:t>
            </w:r>
          </w:p>
        </w:tc>
      </w:tr>
      <w:tr w:rsidR="004A419A" w:rsidRPr="00483EB6" w:rsidTr="00904FDE">
        <w:trPr>
          <w:trHeight w:val="311"/>
          <w:tblHeader/>
        </w:trPr>
        <w:tc>
          <w:tcPr>
            <w:tcW w:w="1464" w:type="dxa"/>
            <w:vMerge/>
            <w:tcBorders>
              <w:bottom w:val="single" w:sz="4" w:space="0" w:color="auto"/>
            </w:tcBorders>
          </w:tcPr>
          <w:p w:rsidR="004A419A" w:rsidRPr="00483EB6" w:rsidRDefault="004A419A" w:rsidP="00001121">
            <w:pPr>
              <w:keepNext/>
              <w:keepLines/>
              <w:ind w:left="-64"/>
              <w:rPr>
                <w:rFonts w:ascii="Arial Narrow" w:hAnsi="Arial Narrow"/>
                <w:b/>
                <w:sz w:val="20"/>
                <w:szCs w:val="20"/>
              </w:rPr>
            </w:pPr>
          </w:p>
        </w:tc>
        <w:tc>
          <w:tcPr>
            <w:tcW w:w="1295" w:type="dxa"/>
            <w:vMerge/>
            <w:tcBorders>
              <w:bottom w:val="single" w:sz="4" w:space="0" w:color="auto"/>
              <w:right w:val="double" w:sz="4" w:space="0" w:color="auto"/>
            </w:tcBorders>
            <w:vAlign w:val="center"/>
          </w:tcPr>
          <w:p w:rsidR="004A419A" w:rsidRPr="00483EB6" w:rsidRDefault="004A419A" w:rsidP="00001121">
            <w:pPr>
              <w:keepNext/>
              <w:keepLines/>
              <w:ind w:left="-109" w:right="-79"/>
              <w:jc w:val="center"/>
              <w:rPr>
                <w:rFonts w:ascii="Arial Narrow" w:hAnsi="Arial Narrow"/>
                <w:b/>
                <w:sz w:val="20"/>
                <w:szCs w:val="20"/>
              </w:rPr>
            </w:pPr>
          </w:p>
        </w:tc>
        <w:tc>
          <w:tcPr>
            <w:tcW w:w="1252" w:type="dxa"/>
            <w:vMerge/>
            <w:tcBorders>
              <w:bottom w:val="single" w:sz="4" w:space="0" w:color="auto"/>
              <w:right w:val="double" w:sz="4" w:space="0" w:color="auto"/>
            </w:tcBorders>
            <w:vAlign w:val="center"/>
          </w:tcPr>
          <w:p w:rsidR="004A419A" w:rsidRPr="00483EB6" w:rsidRDefault="004A419A" w:rsidP="00001121">
            <w:pPr>
              <w:keepNext/>
              <w:keepLines/>
              <w:ind w:left="-94" w:right="-79"/>
              <w:jc w:val="center"/>
              <w:rPr>
                <w:rFonts w:ascii="Arial Narrow" w:hAnsi="Arial Narrow"/>
                <w:b/>
                <w:sz w:val="20"/>
                <w:szCs w:val="20"/>
              </w:rPr>
            </w:pPr>
          </w:p>
        </w:tc>
        <w:tc>
          <w:tcPr>
            <w:tcW w:w="1218" w:type="dxa"/>
            <w:vMerge/>
            <w:tcBorders>
              <w:left w:val="double" w:sz="4" w:space="0" w:color="auto"/>
              <w:bottom w:val="single" w:sz="4" w:space="0" w:color="auto"/>
            </w:tcBorders>
            <w:vAlign w:val="center"/>
          </w:tcPr>
          <w:p w:rsidR="004A419A" w:rsidRPr="00483EB6" w:rsidRDefault="004A419A" w:rsidP="00001121">
            <w:pPr>
              <w:keepNext/>
              <w:keepLines/>
              <w:ind w:left="-59" w:right="-79"/>
              <w:jc w:val="center"/>
              <w:rPr>
                <w:rFonts w:ascii="Arial Narrow" w:hAnsi="Arial Narrow"/>
                <w:b/>
                <w:sz w:val="20"/>
                <w:szCs w:val="20"/>
              </w:rPr>
            </w:pPr>
          </w:p>
        </w:tc>
        <w:tc>
          <w:tcPr>
            <w:tcW w:w="979" w:type="dxa"/>
            <w:vMerge/>
            <w:tcBorders>
              <w:bottom w:val="single" w:sz="4" w:space="0" w:color="auto"/>
            </w:tcBorders>
            <w:vAlign w:val="center"/>
          </w:tcPr>
          <w:p w:rsidR="004A419A" w:rsidRPr="00483EB6" w:rsidRDefault="004A419A" w:rsidP="00001121">
            <w:pPr>
              <w:keepNext/>
              <w:keepLines/>
              <w:ind w:left="-59" w:right="-79"/>
              <w:jc w:val="center"/>
              <w:rPr>
                <w:rFonts w:ascii="Arial Narrow" w:hAnsi="Arial Narrow"/>
                <w:b/>
                <w:sz w:val="20"/>
                <w:szCs w:val="20"/>
              </w:rPr>
            </w:pPr>
          </w:p>
        </w:tc>
        <w:tc>
          <w:tcPr>
            <w:tcW w:w="1378" w:type="dxa"/>
            <w:tcBorders>
              <w:bottom w:val="single" w:sz="4" w:space="0" w:color="auto"/>
            </w:tcBorders>
          </w:tcPr>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Odds ratio</w:t>
            </w:r>
            <w:r w:rsidRPr="00483EB6">
              <w:rPr>
                <w:rFonts w:ascii="Arial Narrow" w:hAnsi="Arial Narrow"/>
                <w:b/>
                <w:sz w:val="20"/>
                <w:szCs w:val="20"/>
                <w:vertAlign w:val="superscript"/>
              </w:rPr>
              <w:t xml:space="preserve"> a</w:t>
            </w:r>
          </w:p>
          <w:p w:rsidR="004A419A" w:rsidRPr="00483EB6" w:rsidRDefault="004A419A" w:rsidP="00001121">
            <w:pPr>
              <w:keepNext/>
              <w:keepLines/>
              <w:ind w:left="-59" w:right="-79"/>
              <w:jc w:val="center"/>
              <w:rPr>
                <w:rFonts w:ascii="Arial Narrow" w:hAnsi="Arial Narrow"/>
                <w:b/>
                <w:sz w:val="20"/>
                <w:szCs w:val="20"/>
                <w:vertAlign w:val="superscript"/>
              </w:rPr>
            </w:pPr>
            <w:r w:rsidRPr="00483EB6">
              <w:rPr>
                <w:rFonts w:ascii="Arial Narrow" w:hAnsi="Arial Narrow"/>
                <w:b/>
                <w:sz w:val="20"/>
                <w:szCs w:val="20"/>
              </w:rPr>
              <w:t>(95% CI)</w:t>
            </w:r>
          </w:p>
        </w:tc>
        <w:tc>
          <w:tcPr>
            <w:tcW w:w="1480" w:type="dxa"/>
            <w:tcBorders>
              <w:bottom w:val="single" w:sz="4" w:space="0" w:color="auto"/>
            </w:tcBorders>
          </w:tcPr>
          <w:p w:rsidR="004A419A" w:rsidRPr="00483EB6" w:rsidRDefault="004A419A" w:rsidP="00001121">
            <w:pPr>
              <w:keepNext/>
              <w:keepLines/>
              <w:ind w:left="-59" w:right="-79"/>
              <w:jc w:val="center"/>
              <w:rPr>
                <w:rFonts w:ascii="Arial Narrow" w:hAnsi="Arial Narrow"/>
                <w:b/>
                <w:sz w:val="20"/>
                <w:szCs w:val="20"/>
              </w:rPr>
            </w:pPr>
            <w:r w:rsidRPr="00483EB6">
              <w:rPr>
                <w:rFonts w:ascii="Arial Narrow" w:hAnsi="Arial Narrow"/>
                <w:b/>
                <w:sz w:val="20"/>
                <w:szCs w:val="20"/>
              </w:rPr>
              <w:t>Risk difference</w:t>
            </w:r>
            <w:r w:rsidRPr="00483EB6">
              <w:rPr>
                <w:rFonts w:ascii="Arial Narrow" w:hAnsi="Arial Narrow"/>
                <w:b/>
                <w:sz w:val="20"/>
                <w:szCs w:val="20"/>
                <w:vertAlign w:val="superscript"/>
              </w:rPr>
              <w:t xml:space="preserve"> b</w:t>
            </w:r>
          </w:p>
          <w:p w:rsidR="004A419A" w:rsidRPr="00483EB6" w:rsidRDefault="004A419A" w:rsidP="00001121">
            <w:pPr>
              <w:keepNext/>
              <w:keepLines/>
              <w:ind w:left="-59" w:right="-79"/>
              <w:jc w:val="center"/>
              <w:rPr>
                <w:rFonts w:ascii="Arial Narrow" w:hAnsi="Arial Narrow"/>
                <w:b/>
                <w:sz w:val="20"/>
                <w:szCs w:val="20"/>
                <w:vertAlign w:val="superscript"/>
              </w:rPr>
            </w:pPr>
            <w:r w:rsidRPr="00483EB6">
              <w:rPr>
                <w:rFonts w:ascii="Arial Narrow" w:hAnsi="Arial Narrow"/>
                <w:b/>
                <w:sz w:val="20"/>
                <w:szCs w:val="20"/>
              </w:rPr>
              <w:t>(95% CI)</w:t>
            </w:r>
          </w:p>
        </w:tc>
      </w:tr>
      <w:tr w:rsidR="004A419A" w:rsidRPr="00483EB6" w:rsidTr="00904FDE">
        <w:trPr>
          <w:tblHeader/>
        </w:trPr>
        <w:tc>
          <w:tcPr>
            <w:tcW w:w="9066" w:type="dxa"/>
            <w:gridSpan w:val="7"/>
          </w:tcPr>
          <w:p w:rsidR="004A419A" w:rsidRPr="00483EB6" w:rsidRDefault="004A419A" w:rsidP="00001121">
            <w:pPr>
              <w:keepNext/>
              <w:keepLines/>
              <w:ind w:left="-64" w:right="-79"/>
              <w:jc w:val="left"/>
              <w:rPr>
                <w:rFonts w:ascii="Arial Narrow" w:hAnsi="Arial Narrow"/>
                <w:b/>
                <w:sz w:val="20"/>
                <w:szCs w:val="20"/>
              </w:rPr>
            </w:pPr>
            <w:r w:rsidRPr="00483EB6">
              <w:rPr>
                <w:rFonts w:ascii="Arial Narrow" w:hAnsi="Arial Narrow"/>
                <w:b/>
                <w:sz w:val="20"/>
                <w:szCs w:val="20"/>
              </w:rPr>
              <w:t>Treatment-related adverse event n (%)</w:t>
            </w:r>
          </w:p>
        </w:tc>
      </w:tr>
      <w:tr w:rsidR="004A419A" w:rsidRPr="00483EB6" w:rsidTr="00904FDE">
        <w:trPr>
          <w:tblHeader/>
        </w:trPr>
        <w:tc>
          <w:tcPr>
            <w:tcW w:w="1464" w:type="dxa"/>
            <w:tcBorders>
              <w:top w:val="single" w:sz="4" w:space="0" w:color="auto"/>
              <w:left w:val="single" w:sz="4" w:space="0" w:color="auto"/>
              <w:bottom w:val="single" w:sz="4" w:space="0" w:color="auto"/>
              <w:right w:val="single" w:sz="4" w:space="0" w:color="auto"/>
            </w:tcBorders>
            <w:shd w:val="clear" w:color="auto" w:fill="auto"/>
          </w:tcPr>
          <w:p w:rsidR="004A419A" w:rsidRPr="00483EB6" w:rsidRDefault="004A419A" w:rsidP="00001121">
            <w:pPr>
              <w:keepNext/>
              <w:keepLines/>
              <w:ind w:left="-64" w:right="-73"/>
              <w:jc w:val="left"/>
              <w:rPr>
                <w:rFonts w:ascii="Arial Narrow" w:hAnsi="Arial Narrow"/>
                <w:sz w:val="20"/>
                <w:szCs w:val="20"/>
              </w:rPr>
            </w:pPr>
            <w:r w:rsidRPr="00483EB6">
              <w:rPr>
                <w:rFonts w:ascii="Arial Narrow" w:hAnsi="Arial Narrow"/>
                <w:sz w:val="20"/>
                <w:szCs w:val="20"/>
              </w:rPr>
              <w:t>Any adverse event</w:t>
            </w:r>
          </w:p>
        </w:tc>
        <w:tc>
          <w:tcPr>
            <w:tcW w:w="1295"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21/21 (100%)</w:t>
            </w:r>
          </w:p>
        </w:tc>
        <w:tc>
          <w:tcPr>
            <w:tcW w:w="1252" w:type="dxa"/>
            <w:tcBorders>
              <w:top w:val="single" w:sz="4" w:space="0" w:color="auto"/>
              <w:left w:val="single" w:sz="4" w:space="0" w:color="auto"/>
              <w:bottom w:val="single" w:sz="4" w:space="0" w:color="auto"/>
              <w:right w:val="doub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112 (96.6%)</w:t>
            </w:r>
          </w:p>
        </w:tc>
        <w:tc>
          <w:tcPr>
            <w:tcW w:w="1218" w:type="dxa"/>
            <w:tcBorders>
              <w:top w:val="single" w:sz="4" w:space="0" w:color="auto"/>
              <w:left w:val="double" w:sz="4" w:space="0" w:color="auto"/>
              <w:bottom w:val="single" w:sz="4" w:space="0" w:color="auto"/>
              <w:right w:val="sing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214 (80.2%)</w:t>
            </w:r>
          </w:p>
        </w:tc>
        <w:tc>
          <w:tcPr>
            <w:tcW w:w="979" w:type="dxa"/>
            <w:tcBorders>
              <w:top w:val="single" w:sz="4" w:space="0" w:color="auto"/>
              <w:left w:val="nil"/>
              <w:bottom w:val="single" w:sz="4" w:space="0" w:color="auto"/>
              <w:right w:val="sing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92 (84.4%)</w:t>
            </w:r>
          </w:p>
        </w:tc>
        <w:tc>
          <w:tcPr>
            <w:tcW w:w="1378" w:type="dxa"/>
            <w:tcBorders>
              <w:top w:val="single" w:sz="4" w:space="0" w:color="auto"/>
              <w:left w:val="nil"/>
              <w:bottom w:val="single" w:sz="4" w:space="0" w:color="auto"/>
              <w:right w:val="single" w:sz="4" w:space="0" w:color="auto"/>
            </w:tcBorders>
          </w:tcPr>
          <w:p w:rsidR="004A419A" w:rsidRPr="00483EB6" w:rsidRDefault="004A419A" w:rsidP="00001121">
            <w:pPr>
              <w:keepNext/>
              <w:keepLines/>
              <w:ind w:left="-101" w:right="-114"/>
              <w:jc w:val="center"/>
              <w:rPr>
                <w:rFonts w:ascii="Arial Narrow" w:hAnsi="Arial Narrow"/>
                <w:sz w:val="20"/>
                <w:szCs w:val="20"/>
              </w:rPr>
            </w:pPr>
            <w:r w:rsidRPr="00483EB6">
              <w:rPr>
                <w:rFonts w:ascii="Arial Narrow" w:hAnsi="Arial Narrow"/>
                <w:sz w:val="20"/>
                <w:szCs w:val="20"/>
              </w:rPr>
              <w:t>0.75 (0.41, 1.36)</w:t>
            </w:r>
          </w:p>
        </w:tc>
        <w:tc>
          <w:tcPr>
            <w:tcW w:w="1480" w:type="dxa"/>
            <w:tcBorders>
              <w:top w:val="single" w:sz="4" w:space="0" w:color="auto"/>
              <w:left w:val="nil"/>
              <w:bottom w:val="single" w:sz="4" w:space="0" w:color="auto"/>
              <w:right w:val="single" w:sz="4" w:space="0" w:color="auto"/>
            </w:tcBorders>
          </w:tcPr>
          <w:p w:rsidR="004A419A" w:rsidRPr="00483EB6" w:rsidRDefault="004A419A" w:rsidP="00001121">
            <w:pPr>
              <w:keepNext/>
              <w:keepLines/>
              <w:ind w:left="-101" w:right="-114"/>
              <w:jc w:val="center"/>
              <w:rPr>
                <w:rFonts w:ascii="Arial Narrow" w:hAnsi="Arial Narrow"/>
                <w:sz w:val="20"/>
                <w:szCs w:val="20"/>
              </w:rPr>
            </w:pPr>
            <w:r w:rsidRPr="00483EB6">
              <w:rPr>
                <w:rFonts w:ascii="Arial Narrow" w:hAnsi="Arial Narrow"/>
                <w:sz w:val="20"/>
                <w:szCs w:val="20"/>
              </w:rPr>
              <w:t>-0.04 (-0.13, 0.04)</w:t>
            </w:r>
          </w:p>
        </w:tc>
      </w:tr>
      <w:tr w:rsidR="004A419A" w:rsidRPr="00483EB6" w:rsidTr="00904FDE">
        <w:trPr>
          <w:tblHeader/>
        </w:trPr>
        <w:tc>
          <w:tcPr>
            <w:tcW w:w="1464" w:type="dxa"/>
            <w:tcBorders>
              <w:top w:val="nil"/>
              <w:left w:val="single" w:sz="4" w:space="0" w:color="auto"/>
              <w:bottom w:val="single" w:sz="4" w:space="0" w:color="auto"/>
              <w:right w:val="single" w:sz="4" w:space="0" w:color="auto"/>
            </w:tcBorders>
            <w:shd w:val="clear" w:color="auto" w:fill="auto"/>
          </w:tcPr>
          <w:p w:rsidR="004A419A" w:rsidRPr="00483EB6" w:rsidRDefault="004A419A" w:rsidP="00001121">
            <w:pPr>
              <w:keepNext/>
              <w:keepLines/>
              <w:ind w:left="-64" w:right="-73"/>
              <w:jc w:val="left"/>
              <w:rPr>
                <w:rFonts w:ascii="Arial Narrow" w:hAnsi="Arial Narrow"/>
                <w:sz w:val="20"/>
                <w:szCs w:val="20"/>
              </w:rPr>
            </w:pPr>
            <w:r w:rsidRPr="00483EB6">
              <w:rPr>
                <w:rFonts w:ascii="Arial Narrow" w:hAnsi="Arial Narrow"/>
                <w:sz w:val="20"/>
                <w:szCs w:val="20"/>
              </w:rPr>
              <w:t>SAE</w:t>
            </w:r>
          </w:p>
        </w:tc>
        <w:tc>
          <w:tcPr>
            <w:tcW w:w="1295"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9/21 (42.9%)</w:t>
            </w:r>
          </w:p>
        </w:tc>
        <w:tc>
          <w:tcPr>
            <w:tcW w:w="1252" w:type="dxa"/>
            <w:tcBorders>
              <w:top w:val="single" w:sz="4" w:space="0" w:color="auto"/>
              <w:left w:val="single" w:sz="4" w:space="0" w:color="auto"/>
              <w:bottom w:val="single" w:sz="4" w:space="0" w:color="auto"/>
              <w:right w:val="doub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60 (51.7%)</w:t>
            </w:r>
          </w:p>
        </w:tc>
        <w:tc>
          <w:tcPr>
            <w:tcW w:w="1218" w:type="dxa"/>
            <w:tcBorders>
              <w:top w:val="nil"/>
              <w:left w:val="double" w:sz="4" w:space="0" w:color="auto"/>
              <w:bottom w:val="single" w:sz="4" w:space="0" w:color="auto"/>
              <w:right w:val="sing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76 (28.5%)</w:t>
            </w:r>
          </w:p>
        </w:tc>
        <w:tc>
          <w:tcPr>
            <w:tcW w:w="979" w:type="dxa"/>
            <w:tcBorders>
              <w:top w:val="nil"/>
              <w:left w:val="nil"/>
              <w:bottom w:val="single" w:sz="4" w:space="0" w:color="auto"/>
              <w:right w:val="single" w:sz="4" w:space="0" w:color="auto"/>
            </w:tcBorders>
            <w:shd w:val="clear" w:color="auto" w:fill="auto"/>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34 (31.2%)</w:t>
            </w:r>
          </w:p>
        </w:tc>
        <w:tc>
          <w:tcPr>
            <w:tcW w:w="1378" w:type="dxa"/>
            <w:tcBorders>
              <w:top w:val="nil"/>
              <w:left w:val="nil"/>
              <w:bottom w:val="single" w:sz="4" w:space="0" w:color="auto"/>
              <w:right w:val="single" w:sz="4" w:space="0" w:color="auto"/>
            </w:tcBorders>
          </w:tcPr>
          <w:p w:rsidR="004A419A" w:rsidRPr="00483EB6" w:rsidRDefault="004A419A" w:rsidP="00001121">
            <w:pPr>
              <w:keepNext/>
              <w:keepLines/>
              <w:ind w:left="-101" w:right="-114"/>
              <w:jc w:val="center"/>
              <w:rPr>
                <w:rFonts w:ascii="Arial Narrow" w:hAnsi="Arial Narrow"/>
                <w:sz w:val="20"/>
                <w:szCs w:val="20"/>
              </w:rPr>
            </w:pPr>
            <w:r w:rsidRPr="00483EB6">
              <w:rPr>
                <w:rFonts w:ascii="Arial Narrow" w:hAnsi="Arial Narrow"/>
                <w:sz w:val="20"/>
                <w:szCs w:val="20"/>
              </w:rPr>
              <w:t>0.88 (0.54, 1.43)</w:t>
            </w:r>
          </w:p>
        </w:tc>
        <w:tc>
          <w:tcPr>
            <w:tcW w:w="1480" w:type="dxa"/>
            <w:tcBorders>
              <w:top w:val="nil"/>
              <w:left w:val="nil"/>
              <w:bottom w:val="single" w:sz="4" w:space="0" w:color="auto"/>
              <w:right w:val="single" w:sz="4" w:space="0" w:color="auto"/>
            </w:tcBorders>
          </w:tcPr>
          <w:p w:rsidR="004A419A" w:rsidRPr="00483EB6" w:rsidRDefault="004A419A" w:rsidP="00001121">
            <w:pPr>
              <w:keepNext/>
              <w:keepLines/>
              <w:ind w:left="-101" w:right="-114"/>
              <w:jc w:val="center"/>
              <w:rPr>
                <w:rFonts w:ascii="Arial Narrow" w:hAnsi="Arial Narrow"/>
                <w:sz w:val="20"/>
                <w:szCs w:val="20"/>
              </w:rPr>
            </w:pPr>
            <w:r w:rsidRPr="00483EB6">
              <w:rPr>
                <w:rFonts w:ascii="Arial Narrow" w:hAnsi="Arial Narrow"/>
                <w:sz w:val="20"/>
                <w:szCs w:val="20"/>
              </w:rPr>
              <w:t>-0.03 (-0.13, 0.08)</w:t>
            </w:r>
          </w:p>
        </w:tc>
      </w:tr>
      <w:tr w:rsidR="004A419A" w:rsidRPr="00483EB6" w:rsidTr="00904FDE">
        <w:trPr>
          <w:tblHeader/>
        </w:trPr>
        <w:tc>
          <w:tcPr>
            <w:tcW w:w="1464" w:type="dxa"/>
            <w:tcBorders>
              <w:top w:val="nil"/>
              <w:left w:val="single" w:sz="4" w:space="0" w:color="auto"/>
              <w:bottom w:val="single" w:sz="4" w:space="0" w:color="auto"/>
              <w:right w:val="single" w:sz="4" w:space="0" w:color="auto"/>
            </w:tcBorders>
            <w:shd w:val="clear" w:color="auto" w:fill="auto"/>
          </w:tcPr>
          <w:p w:rsidR="004A419A" w:rsidRPr="00483EB6" w:rsidRDefault="004A419A" w:rsidP="00001121">
            <w:pPr>
              <w:ind w:left="-64" w:right="-73"/>
              <w:jc w:val="left"/>
              <w:rPr>
                <w:rFonts w:ascii="Arial Narrow" w:hAnsi="Arial Narrow"/>
                <w:sz w:val="20"/>
                <w:szCs w:val="20"/>
              </w:rPr>
            </w:pPr>
            <w:r w:rsidRPr="00483EB6">
              <w:rPr>
                <w:rFonts w:ascii="Arial Narrow" w:hAnsi="Arial Narrow"/>
                <w:sz w:val="20"/>
                <w:szCs w:val="20"/>
              </w:rPr>
              <w:t>Grade ≥3</w:t>
            </w:r>
          </w:p>
        </w:tc>
        <w:tc>
          <w:tcPr>
            <w:tcW w:w="1295"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13/21 (61.9%)</w:t>
            </w:r>
          </w:p>
        </w:tc>
        <w:tc>
          <w:tcPr>
            <w:tcW w:w="1252" w:type="dxa"/>
            <w:tcBorders>
              <w:top w:val="single" w:sz="4" w:space="0" w:color="auto"/>
              <w:left w:val="single" w:sz="4" w:space="0" w:color="auto"/>
              <w:bottom w:val="single" w:sz="4" w:space="0" w:color="auto"/>
              <w:right w:val="doub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60 (51.7%)</w:t>
            </w:r>
          </w:p>
        </w:tc>
        <w:tc>
          <w:tcPr>
            <w:tcW w:w="1218" w:type="dxa"/>
            <w:tcBorders>
              <w:top w:val="nil"/>
              <w:left w:val="double" w:sz="4" w:space="0" w:color="auto"/>
              <w:bottom w:val="single" w:sz="4" w:space="0" w:color="auto"/>
              <w:right w:val="sing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144 (53.9%)</w:t>
            </w:r>
          </w:p>
        </w:tc>
        <w:tc>
          <w:tcPr>
            <w:tcW w:w="979" w:type="dxa"/>
            <w:tcBorders>
              <w:top w:val="nil"/>
              <w:left w:val="nil"/>
              <w:bottom w:val="single" w:sz="4" w:space="0" w:color="auto"/>
              <w:right w:val="sing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78 (71.6%)</w:t>
            </w:r>
          </w:p>
        </w:tc>
        <w:tc>
          <w:tcPr>
            <w:tcW w:w="1378" w:type="dxa"/>
            <w:tcBorders>
              <w:top w:val="nil"/>
              <w:left w:val="nil"/>
              <w:bottom w:val="single" w:sz="4" w:space="0" w:color="auto"/>
              <w:right w:val="single" w:sz="4" w:space="0" w:color="auto"/>
            </w:tcBorders>
          </w:tcPr>
          <w:p w:rsidR="004A419A" w:rsidRPr="00483EB6" w:rsidRDefault="004A419A" w:rsidP="00001121">
            <w:pPr>
              <w:ind w:left="-101" w:right="-114"/>
              <w:jc w:val="center"/>
              <w:rPr>
                <w:rFonts w:ascii="Arial Narrow" w:hAnsi="Arial Narrow"/>
                <w:b/>
                <w:sz w:val="20"/>
                <w:szCs w:val="20"/>
              </w:rPr>
            </w:pPr>
            <w:r w:rsidRPr="00483EB6">
              <w:rPr>
                <w:rFonts w:ascii="Arial Narrow" w:hAnsi="Arial Narrow"/>
                <w:b/>
                <w:sz w:val="20"/>
                <w:szCs w:val="20"/>
              </w:rPr>
              <w:t>0.47 (0.29, 0.75)</w:t>
            </w:r>
          </w:p>
        </w:tc>
        <w:tc>
          <w:tcPr>
            <w:tcW w:w="1480" w:type="dxa"/>
            <w:tcBorders>
              <w:top w:val="nil"/>
              <w:left w:val="nil"/>
              <w:bottom w:val="single" w:sz="4" w:space="0" w:color="auto"/>
              <w:right w:val="single" w:sz="4" w:space="0" w:color="auto"/>
            </w:tcBorders>
          </w:tcPr>
          <w:p w:rsidR="004A419A" w:rsidRPr="00483EB6" w:rsidRDefault="004A419A" w:rsidP="00001121">
            <w:pPr>
              <w:ind w:left="-101" w:right="-114"/>
              <w:jc w:val="center"/>
              <w:rPr>
                <w:rFonts w:ascii="Arial Narrow" w:hAnsi="Arial Narrow"/>
                <w:b/>
                <w:sz w:val="20"/>
                <w:szCs w:val="20"/>
              </w:rPr>
            </w:pPr>
            <w:r w:rsidRPr="00483EB6">
              <w:rPr>
                <w:rFonts w:ascii="Arial Narrow" w:hAnsi="Arial Narrow"/>
                <w:b/>
                <w:sz w:val="20"/>
                <w:szCs w:val="20"/>
              </w:rPr>
              <w:t>-0.18 (-0.28, -0.07)</w:t>
            </w:r>
          </w:p>
        </w:tc>
      </w:tr>
      <w:tr w:rsidR="004A419A" w:rsidRPr="00483EB6" w:rsidTr="00904FDE">
        <w:trPr>
          <w:tblHeader/>
        </w:trPr>
        <w:tc>
          <w:tcPr>
            <w:tcW w:w="1464" w:type="dxa"/>
            <w:tcBorders>
              <w:top w:val="nil"/>
              <w:left w:val="single" w:sz="4" w:space="0" w:color="auto"/>
              <w:bottom w:val="single" w:sz="4" w:space="0" w:color="auto"/>
              <w:right w:val="single" w:sz="4" w:space="0" w:color="auto"/>
            </w:tcBorders>
            <w:shd w:val="clear" w:color="auto" w:fill="auto"/>
          </w:tcPr>
          <w:p w:rsidR="004A419A" w:rsidRPr="00483EB6" w:rsidRDefault="004A419A" w:rsidP="00001121">
            <w:pPr>
              <w:ind w:left="-64" w:right="-73"/>
              <w:jc w:val="left"/>
              <w:rPr>
                <w:rFonts w:ascii="Arial Narrow" w:hAnsi="Arial Narrow"/>
                <w:sz w:val="20"/>
                <w:szCs w:val="20"/>
              </w:rPr>
            </w:pPr>
            <w:r w:rsidRPr="00483EB6">
              <w:rPr>
                <w:rFonts w:ascii="Arial Narrow" w:hAnsi="Arial Narrow"/>
                <w:sz w:val="20"/>
                <w:szCs w:val="20"/>
              </w:rPr>
              <w:t>Grade ≥4</w:t>
            </w:r>
          </w:p>
        </w:tc>
        <w:tc>
          <w:tcPr>
            <w:tcW w:w="1295"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6/21 (28.6%)</w:t>
            </w:r>
          </w:p>
        </w:tc>
        <w:tc>
          <w:tcPr>
            <w:tcW w:w="1252" w:type="dxa"/>
            <w:tcBorders>
              <w:top w:val="single" w:sz="4" w:space="0" w:color="auto"/>
              <w:left w:val="single" w:sz="4" w:space="0" w:color="auto"/>
              <w:bottom w:val="single" w:sz="4" w:space="0" w:color="auto"/>
              <w:right w:val="doub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26 (22.4%)</w:t>
            </w:r>
          </w:p>
        </w:tc>
        <w:tc>
          <w:tcPr>
            <w:tcW w:w="1218" w:type="dxa"/>
            <w:tcBorders>
              <w:top w:val="nil"/>
              <w:left w:val="double" w:sz="4" w:space="0" w:color="auto"/>
              <w:bottom w:val="single" w:sz="4" w:space="0" w:color="auto"/>
              <w:right w:val="sing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59 (22.1%)</w:t>
            </w:r>
          </w:p>
        </w:tc>
        <w:tc>
          <w:tcPr>
            <w:tcW w:w="979" w:type="dxa"/>
            <w:tcBorders>
              <w:top w:val="nil"/>
              <w:left w:val="nil"/>
              <w:bottom w:val="single" w:sz="4" w:space="0" w:color="auto"/>
              <w:right w:val="single" w:sz="4" w:space="0" w:color="auto"/>
            </w:tcBorders>
            <w:shd w:val="clear" w:color="auto" w:fill="auto"/>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51 (46.8%)</w:t>
            </w:r>
          </w:p>
        </w:tc>
        <w:tc>
          <w:tcPr>
            <w:tcW w:w="1378" w:type="dxa"/>
            <w:tcBorders>
              <w:top w:val="nil"/>
              <w:left w:val="nil"/>
              <w:bottom w:val="single" w:sz="4" w:space="0" w:color="auto"/>
              <w:right w:val="single" w:sz="4" w:space="0" w:color="auto"/>
            </w:tcBorders>
          </w:tcPr>
          <w:p w:rsidR="004A419A" w:rsidRPr="00483EB6" w:rsidRDefault="004A419A" w:rsidP="00001121">
            <w:pPr>
              <w:ind w:left="-101" w:right="-114"/>
              <w:jc w:val="center"/>
              <w:rPr>
                <w:rFonts w:ascii="Arial Narrow" w:hAnsi="Arial Narrow"/>
                <w:b/>
                <w:sz w:val="20"/>
                <w:szCs w:val="20"/>
              </w:rPr>
            </w:pPr>
            <w:r w:rsidRPr="00483EB6">
              <w:rPr>
                <w:rFonts w:ascii="Arial Narrow" w:hAnsi="Arial Narrow"/>
                <w:b/>
                <w:sz w:val="20"/>
                <w:szCs w:val="20"/>
              </w:rPr>
              <w:t>0.32 (0.20, 0.52)</w:t>
            </w:r>
          </w:p>
        </w:tc>
        <w:tc>
          <w:tcPr>
            <w:tcW w:w="1480" w:type="dxa"/>
            <w:tcBorders>
              <w:top w:val="nil"/>
              <w:left w:val="nil"/>
              <w:bottom w:val="single" w:sz="4" w:space="0" w:color="auto"/>
              <w:right w:val="single" w:sz="4" w:space="0" w:color="auto"/>
            </w:tcBorders>
          </w:tcPr>
          <w:p w:rsidR="004A419A" w:rsidRPr="00483EB6" w:rsidRDefault="004A419A" w:rsidP="00001121">
            <w:pPr>
              <w:ind w:left="-101" w:right="-114"/>
              <w:jc w:val="center"/>
              <w:rPr>
                <w:rFonts w:ascii="Arial Narrow" w:hAnsi="Arial Narrow"/>
                <w:b/>
                <w:sz w:val="20"/>
                <w:szCs w:val="20"/>
              </w:rPr>
            </w:pPr>
            <w:r w:rsidRPr="00483EB6">
              <w:rPr>
                <w:rFonts w:ascii="Arial Narrow" w:hAnsi="Arial Narrow"/>
                <w:b/>
                <w:sz w:val="20"/>
                <w:szCs w:val="20"/>
              </w:rPr>
              <w:t>-0.25 (-0.35, -0.14)</w:t>
            </w:r>
          </w:p>
        </w:tc>
      </w:tr>
      <w:tr w:rsidR="004A419A" w:rsidRPr="00483EB6" w:rsidTr="00904FDE">
        <w:trPr>
          <w:tblHeader/>
        </w:trPr>
        <w:tc>
          <w:tcPr>
            <w:tcW w:w="1464" w:type="dxa"/>
            <w:tcBorders>
              <w:top w:val="nil"/>
              <w:left w:val="single" w:sz="4" w:space="0" w:color="auto"/>
              <w:bottom w:val="single" w:sz="4" w:space="0" w:color="auto"/>
              <w:right w:val="single" w:sz="4" w:space="0" w:color="auto"/>
            </w:tcBorders>
            <w:shd w:val="clear" w:color="auto" w:fill="auto"/>
          </w:tcPr>
          <w:p w:rsidR="004A419A" w:rsidRPr="00483EB6" w:rsidRDefault="004A419A" w:rsidP="00001121">
            <w:pPr>
              <w:ind w:left="-64" w:right="-73"/>
              <w:jc w:val="left"/>
              <w:rPr>
                <w:rFonts w:ascii="Arial Narrow" w:hAnsi="Arial Narrow"/>
                <w:sz w:val="20"/>
                <w:szCs w:val="20"/>
              </w:rPr>
            </w:pPr>
            <w:r w:rsidRPr="00483EB6">
              <w:rPr>
                <w:rFonts w:ascii="Arial Narrow" w:hAnsi="Arial Narrow"/>
                <w:sz w:val="20"/>
                <w:szCs w:val="20"/>
              </w:rPr>
              <w:t>Fatal AE within 30 days of treatment</w:t>
            </w:r>
          </w:p>
        </w:tc>
        <w:tc>
          <w:tcPr>
            <w:tcW w:w="1295"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keepNext/>
              <w:keepLines/>
              <w:ind w:left="-59" w:right="-79"/>
              <w:jc w:val="center"/>
              <w:rPr>
                <w:rFonts w:ascii="Arial Narrow" w:hAnsi="Arial Narrow"/>
                <w:sz w:val="20"/>
                <w:szCs w:val="20"/>
              </w:rPr>
            </w:pPr>
            <w:r w:rsidRPr="00483EB6">
              <w:rPr>
                <w:rFonts w:ascii="Arial Narrow" w:hAnsi="Arial Narrow"/>
                <w:sz w:val="20"/>
                <w:szCs w:val="20"/>
              </w:rPr>
              <w:t>0/21</w:t>
            </w:r>
          </w:p>
        </w:tc>
        <w:tc>
          <w:tcPr>
            <w:tcW w:w="1252" w:type="dxa"/>
            <w:tcBorders>
              <w:top w:val="single" w:sz="4" w:space="0" w:color="auto"/>
              <w:left w:val="single" w:sz="4" w:space="0" w:color="auto"/>
              <w:bottom w:val="single" w:sz="4" w:space="0" w:color="auto"/>
              <w:right w:val="double" w:sz="4" w:space="0" w:color="auto"/>
            </w:tcBorders>
            <w:shd w:val="clear" w:color="auto" w:fill="auto"/>
            <w:vAlign w:val="center"/>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1 (0.9%)</w:t>
            </w:r>
          </w:p>
        </w:tc>
        <w:tc>
          <w:tcPr>
            <w:tcW w:w="1218" w:type="dxa"/>
            <w:tcBorders>
              <w:top w:val="nil"/>
              <w:left w:val="double" w:sz="4" w:space="0" w:color="auto"/>
              <w:bottom w:val="single" w:sz="4" w:space="0" w:color="auto"/>
              <w:right w:val="single" w:sz="4" w:space="0" w:color="auto"/>
            </w:tcBorders>
            <w:shd w:val="clear" w:color="auto" w:fill="auto"/>
            <w:vAlign w:val="center"/>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8 (3.00%)</w:t>
            </w:r>
          </w:p>
        </w:tc>
        <w:tc>
          <w:tcPr>
            <w:tcW w:w="979" w:type="dxa"/>
            <w:tcBorders>
              <w:top w:val="nil"/>
              <w:left w:val="nil"/>
              <w:bottom w:val="single" w:sz="4" w:space="0" w:color="auto"/>
              <w:right w:val="single" w:sz="4" w:space="0" w:color="auto"/>
            </w:tcBorders>
            <w:shd w:val="clear" w:color="auto" w:fill="auto"/>
            <w:vAlign w:val="center"/>
          </w:tcPr>
          <w:p w:rsidR="004A419A" w:rsidRPr="00483EB6" w:rsidRDefault="004A419A" w:rsidP="00001121">
            <w:pPr>
              <w:ind w:left="-59" w:right="-79"/>
              <w:jc w:val="center"/>
              <w:rPr>
                <w:rFonts w:ascii="Arial Narrow" w:hAnsi="Arial Narrow"/>
                <w:sz w:val="20"/>
                <w:szCs w:val="20"/>
              </w:rPr>
            </w:pPr>
            <w:r w:rsidRPr="00483EB6">
              <w:rPr>
                <w:rFonts w:ascii="Arial Narrow" w:hAnsi="Arial Narrow"/>
                <w:sz w:val="20"/>
                <w:szCs w:val="20"/>
              </w:rPr>
              <w:t>8 (7.3%)</w:t>
            </w:r>
          </w:p>
        </w:tc>
        <w:tc>
          <w:tcPr>
            <w:tcW w:w="1378" w:type="dxa"/>
            <w:tcBorders>
              <w:top w:val="nil"/>
              <w:left w:val="nil"/>
              <w:bottom w:val="single" w:sz="4" w:space="0" w:color="auto"/>
              <w:right w:val="single" w:sz="4" w:space="0" w:color="auto"/>
            </w:tcBorders>
            <w:vAlign w:val="center"/>
          </w:tcPr>
          <w:p w:rsidR="004A419A" w:rsidRPr="00483EB6" w:rsidRDefault="004A419A" w:rsidP="00001121">
            <w:pPr>
              <w:ind w:left="-101" w:right="-114"/>
              <w:jc w:val="center"/>
              <w:rPr>
                <w:rFonts w:ascii="Arial Narrow" w:hAnsi="Arial Narrow"/>
                <w:sz w:val="20"/>
                <w:szCs w:val="20"/>
              </w:rPr>
            </w:pPr>
            <w:r w:rsidRPr="00483EB6">
              <w:rPr>
                <w:rFonts w:ascii="Arial Narrow" w:hAnsi="Arial Narrow"/>
                <w:sz w:val="20"/>
                <w:szCs w:val="20"/>
              </w:rPr>
              <w:t>0.39 (0.14, 1.07)</w:t>
            </w:r>
          </w:p>
        </w:tc>
        <w:tc>
          <w:tcPr>
            <w:tcW w:w="1480" w:type="dxa"/>
            <w:tcBorders>
              <w:top w:val="nil"/>
              <w:left w:val="nil"/>
              <w:bottom w:val="single" w:sz="4" w:space="0" w:color="auto"/>
              <w:right w:val="single" w:sz="4" w:space="0" w:color="auto"/>
            </w:tcBorders>
            <w:vAlign w:val="center"/>
          </w:tcPr>
          <w:p w:rsidR="004A419A" w:rsidRPr="00483EB6" w:rsidRDefault="004A419A" w:rsidP="00001121">
            <w:pPr>
              <w:ind w:left="-101" w:right="-114"/>
              <w:jc w:val="center"/>
              <w:rPr>
                <w:rFonts w:ascii="Arial Narrow" w:hAnsi="Arial Narrow"/>
                <w:sz w:val="20"/>
                <w:szCs w:val="20"/>
              </w:rPr>
            </w:pPr>
            <w:r w:rsidRPr="00483EB6">
              <w:rPr>
                <w:rFonts w:ascii="Arial Narrow" w:hAnsi="Arial Narrow"/>
                <w:sz w:val="20"/>
                <w:szCs w:val="20"/>
              </w:rPr>
              <w:t>-0.04 (-0.10, 0.01)</w:t>
            </w:r>
          </w:p>
        </w:tc>
      </w:tr>
    </w:tbl>
    <w:p w:rsidR="004A419A" w:rsidRPr="00483EB6" w:rsidRDefault="004A419A" w:rsidP="004A419A">
      <w:pPr>
        <w:pStyle w:val="Tablefootnote"/>
        <w:keepNext w:val="0"/>
        <w:keepLines w:val="0"/>
        <w:widowControl w:val="0"/>
        <w:jc w:val="both"/>
        <w:rPr>
          <w:szCs w:val="18"/>
        </w:rPr>
      </w:pPr>
      <w:r w:rsidRPr="00483EB6">
        <w:rPr>
          <w:szCs w:val="18"/>
        </w:rPr>
        <w:t>Source: Table 22, p.70 of the resubmission.</w:t>
      </w:r>
    </w:p>
    <w:p w:rsidR="004A419A" w:rsidRPr="00483EB6" w:rsidRDefault="004A419A" w:rsidP="004A419A">
      <w:pPr>
        <w:pStyle w:val="Tablefootnote"/>
        <w:keepNext w:val="0"/>
        <w:keepLines w:val="0"/>
        <w:widowControl w:val="0"/>
        <w:jc w:val="both"/>
        <w:rPr>
          <w:szCs w:val="18"/>
        </w:rPr>
      </w:pPr>
      <w:r w:rsidRPr="00483EB6">
        <w:rPr>
          <w:szCs w:val="18"/>
        </w:rPr>
        <w:t>Abbreviations: AE, adverse event; MRD, minimal residual disease; R/R, relapse refractory; SAE, serious adverse events; SOC, standard of care chemotherapy.</w:t>
      </w:r>
    </w:p>
    <w:p w:rsidR="004A419A" w:rsidRPr="00483EB6" w:rsidRDefault="004A419A" w:rsidP="004A419A">
      <w:pPr>
        <w:pStyle w:val="Tablefootnote"/>
        <w:keepNext w:val="0"/>
        <w:keepLines w:val="0"/>
        <w:widowControl w:val="0"/>
        <w:spacing w:after="0"/>
        <w:jc w:val="both"/>
        <w:rPr>
          <w:szCs w:val="18"/>
        </w:rPr>
      </w:pPr>
      <w:proofErr w:type="gramStart"/>
      <w:r w:rsidRPr="00483EB6">
        <w:rPr>
          <w:szCs w:val="18"/>
          <w:vertAlign w:val="superscript"/>
        </w:rPr>
        <w:t>a</w:t>
      </w:r>
      <w:proofErr w:type="gramEnd"/>
      <w:r w:rsidRPr="00483EB6">
        <w:rPr>
          <w:szCs w:val="18"/>
        </w:rPr>
        <w:t xml:space="preserve"> Results &lt;1 favours blinatumomab. </w:t>
      </w:r>
      <w:proofErr w:type="gramStart"/>
      <w:r w:rsidRPr="00483EB6">
        <w:rPr>
          <w:szCs w:val="18"/>
          <w:vertAlign w:val="superscript"/>
        </w:rPr>
        <w:t>b</w:t>
      </w:r>
      <w:proofErr w:type="gramEnd"/>
      <w:r w:rsidRPr="00483EB6">
        <w:rPr>
          <w:szCs w:val="18"/>
        </w:rPr>
        <w:t xml:space="preserve"> Results &lt;0 favours blinatumomab. Statistically significant result in bold.</w:t>
      </w:r>
    </w:p>
    <w:p w:rsidR="004A419A" w:rsidRPr="00483EB6" w:rsidRDefault="004A419A" w:rsidP="00904FDE">
      <w:pPr>
        <w:pStyle w:val="ListParagraph"/>
        <w:widowControl/>
        <w:numPr>
          <w:ilvl w:val="1"/>
          <w:numId w:val="3"/>
        </w:numPr>
        <w:spacing w:before="120" w:after="120"/>
      </w:pPr>
      <w:r w:rsidRPr="00483EB6">
        <w:t xml:space="preserve">Treatment emergent adverse events </w:t>
      </w:r>
      <w:proofErr w:type="gramStart"/>
      <w:r w:rsidRPr="00483EB6">
        <w:t>were reported</w:t>
      </w:r>
      <w:proofErr w:type="gramEnd"/>
      <w:r w:rsidRPr="00483EB6">
        <w:t xml:space="preserve"> in 97% of patients in the </w:t>
      </w:r>
      <w:r w:rsidR="006E6C53" w:rsidRPr="00483EB6">
        <w:t xml:space="preserve">BLAST </w:t>
      </w:r>
      <w:r w:rsidR="00017F48" w:rsidRPr="00483EB6">
        <w:t>study</w:t>
      </w:r>
      <w:r w:rsidRPr="00483EB6">
        <w:t xml:space="preserve">, with </w:t>
      </w:r>
      <w:r w:rsidR="006E6C53" w:rsidRPr="00483EB6">
        <w:t xml:space="preserve">a </w:t>
      </w:r>
      <w:r w:rsidRPr="00483EB6">
        <w:t>substantial proportion of patients reporting serious treatment emergent adverse events (51.7%), Grade ≥3 events (</w:t>
      </w:r>
      <w:r w:rsidR="00B454F5" w:rsidRPr="00483EB6">
        <w:t>51.7</w:t>
      </w:r>
      <w:r w:rsidRPr="00483EB6">
        <w:t>%) and Grade ≥4 events (</w:t>
      </w:r>
      <w:r w:rsidR="00B454F5" w:rsidRPr="00483EB6">
        <w:t>22.4</w:t>
      </w:r>
      <w:r w:rsidRPr="00483EB6">
        <w:t>%). The most frequently reported adverse events were pyrexia, headache, tremor, chills and fatigue. The most frequently reported Grade ≥3 events were neutropenia (13%) and pyrexia (7%).</w:t>
      </w:r>
    </w:p>
    <w:p w:rsidR="00C63D1A" w:rsidRPr="00483EB6" w:rsidRDefault="00C63D1A" w:rsidP="00904FDE">
      <w:pPr>
        <w:pStyle w:val="ListParagraph"/>
        <w:widowControl/>
        <w:numPr>
          <w:ilvl w:val="1"/>
          <w:numId w:val="3"/>
        </w:numPr>
        <w:spacing w:before="120" w:after="120"/>
      </w:pPr>
      <w:r w:rsidRPr="00483EB6">
        <w:t xml:space="preserve">Important risks associated with blinatumomab identified in the expanded assessment of harms include neurologic events, infections, cytokine release syndrome, infusion reactions, tumour lysis syndrome, capillary leak syndrome, elevated liver enzymes, medication errors, febrile neutropenia and neutropenia and decreased immunoglobulin. The blinatumomab product information includes a boxed warning regarding cytokine release syndrome and neurological toxicities, which may be severe, </w:t>
      </w:r>
      <w:r w:rsidR="00483EB6" w:rsidRPr="00483EB6">
        <w:t>life threatening</w:t>
      </w:r>
      <w:r w:rsidRPr="00483EB6">
        <w:t>, or fatal, and reactivation of JC viral infection.</w:t>
      </w:r>
    </w:p>
    <w:p w:rsidR="004A419A" w:rsidRPr="00483EB6" w:rsidRDefault="004A419A" w:rsidP="00904FDE">
      <w:pPr>
        <w:pStyle w:val="ListParagraph"/>
        <w:widowControl/>
        <w:numPr>
          <w:ilvl w:val="1"/>
          <w:numId w:val="3"/>
        </w:numPr>
        <w:spacing w:before="120" w:after="120"/>
        <w:rPr>
          <w:rStyle w:val="CommentReference"/>
          <w:rFonts w:ascii="Calibri" w:hAnsi="Calibri"/>
          <w:b w:val="0"/>
          <w:sz w:val="24"/>
          <w:szCs w:val="22"/>
        </w:rPr>
      </w:pPr>
      <w:r w:rsidRPr="00483EB6">
        <w:t>At the July 2018 meeting the PBAC considered that the comparative safety outcomes from the relapsed/refractory setting are unlikely to reflect circumstances of use in the MRD population (longer blinatumomab treatment length, less fit patients, more aggressive chemotherapy regimens)</w:t>
      </w:r>
      <w:r w:rsidR="006E6C53" w:rsidRPr="00483EB6">
        <w:t xml:space="preserve"> </w:t>
      </w:r>
      <w:r w:rsidR="004073FA" w:rsidRPr="00483EB6">
        <w:t xml:space="preserve">and that safety data for the intended population would have been more informative </w:t>
      </w:r>
      <w:r w:rsidR="006E6C53" w:rsidRPr="00483EB6">
        <w:t>(Blinatumomab PSD July 2018 para 7.13)</w:t>
      </w:r>
      <w:r w:rsidRPr="00483EB6">
        <w:t>.</w:t>
      </w:r>
      <w:r w:rsidR="008D56F5" w:rsidRPr="00483EB6">
        <w:t xml:space="preserve"> </w:t>
      </w:r>
      <w:r w:rsidR="00C06DEA" w:rsidRPr="00483EB6">
        <w:t xml:space="preserve">The PBAC considered that </w:t>
      </w:r>
      <w:r w:rsidR="00C06DEA" w:rsidRPr="00483EB6">
        <w:rPr>
          <w:rFonts w:asciiTheme="minorHAnsi" w:hAnsiTheme="minorHAnsi"/>
          <w:bCs/>
          <w:szCs w:val="24"/>
        </w:rPr>
        <w:t>blinatumomab and standard of care chemotherapy have different safety profiles, with both therapies being associated with potentially life-threatening complications (Blinatumomab PSD July 2018, para 7.14). Overall, t</w:t>
      </w:r>
      <w:r w:rsidR="008D56F5" w:rsidRPr="00483EB6">
        <w:t>he</w:t>
      </w:r>
      <w:r w:rsidR="004073FA" w:rsidRPr="00483EB6">
        <w:t xml:space="preserve"> </w:t>
      </w:r>
      <w:r w:rsidR="004073FA" w:rsidRPr="00483EB6">
        <w:lastRenderedPageBreak/>
        <w:t>PBAC considered the</w:t>
      </w:r>
      <w:r w:rsidR="008D56F5" w:rsidRPr="00483EB6">
        <w:t xml:space="preserve"> claim of non-inferior safety was not adequately supported by the data (Blinatumomab PSD July 2018, para 6.50).</w:t>
      </w:r>
      <w:r w:rsidR="00B454F5" w:rsidRPr="00483EB6">
        <w:t xml:space="preserve"> </w:t>
      </w:r>
    </w:p>
    <w:p w:rsidR="004151CF" w:rsidRPr="00483EB6" w:rsidRDefault="007F1017" w:rsidP="00904FDE">
      <w:pPr>
        <w:pStyle w:val="Heading2"/>
        <w:spacing w:before="120" w:after="120"/>
      </w:pPr>
      <w:bookmarkStart w:id="11" w:name="_Toc536013899"/>
      <w:r w:rsidRPr="00483EB6">
        <w:t>Benefits/harms</w:t>
      </w:r>
      <w:bookmarkEnd w:id="11"/>
    </w:p>
    <w:p w:rsidR="0048363D" w:rsidRPr="00483EB6" w:rsidRDefault="0048363D" w:rsidP="00904FDE">
      <w:pPr>
        <w:pStyle w:val="ListParagraph"/>
        <w:widowControl/>
        <w:numPr>
          <w:ilvl w:val="1"/>
          <w:numId w:val="3"/>
        </w:numPr>
        <w:spacing w:before="120" w:after="120"/>
      </w:pPr>
      <w:r w:rsidRPr="00483EB6">
        <w:t xml:space="preserve">The benefits and harms presented in the resubmission are unchanged from the July 2018 submission. </w:t>
      </w:r>
    </w:p>
    <w:p w:rsidR="0048363D" w:rsidRPr="00483EB6" w:rsidRDefault="00483EB6" w:rsidP="00904FDE">
      <w:pPr>
        <w:pStyle w:val="ListParagraph"/>
        <w:widowControl/>
        <w:numPr>
          <w:ilvl w:val="1"/>
          <w:numId w:val="3"/>
        </w:numPr>
        <w:spacing w:before="120" w:after="120"/>
      </w:pPr>
      <w:r w:rsidRPr="00483EB6">
        <w:t>Based on</w:t>
      </w:r>
      <w:r w:rsidR="0048363D" w:rsidRPr="00483EB6">
        <w:t xml:space="preserve"> indirect evidence presented in the submission in the </w:t>
      </w:r>
      <w:r w:rsidR="00651EAD" w:rsidRPr="00483EB6">
        <w:t xml:space="preserve">ATE </w:t>
      </w:r>
      <w:r w:rsidR="0048363D" w:rsidRPr="00483EB6">
        <w:t>propensity score analysis, treatment with blinatumomab was associated with an increase in median relapse free survival of 26.9 months and no difference in overall survival compared with standard of care chemotherapy.</w:t>
      </w:r>
    </w:p>
    <w:p w:rsidR="007F1017" w:rsidRPr="00483EB6" w:rsidRDefault="0048363D" w:rsidP="00904FDE">
      <w:pPr>
        <w:pStyle w:val="ListParagraph"/>
        <w:widowControl/>
        <w:numPr>
          <w:ilvl w:val="1"/>
          <w:numId w:val="3"/>
        </w:numPr>
        <w:spacing w:before="120" w:after="120"/>
      </w:pPr>
      <w:r w:rsidRPr="00483EB6">
        <w:t>No data were presented in the submission comparing adverse events associated with blinatumomab and standard of care chemotherapy in the MRD positive population.</w:t>
      </w:r>
    </w:p>
    <w:p w:rsidR="00B60939" w:rsidRPr="00483EB6" w:rsidRDefault="00B60939" w:rsidP="00904FDE">
      <w:pPr>
        <w:pStyle w:val="Heading2"/>
        <w:spacing w:before="120" w:after="120"/>
      </w:pPr>
      <w:bookmarkStart w:id="12" w:name="_Toc536013900"/>
      <w:r w:rsidRPr="00483EB6">
        <w:t>Clinical claim</w:t>
      </w:r>
      <w:bookmarkEnd w:id="12"/>
    </w:p>
    <w:p w:rsidR="0048363D" w:rsidRPr="00483EB6" w:rsidRDefault="0048363D" w:rsidP="00904FDE">
      <w:pPr>
        <w:pStyle w:val="ListParagraph"/>
        <w:widowControl/>
        <w:numPr>
          <w:ilvl w:val="1"/>
          <w:numId w:val="3"/>
        </w:numPr>
        <w:spacing w:before="120" w:after="120"/>
      </w:pPr>
      <w:r w:rsidRPr="00483EB6">
        <w:t xml:space="preserve">The clinical claim in the resubmission </w:t>
      </w:r>
      <w:r w:rsidR="00426B86" w:rsidRPr="00483EB6">
        <w:t>wa</w:t>
      </w:r>
      <w:r w:rsidRPr="00483EB6">
        <w:t xml:space="preserve">s unchanged from the July 2018 submission. </w:t>
      </w:r>
    </w:p>
    <w:p w:rsidR="00B60939" w:rsidRPr="00483EB6" w:rsidRDefault="0048363D" w:rsidP="00904FDE">
      <w:pPr>
        <w:pStyle w:val="ListParagraph"/>
        <w:widowControl/>
        <w:numPr>
          <w:ilvl w:val="1"/>
          <w:numId w:val="3"/>
        </w:numPr>
        <w:spacing w:before="120" w:after="120"/>
      </w:pPr>
      <w:r w:rsidRPr="00483EB6">
        <w:t>The resubmission described blinatumomab as superior in terms of effectiveness compared with standard of care chemotherapy (post induction</w:t>
      </w:r>
      <w:r w:rsidR="00E4757F" w:rsidRPr="00483EB6">
        <w:t xml:space="preserve"> </w:t>
      </w:r>
      <w:r w:rsidR="00E4757F" w:rsidRPr="00483EB6">
        <w:rPr>
          <w:i/>
        </w:rPr>
        <w:t>consolidation</w:t>
      </w:r>
      <w:r w:rsidRPr="00483EB6">
        <w:t xml:space="preserve">) and non-inferior in terms of safety, in the treatment of B-ALL in haematological complete remission with minimal residual disease. </w:t>
      </w:r>
    </w:p>
    <w:p w:rsidR="008D56F5" w:rsidRPr="00483EB6" w:rsidRDefault="008D56F5" w:rsidP="00904FDE">
      <w:pPr>
        <w:pStyle w:val="ListParagraph"/>
        <w:widowControl/>
        <w:numPr>
          <w:ilvl w:val="1"/>
          <w:numId w:val="3"/>
        </w:numPr>
        <w:spacing w:before="120" w:after="120"/>
      </w:pPr>
      <w:r w:rsidRPr="00483EB6">
        <w:t>The</w:t>
      </w:r>
      <w:r w:rsidR="007C79B7" w:rsidRPr="00483EB6">
        <w:t xml:space="preserve"> ESC considered </w:t>
      </w:r>
      <w:r w:rsidR="00AD4E34" w:rsidRPr="00483EB6">
        <w:t xml:space="preserve">that although </w:t>
      </w:r>
      <w:r w:rsidR="007C79B7" w:rsidRPr="00483EB6">
        <w:t>the</w:t>
      </w:r>
      <w:r w:rsidRPr="00483EB6">
        <w:t xml:space="preserve"> therapeutic conclusion presented in the resubmission is supported </w:t>
      </w:r>
      <w:r w:rsidR="00AD4E34" w:rsidRPr="00483EB6">
        <w:t>by the evidence presented</w:t>
      </w:r>
      <w:r w:rsidR="007C79B7" w:rsidRPr="00483EB6">
        <w:t xml:space="preserve">, the </w:t>
      </w:r>
      <w:r w:rsidR="00AD4E34" w:rsidRPr="00483EB6">
        <w:t>extent</w:t>
      </w:r>
      <w:r w:rsidR="007C79B7" w:rsidRPr="00483EB6">
        <w:t xml:space="preserve"> of benefit remains uncertain </w:t>
      </w:r>
      <w:r w:rsidR="00CF6EEF" w:rsidRPr="00483EB6">
        <w:t>for</w:t>
      </w:r>
      <w:r w:rsidR="007C79B7" w:rsidRPr="00483EB6">
        <w:t xml:space="preserve"> the following</w:t>
      </w:r>
      <w:r w:rsidR="00ED5415" w:rsidRPr="00483EB6">
        <w:t xml:space="preserve"> reasons</w:t>
      </w:r>
      <w:r w:rsidRPr="00483EB6">
        <w:t>:</w:t>
      </w:r>
    </w:p>
    <w:p w:rsidR="00311AE9" w:rsidRPr="00483EB6" w:rsidRDefault="002125E0" w:rsidP="00904FDE">
      <w:pPr>
        <w:pStyle w:val="ListParagraph"/>
        <w:widowControl/>
        <w:numPr>
          <w:ilvl w:val="0"/>
          <w:numId w:val="2"/>
        </w:numPr>
        <w:spacing w:before="120" w:after="120"/>
        <w:ind w:left="1106" w:hanging="386"/>
      </w:pPr>
      <w:r w:rsidRPr="00483EB6">
        <w:t xml:space="preserve">While updated clinical evidence from the </w:t>
      </w:r>
      <w:r w:rsidR="00ED5415" w:rsidRPr="00483EB6">
        <w:t xml:space="preserve">single-arm </w:t>
      </w:r>
      <w:r w:rsidRPr="00483EB6">
        <w:t xml:space="preserve">BLAST study </w:t>
      </w:r>
      <w:r w:rsidR="00311AE9" w:rsidRPr="00483EB6">
        <w:t>provides a clearer indication</w:t>
      </w:r>
      <w:r w:rsidRPr="00483EB6">
        <w:t xml:space="preserve"> that blinatumomab may be associated with </w:t>
      </w:r>
      <w:r w:rsidR="00ED5415" w:rsidRPr="00483EB6">
        <w:t>an</w:t>
      </w:r>
      <w:r w:rsidRPr="00483EB6">
        <w:t xml:space="preserve"> overall survival</w:t>
      </w:r>
      <w:r w:rsidR="00ED5415" w:rsidRPr="00483EB6">
        <w:t xml:space="preserve"> advantage</w:t>
      </w:r>
      <w:r w:rsidRPr="00483EB6">
        <w:t xml:space="preserve">, </w:t>
      </w:r>
      <w:r w:rsidR="00311AE9" w:rsidRPr="00483EB6">
        <w:t xml:space="preserve">the data remain immature in the context of </w:t>
      </w:r>
      <w:r w:rsidR="00ED5415" w:rsidRPr="00483EB6">
        <w:t xml:space="preserve">determining whether </w:t>
      </w:r>
      <w:r w:rsidR="001C5301" w:rsidRPr="00483EB6">
        <w:t xml:space="preserve">blinatumomab will lead to </w:t>
      </w:r>
      <w:r w:rsidR="00ED5415" w:rsidRPr="00483EB6">
        <w:t>long-term gain</w:t>
      </w:r>
      <w:r w:rsidR="001C5301" w:rsidRPr="00483EB6">
        <w:t>s</w:t>
      </w:r>
      <w:r w:rsidR="00ED5415" w:rsidRPr="00483EB6">
        <w:t xml:space="preserve"> in </w:t>
      </w:r>
      <w:r w:rsidR="00311AE9" w:rsidRPr="00483EB6">
        <w:t>overall survival</w:t>
      </w:r>
      <w:r w:rsidR="001C5301" w:rsidRPr="00483EB6">
        <w:t>.</w:t>
      </w:r>
    </w:p>
    <w:p w:rsidR="008D56F5" w:rsidRPr="00483EB6" w:rsidRDefault="00ED5415" w:rsidP="00904FDE">
      <w:pPr>
        <w:pStyle w:val="ListParagraph"/>
        <w:widowControl/>
        <w:numPr>
          <w:ilvl w:val="0"/>
          <w:numId w:val="2"/>
        </w:numPr>
        <w:spacing w:before="120" w:after="120"/>
        <w:ind w:left="1106" w:hanging="386"/>
      </w:pPr>
      <w:r w:rsidRPr="00483EB6">
        <w:t xml:space="preserve">The ESC noted that no new comparative </w:t>
      </w:r>
      <w:r w:rsidR="001C5301" w:rsidRPr="00483EB6">
        <w:t xml:space="preserve">evidence was provided </w:t>
      </w:r>
      <w:r w:rsidRPr="00483EB6">
        <w:t xml:space="preserve">and recalled that the PBAC had previously considered that the clinical evidence did not adequately support an improvement in overall survival for patients treated with blinatumomab compared to those treated with standard of care chemotherapy, or adequately quantify the magnitude of benefit demonstrated in relapsed free survival (Blinatumomab PSD July 2018 para 6.47). </w:t>
      </w:r>
      <w:r w:rsidR="00A16681" w:rsidRPr="00483EB6">
        <w:t xml:space="preserve">The ESC considered that the magnitude of </w:t>
      </w:r>
      <w:r w:rsidRPr="00483EB6">
        <w:t xml:space="preserve">the incremental </w:t>
      </w:r>
      <w:r w:rsidR="00A16681" w:rsidRPr="00483EB6">
        <w:t xml:space="preserve">benefit remains uncertain and it would be informative for the updated </w:t>
      </w:r>
      <w:r w:rsidRPr="00483EB6">
        <w:t xml:space="preserve">OS </w:t>
      </w:r>
      <w:r w:rsidR="00A16681" w:rsidRPr="00483EB6">
        <w:t>data to be included in the comparative analysis</w:t>
      </w:r>
      <w:r w:rsidRPr="00483EB6">
        <w:t xml:space="preserve"> (</w:t>
      </w:r>
      <w:r w:rsidR="006A3FDB" w:rsidRPr="00483EB6">
        <w:t xml:space="preserve">i.e. </w:t>
      </w:r>
      <w:r w:rsidRPr="00483EB6">
        <w:t xml:space="preserve">the ATE propensity score analysis). </w:t>
      </w:r>
    </w:p>
    <w:p w:rsidR="008D56F5" w:rsidRPr="00483EB6" w:rsidRDefault="008D56F5" w:rsidP="00904FDE">
      <w:pPr>
        <w:pStyle w:val="ListParagraph"/>
        <w:widowControl/>
        <w:numPr>
          <w:ilvl w:val="0"/>
          <w:numId w:val="2"/>
        </w:numPr>
        <w:spacing w:before="120" w:after="120"/>
        <w:ind w:left="1106" w:hanging="386"/>
      </w:pPr>
      <w:r w:rsidRPr="00483EB6">
        <w:t>The resubmission did not adequately address the issues of concern raised by the PBAC at the July 2018 meeting (i.e. the high risk of bias in the propensity score analysis, the potential of confounding variables</w:t>
      </w:r>
      <w:r w:rsidR="00540E05" w:rsidRPr="00483EB6">
        <w:t xml:space="preserve"> not accounted for</w:t>
      </w:r>
      <w:r w:rsidRPr="00483EB6">
        <w:t>, substantial data loss</w:t>
      </w:r>
      <w:r w:rsidR="00540E05" w:rsidRPr="00483EB6">
        <w:t xml:space="preserve"> due to adjustments to improve between study comparability</w:t>
      </w:r>
      <w:r w:rsidRPr="00483EB6">
        <w:t xml:space="preserve"> (particularly in the ATT analysis) and the applicability of the matched population remaining in the propensity score analysis to the proposed Australian population).</w:t>
      </w:r>
      <w:r w:rsidR="0057742D" w:rsidRPr="00483EB6">
        <w:t xml:space="preserve"> </w:t>
      </w:r>
      <w:r w:rsidR="0057742D" w:rsidRPr="00483EB6">
        <w:lastRenderedPageBreak/>
        <w:t>It also remains unclear whether the results of the standard care arm are applicable to Australian clinical practice, given the age of the study</w:t>
      </w:r>
      <w:r w:rsidR="00CF6EEF" w:rsidRPr="00483EB6">
        <w:t xml:space="preserve"> </w:t>
      </w:r>
      <w:r w:rsidR="00C85E05" w:rsidRPr="00483EB6">
        <w:t>(</w:t>
      </w:r>
      <w:r w:rsidR="00CF6EEF" w:rsidRPr="00483EB6">
        <w:t>most patients were treated between 2000 and 2010</w:t>
      </w:r>
      <w:r w:rsidR="00C85E05" w:rsidRPr="00483EB6">
        <w:t>, and there have been improvements in supportive care since this time</w:t>
      </w:r>
      <w:r w:rsidR="00CF6EEF" w:rsidRPr="00483EB6">
        <w:t>).</w:t>
      </w:r>
    </w:p>
    <w:p w:rsidR="0048363D" w:rsidRPr="00483EB6" w:rsidRDefault="008D56F5" w:rsidP="00904FDE">
      <w:pPr>
        <w:pStyle w:val="ListParagraph"/>
        <w:widowControl/>
        <w:numPr>
          <w:ilvl w:val="0"/>
          <w:numId w:val="2"/>
        </w:numPr>
        <w:spacing w:before="120" w:after="120"/>
        <w:ind w:left="1106" w:hanging="386"/>
      </w:pPr>
      <w:r w:rsidRPr="00483EB6">
        <w:t xml:space="preserve">No comparative adverse event data for the MRD setting were provided in the resubmission. </w:t>
      </w:r>
      <w:r w:rsidR="00C63D1A" w:rsidRPr="00483EB6">
        <w:t>At the July 2018 meeting, the PBAC considered that t</w:t>
      </w:r>
      <w:r w:rsidRPr="00483EB6">
        <w:t xml:space="preserve">he clinical evidence did not adequately support the claim that blinatumomab </w:t>
      </w:r>
      <w:r w:rsidR="007A7EA2" w:rsidRPr="00483EB6">
        <w:t>is</w:t>
      </w:r>
      <w:r w:rsidRPr="00483EB6">
        <w:t xml:space="preserve"> non</w:t>
      </w:r>
      <w:r w:rsidR="00996803" w:rsidRPr="00483EB6">
        <w:t>-</w:t>
      </w:r>
      <w:r w:rsidRPr="00483EB6">
        <w:t>inferior to standard of care c</w:t>
      </w:r>
      <w:r w:rsidR="00C63D1A" w:rsidRPr="00483EB6">
        <w:t>hemotherapy in the MRD setting.</w:t>
      </w:r>
    </w:p>
    <w:p w:rsidR="00227B41" w:rsidRPr="00483EB6" w:rsidRDefault="00227B41" w:rsidP="00904FDE">
      <w:pPr>
        <w:pStyle w:val="ListParagraph"/>
        <w:widowControl/>
        <w:numPr>
          <w:ilvl w:val="0"/>
          <w:numId w:val="2"/>
        </w:numPr>
        <w:spacing w:before="120" w:after="120"/>
        <w:ind w:left="1106" w:hanging="386"/>
      </w:pPr>
      <w:r w:rsidRPr="00483EB6">
        <w:t xml:space="preserve">The ESC considered that the claim of non-inferior comparative safety was not adequately supported by the data. </w:t>
      </w:r>
    </w:p>
    <w:p w:rsidR="006859E9" w:rsidRPr="00483EB6" w:rsidRDefault="00D9379D" w:rsidP="00904FDE">
      <w:pPr>
        <w:pStyle w:val="ListParagraph"/>
        <w:widowControl/>
        <w:numPr>
          <w:ilvl w:val="1"/>
          <w:numId w:val="3"/>
        </w:numPr>
        <w:spacing w:before="120" w:after="120"/>
        <w:ind w:left="810" w:hanging="810"/>
        <w:rPr>
          <w:rFonts w:asciiTheme="minorHAnsi" w:hAnsiTheme="minorHAnsi"/>
          <w:szCs w:val="20"/>
        </w:rPr>
      </w:pPr>
      <w:r w:rsidRPr="00483EB6">
        <w:rPr>
          <w:rFonts w:asciiTheme="minorHAnsi" w:hAnsiTheme="minorHAnsi"/>
          <w:szCs w:val="20"/>
        </w:rPr>
        <w:t>The PBAC reiterated its previous consideration that blinatumomab is effective in eliminating MRD and is associated with durable relapse-free survival. As such, t</w:t>
      </w:r>
      <w:r w:rsidR="006859E9" w:rsidRPr="00483EB6">
        <w:rPr>
          <w:rFonts w:asciiTheme="minorHAnsi" w:hAnsiTheme="minorHAnsi"/>
          <w:szCs w:val="20"/>
        </w:rPr>
        <w:t xml:space="preserve">he PBAC considered that the claim of </w:t>
      </w:r>
      <w:r w:rsidR="00D045C8" w:rsidRPr="00483EB6">
        <w:rPr>
          <w:rFonts w:asciiTheme="minorHAnsi" w:hAnsiTheme="minorHAnsi"/>
          <w:szCs w:val="20"/>
        </w:rPr>
        <w:t>superior comparative effectiveness was adequately supported by the data.</w:t>
      </w:r>
    </w:p>
    <w:p w:rsidR="008D56F5" w:rsidRPr="00711F99" w:rsidRDefault="00D045C8" w:rsidP="00904FDE">
      <w:pPr>
        <w:pStyle w:val="ListParagraph"/>
        <w:widowControl/>
        <w:numPr>
          <w:ilvl w:val="1"/>
          <w:numId w:val="3"/>
        </w:numPr>
        <w:spacing w:before="120" w:after="120"/>
        <w:ind w:left="810" w:hanging="810"/>
        <w:rPr>
          <w:rFonts w:asciiTheme="minorHAnsi" w:hAnsiTheme="minorHAnsi"/>
          <w:szCs w:val="20"/>
        </w:rPr>
      </w:pPr>
      <w:r w:rsidRPr="00483EB6">
        <w:rPr>
          <w:rFonts w:asciiTheme="minorHAnsi" w:hAnsiTheme="minorHAnsi"/>
          <w:szCs w:val="20"/>
        </w:rPr>
        <w:t xml:space="preserve">The PBAC considered that the claim of non-inferior comparative safety was not adequately supported by the data. </w:t>
      </w:r>
    </w:p>
    <w:p w:rsidR="00E636F6" w:rsidRPr="00483EB6" w:rsidRDefault="00B60939" w:rsidP="00904FDE">
      <w:pPr>
        <w:pStyle w:val="Heading2"/>
        <w:spacing w:before="120" w:after="120"/>
      </w:pPr>
      <w:bookmarkStart w:id="13" w:name="_Toc536013901"/>
      <w:r w:rsidRPr="00483EB6">
        <w:t>Economic analysis</w:t>
      </w:r>
      <w:bookmarkEnd w:id="13"/>
      <w:r w:rsidR="00491B3A" w:rsidRPr="00483EB6">
        <w:t xml:space="preserve"> </w:t>
      </w:r>
    </w:p>
    <w:p w:rsidR="007C2EFB" w:rsidRPr="00483EB6" w:rsidDel="007C2EFB" w:rsidRDefault="00E636F6" w:rsidP="00904FDE">
      <w:pPr>
        <w:pStyle w:val="ListParagraph"/>
        <w:widowControl/>
        <w:numPr>
          <w:ilvl w:val="1"/>
          <w:numId w:val="3"/>
        </w:numPr>
        <w:spacing w:before="120" w:after="120"/>
        <w:rPr>
          <w:rFonts w:cs="Calibri"/>
          <w:snapToGrid/>
          <w:szCs w:val="24"/>
          <w:lang w:eastAsia="en-AU"/>
        </w:rPr>
      </w:pPr>
      <w:r w:rsidRPr="00483EB6">
        <w:rPr>
          <w:rFonts w:cs="Calibri"/>
          <w:snapToGrid/>
          <w:szCs w:val="24"/>
          <w:lang w:eastAsia="en-AU"/>
        </w:rPr>
        <w:t xml:space="preserve">The resubmission presented a stepped economic evaluation of blinatumomab compared to consolidation chemotherapy for the treatment of patients with B-ALL in complete remission with minimal residual disease. </w:t>
      </w:r>
    </w:p>
    <w:p w:rsidR="00E636F6" w:rsidRPr="00483EB6" w:rsidRDefault="00E636F6" w:rsidP="00904FDE">
      <w:pPr>
        <w:pStyle w:val="ListParagraph"/>
        <w:widowControl/>
        <w:numPr>
          <w:ilvl w:val="1"/>
          <w:numId w:val="3"/>
        </w:numPr>
        <w:spacing w:before="120" w:after="120"/>
      </w:pPr>
      <w:r w:rsidRPr="00483EB6">
        <w:rPr>
          <w:rFonts w:cs="Calibri"/>
          <w:snapToGrid/>
          <w:szCs w:val="24"/>
          <w:lang w:eastAsia="en-AU"/>
        </w:rPr>
        <w:t>Key components of the model are summarised in the table below.</w:t>
      </w:r>
    </w:p>
    <w:p w:rsidR="00E636F6" w:rsidRPr="00483EB6" w:rsidRDefault="00E636F6" w:rsidP="00E636F6">
      <w:pPr>
        <w:keepNext/>
        <w:rPr>
          <w:rStyle w:val="CommentReference"/>
        </w:rPr>
      </w:pPr>
      <w:r w:rsidRPr="00483EB6">
        <w:rPr>
          <w:rStyle w:val="CommentReference"/>
        </w:rPr>
        <w:lastRenderedPageBreak/>
        <w:t>Table 9: Key components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able 9: Key components of the economic evaluation"/>
      </w:tblPr>
      <w:tblGrid>
        <w:gridCol w:w="1771"/>
        <w:gridCol w:w="7246"/>
      </w:tblGrid>
      <w:tr w:rsidR="00E636F6" w:rsidRPr="00483EB6" w:rsidTr="008C758A">
        <w:tc>
          <w:tcPr>
            <w:tcW w:w="982" w:type="pct"/>
            <w:shd w:val="clear" w:color="auto" w:fill="auto"/>
          </w:tcPr>
          <w:p w:rsidR="00E636F6" w:rsidRPr="00483EB6" w:rsidRDefault="00E636F6" w:rsidP="008C758A">
            <w:pPr>
              <w:pStyle w:val="TableText0"/>
              <w:spacing w:before="0" w:after="0"/>
              <w:rPr>
                <w:b/>
              </w:rPr>
            </w:pPr>
            <w:r w:rsidRPr="00483EB6">
              <w:rPr>
                <w:b/>
              </w:rPr>
              <w:t xml:space="preserve">Component </w:t>
            </w:r>
          </w:p>
        </w:tc>
        <w:tc>
          <w:tcPr>
            <w:tcW w:w="4018" w:type="pct"/>
            <w:shd w:val="clear" w:color="auto" w:fill="auto"/>
          </w:tcPr>
          <w:p w:rsidR="00E636F6" w:rsidRPr="00483EB6" w:rsidRDefault="00E636F6" w:rsidP="008C758A">
            <w:pPr>
              <w:pStyle w:val="TableText0"/>
              <w:spacing w:before="0" w:after="0"/>
              <w:rPr>
                <w:b/>
              </w:rPr>
            </w:pPr>
            <w:r w:rsidRPr="00483EB6">
              <w:rPr>
                <w:b/>
              </w:rPr>
              <w:t>Description</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pPr>
            <w:r w:rsidRPr="00483EB6">
              <w:t xml:space="preserve">Type of analysis </w:t>
            </w:r>
          </w:p>
        </w:tc>
        <w:tc>
          <w:tcPr>
            <w:tcW w:w="4018" w:type="pct"/>
            <w:shd w:val="clear" w:color="auto" w:fill="auto"/>
            <w:vAlign w:val="center"/>
          </w:tcPr>
          <w:p w:rsidR="00E636F6" w:rsidRPr="00483EB6" w:rsidRDefault="00E636F6" w:rsidP="008C758A">
            <w:pPr>
              <w:pStyle w:val="TableText0"/>
              <w:spacing w:before="0" w:after="0"/>
              <w:rPr>
                <w:rFonts w:ascii="Times" w:hAnsi="Times"/>
                <w:szCs w:val="20"/>
              </w:rPr>
            </w:pPr>
            <w:r w:rsidRPr="00483EB6">
              <w:t>Cost-effectiveness analysis/cost-utility analysis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Outcomes</w:t>
            </w:r>
          </w:p>
        </w:tc>
        <w:tc>
          <w:tcPr>
            <w:tcW w:w="4018" w:type="pct"/>
            <w:shd w:val="clear" w:color="auto" w:fill="auto"/>
            <w:vAlign w:val="center"/>
          </w:tcPr>
          <w:p w:rsidR="00E636F6" w:rsidRPr="00483EB6" w:rsidRDefault="00E636F6" w:rsidP="008C758A">
            <w:pPr>
              <w:pStyle w:val="TableText0"/>
              <w:spacing w:before="0" w:after="0"/>
            </w:pPr>
            <w:r w:rsidRPr="00483EB6">
              <w:t>Relapse-free life years; life years; quality-adjusted life years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Time horizon</w:t>
            </w:r>
          </w:p>
        </w:tc>
        <w:tc>
          <w:tcPr>
            <w:tcW w:w="4018" w:type="pct"/>
            <w:shd w:val="clear" w:color="auto" w:fill="auto"/>
            <w:vAlign w:val="center"/>
          </w:tcPr>
          <w:p w:rsidR="00E636F6" w:rsidRPr="00483EB6" w:rsidRDefault="00E636F6" w:rsidP="008C758A">
            <w:pPr>
              <w:pStyle w:val="TableText0"/>
              <w:spacing w:before="0" w:after="0"/>
              <w:rPr>
                <w:rFonts w:ascii="Times" w:hAnsi="Times"/>
                <w:szCs w:val="20"/>
              </w:rPr>
            </w:pPr>
            <w:r w:rsidRPr="00483EB6">
              <w:t>30 years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Methods used to generate results</w:t>
            </w:r>
          </w:p>
        </w:tc>
        <w:tc>
          <w:tcPr>
            <w:tcW w:w="4018" w:type="pct"/>
            <w:shd w:val="clear" w:color="auto" w:fill="auto"/>
            <w:vAlign w:val="center"/>
          </w:tcPr>
          <w:p w:rsidR="00E636F6" w:rsidRPr="00483EB6" w:rsidRDefault="00E636F6" w:rsidP="008C758A">
            <w:pPr>
              <w:pStyle w:val="TableText0"/>
              <w:spacing w:before="0" w:after="0"/>
              <w:rPr>
                <w:rFonts w:ascii="Times" w:hAnsi="Times"/>
                <w:szCs w:val="20"/>
              </w:rPr>
            </w:pPr>
            <w:r w:rsidRPr="00483EB6">
              <w:t>Partitioned survival analysis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pPr>
            <w:r w:rsidRPr="00483EB6">
              <w:t>Treatments</w:t>
            </w:r>
          </w:p>
        </w:tc>
        <w:tc>
          <w:tcPr>
            <w:tcW w:w="4018" w:type="pct"/>
            <w:shd w:val="clear" w:color="auto" w:fill="auto"/>
            <w:vAlign w:val="center"/>
          </w:tcPr>
          <w:p w:rsidR="00E636F6" w:rsidRPr="00483EB6" w:rsidRDefault="00E636F6" w:rsidP="008C758A">
            <w:pPr>
              <w:pStyle w:val="TableText0"/>
              <w:spacing w:before="0" w:after="0"/>
            </w:pPr>
            <w:r w:rsidRPr="00483EB6">
              <w:t>Blinatumomab, consolidation chemotherapy</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Health states</w:t>
            </w:r>
          </w:p>
        </w:tc>
        <w:tc>
          <w:tcPr>
            <w:tcW w:w="4018" w:type="pct"/>
            <w:shd w:val="clear" w:color="auto" w:fill="auto"/>
            <w:vAlign w:val="center"/>
          </w:tcPr>
          <w:p w:rsidR="00E636F6" w:rsidRPr="00483EB6" w:rsidRDefault="00E636F6" w:rsidP="008C758A">
            <w:pPr>
              <w:pStyle w:val="TableText0"/>
              <w:spacing w:before="0" w:after="0"/>
            </w:pPr>
            <w:r w:rsidRPr="00483EB6">
              <w:t>Relapse-free disease, relapsed disease, death</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Cycle length</w:t>
            </w:r>
          </w:p>
        </w:tc>
        <w:tc>
          <w:tcPr>
            <w:tcW w:w="4018" w:type="pct"/>
            <w:shd w:val="clear" w:color="auto" w:fill="auto"/>
            <w:vAlign w:val="center"/>
          </w:tcPr>
          <w:p w:rsidR="00E636F6" w:rsidRPr="00483EB6" w:rsidRDefault="00E636F6" w:rsidP="008C758A">
            <w:pPr>
              <w:pStyle w:val="TableText0"/>
              <w:spacing w:before="0" w:after="0"/>
            </w:pPr>
            <w:r w:rsidRPr="00483EB6">
              <w:t>3 months (with half cycle corrections)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pPr>
            <w:r w:rsidRPr="00483EB6">
              <w:t xml:space="preserve">Transition probability </w:t>
            </w:r>
          </w:p>
        </w:tc>
        <w:tc>
          <w:tcPr>
            <w:tcW w:w="4018" w:type="pct"/>
            <w:shd w:val="clear" w:color="auto" w:fill="auto"/>
            <w:vAlign w:val="center"/>
          </w:tcPr>
          <w:p w:rsidR="00E636F6" w:rsidRPr="00483EB6" w:rsidRDefault="00E636F6" w:rsidP="008C758A">
            <w:pPr>
              <w:pStyle w:val="TableText0"/>
              <w:spacing w:before="0" w:after="0"/>
              <w:rPr>
                <w:szCs w:val="20"/>
              </w:rPr>
            </w:pPr>
            <w:r w:rsidRPr="00483EB6">
              <w:rPr>
                <w:szCs w:val="20"/>
              </w:rPr>
              <w:t>Kaplan-Meier curves for relapse-free survival and overall survival from 0 to 4 years for consolidation chemotherapy based on the ATE-weighted propensity score analysis population from the historical control (Study 20120148).</w:t>
            </w:r>
          </w:p>
          <w:p w:rsidR="00E636F6" w:rsidRPr="00483EB6" w:rsidRDefault="00E636F6" w:rsidP="008C758A">
            <w:pPr>
              <w:pStyle w:val="TableText0"/>
              <w:spacing w:before="0" w:after="0"/>
              <w:rPr>
                <w:szCs w:val="20"/>
              </w:rPr>
            </w:pPr>
          </w:p>
          <w:p w:rsidR="00E636F6" w:rsidRPr="00483EB6" w:rsidRDefault="00E636F6" w:rsidP="008C758A">
            <w:pPr>
              <w:pStyle w:val="TableText0"/>
              <w:spacing w:before="0" w:after="0"/>
              <w:rPr>
                <w:szCs w:val="20"/>
                <w:highlight w:val="yellow"/>
              </w:rPr>
            </w:pPr>
            <w:r w:rsidRPr="00483EB6">
              <w:rPr>
                <w:szCs w:val="20"/>
              </w:rPr>
              <w:t>Standard parametric curves for relapse-free and overall survival fitted using 10-year Kaplan-Meier data for consolidation chemotherapy based on the ATE-weighted propensity score analysis population from the historical control (Study 20120148). Extrapolation using log-normal distribution used in the base case for both relapse-free and overall survival.</w:t>
            </w:r>
          </w:p>
          <w:p w:rsidR="00E636F6" w:rsidRPr="00483EB6" w:rsidRDefault="00E636F6" w:rsidP="008C758A">
            <w:pPr>
              <w:pStyle w:val="TableText0"/>
              <w:spacing w:before="0" w:after="0"/>
              <w:rPr>
                <w:szCs w:val="20"/>
                <w:highlight w:val="yellow"/>
              </w:rPr>
            </w:pPr>
          </w:p>
          <w:p w:rsidR="00E636F6" w:rsidRPr="00483EB6" w:rsidRDefault="00E636F6" w:rsidP="008C758A">
            <w:pPr>
              <w:pStyle w:val="TableText0"/>
              <w:spacing w:before="0" w:after="0"/>
              <w:rPr>
                <w:szCs w:val="20"/>
              </w:rPr>
            </w:pPr>
            <w:r w:rsidRPr="00483EB6">
              <w:rPr>
                <w:szCs w:val="20"/>
              </w:rPr>
              <w:t>Survival curves for relapse-free survival and overall survival were calculated from 0 to 4 years for blinatumomab based on the estimated hazard ratio from the propensity score analysis using ATE weights. Relapse-free survival and overall survival beyond 4 years were extrapolated based on the assumption of no difference in hazards between treatments</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pPr>
            <w:r w:rsidRPr="00483EB6">
              <w:t>Discount rate</w:t>
            </w:r>
          </w:p>
        </w:tc>
        <w:tc>
          <w:tcPr>
            <w:tcW w:w="4018" w:type="pct"/>
            <w:shd w:val="clear" w:color="auto" w:fill="auto"/>
            <w:vAlign w:val="center"/>
          </w:tcPr>
          <w:p w:rsidR="00E636F6" w:rsidRPr="00483EB6" w:rsidRDefault="00E636F6" w:rsidP="008C758A">
            <w:pPr>
              <w:pStyle w:val="TableText0"/>
              <w:spacing w:before="0" w:after="0"/>
            </w:pPr>
            <w:r w:rsidRPr="00483EB6">
              <w:t xml:space="preserve">5% for costs and outcomes, </w:t>
            </w:r>
            <w:r w:rsidRPr="00483EB6">
              <w:rPr>
                <w:rFonts w:cs="Arial"/>
                <w:snapToGrid w:val="0"/>
                <w:szCs w:val="20"/>
              </w:rPr>
              <w:t>applied annually</w:t>
            </w:r>
          </w:p>
        </w:tc>
      </w:tr>
      <w:tr w:rsidR="00E636F6" w:rsidRPr="00483EB6" w:rsidTr="008C758A">
        <w:tc>
          <w:tcPr>
            <w:tcW w:w="982" w:type="pct"/>
            <w:shd w:val="clear" w:color="auto" w:fill="auto"/>
            <w:vAlign w:val="center"/>
          </w:tcPr>
          <w:p w:rsidR="00E636F6" w:rsidRPr="00483EB6" w:rsidRDefault="00E636F6" w:rsidP="008C758A">
            <w:pPr>
              <w:pStyle w:val="TableText0"/>
              <w:spacing w:before="0" w:after="0"/>
              <w:rPr>
                <w:rFonts w:ascii="Times" w:hAnsi="Times"/>
                <w:szCs w:val="20"/>
              </w:rPr>
            </w:pPr>
            <w:r w:rsidRPr="00483EB6">
              <w:t>Software package</w:t>
            </w:r>
          </w:p>
        </w:tc>
        <w:tc>
          <w:tcPr>
            <w:tcW w:w="4018" w:type="pct"/>
            <w:shd w:val="clear" w:color="auto" w:fill="auto"/>
            <w:vAlign w:val="center"/>
          </w:tcPr>
          <w:p w:rsidR="00E636F6" w:rsidRPr="00483EB6" w:rsidRDefault="00E636F6" w:rsidP="008C758A">
            <w:pPr>
              <w:pStyle w:val="TableText0"/>
              <w:spacing w:before="0" w:after="0"/>
            </w:pPr>
            <w:r w:rsidRPr="00483EB6">
              <w:t>Excel 2013</w:t>
            </w:r>
          </w:p>
        </w:tc>
      </w:tr>
    </w:tbl>
    <w:p w:rsidR="00E636F6" w:rsidRPr="00483EB6" w:rsidRDefault="00E636F6" w:rsidP="00E636F6">
      <w:pPr>
        <w:pStyle w:val="TableFooter"/>
      </w:pPr>
      <w:r w:rsidRPr="00483EB6">
        <w:t>Source: Table 66, p.123 of the submission</w:t>
      </w:r>
    </w:p>
    <w:p w:rsidR="00E636F6" w:rsidRPr="00483EB6" w:rsidRDefault="00E636F6" w:rsidP="00E636F6">
      <w:pPr>
        <w:pStyle w:val="TableFooter"/>
      </w:pPr>
      <w:r w:rsidRPr="00483EB6">
        <w:t>Abbreviations: ATE, average treatment effect</w:t>
      </w:r>
    </w:p>
    <w:p w:rsidR="00E636F6" w:rsidRPr="00483EB6" w:rsidRDefault="00E636F6" w:rsidP="00904FDE">
      <w:pPr>
        <w:pStyle w:val="ListParagraph"/>
        <w:widowControl/>
        <w:numPr>
          <w:ilvl w:val="1"/>
          <w:numId w:val="3"/>
        </w:numPr>
        <w:spacing w:before="120" w:after="120"/>
      </w:pPr>
      <w:r w:rsidRPr="00483EB6">
        <w:t xml:space="preserve">Key drivers of the economic model are summarised in the table below. </w:t>
      </w:r>
    </w:p>
    <w:p w:rsidR="00E636F6" w:rsidRPr="00483EB6" w:rsidRDefault="00E636F6" w:rsidP="00727C0A">
      <w:pPr>
        <w:keepNext/>
        <w:keepLines/>
        <w:rPr>
          <w:rStyle w:val="CommentReference"/>
        </w:rPr>
      </w:pPr>
      <w:r w:rsidRPr="00483EB6">
        <w:rPr>
          <w:rStyle w:val="CommentReference"/>
        </w:rPr>
        <w:lastRenderedPageBreak/>
        <w:t>Table 10: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0: Key drivers of the model"/>
      </w:tblPr>
      <w:tblGrid>
        <w:gridCol w:w="1128"/>
        <w:gridCol w:w="6664"/>
        <w:gridCol w:w="1225"/>
      </w:tblGrid>
      <w:tr w:rsidR="00E636F6" w:rsidRPr="00483EB6" w:rsidTr="00727C0A">
        <w:trPr>
          <w:tblHeader/>
        </w:trPr>
        <w:tc>
          <w:tcPr>
            <w:tcW w:w="626" w:type="pct"/>
            <w:shd w:val="clear" w:color="auto" w:fill="auto"/>
            <w:vAlign w:val="center"/>
          </w:tcPr>
          <w:p w:rsidR="00E636F6" w:rsidRPr="00483EB6" w:rsidRDefault="00E636F6" w:rsidP="00727C0A">
            <w:pPr>
              <w:pStyle w:val="Tabletext"/>
              <w:keepNext/>
              <w:keepLines/>
              <w:rPr>
                <w:b/>
              </w:rPr>
            </w:pPr>
            <w:r w:rsidRPr="00483EB6">
              <w:rPr>
                <w:b/>
              </w:rPr>
              <w:t>Description</w:t>
            </w:r>
          </w:p>
        </w:tc>
        <w:tc>
          <w:tcPr>
            <w:tcW w:w="3695" w:type="pct"/>
            <w:shd w:val="clear" w:color="auto" w:fill="auto"/>
            <w:vAlign w:val="center"/>
          </w:tcPr>
          <w:p w:rsidR="00E636F6" w:rsidRPr="00483EB6" w:rsidRDefault="00E636F6" w:rsidP="00727C0A">
            <w:pPr>
              <w:pStyle w:val="Tabletext"/>
              <w:keepNext/>
              <w:keepLines/>
              <w:jc w:val="center"/>
              <w:rPr>
                <w:b/>
              </w:rPr>
            </w:pPr>
            <w:r w:rsidRPr="00483EB6">
              <w:rPr>
                <w:b/>
              </w:rPr>
              <w:t>Method/Value</w:t>
            </w:r>
          </w:p>
        </w:tc>
        <w:tc>
          <w:tcPr>
            <w:tcW w:w="679" w:type="pct"/>
            <w:shd w:val="clear" w:color="auto" w:fill="auto"/>
            <w:vAlign w:val="center"/>
          </w:tcPr>
          <w:p w:rsidR="00E636F6" w:rsidRPr="00483EB6" w:rsidRDefault="00E636F6" w:rsidP="00727C0A">
            <w:pPr>
              <w:pStyle w:val="Tabletext"/>
              <w:keepNext/>
              <w:keepLines/>
              <w:jc w:val="center"/>
              <w:rPr>
                <w:b/>
              </w:rPr>
            </w:pPr>
            <w:r w:rsidRPr="00483EB6">
              <w:rPr>
                <w:b/>
              </w:rPr>
              <w:t>Impact</w:t>
            </w:r>
          </w:p>
        </w:tc>
      </w:tr>
      <w:tr w:rsidR="00E636F6" w:rsidRPr="00483EB6" w:rsidTr="00727C0A">
        <w:tc>
          <w:tcPr>
            <w:tcW w:w="626" w:type="pct"/>
            <w:shd w:val="clear" w:color="auto" w:fill="auto"/>
            <w:vAlign w:val="center"/>
          </w:tcPr>
          <w:p w:rsidR="00E636F6" w:rsidRPr="00483EB6" w:rsidRDefault="00E636F6" w:rsidP="00727C0A">
            <w:pPr>
              <w:pStyle w:val="Tabletext"/>
              <w:keepNext/>
              <w:keepLines/>
            </w:pPr>
            <w:r w:rsidRPr="00483EB6">
              <w:t>Blinatumomab overall survival benefit</w:t>
            </w:r>
          </w:p>
        </w:tc>
        <w:tc>
          <w:tcPr>
            <w:tcW w:w="3695" w:type="pct"/>
            <w:shd w:val="clear" w:color="auto" w:fill="auto"/>
            <w:vAlign w:val="center"/>
          </w:tcPr>
          <w:p w:rsidR="00E636F6" w:rsidRPr="00483EB6" w:rsidRDefault="00E636F6" w:rsidP="00727C0A">
            <w:pPr>
              <w:pStyle w:val="Tabletext"/>
              <w:keepNext/>
              <w:keepLines/>
            </w:pPr>
            <w:r w:rsidRPr="00483EB6">
              <w:t>The resubmission modelled an overall survival improvement with blinatumomab compared to consolidation chemotherapy based on the ATE-weighted analysis (HR 0.68; 95% CI 0.42, 1.09)</w:t>
            </w:r>
            <w:r w:rsidR="00D91619" w:rsidRPr="00483EB6">
              <w:t>, which did not include the updated BLAST study data</w:t>
            </w:r>
            <w:r w:rsidRPr="00483EB6">
              <w:t xml:space="preserve">. The </w:t>
            </w:r>
            <w:r w:rsidR="009A26AA" w:rsidRPr="00483EB6">
              <w:t xml:space="preserve">ESC noted that, in the comparative analysis provided in the submission, the improvement in OS was not statistically significant and </w:t>
            </w:r>
            <w:r w:rsidR="00147BCA" w:rsidRPr="00483EB6">
              <w:t xml:space="preserve">further considered that the results </w:t>
            </w:r>
            <w:r w:rsidR="009A26AA" w:rsidRPr="00483EB6">
              <w:t>may</w:t>
            </w:r>
            <w:r w:rsidR="00AC35AF" w:rsidRPr="00483EB6">
              <w:t xml:space="preserve"> not be reliable given the results may be confounded by historical control data (informing the stan</w:t>
            </w:r>
            <w:r w:rsidR="00147BCA" w:rsidRPr="00483EB6">
              <w:t>dard of care chemotherapy arm) which</w:t>
            </w:r>
            <w:r w:rsidR="00AC35AF" w:rsidRPr="00483EB6">
              <w:t xml:space="preserve"> may not reflect outcomes current Australian practice</w:t>
            </w:r>
            <w:r w:rsidR="00147BCA" w:rsidRPr="00483EB6">
              <w:rPr>
                <w:i/>
              </w:rPr>
              <w:t>.</w:t>
            </w:r>
            <w:r w:rsidR="00AC35AF" w:rsidRPr="00483EB6">
              <w:rPr>
                <w:i/>
              </w:rPr>
              <w:t xml:space="preserve"> </w:t>
            </w:r>
          </w:p>
        </w:tc>
        <w:tc>
          <w:tcPr>
            <w:tcW w:w="679" w:type="pct"/>
            <w:shd w:val="clear" w:color="auto" w:fill="auto"/>
            <w:vAlign w:val="center"/>
          </w:tcPr>
          <w:p w:rsidR="00E636F6" w:rsidRPr="00483EB6" w:rsidRDefault="00E636F6" w:rsidP="00727C0A">
            <w:pPr>
              <w:pStyle w:val="Tabletext"/>
              <w:keepNext/>
              <w:keepLines/>
            </w:pPr>
            <w:r w:rsidRPr="00483EB6">
              <w:t>High, favours blinatumomab</w:t>
            </w:r>
          </w:p>
        </w:tc>
      </w:tr>
      <w:tr w:rsidR="00E636F6" w:rsidRPr="00483EB6" w:rsidTr="00727C0A">
        <w:tc>
          <w:tcPr>
            <w:tcW w:w="626" w:type="pct"/>
            <w:shd w:val="clear" w:color="auto" w:fill="auto"/>
            <w:vAlign w:val="center"/>
          </w:tcPr>
          <w:p w:rsidR="00E636F6" w:rsidRPr="00483EB6" w:rsidRDefault="00E636F6" w:rsidP="00727C0A">
            <w:pPr>
              <w:pStyle w:val="Tabletext"/>
              <w:keepNext/>
              <w:keepLines/>
            </w:pPr>
            <w:r w:rsidRPr="00483EB6">
              <w:t>Impact of HSCT</w:t>
            </w:r>
          </w:p>
        </w:tc>
        <w:tc>
          <w:tcPr>
            <w:tcW w:w="3695" w:type="pct"/>
            <w:shd w:val="clear" w:color="auto" w:fill="auto"/>
            <w:vAlign w:val="center"/>
          </w:tcPr>
          <w:p w:rsidR="00E636F6" w:rsidRPr="00483EB6" w:rsidRDefault="00E636F6" w:rsidP="00727C0A">
            <w:pPr>
              <w:pStyle w:val="Tabletext"/>
              <w:keepNext/>
              <w:keepLines/>
            </w:pPr>
            <w:r w:rsidRPr="00483EB6">
              <w:t xml:space="preserve">The model did not include HSCT as an event. The resubmission provided hypothetical scenarios exploring the relative contribution of blinatumomab and HSCT to survival estimates based on a post hoc retrospective analysis (Dhedin et al 2015) which indicated that HSCT provided no additional benefit to patients who were MRD- post-induction. The relevance of the Dhedin (2015) analyses to the BLAST study was unclear due to population differences and unclear generalisability of results </w:t>
            </w:r>
            <w:r w:rsidR="00DB0027" w:rsidRPr="00483EB6">
              <w:t>to patients who become MRD negative through the use of post-induction therapies</w:t>
            </w:r>
            <w:r w:rsidRPr="00483EB6">
              <w:t>.</w:t>
            </w:r>
          </w:p>
          <w:p w:rsidR="00E636F6" w:rsidRPr="00483EB6" w:rsidRDefault="00E636F6" w:rsidP="00727C0A">
            <w:pPr>
              <w:pStyle w:val="Tabletext"/>
              <w:keepNext/>
              <w:keepLines/>
            </w:pPr>
          </w:p>
          <w:p w:rsidR="00E636F6" w:rsidRPr="00483EB6" w:rsidRDefault="00E636F6" w:rsidP="00727C0A">
            <w:pPr>
              <w:pStyle w:val="Tabletext"/>
              <w:keepNext/>
              <w:keepLines/>
            </w:pPr>
            <w:r w:rsidRPr="00483EB6">
              <w:t>The results of the hypothetical scenarios are uninformative</w:t>
            </w:r>
            <w:r w:rsidR="00935DC4" w:rsidRPr="00483EB6">
              <w:t xml:space="preserve"> as the adjustments for HSCT effects were applied to the population as a </w:t>
            </w:r>
            <w:r w:rsidR="001A32F6" w:rsidRPr="00483EB6">
              <w:t xml:space="preserve">whole </w:t>
            </w:r>
            <w:r w:rsidRPr="00483EB6">
              <w:t xml:space="preserve">and </w:t>
            </w:r>
            <w:r w:rsidR="00935DC4" w:rsidRPr="00483EB6">
              <w:t xml:space="preserve">therefore </w:t>
            </w:r>
            <w:r w:rsidRPr="00483EB6">
              <w:t xml:space="preserve">do not adequately account for the discrete subgroup populations who undergo HSCT or do not proceed to HSCT (i.e. it is not appropriate to include an adjustment for HSCT effects in patients who have not undergone HSCT). Additionally, the analysis ignores known information from the </w:t>
            </w:r>
            <w:r w:rsidR="00EF6AFD" w:rsidRPr="00483EB6">
              <w:t>propensity score indirect analysis</w:t>
            </w:r>
            <w:r w:rsidR="00EF6AFD" w:rsidRPr="00483EB6" w:rsidDel="00EF6AFD">
              <w:t xml:space="preserve"> </w:t>
            </w:r>
            <w:r w:rsidRPr="00483EB6">
              <w:t>on overall survival treatment effects in patients who undergo HSCT (HR 1.033; 95% CI 0.611, 1.748) or who do not proceed to HSCT (HR 0.405; 95% CI 0.165, 0.995).</w:t>
            </w:r>
          </w:p>
        </w:tc>
        <w:tc>
          <w:tcPr>
            <w:tcW w:w="679" w:type="pct"/>
            <w:shd w:val="clear" w:color="auto" w:fill="auto"/>
            <w:vAlign w:val="center"/>
          </w:tcPr>
          <w:p w:rsidR="00E636F6" w:rsidRPr="00483EB6" w:rsidRDefault="00E636F6" w:rsidP="00727C0A">
            <w:pPr>
              <w:pStyle w:val="Tabletext"/>
              <w:keepNext/>
              <w:keepLines/>
            </w:pPr>
            <w:r w:rsidRPr="00483EB6">
              <w:t>High, direction unclear</w:t>
            </w:r>
          </w:p>
        </w:tc>
      </w:tr>
      <w:tr w:rsidR="00E636F6" w:rsidRPr="00483EB6" w:rsidTr="00727C0A">
        <w:tc>
          <w:tcPr>
            <w:tcW w:w="626" w:type="pct"/>
            <w:shd w:val="clear" w:color="auto" w:fill="auto"/>
            <w:vAlign w:val="center"/>
          </w:tcPr>
          <w:p w:rsidR="00E636F6" w:rsidRPr="00483EB6" w:rsidRDefault="00E636F6" w:rsidP="00727C0A">
            <w:pPr>
              <w:pStyle w:val="Tabletext"/>
              <w:keepNext/>
              <w:keepLines/>
            </w:pPr>
            <w:r w:rsidRPr="00483EB6">
              <w:t>Health state costs</w:t>
            </w:r>
            <w:r w:rsidRPr="00483EB6" w:rsidDel="00D31F55">
              <w:t xml:space="preserve"> </w:t>
            </w:r>
          </w:p>
        </w:tc>
        <w:tc>
          <w:tcPr>
            <w:tcW w:w="3695" w:type="pct"/>
            <w:shd w:val="clear" w:color="auto" w:fill="auto"/>
            <w:vAlign w:val="center"/>
          </w:tcPr>
          <w:p w:rsidR="00E636F6" w:rsidRPr="00483EB6" w:rsidRDefault="00E636F6" w:rsidP="00727C0A">
            <w:pPr>
              <w:pStyle w:val="Tabletext"/>
              <w:keepNext/>
              <w:keepLines/>
            </w:pPr>
            <w:r w:rsidRPr="00483EB6">
              <w:t>The resubmission included revised disease management costs associated with relapse-free/relapsed disease and MRD status using new estimates for utilisation of healthcare visits (from a sponsor-commissioned Australian physician survey)</w:t>
            </w:r>
            <w:r w:rsidR="00DB0027" w:rsidRPr="00483EB6">
              <w:t xml:space="preserve"> but retained hospitalisation </w:t>
            </w:r>
            <w:r w:rsidR="00764469" w:rsidRPr="00483EB6">
              <w:t>visits (based on UK physician interviews)</w:t>
            </w:r>
            <w:r w:rsidRPr="00483EB6">
              <w:t xml:space="preserve">. </w:t>
            </w:r>
            <w:r w:rsidR="00DB0027" w:rsidRPr="00483EB6">
              <w:t>It was unclear why patients in complete remission (MRD- or MRD+) would be hospitalised for reasons other than</w:t>
            </w:r>
            <w:r w:rsidR="00F25435" w:rsidRPr="00483EB6">
              <w:t xml:space="preserve"> </w:t>
            </w:r>
            <w:r w:rsidR="00147BCA" w:rsidRPr="00483EB6">
              <w:t>HSCT</w:t>
            </w:r>
            <w:r w:rsidR="00F25435" w:rsidRPr="00483EB6">
              <w:t>,</w:t>
            </w:r>
            <w:r w:rsidR="00DB0027" w:rsidRPr="00483EB6">
              <w:t xml:space="preserve"> treatment or the management of adverse events (which are already accounted for in other parts of model). </w:t>
            </w:r>
            <w:r w:rsidRPr="00483EB6">
              <w:t xml:space="preserve">In addition, the costs were estimated using inadequately justified assumptions (e.g. patients achieving an MRD response remained MRD negative until relapse or death, short-term monitoring intensity sustained in the long term). </w:t>
            </w:r>
            <w:r w:rsidR="00DE3517" w:rsidRPr="00483EB6">
              <w:t>Overall, t</w:t>
            </w:r>
            <w:r w:rsidR="00F25435" w:rsidRPr="00483EB6">
              <w:t xml:space="preserve">here were substantial differences in the costs for MRD+ versus MRD- patients </w:t>
            </w:r>
            <w:r w:rsidR="00DE3517" w:rsidRPr="00483EB6">
              <w:t xml:space="preserve">in the relapsed free health state </w:t>
            </w:r>
            <w:r w:rsidR="00F25435" w:rsidRPr="00483EB6">
              <w:t>($39,000 versus $7,000 per year for the first five years that a patient is in this state</w:t>
            </w:r>
            <w:r w:rsidR="00DE3517" w:rsidRPr="00483EB6">
              <w:t xml:space="preserve">) that were not adequately </w:t>
            </w:r>
            <w:r w:rsidR="00727C0A" w:rsidRPr="00483EB6">
              <w:t>j</w:t>
            </w:r>
            <w:r w:rsidR="00DE3517" w:rsidRPr="00483EB6">
              <w:t>ustified.</w:t>
            </w:r>
          </w:p>
          <w:p w:rsidR="00E636F6" w:rsidRPr="00483EB6" w:rsidRDefault="00E636F6" w:rsidP="00727C0A">
            <w:pPr>
              <w:pStyle w:val="Tabletext"/>
              <w:keepNext/>
              <w:keepLines/>
            </w:pPr>
          </w:p>
          <w:p w:rsidR="00E636F6" w:rsidRPr="00483EB6" w:rsidRDefault="00E636F6" w:rsidP="00727C0A">
            <w:pPr>
              <w:pStyle w:val="Tabletext"/>
              <w:keepNext/>
              <w:keepLines/>
            </w:pPr>
            <w:r w:rsidRPr="00483EB6">
              <w:t>The resubmission included MRD response in the consolidation chemotherapy arm (8% MRD+) based on expert advice indicating that no more than 10% of patients achieve a delayed response with maintenance therapy. The expert advice was not provided with the resubmission and it was unclear whether the estimated response rate was based on consolidation and/or maintenance chemotherapy.</w:t>
            </w:r>
            <w:r w:rsidR="00F25435" w:rsidRPr="00483EB6">
              <w:t xml:space="preserve"> On the other hand, 92% of patient</w:t>
            </w:r>
            <w:r w:rsidR="00DE3517" w:rsidRPr="00483EB6">
              <w:t>s</w:t>
            </w:r>
            <w:r w:rsidR="00F25435" w:rsidRPr="00483EB6">
              <w:t xml:space="preserve"> in the blinatumomab arm were assumed to be MRD+ in the relapse free state. </w:t>
            </w:r>
          </w:p>
        </w:tc>
        <w:tc>
          <w:tcPr>
            <w:tcW w:w="679" w:type="pct"/>
            <w:shd w:val="clear" w:color="auto" w:fill="auto"/>
            <w:vAlign w:val="center"/>
          </w:tcPr>
          <w:p w:rsidR="00E636F6" w:rsidRPr="00483EB6" w:rsidRDefault="00E636F6" w:rsidP="00727C0A">
            <w:pPr>
              <w:pStyle w:val="Tabletext"/>
              <w:keepNext/>
              <w:keepLines/>
            </w:pPr>
            <w:r w:rsidRPr="00483EB6">
              <w:t>High, favours blinatumomab</w:t>
            </w:r>
          </w:p>
        </w:tc>
      </w:tr>
      <w:tr w:rsidR="00E636F6" w:rsidRPr="00483EB6" w:rsidTr="00727C0A">
        <w:tc>
          <w:tcPr>
            <w:tcW w:w="626" w:type="pct"/>
            <w:shd w:val="clear" w:color="auto" w:fill="auto"/>
            <w:vAlign w:val="center"/>
          </w:tcPr>
          <w:p w:rsidR="00E636F6" w:rsidRPr="00483EB6" w:rsidRDefault="00E636F6" w:rsidP="00727C0A">
            <w:pPr>
              <w:pStyle w:val="Tabletext"/>
              <w:keepNext/>
              <w:keepLines/>
            </w:pPr>
            <w:r w:rsidRPr="00483EB6">
              <w:t>Utility values</w:t>
            </w:r>
          </w:p>
        </w:tc>
        <w:tc>
          <w:tcPr>
            <w:tcW w:w="3695" w:type="pct"/>
            <w:shd w:val="clear" w:color="auto" w:fill="auto"/>
            <w:vAlign w:val="center"/>
          </w:tcPr>
          <w:p w:rsidR="00E636F6" w:rsidRPr="00483EB6" w:rsidRDefault="00E636F6" w:rsidP="00727C0A">
            <w:pPr>
              <w:pStyle w:val="Tabletext"/>
              <w:keepNext/>
              <w:keepLines/>
            </w:pPr>
            <w:r w:rsidRPr="00483EB6">
              <w:t xml:space="preserve">The estimated utilities were 0.806 for relapse free disease and 0.692 for relapsed disease (unchanged from July 2018 submission). The utility estimates were derived using a complex series of steps and transformations using propensity-matched populations that could not be </w:t>
            </w:r>
            <w:r w:rsidR="00764469" w:rsidRPr="00483EB6">
              <w:t>validated</w:t>
            </w:r>
            <w:r w:rsidRPr="00483EB6">
              <w:t xml:space="preserve">. Unadjusted utility values for the BLAST study and TOWER trial were not provided in the resubmission. </w:t>
            </w:r>
          </w:p>
        </w:tc>
        <w:tc>
          <w:tcPr>
            <w:tcW w:w="679" w:type="pct"/>
            <w:shd w:val="clear" w:color="auto" w:fill="auto"/>
            <w:vAlign w:val="center"/>
          </w:tcPr>
          <w:p w:rsidR="00E636F6" w:rsidRPr="00483EB6" w:rsidRDefault="00E636F6" w:rsidP="00727C0A">
            <w:pPr>
              <w:pStyle w:val="Tabletext"/>
              <w:keepNext/>
              <w:keepLines/>
            </w:pPr>
            <w:r w:rsidRPr="00483EB6">
              <w:t>High, favours blinatumomab</w:t>
            </w:r>
          </w:p>
        </w:tc>
      </w:tr>
    </w:tbl>
    <w:p w:rsidR="00E636F6" w:rsidRPr="00483EB6" w:rsidRDefault="00E636F6" w:rsidP="00727C0A">
      <w:pPr>
        <w:pStyle w:val="TableFooter"/>
        <w:keepNext/>
        <w:keepLines/>
      </w:pPr>
      <w:r w:rsidRPr="00483EB6">
        <w:t>Source: Constructed during the evaluation</w:t>
      </w:r>
    </w:p>
    <w:p w:rsidR="00E636F6" w:rsidRPr="00483EB6" w:rsidRDefault="00E636F6" w:rsidP="00727C0A">
      <w:pPr>
        <w:pStyle w:val="TableFooter"/>
        <w:keepNext/>
        <w:keepLines/>
      </w:pPr>
      <w:r w:rsidRPr="00483EB6">
        <w:t xml:space="preserve">Abbreviations: B-ALL, B-cell lymphoblastic leukaemia; HSCT, haematopoietic stem cell transplant; MRD, minimal residual disease; </w:t>
      </w:r>
      <w:proofErr w:type="spellStart"/>
      <w:r w:rsidRPr="00483EB6">
        <w:t>Ph</w:t>
      </w:r>
      <w:proofErr w:type="spellEnd"/>
      <w:r w:rsidRPr="00483EB6">
        <w:t>+, Philadelphia chromosome positive.</w:t>
      </w:r>
    </w:p>
    <w:p w:rsidR="00DB0027" w:rsidRPr="00483EB6" w:rsidRDefault="00DB0027" w:rsidP="00DB0027">
      <w:pPr>
        <w:rPr>
          <w:i/>
        </w:rPr>
      </w:pPr>
    </w:p>
    <w:p w:rsidR="007C2EFB" w:rsidRPr="00483EB6" w:rsidRDefault="007C2EFB" w:rsidP="0010204A">
      <w:pPr>
        <w:pStyle w:val="ListParagraph"/>
        <w:widowControl/>
        <w:numPr>
          <w:ilvl w:val="1"/>
          <w:numId w:val="3"/>
        </w:numPr>
        <w:spacing w:before="120" w:after="120"/>
        <w:rPr>
          <w:rFonts w:cs="Calibri"/>
          <w:snapToGrid/>
          <w:szCs w:val="24"/>
          <w:lang w:eastAsia="en-AU"/>
        </w:rPr>
      </w:pPr>
      <w:r w:rsidRPr="00483EB6">
        <w:rPr>
          <w:rFonts w:cs="Calibri"/>
          <w:snapToGrid/>
          <w:szCs w:val="24"/>
          <w:lang w:eastAsia="en-AU"/>
        </w:rPr>
        <w:lastRenderedPageBreak/>
        <w:t>The key differences between the resubmission and the July 2018 submission</w:t>
      </w:r>
      <w:r w:rsidR="00B614B5" w:rsidRPr="00483EB6">
        <w:rPr>
          <w:rFonts w:cs="Calibri"/>
          <w:snapToGrid/>
          <w:szCs w:val="24"/>
          <w:lang w:eastAsia="en-AU"/>
        </w:rPr>
        <w:t xml:space="preserve"> and changes</w:t>
      </w:r>
      <w:r w:rsidRPr="00483EB6">
        <w:rPr>
          <w:rFonts w:cs="Calibri"/>
          <w:snapToGrid/>
          <w:szCs w:val="24"/>
          <w:lang w:eastAsia="en-AU"/>
        </w:rPr>
        <w:t xml:space="preserve"> </w:t>
      </w:r>
      <w:r w:rsidR="0039588D" w:rsidRPr="00483EB6">
        <w:rPr>
          <w:rFonts w:cs="Calibri"/>
          <w:snapToGrid/>
          <w:szCs w:val="24"/>
          <w:lang w:eastAsia="en-AU"/>
        </w:rPr>
        <w:t xml:space="preserve">that were made to address the PBAC’s previous concerns are </w:t>
      </w:r>
      <w:r w:rsidRPr="00483EB6">
        <w:rPr>
          <w:rFonts w:cs="Calibri"/>
          <w:snapToGrid/>
          <w:szCs w:val="24"/>
          <w:lang w:eastAsia="en-AU"/>
        </w:rPr>
        <w:t>outlined in the table below</w:t>
      </w:r>
      <w:r w:rsidR="00483EB6">
        <w:rPr>
          <w:rFonts w:cs="Calibri"/>
          <w:snapToGrid/>
          <w:szCs w:val="24"/>
          <w:lang w:eastAsia="en-AU"/>
        </w:rPr>
        <w:t xml:space="preserve">. </w:t>
      </w:r>
    </w:p>
    <w:p w:rsidR="007C2EFB" w:rsidRPr="00483EB6" w:rsidRDefault="007C2EFB" w:rsidP="007C2EFB">
      <w:pPr>
        <w:keepNext/>
        <w:keepLines/>
        <w:rPr>
          <w:rStyle w:val="CommentReference"/>
        </w:rPr>
      </w:pPr>
      <w:r w:rsidRPr="00483EB6">
        <w:rPr>
          <w:rStyle w:val="CommentReference"/>
        </w:rPr>
        <w:t xml:space="preserve">Table </w:t>
      </w:r>
      <w:r w:rsidR="005E2717" w:rsidRPr="00483EB6">
        <w:rPr>
          <w:rStyle w:val="CommentReference"/>
        </w:rPr>
        <w:t>11</w:t>
      </w:r>
      <w:r w:rsidRPr="00483EB6">
        <w:rPr>
          <w:rStyle w:val="CommentReference"/>
        </w:rPr>
        <w:t>: Key changes made in the economic model</w:t>
      </w:r>
      <w:r w:rsidR="0039588D" w:rsidRPr="00483EB6">
        <w:rPr>
          <w:rStyle w:val="CommentReference"/>
        </w:rPr>
        <w:t xml:space="preserve"> to address the PBAC’s previous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1: Key changes made in the economic model to address the PBAC’s previous concerns"/>
      </w:tblPr>
      <w:tblGrid>
        <w:gridCol w:w="3823"/>
        <w:gridCol w:w="5194"/>
      </w:tblGrid>
      <w:tr w:rsidR="007C2EFB" w:rsidRPr="00483EB6" w:rsidTr="0010204A">
        <w:trPr>
          <w:tblHeader/>
        </w:trPr>
        <w:tc>
          <w:tcPr>
            <w:tcW w:w="2120" w:type="pct"/>
            <w:shd w:val="clear" w:color="auto" w:fill="auto"/>
            <w:vAlign w:val="center"/>
          </w:tcPr>
          <w:p w:rsidR="007C2EFB" w:rsidRPr="00483EB6" w:rsidRDefault="007C2EFB" w:rsidP="006B710E">
            <w:pPr>
              <w:pStyle w:val="Tabletext"/>
              <w:keepNext/>
              <w:keepLines/>
              <w:rPr>
                <w:b/>
              </w:rPr>
            </w:pPr>
            <w:r w:rsidRPr="00483EB6">
              <w:rPr>
                <w:b/>
              </w:rPr>
              <w:t xml:space="preserve">Previous submission and PBAC consideration [Paragraph </w:t>
            </w:r>
            <w:r w:rsidR="006B710E" w:rsidRPr="00483EB6">
              <w:rPr>
                <w:b/>
              </w:rPr>
              <w:t>6.60</w:t>
            </w:r>
            <w:r w:rsidRPr="00483EB6">
              <w:rPr>
                <w:b/>
              </w:rPr>
              <w:t>]</w:t>
            </w:r>
          </w:p>
        </w:tc>
        <w:tc>
          <w:tcPr>
            <w:tcW w:w="2880" w:type="pct"/>
            <w:shd w:val="clear" w:color="auto" w:fill="auto"/>
            <w:vAlign w:val="center"/>
          </w:tcPr>
          <w:p w:rsidR="007C2EFB" w:rsidRPr="00483EB6" w:rsidRDefault="007C2EFB" w:rsidP="00BB7C8F">
            <w:pPr>
              <w:pStyle w:val="Tabletext"/>
              <w:keepNext/>
              <w:keepLines/>
              <w:jc w:val="center"/>
              <w:rPr>
                <w:b/>
              </w:rPr>
            </w:pPr>
            <w:r w:rsidRPr="00483EB6">
              <w:rPr>
                <w:b/>
              </w:rPr>
              <w:t>Resubmission</w:t>
            </w:r>
          </w:p>
        </w:tc>
      </w:tr>
      <w:tr w:rsidR="007C2EFB" w:rsidRPr="00483EB6" w:rsidTr="0010204A">
        <w:trPr>
          <w:tblHeader/>
        </w:trPr>
        <w:tc>
          <w:tcPr>
            <w:tcW w:w="2120" w:type="pct"/>
            <w:shd w:val="clear" w:color="auto" w:fill="auto"/>
            <w:vAlign w:val="center"/>
          </w:tcPr>
          <w:p w:rsidR="007C2EFB" w:rsidRPr="00483EB6" w:rsidRDefault="007C2EFB" w:rsidP="006B710E">
            <w:pPr>
              <w:pStyle w:val="Tabletext"/>
              <w:keepNext/>
              <w:keepLines/>
            </w:pPr>
            <w:r w:rsidRPr="00483EB6">
              <w:t>Survival outcomes based on ATT analysis. PBAC considered ATE</w:t>
            </w:r>
            <w:r w:rsidR="006B710E" w:rsidRPr="00483EB6">
              <w:t xml:space="preserve"> would be more appropriate </w:t>
            </w:r>
          </w:p>
        </w:tc>
        <w:tc>
          <w:tcPr>
            <w:tcW w:w="2880" w:type="pct"/>
            <w:shd w:val="clear" w:color="auto" w:fill="auto"/>
            <w:vAlign w:val="center"/>
          </w:tcPr>
          <w:p w:rsidR="007C2EFB" w:rsidRPr="00483EB6" w:rsidRDefault="007C2EFB" w:rsidP="00BB7C8F">
            <w:pPr>
              <w:pStyle w:val="Tabletext"/>
              <w:keepNext/>
              <w:keepLines/>
              <w:rPr>
                <w:i/>
              </w:rPr>
            </w:pPr>
            <w:r w:rsidRPr="00483EB6">
              <w:t>ATE analysis used.</w:t>
            </w:r>
            <w:r w:rsidR="00490D91" w:rsidRPr="00483EB6">
              <w:t xml:space="preserve"> This </w:t>
            </w:r>
            <w:r w:rsidR="00AB3D30" w:rsidRPr="00483EB6">
              <w:t>wa</w:t>
            </w:r>
            <w:r w:rsidR="00490D91" w:rsidRPr="00483EB6">
              <w:t>s appropriate.</w:t>
            </w:r>
          </w:p>
        </w:tc>
      </w:tr>
      <w:tr w:rsidR="007C2EFB" w:rsidRPr="00483EB6" w:rsidTr="0010204A">
        <w:trPr>
          <w:tblHeader/>
        </w:trPr>
        <w:tc>
          <w:tcPr>
            <w:tcW w:w="2120" w:type="pct"/>
            <w:shd w:val="clear" w:color="auto" w:fill="auto"/>
            <w:vAlign w:val="center"/>
          </w:tcPr>
          <w:p w:rsidR="007C2EFB" w:rsidRPr="00483EB6" w:rsidRDefault="0039588D" w:rsidP="006B710E">
            <w:pPr>
              <w:pStyle w:val="Tabletext"/>
              <w:keepNext/>
              <w:keepLines/>
            </w:pPr>
            <w:r w:rsidRPr="00483EB6">
              <w:t xml:space="preserve">The </w:t>
            </w:r>
            <w:r w:rsidR="007C2EFB" w:rsidRPr="00483EB6">
              <w:t>3 phase estimation of survival. PBAC considered this may not be re</w:t>
            </w:r>
            <w:r w:rsidR="006B710E" w:rsidRPr="00483EB6">
              <w:t xml:space="preserve">liable given structural issues </w:t>
            </w:r>
          </w:p>
        </w:tc>
        <w:tc>
          <w:tcPr>
            <w:tcW w:w="2880" w:type="pct"/>
            <w:shd w:val="clear" w:color="auto" w:fill="auto"/>
            <w:vAlign w:val="center"/>
          </w:tcPr>
          <w:p w:rsidR="007C2EFB" w:rsidRPr="00483EB6" w:rsidRDefault="007C2EFB" w:rsidP="00760AA8">
            <w:pPr>
              <w:pStyle w:val="Tabletext"/>
              <w:keepNext/>
              <w:keepLines/>
              <w:rPr>
                <w:i/>
              </w:rPr>
            </w:pPr>
            <w:r w:rsidRPr="00483EB6">
              <w:t>Simplified extrapolation of survival curves using parametric functions</w:t>
            </w:r>
            <w:r w:rsidR="00490D91" w:rsidRPr="00483EB6">
              <w:t xml:space="preserve">. The ESC considered that the simplification of the extrapolation approach was reasonable. However, the implication of convergence between </w:t>
            </w:r>
            <w:r w:rsidR="00760AA8" w:rsidRPr="00483EB6">
              <w:t>RFS and OS in the</w:t>
            </w:r>
            <w:r w:rsidR="00490D91" w:rsidRPr="00483EB6">
              <w:t xml:space="preserve"> blinatumomab arm was not clinically plausible.</w:t>
            </w:r>
          </w:p>
        </w:tc>
      </w:tr>
      <w:tr w:rsidR="007C2EFB" w:rsidRPr="00483EB6" w:rsidTr="0010204A">
        <w:trPr>
          <w:tblHeader/>
        </w:trPr>
        <w:tc>
          <w:tcPr>
            <w:tcW w:w="2120" w:type="pct"/>
            <w:shd w:val="clear" w:color="auto" w:fill="auto"/>
            <w:vAlign w:val="center"/>
          </w:tcPr>
          <w:p w:rsidR="007C2EFB" w:rsidRPr="00483EB6" w:rsidRDefault="007C2EFB" w:rsidP="006B710E">
            <w:pPr>
              <w:pStyle w:val="Tabletext"/>
              <w:keepNext/>
              <w:keepLines/>
            </w:pPr>
            <w:r w:rsidRPr="00483EB6">
              <w:t xml:space="preserve">Lack of documentation </w:t>
            </w:r>
            <w:r w:rsidR="006B710E" w:rsidRPr="00483EB6">
              <w:t xml:space="preserve">or validation to support </w:t>
            </w:r>
            <w:r w:rsidRPr="00483EB6">
              <w:t xml:space="preserve">utilities </w:t>
            </w:r>
          </w:p>
        </w:tc>
        <w:tc>
          <w:tcPr>
            <w:tcW w:w="2880" w:type="pct"/>
            <w:shd w:val="clear" w:color="auto" w:fill="auto"/>
            <w:vAlign w:val="center"/>
          </w:tcPr>
          <w:p w:rsidR="007C2EFB" w:rsidRPr="00483EB6" w:rsidRDefault="007C2EFB" w:rsidP="00BB7C8F">
            <w:pPr>
              <w:pStyle w:val="Tabletext"/>
              <w:keepNext/>
              <w:keepLines/>
              <w:rPr>
                <w:i/>
              </w:rPr>
            </w:pPr>
            <w:r w:rsidRPr="00483EB6">
              <w:t>Additional documentation provided to support the derivation of the utility values</w:t>
            </w:r>
          </w:p>
        </w:tc>
      </w:tr>
      <w:tr w:rsidR="007C2EFB" w:rsidRPr="00483EB6" w:rsidTr="0010204A">
        <w:trPr>
          <w:tblHeader/>
        </w:trPr>
        <w:tc>
          <w:tcPr>
            <w:tcW w:w="5000" w:type="pct"/>
            <w:gridSpan w:val="2"/>
            <w:shd w:val="clear" w:color="auto" w:fill="auto"/>
            <w:vAlign w:val="center"/>
          </w:tcPr>
          <w:p w:rsidR="007C2EFB" w:rsidRPr="00483EB6" w:rsidRDefault="007C2EFB" w:rsidP="00BB7C8F">
            <w:pPr>
              <w:pStyle w:val="Tabletext"/>
              <w:keepNext/>
              <w:keepLines/>
              <w:rPr>
                <w:b/>
              </w:rPr>
            </w:pPr>
            <w:r w:rsidRPr="00483EB6">
              <w:rPr>
                <w:i/>
              </w:rPr>
              <w:t xml:space="preserve"> </w:t>
            </w:r>
            <w:r w:rsidRPr="00483EB6">
              <w:rPr>
                <w:b/>
              </w:rPr>
              <w:t>Cost issues</w:t>
            </w:r>
          </w:p>
        </w:tc>
      </w:tr>
      <w:tr w:rsidR="002C7DD9" w:rsidRPr="00483EB6" w:rsidTr="0010204A">
        <w:trPr>
          <w:tblHeader/>
        </w:trPr>
        <w:tc>
          <w:tcPr>
            <w:tcW w:w="2120" w:type="pct"/>
            <w:shd w:val="clear" w:color="auto" w:fill="auto"/>
          </w:tcPr>
          <w:p w:rsidR="002C7DD9" w:rsidRPr="00483EB6" w:rsidRDefault="006B710E" w:rsidP="006B710E">
            <w:pPr>
              <w:pStyle w:val="Tabletext"/>
              <w:keepNext/>
              <w:keepLines/>
            </w:pPr>
            <w:r w:rsidRPr="00483EB6">
              <w:t xml:space="preserve">PBAC considered the </w:t>
            </w:r>
            <w:r w:rsidR="0039588D" w:rsidRPr="00483EB6">
              <w:t>treatment, downstream management, salvage therapy and health state costs may not be reliable given substantial uncertainties with the sources and calculations of all costs</w:t>
            </w:r>
            <w:r w:rsidRPr="00483EB6">
              <w:t xml:space="preserve">. </w:t>
            </w:r>
          </w:p>
        </w:tc>
        <w:tc>
          <w:tcPr>
            <w:tcW w:w="2880" w:type="pct"/>
            <w:shd w:val="clear" w:color="auto" w:fill="auto"/>
            <w:vAlign w:val="center"/>
          </w:tcPr>
          <w:p w:rsidR="002C7DD9" w:rsidRPr="00483EB6" w:rsidRDefault="006B710E" w:rsidP="002C7DD9">
            <w:pPr>
              <w:pStyle w:val="Tabletext"/>
              <w:keepNext/>
              <w:keepLines/>
            </w:pPr>
            <w:r w:rsidRPr="00483EB6">
              <w:t>Updated health state (non-drug) costs using healthcare resource utilisation estimates from a sponsor-commissioned Australian physician survey.</w:t>
            </w:r>
          </w:p>
          <w:p w:rsidR="006B710E" w:rsidRPr="00483EB6" w:rsidRDefault="006B710E" w:rsidP="002C7DD9">
            <w:pPr>
              <w:pStyle w:val="Tabletext"/>
              <w:keepNext/>
              <w:keepLines/>
              <w:rPr>
                <w:i/>
              </w:rPr>
            </w:pPr>
          </w:p>
          <w:p w:rsidR="006B710E" w:rsidRPr="00483EB6" w:rsidRDefault="006B710E" w:rsidP="002C7DD9">
            <w:pPr>
              <w:pStyle w:val="Tabletext"/>
              <w:keepNext/>
              <w:keepLines/>
            </w:pPr>
          </w:p>
        </w:tc>
      </w:tr>
      <w:tr w:rsidR="006B710E" w:rsidRPr="00483EB6" w:rsidTr="0010204A">
        <w:trPr>
          <w:tblHeader/>
        </w:trPr>
        <w:tc>
          <w:tcPr>
            <w:tcW w:w="2120" w:type="pct"/>
            <w:shd w:val="clear" w:color="auto" w:fill="auto"/>
          </w:tcPr>
          <w:p w:rsidR="006B710E" w:rsidRPr="00483EB6" w:rsidRDefault="006B710E" w:rsidP="000370CA">
            <w:pPr>
              <w:pStyle w:val="Tabletext"/>
              <w:keepNext/>
              <w:keepLines/>
              <w:numPr>
                <w:ilvl w:val="0"/>
                <w:numId w:val="6"/>
              </w:numPr>
              <w:ind w:left="254" w:hanging="112"/>
            </w:pPr>
            <w:r w:rsidRPr="00483EB6">
              <w:t>Consolidation chemotherapy: based on ALLG ALL6 (assuming 100% dose intensity), which may not reflect clinical practice</w:t>
            </w:r>
          </w:p>
          <w:p w:rsidR="006B710E" w:rsidRPr="00483EB6" w:rsidRDefault="006B710E" w:rsidP="006B710E">
            <w:pPr>
              <w:pStyle w:val="Tabletext"/>
              <w:keepNext/>
              <w:keepLines/>
              <w:ind w:left="254"/>
            </w:pPr>
          </w:p>
        </w:tc>
        <w:tc>
          <w:tcPr>
            <w:tcW w:w="2880" w:type="pct"/>
            <w:shd w:val="clear" w:color="auto" w:fill="auto"/>
            <w:vAlign w:val="center"/>
          </w:tcPr>
          <w:p w:rsidR="006B710E" w:rsidRPr="00483EB6" w:rsidRDefault="006B710E" w:rsidP="006B710E">
            <w:pPr>
              <w:pStyle w:val="Tabletext"/>
              <w:keepNext/>
              <w:keepLines/>
            </w:pPr>
            <w:r w:rsidRPr="00483EB6">
              <w:t>Based on a modified hyper-CVAD (Cycles 3-8 only; assuming 80% dose intensity)</w:t>
            </w:r>
            <w:r w:rsidRPr="00483EB6">
              <w:rPr>
                <w:i/>
              </w:rPr>
              <w:t>.</w:t>
            </w:r>
            <w:r w:rsidRPr="00483EB6">
              <w:t xml:space="preserve"> The ESC considered this was appropriate given the hyper-CVAD regimen is current standard of care in the Australian adult population and noting not all patients would complete the full course in clinical practice.</w:t>
            </w:r>
          </w:p>
        </w:tc>
      </w:tr>
      <w:tr w:rsidR="006B710E" w:rsidRPr="00483EB6" w:rsidTr="0010204A">
        <w:trPr>
          <w:tblHeader/>
        </w:trPr>
        <w:tc>
          <w:tcPr>
            <w:tcW w:w="2120" w:type="pct"/>
            <w:shd w:val="clear" w:color="auto" w:fill="auto"/>
          </w:tcPr>
          <w:p w:rsidR="006B710E" w:rsidRPr="00483EB6" w:rsidRDefault="006B710E" w:rsidP="000370CA">
            <w:pPr>
              <w:pStyle w:val="Tabletext"/>
              <w:keepNext/>
              <w:keepLines/>
              <w:numPr>
                <w:ilvl w:val="0"/>
                <w:numId w:val="6"/>
              </w:numPr>
              <w:ind w:left="254" w:hanging="112"/>
            </w:pPr>
            <w:r w:rsidRPr="00483EB6">
              <w:t>The economic model assumed that all relapse-free patients would receive maintenance therapy for 2 years based on the ALLG ALL6 protocol</w:t>
            </w:r>
          </w:p>
        </w:tc>
        <w:tc>
          <w:tcPr>
            <w:tcW w:w="2880" w:type="pct"/>
            <w:shd w:val="clear" w:color="auto" w:fill="auto"/>
            <w:vAlign w:val="center"/>
          </w:tcPr>
          <w:p w:rsidR="006B710E" w:rsidRPr="00483EB6" w:rsidRDefault="006B710E" w:rsidP="002C7DD9">
            <w:pPr>
              <w:pStyle w:val="Tabletext"/>
              <w:keepNext/>
              <w:keepLines/>
            </w:pPr>
            <w:r w:rsidRPr="00483EB6">
              <w:t>Removed maintenance chemotherapy drug costs.</w:t>
            </w:r>
            <w:r w:rsidRPr="00483EB6">
              <w:rPr>
                <w:i/>
              </w:rPr>
              <w:t xml:space="preserve"> </w:t>
            </w:r>
            <w:r w:rsidRPr="00483EB6">
              <w:t>The ESC noted that, while this approach was consistent with the efficacy data from the BLAST study, it was inconsistent with the proposed clinical algorithm where maintenance chemotherapy is proposed for both arms where a patient does not proceed to HSCT</w:t>
            </w:r>
            <w:r w:rsidR="00B614B5" w:rsidRPr="00483EB6">
              <w:t>.</w:t>
            </w:r>
          </w:p>
        </w:tc>
      </w:tr>
      <w:tr w:rsidR="002C7DD9" w:rsidRPr="00483EB6" w:rsidTr="0010204A">
        <w:trPr>
          <w:tblHeader/>
        </w:trPr>
        <w:tc>
          <w:tcPr>
            <w:tcW w:w="2120" w:type="pct"/>
            <w:shd w:val="clear" w:color="auto" w:fill="auto"/>
          </w:tcPr>
          <w:p w:rsidR="002C7DD9" w:rsidRPr="00483EB6" w:rsidRDefault="002C7DD9" w:rsidP="000370CA">
            <w:pPr>
              <w:pStyle w:val="Tabletext"/>
              <w:keepNext/>
              <w:keepLines/>
              <w:numPr>
                <w:ilvl w:val="0"/>
                <w:numId w:val="6"/>
              </w:numPr>
              <w:ind w:left="254" w:hanging="112"/>
            </w:pPr>
            <w:r w:rsidRPr="00483EB6">
              <w:t xml:space="preserve">Underestimated hospitalisation costs for blinatumomab administration (4 days for administration) </w:t>
            </w:r>
          </w:p>
        </w:tc>
        <w:tc>
          <w:tcPr>
            <w:tcW w:w="2880" w:type="pct"/>
            <w:shd w:val="clear" w:color="auto" w:fill="auto"/>
          </w:tcPr>
          <w:p w:rsidR="002C7DD9" w:rsidRPr="00483EB6" w:rsidRDefault="002C7DD9" w:rsidP="002C7DD9">
            <w:pPr>
              <w:pStyle w:val="Tabletext"/>
              <w:keepNext/>
              <w:keepLines/>
              <w:rPr>
                <w:i/>
              </w:rPr>
            </w:pPr>
            <w:r w:rsidRPr="00483EB6">
              <w:t xml:space="preserve">Increased to: 5 days for administration, 8.6 days for CSF prophylaxis, </w:t>
            </w:r>
            <w:proofErr w:type="gramStart"/>
            <w:r w:rsidRPr="00483EB6">
              <w:t>2.3</w:t>
            </w:r>
            <w:proofErr w:type="gramEnd"/>
            <w:r w:rsidRPr="00483EB6">
              <w:t xml:space="preserve"> days for AEs. </w:t>
            </w:r>
          </w:p>
        </w:tc>
      </w:tr>
      <w:tr w:rsidR="002C7DD9" w:rsidRPr="00483EB6" w:rsidTr="0010204A">
        <w:trPr>
          <w:tblHeader/>
        </w:trPr>
        <w:tc>
          <w:tcPr>
            <w:tcW w:w="2120" w:type="pct"/>
            <w:shd w:val="clear" w:color="auto" w:fill="auto"/>
          </w:tcPr>
          <w:p w:rsidR="002C7DD9" w:rsidRPr="00483EB6" w:rsidRDefault="002C7DD9" w:rsidP="000370CA">
            <w:pPr>
              <w:pStyle w:val="Tabletext"/>
              <w:keepNext/>
              <w:keepLines/>
              <w:numPr>
                <w:ilvl w:val="0"/>
                <w:numId w:val="6"/>
              </w:numPr>
              <w:ind w:left="254" w:hanging="112"/>
            </w:pPr>
            <w:r w:rsidRPr="00483EB6">
              <w:t>Did not address the costs, accuracy and impacts of MRD testing.</w:t>
            </w:r>
            <w:r w:rsidR="006B710E" w:rsidRPr="00483EB6">
              <w:t xml:space="preserve"> </w:t>
            </w:r>
          </w:p>
        </w:tc>
        <w:tc>
          <w:tcPr>
            <w:tcW w:w="2880" w:type="pct"/>
            <w:shd w:val="clear" w:color="auto" w:fill="auto"/>
          </w:tcPr>
          <w:p w:rsidR="002C7DD9" w:rsidRPr="00483EB6" w:rsidRDefault="002C7DD9" w:rsidP="002C7DD9">
            <w:pPr>
              <w:pStyle w:val="Tabletext"/>
              <w:keepNext/>
              <w:keepLines/>
            </w:pPr>
            <w:r w:rsidRPr="00483EB6">
              <w:t>Included MRD monitoring costs in blinatumomab arm ($808).</w:t>
            </w:r>
          </w:p>
          <w:p w:rsidR="002C7DD9" w:rsidRPr="00483EB6" w:rsidRDefault="002C7DD9" w:rsidP="002C7DD9">
            <w:pPr>
              <w:pStyle w:val="Tabletext"/>
              <w:keepNext/>
              <w:keepLines/>
              <w:rPr>
                <w:i/>
              </w:rPr>
            </w:pPr>
          </w:p>
        </w:tc>
      </w:tr>
      <w:tr w:rsidR="002C7DD9" w:rsidRPr="00483EB6" w:rsidTr="0010204A">
        <w:trPr>
          <w:tblHeader/>
        </w:trPr>
        <w:tc>
          <w:tcPr>
            <w:tcW w:w="2120" w:type="pct"/>
            <w:shd w:val="clear" w:color="auto" w:fill="auto"/>
            <w:vAlign w:val="center"/>
          </w:tcPr>
          <w:p w:rsidR="002C7DD9" w:rsidRPr="00483EB6" w:rsidRDefault="002C7DD9" w:rsidP="000370CA">
            <w:pPr>
              <w:pStyle w:val="Tabletext"/>
              <w:keepNext/>
              <w:keepLines/>
              <w:numPr>
                <w:ilvl w:val="0"/>
                <w:numId w:val="6"/>
              </w:numPr>
              <w:ind w:left="254" w:hanging="112"/>
            </w:pPr>
            <w:r w:rsidRPr="00483EB6">
              <w:t>Blinatumomab pre-medication and intrathecal prophylaxis costs not included</w:t>
            </w:r>
          </w:p>
        </w:tc>
        <w:tc>
          <w:tcPr>
            <w:tcW w:w="2880" w:type="pct"/>
            <w:shd w:val="clear" w:color="auto" w:fill="auto"/>
            <w:vAlign w:val="center"/>
          </w:tcPr>
          <w:p w:rsidR="002C7DD9" w:rsidRPr="00483EB6" w:rsidRDefault="002C7DD9" w:rsidP="002C7DD9">
            <w:pPr>
              <w:pStyle w:val="Tabletext"/>
              <w:keepNext/>
              <w:keepLines/>
              <w:rPr>
                <w:i/>
              </w:rPr>
            </w:pPr>
            <w:r w:rsidRPr="00483EB6">
              <w:t xml:space="preserve">Included </w:t>
            </w:r>
          </w:p>
        </w:tc>
      </w:tr>
      <w:tr w:rsidR="002C7DD9" w:rsidRPr="00483EB6" w:rsidTr="0010204A">
        <w:trPr>
          <w:tblHeader/>
        </w:trPr>
        <w:tc>
          <w:tcPr>
            <w:tcW w:w="2120" w:type="pct"/>
            <w:shd w:val="clear" w:color="auto" w:fill="auto"/>
            <w:vAlign w:val="center"/>
          </w:tcPr>
          <w:p w:rsidR="002C7DD9" w:rsidRPr="00483EB6" w:rsidRDefault="002C7DD9" w:rsidP="000370CA">
            <w:pPr>
              <w:pStyle w:val="Tabletext"/>
              <w:keepNext/>
              <w:keepLines/>
              <w:numPr>
                <w:ilvl w:val="0"/>
                <w:numId w:val="6"/>
              </w:numPr>
              <w:ind w:left="254" w:hanging="112"/>
            </w:pPr>
            <w:r w:rsidRPr="00483EB6">
              <w:t>AE costs should have been included</w:t>
            </w:r>
          </w:p>
        </w:tc>
        <w:tc>
          <w:tcPr>
            <w:tcW w:w="2880" w:type="pct"/>
            <w:shd w:val="clear" w:color="auto" w:fill="auto"/>
            <w:vAlign w:val="center"/>
          </w:tcPr>
          <w:p w:rsidR="002C7DD9" w:rsidRPr="00483EB6" w:rsidRDefault="002C7DD9" w:rsidP="002C7DD9">
            <w:pPr>
              <w:pStyle w:val="Tabletext"/>
              <w:keepNext/>
              <w:keepLines/>
              <w:rPr>
                <w:i/>
              </w:rPr>
            </w:pPr>
            <w:r w:rsidRPr="00483EB6">
              <w:t>Same AE costs used in both arms</w:t>
            </w:r>
          </w:p>
        </w:tc>
      </w:tr>
    </w:tbl>
    <w:p w:rsidR="007C2EFB" w:rsidRPr="00483EB6" w:rsidRDefault="007C2EFB" w:rsidP="007C2EFB">
      <w:pPr>
        <w:widowControl/>
      </w:pPr>
      <w:r w:rsidRPr="00483EB6">
        <w:rPr>
          <w:rFonts w:ascii="Arial Narrow" w:hAnsi="Arial Narrow"/>
          <w:sz w:val="18"/>
          <w:szCs w:val="18"/>
        </w:rPr>
        <w:t>Source: Constructed during preparation of the ESC advice</w:t>
      </w:r>
    </w:p>
    <w:p w:rsidR="003408F7" w:rsidRPr="00483EB6" w:rsidRDefault="003408F7" w:rsidP="0010204A">
      <w:pPr>
        <w:pStyle w:val="ListParagraph"/>
        <w:widowControl/>
        <w:numPr>
          <w:ilvl w:val="1"/>
          <w:numId w:val="3"/>
        </w:numPr>
        <w:spacing w:before="120" w:after="120"/>
      </w:pPr>
      <w:r w:rsidRPr="00483EB6">
        <w:t>Although the resubmission addressed each of the issues with the economic evaluation identified by the PBAC in its consideration of the previous submission (Blinatumomab PSD July 2018, para 6.60), the following issues were not adequately addressed and remain outstanding:</w:t>
      </w:r>
    </w:p>
    <w:p w:rsidR="003408F7" w:rsidRPr="00483EB6" w:rsidRDefault="003408F7" w:rsidP="0010204A">
      <w:pPr>
        <w:pStyle w:val="ListParagraph"/>
        <w:widowControl/>
        <w:numPr>
          <w:ilvl w:val="0"/>
          <w:numId w:val="1"/>
        </w:numPr>
        <w:spacing w:before="120" w:after="120"/>
      </w:pPr>
      <w:r w:rsidRPr="00483EB6">
        <w:t>The lack of evidence to support a</w:t>
      </w:r>
      <w:r w:rsidR="00857732" w:rsidRPr="00483EB6">
        <w:t xml:space="preserve"> statistically significant</w:t>
      </w:r>
      <w:r w:rsidRPr="00483EB6">
        <w:t xml:space="preserve"> improvement in overall survival for blinatumomab</w:t>
      </w:r>
      <w:r w:rsidR="00E169E8" w:rsidRPr="00483EB6">
        <w:t xml:space="preserve"> in the ATE analysis</w:t>
      </w:r>
      <w:r w:rsidR="00943850" w:rsidRPr="00483EB6">
        <w:t xml:space="preserve">. </w:t>
      </w:r>
      <w:r w:rsidR="00A572F7" w:rsidRPr="00483EB6">
        <w:t xml:space="preserve">The PSCR argued that whilst the results of the ATE weighted analysis for overall survival did not reach statistical significance, a numerical improvement in favour of blinatumomab was observed with the upper confidence interval only marginally exceeding the point of significance. </w:t>
      </w:r>
      <w:r w:rsidR="00943850" w:rsidRPr="00483EB6">
        <w:t xml:space="preserve">The </w:t>
      </w:r>
      <w:r w:rsidR="00E169E8" w:rsidRPr="00483EB6">
        <w:t>ESC considered the</w:t>
      </w:r>
      <w:r w:rsidR="00A76470" w:rsidRPr="00483EB6">
        <w:t xml:space="preserve"> appropriateness of</w:t>
      </w:r>
      <w:r w:rsidR="00E169E8" w:rsidRPr="00483EB6">
        <w:t xml:space="preserve"> i</w:t>
      </w:r>
      <w:r w:rsidR="00A76470" w:rsidRPr="00483EB6">
        <w:t>ncluding</w:t>
      </w:r>
      <w:r w:rsidR="00E169E8" w:rsidRPr="00483EB6">
        <w:t xml:space="preserve"> an overall </w:t>
      </w:r>
      <w:r w:rsidR="00E169E8" w:rsidRPr="00483EB6">
        <w:lastRenderedPageBreak/>
        <w:t>survival benefit</w:t>
      </w:r>
      <w:r w:rsidR="00A76470" w:rsidRPr="00483EB6">
        <w:t xml:space="preserve"> was dependent on</w:t>
      </w:r>
      <w:r w:rsidR="00695403" w:rsidRPr="00483EB6">
        <w:t>:</w:t>
      </w:r>
      <w:r w:rsidR="00A76470" w:rsidRPr="00483EB6">
        <w:t xml:space="preserve"> </w:t>
      </w:r>
      <w:r w:rsidR="00695403" w:rsidRPr="00483EB6">
        <w:t>whether the indirect comparison is considered rel</w:t>
      </w:r>
      <w:r w:rsidR="00123A21" w:rsidRPr="00483EB6">
        <w:t>iabl</w:t>
      </w:r>
      <w:r w:rsidR="00695403" w:rsidRPr="00483EB6">
        <w:t>e (e.g.</w:t>
      </w:r>
      <w:r w:rsidR="00B614B5" w:rsidRPr="00483EB6">
        <w:t xml:space="preserve"> whether</w:t>
      </w:r>
      <w:r w:rsidR="00695403" w:rsidRPr="00483EB6">
        <w:t xml:space="preserve"> </w:t>
      </w:r>
      <w:r w:rsidR="00123A21" w:rsidRPr="00483EB6">
        <w:t>the results may be</w:t>
      </w:r>
      <w:r w:rsidR="00B614B5" w:rsidRPr="00483EB6">
        <w:t xml:space="preserve"> </w:t>
      </w:r>
      <w:r w:rsidR="00123A21" w:rsidRPr="00483EB6">
        <w:t xml:space="preserve">confounded by historical control data which may not reflect outcomes </w:t>
      </w:r>
      <w:r w:rsidR="0019046A" w:rsidRPr="00483EB6">
        <w:t xml:space="preserve">in </w:t>
      </w:r>
      <w:r w:rsidR="00123A21" w:rsidRPr="00483EB6">
        <w:t xml:space="preserve">current Australian practice); </w:t>
      </w:r>
      <w:r w:rsidR="00695403" w:rsidRPr="00483EB6">
        <w:t>and whether</w:t>
      </w:r>
      <w:r w:rsidR="004D621C" w:rsidRPr="00483EB6">
        <w:t xml:space="preserve"> the plateau observed in the overall survival curve of the updated BLAST study data (</w:t>
      </w:r>
      <w:r w:rsidR="006B716D">
        <w:t>see paragraph 6.31</w:t>
      </w:r>
      <w:r w:rsidR="004D621C" w:rsidRPr="00483EB6">
        <w:t>)</w:t>
      </w:r>
      <w:r w:rsidR="005B3532" w:rsidRPr="00483EB6">
        <w:t xml:space="preserve"> could be reasonably assumed to represent longer-term</w:t>
      </w:r>
      <w:r w:rsidR="002306E5" w:rsidRPr="00483EB6">
        <w:t xml:space="preserve">, </w:t>
      </w:r>
      <w:r w:rsidR="00760AA8" w:rsidRPr="00483EB6">
        <w:t>durable overall</w:t>
      </w:r>
      <w:r w:rsidR="005B3532" w:rsidRPr="00483EB6">
        <w:t xml:space="preserve"> survival</w:t>
      </w:r>
      <w:r w:rsidR="00E11B7E" w:rsidRPr="00483EB6">
        <w:t>;</w:t>
      </w:r>
      <w:r w:rsidR="00811D87" w:rsidRPr="00483EB6">
        <w:t xml:space="preserve"> </w:t>
      </w:r>
    </w:p>
    <w:p w:rsidR="003408F7" w:rsidRPr="00483EB6" w:rsidRDefault="003408F7" w:rsidP="0010204A">
      <w:pPr>
        <w:pStyle w:val="ListParagraph"/>
        <w:widowControl/>
        <w:numPr>
          <w:ilvl w:val="0"/>
          <w:numId w:val="1"/>
        </w:numPr>
        <w:spacing w:before="120" w:after="120"/>
      </w:pPr>
      <w:r w:rsidRPr="00483EB6">
        <w:t>Whether the modelled population and circumstances of use are representative of the target PBS population</w:t>
      </w:r>
      <w:r w:rsidR="00E11B7E" w:rsidRPr="00483EB6">
        <w:t xml:space="preserve">. For example, the ESC noted that the base case </w:t>
      </w:r>
      <w:r w:rsidR="000972E0" w:rsidRPr="00483EB6">
        <w:t xml:space="preserve">of the model </w:t>
      </w:r>
      <w:r w:rsidR="00E11B7E" w:rsidRPr="00483EB6">
        <w:t>was based on patients in first relapse only</w:t>
      </w:r>
      <w:r w:rsidR="0019046A" w:rsidRPr="00483EB6">
        <w:t>;</w:t>
      </w:r>
      <w:r w:rsidR="00E11B7E" w:rsidRPr="00483EB6">
        <w:t xml:space="preserve"> a sensitivity analysis based on patients in second and third relapse only increased the ICER from </w:t>
      </w:r>
      <w:r w:rsidR="00F42E0E">
        <w:t>$75,000/QALY - $105,000</w:t>
      </w:r>
      <w:r w:rsidR="00E11B7E" w:rsidRPr="00483EB6">
        <w:t xml:space="preserve">/QALY to </w:t>
      </w:r>
      <w:r w:rsidR="00F42E0E">
        <w:t>$105,000/QALY - $200,000</w:t>
      </w:r>
      <w:r w:rsidR="00E11B7E" w:rsidRPr="00483EB6">
        <w:t>/QALY</w:t>
      </w:r>
      <w:r w:rsidRPr="00483EB6">
        <w:t>;</w:t>
      </w:r>
    </w:p>
    <w:p w:rsidR="000972E0" w:rsidRPr="00483EB6" w:rsidRDefault="003408F7" w:rsidP="0010204A">
      <w:pPr>
        <w:pStyle w:val="ListParagraph"/>
        <w:widowControl/>
        <w:numPr>
          <w:ilvl w:val="0"/>
          <w:numId w:val="1"/>
        </w:numPr>
        <w:spacing w:before="120" w:after="120"/>
        <w:ind w:left="1077" w:hanging="357"/>
      </w:pPr>
      <w:r w:rsidRPr="00483EB6">
        <w:t>The adjust</w:t>
      </w:r>
      <w:r w:rsidR="00B63022" w:rsidRPr="00483EB6">
        <w:t>ment of</w:t>
      </w:r>
      <w:r w:rsidRPr="00483EB6">
        <w:t xml:space="preserve"> relapse-free survival to not exceed overall survival</w:t>
      </w:r>
      <w:r w:rsidR="00B63022" w:rsidRPr="00483EB6">
        <w:t xml:space="preserve"> in the blinatumomab arm only</w:t>
      </w:r>
      <w:r w:rsidRPr="00483EB6">
        <w:t xml:space="preserve"> </w:t>
      </w:r>
      <w:r w:rsidR="00AC7F55" w:rsidRPr="00483EB6">
        <w:t xml:space="preserve">(discussed </w:t>
      </w:r>
      <w:r w:rsidR="00BE231B" w:rsidRPr="00483EB6">
        <w:t>further below</w:t>
      </w:r>
      <w:r w:rsidR="00AC7F55" w:rsidRPr="00483EB6">
        <w:t>)</w:t>
      </w:r>
      <w:r w:rsidR="000972E0" w:rsidRPr="00483EB6">
        <w:t>;</w:t>
      </w:r>
      <w:r w:rsidR="00AC7F55" w:rsidRPr="00483EB6">
        <w:t xml:space="preserve"> </w:t>
      </w:r>
    </w:p>
    <w:p w:rsidR="003408F7" w:rsidRPr="00483EB6" w:rsidRDefault="000972E0" w:rsidP="0010204A">
      <w:pPr>
        <w:pStyle w:val="ListParagraph"/>
        <w:widowControl/>
        <w:numPr>
          <w:ilvl w:val="0"/>
          <w:numId w:val="1"/>
        </w:numPr>
        <w:spacing w:before="120" w:after="120"/>
        <w:ind w:left="1077" w:hanging="357"/>
      </w:pPr>
      <w:r w:rsidRPr="00483EB6">
        <w:t>T</w:t>
      </w:r>
      <w:r w:rsidR="003408F7" w:rsidRPr="00483EB6">
        <w:t>he lack of a time on treatment curve;</w:t>
      </w:r>
    </w:p>
    <w:p w:rsidR="003408F7" w:rsidRPr="00483EB6" w:rsidRDefault="003408F7" w:rsidP="0010204A">
      <w:pPr>
        <w:pStyle w:val="ListParagraph"/>
        <w:widowControl/>
        <w:numPr>
          <w:ilvl w:val="0"/>
          <w:numId w:val="1"/>
        </w:numPr>
        <w:spacing w:before="120" w:after="120"/>
        <w:ind w:left="1077" w:hanging="357"/>
      </w:pPr>
      <w:r w:rsidRPr="00483EB6">
        <w:t>The inclusion of HSCT as a cost item rather than an event in the model</w:t>
      </w:r>
      <w:r w:rsidR="00AC7F55" w:rsidRPr="00483EB6">
        <w:t xml:space="preserve"> (</w:t>
      </w:r>
      <w:r w:rsidR="00E11B7E" w:rsidRPr="00483EB6">
        <w:t>discussed further below</w:t>
      </w:r>
      <w:r w:rsidR="00AC7F55" w:rsidRPr="00483EB6">
        <w:t>)</w:t>
      </w:r>
      <w:r w:rsidRPr="00483EB6">
        <w:t>;</w:t>
      </w:r>
    </w:p>
    <w:p w:rsidR="003408F7" w:rsidRPr="00483EB6" w:rsidRDefault="003408F7" w:rsidP="0010204A">
      <w:pPr>
        <w:pStyle w:val="ListParagraph"/>
        <w:widowControl/>
        <w:numPr>
          <w:ilvl w:val="0"/>
          <w:numId w:val="1"/>
        </w:numPr>
        <w:spacing w:before="120" w:after="120"/>
        <w:ind w:left="1077" w:hanging="357"/>
      </w:pPr>
      <w:r w:rsidRPr="00483EB6">
        <w:t>The reliability of health state costs given substantial uncertainties with the sources and calculation of costs</w:t>
      </w:r>
      <w:r w:rsidR="00AC7F55" w:rsidRPr="00483EB6">
        <w:t xml:space="preserve"> (discussed further below)</w:t>
      </w:r>
      <w:r w:rsidRPr="00483EB6">
        <w:t>; and</w:t>
      </w:r>
    </w:p>
    <w:p w:rsidR="003408F7" w:rsidRPr="00483EB6" w:rsidRDefault="003408F7" w:rsidP="0010204A">
      <w:pPr>
        <w:pStyle w:val="ListParagraph"/>
        <w:widowControl/>
        <w:numPr>
          <w:ilvl w:val="0"/>
          <w:numId w:val="1"/>
        </w:numPr>
        <w:spacing w:before="120" w:after="120"/>
        <w:ind w:left="1077" w:hanging="357"/>
      </w:pPr>
      <w:r w:rsidRPr="00483EB6">
        <w:t>Poor documentation and limited validation of a complex multi-step approach to estimating utility values</w:t>
      </w:r>
      <w:r w:rsidR="00AC7F55" w:rsidRPr="00483EB6">
        <w:t xml:space="preserve"> (discussed further below)</w:t>
      </w:r>
      <w:r w:rsidRPr="00483EB6">
        <w:t>.</w:t>
      </w:r>
    </w:p>
    <w:p w:rsidR="00483EB6" w:rsidRDefault="003408F7" w:rsidP="0010204A">
      <w:pPr>
        <w:pStyle w:val="ListParagraph"/>
        <w:numPr>
          <w:ilvl w:val="1"/>
          <w:numId w:val="3"/>
        </w:numPr>
        <w:spacing w:before="120" w:after="120"/>
      </w:pPr>
      <w:r w:rsidRPr="00483EB6">
        <w:t>In addition to concerns previously raised by PBAC there are number of other issues associated with the updated economic model:</w:t>
      </w:r>
    </w:p>
    <w:p w:rsidR="00483EB6" w:rsidRDefault="003408F7" w:rsidP="0010204A">
      <w:pPr>
        <w:pStyle w:val="ListParagraph"/>
        <w:numPr>
          <w:ilvl w:val="0"/>
          <w:numId w:val="18"/>
        </w:numPr>
        <w:spacing w:before="120" w:after="120"/>
        <w:ind w:left="1077" w:hanging="357"/>
      </w:pPr>
      <w:r w:rsidRPr="00483EB6">
        <w:t>the potentially higher number of treatment days with blinatumomab in the ATE-weighted versus overall population;</w:t>
      </w:r>
    </w:p>
    <w:p w:rsidR="00483EB6" w:rsidRDefault="003408F7" w:rsidP="0010204A">
      <w:pPr>
        <w:pStyle w:val="ListParagraph"/>
        <w:numPr>
          <w:ilvl w:val="0"/>
          <w:numId w:val="18"/>
        </w:numPr>
        <w:spacing w:before="120" w:after="120"/>
        <w:ind w:left="1077" w:hanging="357"/>
      </w:pPr>
      <w:r w:rsidRPr="00483EB6">
        <w:t xml:space="preserve">the inclusion of </w:t>
      </w:r>
      <w:proofErr w:type="spellStart"/>
      <w:r w:rsidRPr="00483EB6">
        <w:t>Ph</w:t>
      </w:r>
      <w:proofErr w:type="spellEnd"/>
      <w:r w:rsidRPr="00483EB6">
        <w:t xml:space="preserve">+ drug costs in the comparator arm while the rest of the model was based on a </w:t>
      </w:r>
      <w:proofErr w:type="spellStart"/>
      <w:r w:rsidRPr="00483EB6">
        <w:t>Ph</w:t>
      </w:r>
      <w:proofErr w:type="spellEnd"/>
      <w:r w:rsidRPr="00483EB6">
        <w:t>- population;</w:t>
      </w:r>
    </w:p>
    <w:p w:rsidR="00483EB6" w:rsidRDefault="003408F7" w:rsidP="0010204A">
      <w:pPr>
        <w:pStyle w:val="ListParagraph"/>
        <w:numPr>
          <w:ilvl w:val="0"/>
          <w:numId w:val="18"/>
        </w:numPr>
        <w:spacing w:before="120" w:after="120"/>
        <w:ind w:left="1077" w:hanging="357"/>
      </w:pPr>
      <w:r w:rsidRPr="00483EB6">
        <w:t>uncertainty with the estimated costs, accuracy and likely impacts on health outcomes due to MRD testing;</w:t>
      </w:r>
    </w:p>
    <w:p w:rsidR="00483EB6" w:rsidRDefault="003408F7" w:rsidP="0010204A">
      <w:pPr>
        <w:pStyle w:val="ListParagraph"/>
        <w:numPr>
          <w:ilvl w:val="0"/>
          <w:numId w:val="18"/>
        </w:numPr>
        <w:spacing w:before="120" w:after="120"/>
        <w:ind w:left="1077" w:hanging="357"/>
      </w:pPr>
      <w:r w:rsidRPr="00483EB6">
        <w:t>the use of equivalent adverse event costs assuming non-inferior safety between treatment arms; and</w:t>
      </w:r>
    </w:p>
    <w:p w:rsidR="003408F7" w:rsidRPr="00483EB6" w:rsidRDefault="003408F7" w:rsidP="0010204A">
      <w:pPr>
        <w:pStyle w:val="ListParagraph"/>
        <w:numPr>
          <w:ilvl w:val="0"/>
          <w:numId w:val="18"/>
        </w:numPr>
        <w:spacing w:before="120" w:after="120"/>
        <w:ind w:left="1077" w:hanging="357"/>
      </w:pPr>
      <w:proofErr w:type="gramStart"/>
      <w:r w:rsidRPr="00483EB6">
        <w:t>costs</w:t>
      </w:r>
      <w:proofErr w:type="gramEnd"/>
      <w:r w:rsidRPr="00483EB6">
        <w:t xml:space="preserve"> of salvage therapy given the availability of blinatumomab and inotuzumab.</w:t>
      </w:r>
    </w:p>
    <w:p w:rsidR="00BE231B" w:rsidRPr="00483EB6" w:rsidRDefault="00BE231B" w:rsidP="0010204A">
      <w:pPr>
        <w:pStyle w:val="ListParagraph"/>
        <w:widowControl/>
        <w:numPr>
          <w:ilvl w:val="1"/>
          <w:numId w:val="3"/>
        </w:numPr>
        <w:spacing w:before="120" w:after="120"/>
      </w:pPr>
      <w:r w:rsidRPr="00483EB6">
        <w:t xml:space="preserve">To address the PBAC’s previous concerns about structural issues with the previous 3-phase approach, the resubmission used a simplified extrapolation of survival curves using parametric functions. The ESC noted that survival in the consolidation chemotherapy arm was estimated from Kaplan-Meier data for the </w:t>
      </w:r>
      <w:r w:rsidRPr="00483EB6">
        <w:rPr>
          <w:snapToGrid/>
          <w:lang w:eastAsia="en-AU"/>
        </w:rPr>
        <w:t xml:space="preserve">ATE-weighted population of the historical control (0 to 4 years) with long term survival extrapolated using parametric survival functions (fitted to ATE-weighted survival data from 0-10 years from the historical control). The treatment effect of blinatumomab compared </w:t>
      </w:r>
      <w:r w:rsidRPr="00483EB6">
        <w:rPr>
          <w:snapToGrid/>
          <w:lang w:eastAsia="en-AU"/>
        </w:rPr>
        <w:lastRenderedPageBreak/>
        <w:t>to consolidation chemotherapy was based on the propensity score indirect analysis</w:t>
      </w:r>
      <w:r w:rsidRPr="00483EB6" w:rsidDel="00EF6AFD">
        <w:rPr>
          <w:snapToGrid/>
          <w:lang w:eastAsia="en-AU"/>
        </w:rPr>
        <w:t xml:space="preserve"> </w:t>
      </w:r>
      <w:r w:rsidRPr="00483EB6">
        <w:rPr>
          <w:snapToGrid/>
          <w:lang w:eastAsia="en-AU"/>
        </w:rPr>
        <w:t xml:space="preserve">using ATE weights (0-4 years) and the assumption of no difference in hazards between treatments beyond 4 years. The ESC considered the revised extrapolation of survival was less uncertain than </w:t>
      </w:r>
      <w:r w:rsidRPr="00483EB6">
        <w:t xml:space="preserve">the previous </w:t>
      </w:r>
      <w:r w:rsidR="00483EB6" w:rsidRPr="00483EB6">
        <w:t>submission that</w:t>
      </w:r>
      <w:r w:rsidRPr="00483EB6">
        <w:t xml:space="preserve"> required major adjustments to reconcile values. However, the ESC considered that issues remained with the approach used, </w:t>
      </w:r>
      <w:r w:rsidR="002306E5" w:rsidRPr="00483EB6">
        <w:t>particularly the requirement to</w:t>
      </w:r>
      <w:r w:rsidRPr="00483EB6">
        <w:t xml:space="preserve"> adjust relapse-free survival to not exceed overall survival in the blinatumomab ar</w:t>
      </w:r>
      <w:r w:rsidR="00A070B6">
        <w:t xml:space="preserve">m (as outlined in Paragraphs 6.62 to 6.63). </w:t>
      </w:r>
    </w:p>
    <w:p w:rsidR="00AC7F55" w:rsidRPr="00483EB6" w:rsidRDefault="00695403" w:rsidP="0010204A">
      <w:pPr>
        <w:pStyle w:val="ListParagraph"/>
        <w:widowControl/>
        <w:numPr>
          <w:ilvl w:val="1"/>
          <w:numId w:val="3"/>
        </w:numPr>
        <w:spacing w:before="120" w:after="120"/>
      </w:pPr>
      <w:r w:rsidRPr="00483EB6">
        <w:t>The PBAC previously considered that HSCT should be included as an event in the model, rather than</w:t>
      </w:r>
      <w:r w:rsidR="00BB7C8F" w:rsidRPr="00483EB6">
        <w:t xml:space="preserve"> just</w:t>
      </w:r>
      <w:r w:rsidRPr="00483EB6">
        <w:t xml:space="preserve"> a cost item</w:t>
      </w:r>
      <w:r w:rsidR="00BB7C8F" w:rsidRPr="00483EB6">
        <w:t xml:space="preserve"> (</w:t>
      </w:r>
      <w:r w:rsidR="002619CA" w:rsidRPr="00483EB6">
        <w:t xml:space="preserve">Blinatumomab PSD July 2018, para </w:t>
      </w:r>
      <w:r w:rsidR="004F5137" w:rsidRPr="00483EB6">
        <w:t>6.60</w:t>
      </w:r>
      <w:r w:rsidR="00BB7C8F" w:rsidRPr="00483EB6">
        <w:t>).</w:t>
      </w:r>
      <w:r w:rsidRPr="00483EB6">
        <w:t xml:space="preserve"> </w:t>
      </w:r>
      <w:r w:rsidR="00BB7C8F" w:rsidRPr="00483EB6">
        <w:t xml:space="preserve">The resubmission </w:t>
      </w:r>
      <w:r w:rsidR="002619CA" w:rsidRPr="00483EB6">
        <w:t>continued to exclude HSCT as an event in the model stating</w:t>
      </w:r>
      <w:r w:rsidR="00BB7C8F" w:rsidRPr="00483EB6">
        <w:t xml:space="preserve"> that </w:t>
      </w:r>
      <w:r w:rsidR="002619CA" w:rsidRPr="00483EB6">
        <w:t>it</w:t>
      </w:r>
      <w:r w:rsidR="00123A21" w:rsidRPr="00483EB6">
        <w:t xml:space="preserve"> would increase uncertainty given the limited data to inform </w:t>
      </w:r>
      <w:r w:rsidR="002619CA" w:rsidRPr="00483EB6">
        <w:t>any assumptions</w:t>
      </w:r>
      <w:r w:rsidR="00123A21" w:rsidRPr="00483EB6">
        <w:t xml:space="preserve"> and </w:t>
      </w:r>
      <w:r w:rsidR="00BB7C8F" w:rsidRPr="00483EB6">
        <w:t>t</w:t>
      </w:r>
      <w:r w:rsidR="00123A21" w:rsidRPr="00483EB6">
        <w:t>hat it is not possible to discern the relative impact of blinatumomab and HSCT on the overall treatment effect observed.</w:t>
      </w:r>
      <w:r w:rsidR="002619CA" w:rsidRPr="00483EB6">
        <w:t xml:space="preserve"> The resubmission stated that HSCT was included as a cost item only because the outcomes </w:t>
      </w:r>
      <w:r w:rsidR="004F5137" w:rsidRPr="00483EB6">
        <w:t>included in</w:t>
      </w:r>
      <w:r w:rsidR="002619CA" w:rsidRPr="00483EB6">
        <w:t xml:space="preserve"> the model ar</w:t>
      </w:r>
      <w:r w:rsidR="004F5137" w:rsidRPr="00483EB6">
        <w:t>e derived from dataset</w:t>
      </w:r>
      <w:r w:rsidR="003D22AD" w:rsidRPr="00483EB6">
        <w:t>s</w:t>
      </w:r>
      <w:r w:rsidR="004F5137" w:rsidRPr="00483EB6">
        <w:t xml:space="preserve"> where HSCT</w:t>
      </w:r>
      <w:r w:rsidR="006A3FDB" w:rsidRPr="00483EB6">
        <w:t>s</w:t>
      </w:r>
      <w:r w:rsidR="004F5137" w:rsidRPr="00483EB6">
        <w:t xml:space="preserve"> occurred</w:t>
      </w:r>
      <w:r w:rsidR="002619CA" w:rsidRPr="00483EB6">
        <w:t>, therefore the risks and benefits are implicit to the model. The resubmission estimated the cost of HSCT based on the</w:t>
      </w:r>
      <w:r w:rsidR="00123A21" w:rsidRPr="00483EB6">
        <w:t xml:space="preserve"> transplant rates </w:t>
      </w:r>
      <w:r w:rsidR="002619CA" w:rsidRPr="00483EB6">
        <w:t>from the studies</w:t>
      </w:r>
      <w:r w:rsidR="00123A21" w:rsidRPr="00483EB6">
        <w:t xml:space="preserve"> (72.6% in BLAST versus 38.4% in historical control)</w:t>
      </w:r>
      <w:r w:rsidR="002619CA" w:rsidRPr="00483EB6">
        <w:t xml:space="preserve">. </w:t>
      </w:r>
      <w:r w:rsidR="00AC7F55" w:rsidRPr="00483EB6">
        <w:t>While the ESC acknowledged th</w:t>
      </w:r>
      <w:r w:rsidR="004F5137" w:rsidRPr="00483EB6">
        <w:t>ere was likely insufficient data to model HSCT as an event</w:t>
      </w:r>
      <w:r w:rsidR="00483EB6">
        <w:t xml:space="preserve"> reliably</w:t>
      </w:r>
      <w:r w:rsidR="004F5137" w:rsidRPr="00483EB6">
        <w:t>, t</w:t>
      </w:r>
      <w:r w:rsidR="00AC7F55" w:rsidRPr="00483EB6">
        <w:t xml:space="preserve">he ESC </w:t>
      </w:r>
      <w:r w:rsidR="00BB7C8F" w:rsidRPr="00483EB6">
        <w:t>considered that</w:t>
      </w:r>
      <w:r w:rsidR="004F5137" w:rsidRPr="00483EB6">
        <w:t xml:space="preserve"> the impact (the direction and magnitude of effect on</w:t>
      </w:r>
      <w:r w:rsidR="003D22AD" w:rsidRPr="00483EB6">
        <w:t xml:space="preserve"> the</w:t>
      </w:r>
      <w:r w:rsidR="004F5137" w:rsidRPr="00483EB6">
        <w:t xml:space="preserve"> ICER) of not including HSCT as an event was unknown and</w:t>
      </w:r>
      <w:r w:rsidR="00BB7C8F" w:rsidRPr="00483EB6">
        <w:t xml:space="preserve"> </w:t>
      </w:r>
      <w:r w:rsidR="004F5137" w:rsidRPr="00483EB6">
        <w:t xml:space="preserve">this introduced uncertainties into the model. </w:t>
      </w:r>
    </w:p>
    <w:p w:rsidR="002113E5" w:rsidRPr="00483EB6" w:rsidRDefault="00E636F6" w:rsidP="0010204A">
      <w:pPr>
        <w:pStyle w:val="ListParagraph"/>
        <w:widowControl/>
        <w:numPr>
          <w:ilvl w:val="1"/>
          <w:numId w:val="3"/>
        </w:numPr>
        <w:spacing w:before="120" w:after="120"/>
      </w:pPr>
      <w:r w:rsidRPr="00483EB6">
        <w:t>The PBAC previously considered that there was a lack of adequate documentation in the previous submission to support utility values estimated through a complex multi-step approach and noted that overall EQ-5D results for the BLAST study were not provided (Blinatumomab PSD July 2018, para 6.60). To address this issue, the resubmission provided additional documentation and validation of these estimates.</w:t>
      </w:r>
      <w:r w:rsidR="00732B00" w:rsidRPr="00483EB6">
        <w:t xml:space="preserve"> </w:t>
      </w:r>
      <w:r w:rsidR="008F483A" w:rsidRPr="00483EB6">
        <w:t xml:space="preserve">The utility estimate for relapse-free disease was not adequately supported </w:t>
      </w:r>
      <w:r w:rsidR="00D946C1" w:rsidRPr="00483EB6">
        <w:t xml:space="preserve">as it </w:t>
      </w:r>
      <w:r w:rsidR="008F483A" w:rsidRPr="00483EB6">
        <w:t xml:space="preserve">included inappropriate covariate analysis, </w:t>
      </w:r>
      <w:r w:rsidR="001B5583" w:rsidRPr="00483EB6">
        <w:t xml:space="preserve">had </w:t>
      </w:r>
      <w:r w:rsidR="008F483A" w:rsidRPr="00483EB6">
        <w:t>poor accounting of data loss</w:t>
      </w:r>
      <w:r w:rsidR="001B5583" w:rsidRPr="00483EB6">
        <w:t xml:space="preserve">, and the </w:t>
      </w:r>
      <w:r w:rsidR="008F483A" w:rsidRPr="00483EB6">
        <w:t xml:space="preserve">ATT analysis </w:t>
      </w:r>
      <w:r w:rsidR="001B5583" w:rsidRPr="00483EB6">
        <w:t xml:space="preserve">was used </w:t>
      </w:r>
      <w:r w:rsidR="008F483A" w:rsidRPr="00483EB6">
        <w:t>for utilities v</w:t>
      </w:r>
      <w:r w:rsidR="001B5583" w:rsidRPr="00483EB6">
        <w:t>ersus</w:t>
      </w:r>
      <w:r w:rsidR="008F483A" w:rsidRPr="00483EB6">
        <w:t xml:space="preserve"> ATE for the rest of the e</w:t>
      </w:r>
      <w:r w:rsidR="00D946C1" w:rsidRPr="00483EB6">
        <w:t>conomic model</w:t>
      </w:r>
      <w:r w:rsidR="008F483A" w:rsidRPr="00483EB6">
        <w:t>. The utility estimate for relapsed disease was not adequately supported as it was based on a complex multi-step approach with propensity score matching between BLAST and TOWER, poor accounting of data loss and resulted in an estimate substantially worse than previously estimated in the blinatumomab submission for relapsed/refractory disease</w:t>
      </w:r>
      <w:r w:rsidR="00AA78E3" w:rsidRPr="00483EB6">
        <w:t xml:space="preserve"> (0.69 </w:t>
      </w:r>
      <w:r w:rsidR="00727C0A" w:rsidRPr="00483EB6">
        <w:t xml:space="preserve">for ‘relapsed disease’ in the resubmission </w:t>
      </w:r>
      <w:r w:rsidR="00AA78E3" w:rsidRPr="00483EB6">
        <w:t xml:space="preserve">versus 0.84 </w:t>
      </w:r>
      <w:r w:rsidR="00727C0A" w:rsidRPr="00483EB6">
        <w:t>in the July 2016 submission for relapsed/disease in the ‘before relapse’ health state</w:t>
      </w:r>
      <w:r w:rsidR="008F483A" w:rsidRPr="00483EB6">
        <w:t>).</w:t>
      </w:r>
      <w:r w:rsidR="008970AE" w:rsidRPr="00483EB6">
        <w:t xml:space="preserve"> Unadjusted utility values for the BLAST study and TOWER trial were not provided in the resubmission.</w:t>
      </w:r>
      <w:r w:rsidR="00B91B21" w:rsidRPr="00483EB6">
        <w:t xml:space="preserve"> </w:t>
      </w:r>
    </w:p>
    <w:p w:rsidR="008970AE" w:rsidRPr="00483EB6" w:rsidRDefault="00B91B21" w:rsidP="0010204A">
      <w:pPr>
        <w:pStyle w:val="ListParagraph"/>
        <w:widowControl/>
        <w:numPr>
          <w:ilvl w:val="1"/>
          <w:numId w:val="3"/>
        </w:numPr>
        <w:spacing w:before="120" w:after="120"/>
      </w:pPr>
      <w:r w:rsidRPr="00483EB6">
        <w:t xml:space="preserve">The PSCR argued that </w:t>
      </w:r>
      <w:r w:rsidR="000972E0" w:rsidRPr="00483EB6">
        <w:t>a</w:t>
      </w:r>
      <w:r w:rsidRPr="00483EB6">
        <w:t xml:space="preserve"> review of utility estimates from the published literature undertaken for the resubmission </w:t>
      </w:r>
      <w:r w:rsidR="00490F14" w:rsidRPr="00483EB6">
        <w:t>validated</w:t>
      </w:r>
      <w:r w:rsidRPr="00483EB6">
        <w:t xml:space="preserve"> the trial-based utility estimates.</w:t>
      </w:r>
      <w:r w:rsidR="008970AE" w:rsidRPr="00483EB6">
        <w:t xml:space="preserve"> </w:t>
      </w:r>
      <w:r w:rsidR="00490F14" w:rsidRPr="00483EB6">
        <w:t xml:space="preserve">The ESC noted that the PSCR provided further clarification around the method used </w:t>
      </w:r>
      <w:r w:rsidR="00D66EA2" w:rsidRPr="00483EB6">
        <w:t xml:space="preserve">to </w:t>
      </w:r>
      <w:r w:rsidR="00490F14" w:rsidRPr="00483EB6">
        <w:t>derive utility estimates</w:t>
      </w:r>
      <w:r w:rsidR="00D17890" w:rsidRPr="00483EB6">
        <w:t>,</w:t>
      </w:r>
      <w:r w:rsidR="002D2F7C" w:rsidRPr="00483EB6">
        <w:t xml:space="preserve"> though there </w:t>
      </w:r>
      <w:r w:rsidR="00B06A8A" w:rsidRPr="00483EB6">
        <w:t xml:space="preserve">remained inadequate justification </w:t>
      </w:r>
      <w:r w:rsidR="002D2F7C" w:rsidRPr="00483EB6">
        <w:t xml:space="preserve">for using ATT data to derive utility </w:t>
      </w:r>
      <w:r w:rsidR="00BE4F07" w:rsidRPr="00483EB6">
        <w:t>estimates</w:t>
      </w:r>
      <w:r w:rsidR="00490F14" w:rsidRPr="00483EB6">
        <w:t xml:space="preserve">. </w:t>
      </w:r>
      <w:r w:rsidR="00D17890" w:rsidRPr="00483EB6">
        <w:t>Further</w:t>
      </w:r>
      <w:r w:rsidR="00490F14" w:rsidRPr="00483EB6">
        <w:t xml:space="preserve">, </w:t>
      </w:r>
      <w:r w:rsidR="00D17890" w:rsidRPr="00483EB6">
        <w:t xml:space="preserve">the ESC noted that </w:t>
      </w:r>
      <w:r w:rsidR="000972E0" w:rsidRPr="00483EB6">
        <w:t>the utility values</w:t>
      </w:r>
      <w:r w:rsidR="00D66EA2" w:rsidRPr="00483EB6">
        <w:t xml:space="preserve"> were derived </w:t>
      </w:r>
      <w:r w:rsidR="00D66EA2" w:rsidRPr="00483EB6">
        <w:lastRenderedPageBreak/>
        <w:t xml:space="preserve">from </w:t>
      </w:r>
      <w:r w:rsidR="00272E21" w:rsidRPr="00483EB6">
        <w:t xml:space="preserve">the </w:t>
      </w:r>
      <w:r w:rsidR="007B2C02" w:rsidRPr="00483EB6">
        <w:t>UK</w:t>
      </w:r>
      <w:r w:rsidR="00D66EA2" w:rsidRPr="00483EB6">
        <w:t>-based</w:t>
      </w:r>
      <w:r w:rsidR="007B2C02" w:rsidRPr="00483EB6">
        <w:t xml:space="preserve"> </w:t>
      </w:r>
      <w:r w:rsidR="00D66EA2" w:rsidRPr="00483EB6">
        <w:t xml:space="preserve">preference </w:t>
      </w:r>
      <w:r w:rsidR="00705D40" w:rsidRPr="00483EB6">
        <w:t xml:space="preserve">weights for the </w:t>
      </w:r>
      <w:r w:rsidR="007B2C02" w:rsidRPr="00483EB6">
        <w:t>EQ-5D</w:t>
      </w:r>
      <w:r w:rsidR="00D66EA2" w:rsidRPr="00483EB6">
        <w:t>, which</w:t>
      </w:r>
      <w:r w:rsidR="007B2C02" w:rsidRPr="00483EB6">
        <w:t xml:space="preserve"> </w:t>
      </w:r>
      <w:r w:rsidR="00705D40" w:rsidRPr="00483EB6">
        <w:t>are considered to be</w:t>
      </w:r>
      <w:r w:rsidR="007B2C02" w:rsidRPr="00483EB6">
        <w:t xml:space="preserve"> outliers to international scores</w:t>
      </w:r>
      <w:r w:rsidR="000972E0" w:rsidRPr="00483EB6">
        <w:t xml:space="preserve"> due to the broad spread of utility weights relative to algorithms from other countries including Australia</w:t>
      </w:r>
      <w:r w:rsidR="007B2C02" w:rsidRPr="00483EB6">
        <w:t>. The ESC noted that the ICER was sensitive to changes in utility values</w:t>
      </w:r>
      <w:r w:rsidR="000972E0" w:rsidRPr="00483EB6">
        <w:t>, and considered that the utilities applied were unlikely to have been conservative</w:t>
      </w:r>
      <w:r w:rsidR="007B2C02" w:rsidRPr="00483EB6">
        <w:t xml:space="preserve">. </w:t>
      </w:r>
    </w:p>
    <w:p w:rsidR="00240347" w:rsidRPr="00483EB6" w:rsidRDefault="00240347" w:rsidP="0010204A">
      <w:pPr>
        <w:pStyle w:val="ListParagraph"/>
        <w:widowControl/>
        <w:numPr>
          <w:ilvl w:val="1"/>
          <w:numId w:val="3"/>
        </w:numPr>
        <w:spacing w:before="120" w:after="120"/>
      </w:pPr>
      <w:r w:rsidRPr="00483EB6">
        <w:t xml:space="preserve">The resubmission provided revised estimates of disease management costs associated with relapse-free/relapsed disease and MRD status based on a sponsor-commissioned survey of Australian physicians and interviews with UK physicians. The estimated numbers of hospitalisations by MRD status from both sources do not appear plausible. It was unclear why patients in complete remission (MRD- or MRD+) would be hospitalised for reasons other than </w:t>
      </w:r>
      <w:r w:rsidR="00D66EA2" w:rsidRPr="00483EB6">
        <w:t xml:space="preserve">HSCT, </w:t>
      </w:r>
      <w:r w:rsidRPr="00483EB6">
        <w:t xml:space="preserve">treatment or the management of adverse events (which are already accounted for in other parts of model). Additionally the assumption that patients who are MRD+ have the same level of hospitalisations as patients with relapsed disease also appears implausible and is inconsistent with the Australian data showing higher health resource use for relapsed patients. The estimated number of specialist and GP visits by MRD and relapse status may be reasonable in the short term but it is unclear whether this intensity of monitoring would be maintained long term. </w:t>
      </w:r>
    </w:p>
    <w:p w:rsidR="00240347" w:rsidRPr="00483EB6" w:rsidRDefault="00240347" w:rsidP="0010204A">
      <w:pPr>
        <w:pStyle w:val="ListParagraph"/>
        <w:widowControl/>
        <w:numPr>
          <w:ilvl w:val="1"/>
          <w:numId w:val="3"/>
        </w:numPr>
        <w:spacing w:before="120" w:after="120"/>
      </w:pPr>
      <w:r w:rsidRPr="00483EB6">
        <w:t xml:space="preserve">The PSCR claimed that patients with ALL are heavy users of inpatient services and the extent of hospitalisation applied to MRD positive patients in the model of approximately 1 admission every 3 months is relatively modest and consistent with a recent chart US chart review by Rose et al., 2018 (average of 1.9 days per patient per month). However, limited information were available regarding Rose et al, 2018 which was only provided as a poster presentation, and it was unclear whether the reported hospitalisations represent resource use associated with the </w:t>
      </w:r>
      <w:r w:rsidR="005E2717" w:rsidRPr="00483EB6">
        <w:t xml:space="preserve">underlying </w:t>
      </w:r>
      <w:r w:rsidRPr="00483EB6">
        <w:t xml:space="preserve">health state or resource use associated with treatment administration and adverse events (which are accounted for separately in the model). </w:t>
      </w:r>
    </w:p>
    <w:p w:rsidR="00B63022" w:rsidRPr="00483EB6" w:rsidRDefault="00240347" w:rsidP="0010204A">
      <w:pPr>
        <w:pStyle w:val="ListParagraph"/>
        <w:widowControl/>
        <w:numPr>
          <w:ilvl w:val="1"/>
          <w:numId w:val="3"/>
        </w:numPr>
        <w:spacing w:before="120" w:after="120"/>
      </w:pPr>
      <w:r w:rsidRPr="00483EB6">
        <w:t xml:space="preserve">Further, the ESC noted </w:t>
      </w:r>
      <w:r w:rsidR="00200E53" w:rsidRPr="00483EB6">
        <w:t xml:space="preserve">that </w:t>
      </w:r>
      <w:r w:rsidRPr="00483EB6">
        <w:t xml:space="preserve">the </w:t>
      </w:r>
      <w:r w:rsidR="000D58AC" w:rsidRPr="00483EB6">
        <w:t xml:space="preserve">total </w:t>
      </w:r>
      <w:r w:rsidRPr="00483EB6">
        <w:t xml:space="preserve">disease management costs </w:t>
      </w:r>
      <w:r w:rsidR="00200E53" w:rsidRPr="00483EB6">
        <w:t xml:space="preserve">accrued </w:t>
      </w:r>
      <w:r w:rsidRPr="00483EB6">
        <w:t>were high in the consolidation chemotherapy arm</w:t>
      </w:r>
      <w:r w:rsidR="000D58AC" w:rsidRPr="00483EB6">
        <w:t xml:space="preserve">, particularly </w:t>
      </w:r>
      <w:r w:rsidRPr="00483EB6">
        <w:t xml:space="preserve">in the relapsed </w:t>
      </w:r>
      <w:r w:rsidR="00C363A5" w:rsidRPr="00483EB6">
        <w:t xml:space="preserve">health </w:t>
      </w:r>
      <w:r w:rsidRPr="00483EB6">
        <w:t>state (</w:t>
      </w:r>
      <w:r w:rsidR="00183920" w:rsidRPr="00483EB6">
        <w:t xml:space="preserve">where costs </w:t>
      </w:r>
      <w:r w:rsidR="00200E53" w:rsidRPr="00483EB6">
        <w:t xml:space="preserve">accrued </w:t>
      </w:r>
      <w:r w:rsidR="00183920" w:rsidRPr="00483EB6">
        <w:t xml:space="preserve">were </w:t>
      </w:r>
      <w:r w:rsidRPr="00483EB6">
        <w:t>$54,299 higher in the consolidation chemotherapy arm</w:t>
      </w:r>
      <w:r w:rsidR="002306E5" w:rsidRPr="00483EB6">
        <w:t xml:space="preserve"> ($64,141) </w:t>
      </w:r>
      <w:r w:rsidRPr="00483EB6">
        <w:t>versus the blinatumomab arm</w:t>
      </w:r>
      <w:r w:rsidR="002306E5" w:rsidRPr="00483EB6">
        <w:t xml:space="preserve"> ($9,842)</w:t>
      </w:r>
      <w:r w:rsidRPr="00483EB6">
        <w:t>, refer to Table 1</w:t>
      </w:r>
      <w:r w:rsidR="005E2717" w:rsidRPr="00483EB6">
        <w:t>2</w:t>
      </w:r>
      <w:r w:rsidRPr="00483EB6">
        <w:t>)</w:t>
      </w:r>
      <w:r w:rsidR="000D58AC" w:rsidRPr="00483EB6">
        <w:t>. The ESC noted this was due to</w:t>
      </w:r>
      <w:r w:rsidR="00183920" w:rsidRPr="00483EB6">
        <w:t xml:space="preserve">: the high cost </w:t>
      </w:r>
      <w:r w:rsidR="007D1B79" w:rsidRPr="00483EB6">
        <w:t xml:space="preserve">per cycle </w:t>
      </w:r>
      <w:r w:rsidR="00183920" w:rsidRPr="00483EB6">
        <w:t>in the relapsed health state ($39,000 per year</w:t>
      </w:r>
      <w:r w:rsidR="00C363A5" w:rsidRPr="00483EB6">
        <w:t>, applied for the entire duration that the patient remains in this health state</w:t>
      </w:r>
      <w:r w:rsidR="00183920" w:rsidRPr="00483EB6">
        <w:t xml:space="preserve">); </w:t>
      </w:r>
      <w:r w:rsidR="00030781" w:rsidRPr="00483EB6">
        <w:t>and</w:t>
      </w:r>
      <w:r w:rsidRPr="00483EB6">
        <w:t xml:space="preserve"> </w:t>
      </w:r>
      <w:r w:rsidR="00453D30" w:rsidRPr="00483EB6">
        <w:t xml:space="preserve">that the </w:t>
      </w:r>
      <w:r w:rsidR="007D1B79" w:rsidRPr="00483EB6">
        <w:t>model</w:t>
      </w:r>
      <w:r w:rsidR="00C363A5" w:rsidRPr="00483EB6">
        <w:t xml:space="preserve"> did not allow patients in the blinatumomab arm to be in the relapsed disease health state </w:t>
      </w:r>
      <w:r w:rsidR="00BB61C7" w:rsidRPr="00483EB6">
        <w:t>after</w:t>
      </w:r>
      <w:r w:rsidR="00C363A5" w:rsidRPr="00483EB6">
        <w:t xml:space="preserve"> 8 years, while patients </w:t>
      </w:r>
      <w:r w:rsidR="007D1B79" w:rsidRPr="00483EB6">
        <w:t xml:space="preserve">in the consolidation chemotherapy arm </w:t>
      </w:r>
      <w:r w:rsidR="00C363A5" w:rsidRPr="00483EB6">
        <w:t>could</w:t>
      </w:r>
      <w:r w:rsidR="007D1B79" w:rsidRPr="00483EB6">
        <w:t xml:space="preserve"> </w:t>
      </w:r>
      <w:r w:rsidR="00453D30" w:rsidRPr="00483EB6">
        <w:rPr>
          <w:iCs/>
        </w:rPr>
        <w:t>remain in the relapsed state for the entire time horizon of the</w:t>
      </w:r>
      <w:r w:rsidR="00453D30" w:rsidRPr="00483EB6">
        <w:t xml:space="preserve"> </w:t>
      </w:r>
      <w:r w:rsidR="00453D30" w:rsidRPr="00483EB6">
        <w:rPr>
          <w:iCs/>
        </w:rPr>
        <w:t xml:space="preserve">model </w:t>
      </w:r>
      <w:r w:rsidR="007D1B79" w:rsidRPr="00483EB6">
        <w:t>(</w:t>
      </w:r>
      <w:r w:rsidR="00DE3517" w:rsidRPr="00483EB6">
        <w:t>t</w:t>
      </w:r>
      <w:r w:rsidR="007D1B79" w:rsidRPr="00483EB6">
        <w:t>he latter is discussed further in Paragraph 6.</w:t>
      </w:r>
      <w:r w:rsidR="00A070B6">
        <w:t>62</w:t>
      </w:r>
      <w:r w:rsidR="00E11B7E" w:rsidRPr="00483EB6">
        <w:t xml:space="preserve"> to 6.5</w:t>
      </w:r>
      <w:r w:rsidR="00A070B6">
        <w:t>63</w:t>
      </w:r>
      <w:r w:rsidR="007D1B79" w:rsidRPr="00483EB6">
        <w:t xml:space="preserve">. </w:t>
      </w:r>
      <w:r w:rsidR="00B63022" w:rsidRPr="00483EB6">
        <w:t xml:space="preserve">Overall, the ESC considered the disease management costs were overestimated, </w:t>
      </w:r>
      <w:r w:rsidR="002306E5" w:rsidRPr="00483EB6">
        <w:t xml:space="preserve">with that overestimate being considerably higher in the </w:t>
      </w:r>
      <w:r w:rsidR="00B63022" w:rsidRPr="00483EB6">
        <w:t>consolidation chemotherapy arm</w:t>
      </w:r>
      <w:r w:rsidR="002306E5" w:rsidRPr="00483EB6">
        <w:t xml:space="preserve"> (hence yielding a significant cost </w:t>
      </w:r>
      <w:r w:rsidR="00483EB6" w:rsidRPr="00483EB6">
        <w:t>offset that</w:t>
      </w:r>
      <w:r w:rsidR="002306E5" w:rsidRPr="00483EB6">
        <w:t xml:space="preserve"> is unlikely to accurately reflect the true offset)</w:t>
      </w:r>
      <w:r w:rsidR="00B63022" w:rsidRPr="00483EB6">
        <w:t>.</w:t>
      </w:r>
    </w:p>
    <w:p w:rsidR="00B63022" w:rsidRPr="00483EB6" w:rsidRDefault="00B63022" w:rsidP="0010204A">
      <w:pPr>
        <w:pStyle w:val="ListParagraph"/>
        <w:widowControl/>
        <w:numPr>
          <w:ilvl w:val="1"/>
          <w:numId w:val="3"/>
        </w:numPr>
        <w:spacing w:before="120" w:after="120"/>
      </w:pPr>
      <w:r w:rsidRPr="00483EB6">
        <w:t>Table 1</w:t>
      </w:r>
      <w:r w:rsidR="005E2717" w:rsidRPr="00483EB6">
        <w:t>2</w:t>
      </w:r>
      <w:r w:rsidRPr="00483EB6">
        <w:t xml:space="preserve"> summarises the incremental costs for health care resource items used in the economic evaluation.</w:t>
      </w:r>
    </w:p>
    <w:p w:rsidR="00B63022" w:rsidRPr="00483EB6" w:rsidRDefault="00B63022" w:rsidP="00B63022">
      <w:pPr>
        <w:keepNext/>
        <w:keepLines/>
        <w:jc w:val="left"/>
        <w:rPr>
          <w:rFonts w:ascii="Arial Narrow" w:eastAsiaTheme="minorHAnsi" w:hAnsi="Arial Narrow" w:cstheme="minorBidi"/>
          <w:b/>
          <w:snapToGrid/>
          <w:sz w:val="20"/>
        </w:rPr>
      </w:pPr>
      <w:r w:rsidRPr="00483EB6">
        <w:rPr>
          <w:rFonts w:ascii="Arial Narrow" w:eastAsiaTheme="minorHAnsi" w:hAnsi="Arial Narrow" w:cstheme="minorBidi"/>
          <w:b/>
          <w:snapToGrid/>
          <w:sz w:val="20"/>
        </w:rPr>
        <w:lastRenderedPageBreak/>
        <w:t>Table 1</w:t>
      </w:r>
      <w:r w:rsidR="005E2717" w:rsidRPr="00483EB6">
        <w:rPr>
          <w:rFonts w:ascii="Arial Narrow" w:eastAsiaTheme="minorHAnsi" w:hAnsi="Arial Narrow" w:cstheme="minorBidi"/>
          <w:b/>
          <w:snapToGrid/>
          <w:sz w:val="20"/>
        </w:rPr>
        <w:t>2</w:t>
      </w:r>
      <w:r w:rsidRPr="00483EB6">
        <w:rPr>
          <w:rFonts w:ascii="Arial Narrow" w:eastAsiaTheme="minorHAnsi" w:hAnsi="Arial Narrow" w:cstheme="minorBidi"/>
          <w:b/>
          <w:snapToGrid/>
          <w:sz w:val="20"/>
        </w:rPr>
        <w:t xml:space="preserve">: Health care resource items: disaggregated summary of cost impacts in the economic evaluation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2: Health care resource items: disaggregated summary of cost impacts in the economic evaluation "/>
      </w:tblPr>
      <w:tblGrid>
        <w:gridCol w:w="2951"/>
        <w:gridCol w:w="2132"/>
        <w:gridCol w:w="2132"/>
        <w:gridCol w:w="1802"/>
      </w:tblGrid>
      <w:tr w:rsidR="00B63022" w:rsidRPr="00483EB6" w:rsidTr="00BB7C8F">
        <w:tc>
          <w:tcPr>
            <w:tcW w:w="1636" w:type="pct"/>
            <w:vAlign w:val="center"/>
          </w:tcPr>
          <w:p w:rsidR="00B63022" w:rsidRPr="00483EB6" w:rsidRDefault="00B63022" w:rsidP="00BB7C8F">
            <w:pPr>
              <w:keepNext/>
              <w:keepLines/>
              <w:jc w:val="center"/>
              <w:rPr>
                <w:rFonts w:ascii="Arial Narrow" w:eastAsiaTheme="minorHAnsi" w:hAnsi="Arial Narrow" w:cstheme="minorBidi"/>
                <w:b/>
                <w:snapToGrid/>
                <w:sz w:val="20"/>
              </w:rPr>
            </w:pPr>
            <w:r w:rsidRPr="00483EB6">
              <w:rPr>
                <w:rFonts w:ascii="Arial Narrow" w:eastAsiaTheme="minorHAnsi" w:hAnsi="Arial Narrow" w:cstheme="minorBidi"/>
                <w:b/>
                <w:snapToGrid/>
                <w:sz w:val="20"/>
              </w:rPr>
              <w:t>Type of resource item</w:t>
            </w:r>
          </w:p>
        </w:tc>
        <w:tc>
          <w:tcPr>
            <w:tcW w:w="1182" w:type="pct"/>
            <w:vAlign w:val="center"/>
          </w:tcPr>
          <w:p w:rsidR="00B63022" w:rsidRPr="00483EB6" w:rsidRDefault="00B63022" w:rsidP="00BB7C8F">
            <w:pPr>
              <w:keepNext/>
              <w:keepLines/>
              <w:jc w:val="center"/>
              <w:rPr>
                <w:rFonts w:ascii="Arial Narrow" w:eastAsiaTheme="minorHAnsi" w:hAnsi="Arial Narrow" w:cstheme="minorBidi"/>
                <w:b/>
                <w:snapToGrid/>
                <w:sz w:val="20"/>
              </w:rPr>
            </w:pPr>
            <w:r w:rsidRPr="00483EB6">
              <w:rPr>
                <w:rFonts w:ascii="Arial Narrow" w:eastAsiaTheme="minorHAnsi" w:hAnsi="Arial Narrow" w:cstheme="minorBidi"/>
                <w:b/>
                <w:snapToGrid/>
                <w:sz w:val="20"/>
              </w:rPr>
              <w:t>Blinatumomab</w:t>
            </w:r>
          </w:p>
        </w:tc>
        <w:tc>
          <w:tcPr>
            <w:tcW w:w="1182" w:type="pct"/>
            <w:vAlign w:val="center"/>
          </w:tcPr>
          <w:p w:rsidR="00B63022" w:rsidRPr="00483EB6" w:rsidRDefault="00B63022" w:rsidP="00BB7C8F">
            <w:pPr>
              <w:keepNext/>
              <w:keepLines/>
              <w:jc w:val="center"/>
              <w:rPr>
                <w:rFonts w:ascii="Arial Narrow" w:eastAsiaTheme="minorHAnsi" w:hAnsi="Arial Narrow" w:cstheme="minorBidi"/>
                <w:b/>
                <w:snapToGrid/>
                <w:sz w:val="20"/>
              </w:rPr>
            </w:pPr>
            <w:r w:rsidRPr="00483EB6">
              <w:rPr>
                <w:rFonts w:ascii="Arial Narrow" w:eastAsiaTheme="minorHAnsi" w:hAnsi="Arial Narrow" w:cstheme="minorBidi"/>
                <w:b/>
                <w:snapToGrid/>
                <w:sz w:val="20"/>
              </w:rPr>
              <w:t>Consolidation chemotherapy</w:t>
            </w:r>
          </w:p>
        </w:tc>
        <w:tc>
          <w:tcPr>
            <w:tcW w:w="999" w:type="pct"/>
            <w:vAlign w:val="center"/>
          </w:tcPr>
          <w:p w:rsidR="00B63022" w:rsidRPr="00483EB6" w:rsidRDefault="00B63022" w:rsidP="00BB7C8F">
            <w:pPr>
              <w:keepNext/>
              <w:keepLines/>
              <w:jc w:val="center"/>
              <w:rPr>
                <w:rFonts w:ascii="Arial Narrow" w:eastAsiaTheme="minorHAnsi" w:hAnsi="Arial Narrow" w:cstheme="minorBidi"/>
                <w:b/>
                <w:snapToGrid/>
                <w:sz w:val="20"/>
              </w:rPr>
            </w:pPr>
            <w:r w:rsidRPr="00483EB6">
              <w:rPr>
                <w:rFonts w:ascii="Arial Narrow" w:eastAsiaTheme="minorHAnsi" w:hAnsi="Arial Narrow" w:cstheme="minorBidi"/>
                <w:b/>
                <w:snapToGrid/>
                <w:sz w:val="20"/>
              </w:rPr>
              <w:t>Incremental cost</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Drug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w:t>
            </w:r>
            <w:r w:rsidR="00D176A1">
              <w:rPr>
                <w:rFonts w:ascii="Arial Narrow" w:eastAsiaTheme="minorHAnsi" w:hAnsi="Arial Narrow" w:cs="Times New Roman"/>
                <w:noProof/>
                <w:snapToGrid/>
                <w:color w:val="000000"/>
                <w:sz w:val="20"/>
                <w:szCs w:val="20"/>
                <w:highlight w:val="black"/>
                <w:lang w:eastAsia="en-AU"/>
              </w:rPr>
              <w:t>'''''''''''''''''''''</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w:t>
            </w:r>
            <w:r w:rsidR="00D176A1">
              <w:rPr>
                <w:rFonts w:ascii="Arial Narrow" w:eastAsiaTheme="minorHAnsi" w:hAnsi="Arial Narrow" w:cs="Times New Roman"/>
                <w:noProof/>
                <w:snapToGrid/>
                <w:color w:val="000000"/>
                <w:sz w:val="20"/>
                <w:szCs w:val="20"/>
                <w:highlight w:val="black"/>
                <w:lang w:eastAsia="en-AU"/>
              </w:rPr>
              <w:t>'''''''''''''''''</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w:t>
            </w:r>
            <w:r w:rsidR="00D176A1">
              <w:rPr>
                <w:rFonts w:ascii="Arial Narrow" w:eastAsiaTheme="minorHAnsi" w:hAnsi="Arial Narrow" w:cs="Times New Roman"/>
                <w:noProof/>
                <w:snapToGrid/>
                <w:color w:val="000000"/>
                <w:sz w:val="20"/>
                <w:szCs w:val="20"/>
                <w:highlight w:val="black"/>
                <w:lang w:eastAsia="en-AU"/>
              </w:rPr>
              <w:t>'''''''''''''''''''''</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Administration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$9,895</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$21,657</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-$11,762</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imes New Roman"/>
                <w:snapToGrid/>
                <w:color w:val="000000"/>
                <w:sz w:val="20"/>
                <w:szCs w:val="20"/>
                <w:lang w:eastAsia="en-AU"/>
              </w:rPr>
              <w:t xml:space="preserve">Intrathecal chemotherapy </w:t>
            </w:r>
            <w:proofErr w:type="spellStart"/>
            <w:r w:rsidRPr="00483EB6">
              <w:rPr>
                <w:rFonts w:ascii="Arial Narrow" w:eastAsiaTheme="minorHAnsi" w:hAnsi="Arial Narrow" w:cs="Times New Roman"/>
                <w:snapToGrid/>
                <w:color w:val="000000"/>
                <w:sz w:val="20"/>
                <w:szCs w:val="20"/>
                <w:lang w:eastAsia="en-AU"/>
              </w:rPr>
              <w:t>prophylaxis</w:t>
            </w:r>
            <w:r w:rsidRPr="00483EB6">
              <w:rPr>
                <w:rFonts w:ascii="Arial Narrow" w:eastAsiaTheme="minorHAnsi" w:hAnsi="Arial Narrow" w:cs="Times New Roman"/>
                <w:snapToGrid/>
                <w:color w:val="000000"/>
                <w:sz w:val="20"/>
                <w:szCs w:val="20"/>
                <w:vertAlign w:val="superscript"/>
                <w:lang w:eastAsia="en-AU"/>
              </w:rPr>
              <w:t>a</w:t>
            </w:r>
            <w:proofErr w:type="spellEnd"/>
          </w:p>
        </w:tc>
        <w:tc>
          <w:tcPr>
            <w:tcW w:w="1182"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$15,968</w:t>
            </w:r>
          </w:p>
        </w:tc>
        <w:tc>
          <w:tcPr>
            <w:tcW w:w="1182"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$0</w:t>
            </w:r>
          </w:p>
        </w:tc>
        <w:tc>
          <w:tcPr>
            <w:tcW w:w="999"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$15,968</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MRD test costs</w:t>
            </w:r>
          </w:p>
        </w:tc>
        <w:tc>
          <w:tcPr>
            <w:tcW w:w="1182"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$808</w:t>
            </w:r>
          </w:p>
        </w:tc>
        <w:tc>
          <w:tcPr>
            <w:tcW w:w="1182"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$0</w:t>
            </w:r>
          </w:p>
        </w:tc>
        <w:tc>
          <w:tcPr>
            <w:tcW w:w="999" w:type="pct"/>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imes New Roman"/>
                <w:snapToGrid/>
                <w:color w:val="000000"/>
                <w:sz w:val="20"/>
                <w:szCs w:val="20"/>
                <w:lang w:eastAsia="en-AU"/>
              </w:rPr>
              <w:t>$808</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Adverse event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$4,551</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$4,551</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$0</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Transplant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$135,342</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$71,586</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$63,756</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Salvage chemotherapy for recurrent disease</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$45,170</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$49,912</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-$4,742</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Relapse-free management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$36,928</w:t>
            </w:r>
          </w:p>
        </w:tc>
        <w:tc>
          <w:tcPr>
            <w:tcW w:w="1182"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$58,047</w:t>
            </w:r>
          </w:p>
        </w:tc>
        <w:tc>
          <w:tcPr>
            <w:tcW w:w="999" w:type="pct"/>
            <w:vAlign w:val="center"/>
          </w:tcPr>
          <w:p w:rsidR="00B63022" w:rsidRPr="00C94941" w:rsidRDefault="00B63022" w:rsidP="00BB7C8F">
            <w:pPr>
              <w:keepNext/>
              <w:keepLines/>
              <w:jc w:val="center"/>
              <w:rPr>
                <w:rFonts w:ascii="Arial Narrow" w:eastAsiaTheme="minorHAnsi" w:hAnsi="Arial Narrow" w:cstheme="minorBidi"/>
                <w:snapToGrid/>
                <w:sz w:val="20"/>
                <w:szCs w:val="20"/>
              </w:rPr>
            </w:pPr>
            <w:r w:rsidRPr="00C94941">
              <w:rPr>
                <w:rFonts w:ascii="Arial Narrow" w:eastAsiaTheme="minorHAnsi" w:hAnsi="Arial Narrow" w:cs="Times New Roman"/>
                <w:snapToGrid/>
                <w:color w:val="000000"/>
                <w:sz w:val="20"/>
                <w:szCs w:val="20"/>
                <w:lang w:eastAsia="en-AU"/>
              </w:rPr>
              <w:t>-$21,118</w:t>
            </w:r>
          </w:p>
        </w:tc>
      </w:tr>
      <w:tr w:rsidR="00B63022" w:rsidRPr="00483EB6" w:rsidTr="00BB7C8F">
        <w:tc>
          <w:tcPr>
            <w:tcW w:w="1636" w:type="pct"/>
            <w:shd w:val="clear" w:color="auto" w:fill="D9D9D9" w:themeFill="background1" w:themeFillShade="D9"/>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rPr>
              <w:t>- MRD positive</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$21,205</w:t>
            </w:r>
          </w:p>
        </w:tc>
        <w:tc>
          <w:tcPr>
            <w:tcW w:w="118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$57,103</w:t>
            </w:r>
          </w:p>
        </w:tc>
        <w:tc>
          <w:tcPr>
            <w:tcW w:w="9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-$35,898</w:t>
            </w:r>
          </w:p>
        </w:tc>
      </w:tr>
      <w:tr w:rsidR="00B63022" w:rsidRPr="00483EB6" w:rsidTr="00BB7C8F">
        <w:tc>
          <w:tcPr>
            <w:tcW w:w="1636" w:type="pct"/>
            <w:shd w:val="clear" w:color="auto" w:fill="D9D9D9" w:themeFill="background1" w:themeFillShade="D9"/>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rPr>
              <w:t>- MRD negative</w:t>
            </w:r>
          </w:p>
        </w:tc>
        <w:tc>
          <w:tcPr>
            <w:tcW w:w="11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$15,723</w:t>
            </w:r>
          </w:p>
        </w:tc>
        <w:tc>
          <w:tcPr>
            <w:tcW w:w="1182"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$944</w:t>
            </w:r>
          </w:p>
        </w:tc>
        <w:tc>
          <w:tcPr>
            <w:tcW w:w="999" w:type="pct"/>
            <w:tcBorders>
              <w:top w:val="single" w:sz="4" w:space="0" w:color="auto"/>
              <w:left w:val="nil"/>
              <w:bottom w:val="single" w:sz="4" w:space="0" w:color="auto"/>
              <w:right w:val="single" w:sz="4" w:space="0" w:color="auto"/>
            </w:tcBorders>
            <w:shd w:val="clear" w:color="auto" w:fill="D9D9D9" w:themeFill="background1" w:themeFillShade="D9"/>
            <w:vAlign w:val="center"/>
          </w:tcPr>
          <w:p w:rsidR="00B63022" w:rsidRPr="00C94941" w:rsidRDefault="00B63022" w:rsidP="00BB7C8F">
            <w:pPr>
              <w:keepNext/>
              <w:keepLines/>
              <w:jc w:val="center"/>
              <w:rPr>
                <w:rFonts w:ascii="Arial Narrow" w:eastAsiaTheme="minorHAnsi" w:hAnsi="Arial Narrow" w:cs="Times New Roman"/>
                <w:snapToGrid/>
                <w:color w:val="000000"/>
                <w:sz w:val="20"/>
                <w:szCs w:val="20"/>
                <w:lang w:eastAsia="en-AU"/>
              </w:rPr>
            </w:pPr>
            <w:r w:rsidRPr="00C94941">
              <w:rPr>
                <w:rFonts w:ascii="Arial Narrow" w:eastAsiaTheme="minorHAnsi" w:hAnsi="Arial Narrow" w:cstheme="minorBidi"/>
                <w:snapToGrid/>
                <w:color w:val="000000"/>
                <w:sz w:val="20"/>
              </w:rPr>
              <w:t>$14,779</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snapToGrid/>
                <w:sz w:val="20"/>
                <w:szCs w:val="20"/>
              </w:rPr>
            </w:pPr>
            <w:r w:rsidRPr="00483EB6">
              <w:rPr>
                <w:rFonts w:ascii="Arial Narrow" w:eastAsiaTheme="minorHAnsi" w:hAnsi="Arial Narrow" w:cstheme="minorBidi"/>
                <w:snapToGrid/>
                <w:sz w:val="20"/>
                <w:szCs w:val="20"/>
              </w:rPr>
              <w:t>Relapsed disease management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i/>
                <w:snapToGrid/>
                <w:sz w:val="20"/>
                <w:szCs w:val="20"/>
              </w:rPr>
            </w:pPr>
            <w:r w:rsidRPr="00C94941">
              <w:rPr>
                <w:rFonts w:ascii="Arial Narrow" w:eastAsiaTheme="minorHAnsi" w:hAnsi="Arial Narrow" w:cs="Times New Roman"/>
                <w:i/>
                <w:snapToGrid/>
                <w:color w:val="000000"/>
                <w:sz w:val="20"/>
                <w:szCs w:val="20"/>
                <w:lang w:eastAsia="en-AU"/>
              </w:rPr>
              <w:t>$9,842</w:t>
            </w:r>
          </w:p>
        </w:tc>
        <w:tc>
          <w:tcPr>
            <w:tcW w:w="1182" w:type="pct"/>
            <w:vAlign w:val="center"/>
          </w:tcPr>
          <w:p w:rsidR="00B63022" w:rsidRPr="00C94941" w:rsidRDefault="00B63022" w:rsidP="00BB7C8F">
            <w:pPr>
              <w:keepNext/>
              <w:keepLines/>
              <w:jc w:val="center"/>
              <w:rPr>
                <w:rFonts w:ascii="Arial Narrow" w:eastAsiaTheme="minorHAnsi" w:hAnsi="Arial Narrow" w:cstheme="minorBidi"/>
                <w:i/>
                <w:snapToGrid/>
                <w:sz w:val="20"/>
                <w:szCs w:val="20"/>
              </w:rPr>
            </w:pPr>
            <w:r w:rsidRPr="00C94941">
              <w:rPr>
                <w:rFonts w:ascii="Arial Narrow" w:eastAsiaTheme="minorHAnsi" w:hAnsi="Arial Narrow" w:cs="Times New Roman"/>
                <w:i/>
                <w:snapToGrid/>
                <w:color w:val="000000"/>
                <w:sz w:val="20"/>
                <w:szCs w:val="20"/>
                <w:lang w:eastAsia="en-AU"/>
              </w:rPr>
              <w:t>$64,141</w:t>
            </w:r>
          </w:p>
        </w:tc>
        <w:tc>
          <w:tcPr>
            <w:tcW w:w="999" w:type="pct"/>
            <w:vAlign w:val="center"/>
          </w:tcPr>
          <w:p w:rsidR="00B63022" w:rsidRPr="00C94941" w:rsidRDefault="00B63022" w:rsidP="00BB7C8F">
            <w:pPr>
              <w:keepNext/>
              <w:keepLines/>
              <w:jc w:val="center"/>
              <w:rPr>
                <w:rFonts w:ascii="Arial Narrow" w:eastAsiaTheme="minorHAnsi" w:hAnsi="Arial Narrow" w:cstheme="minorBidi"/>
                <w:i/>
                <w:snapToGrid/>
                <w:sz w:val="20"/>
                <w:szCs w:val="20"/>
              </w:rPr>
            </w:pPr>
            <w:r w:rsidRPr="00C94941">
              <w:rPr>
                <w:rFonts w:ascii="Arial Narrow" w:eastAsiaTheme="minorHAnsi" w:hAnsi="Arial Narrow" w:cs="Times New Roman"/>
                <w:i/>
                <w:snapToGrid/>
                <w:color w:val="000000"/>
                <w:sz w:val="20"/>
                <w:szCs w:val="20"/>
                <w:lang w:eastAsia="en-AU"/>
              </w:rPr>
              <w:t>-$54,299</w:t>
            </w:r>
          </w:p>
        </w:tc>
      </w:tr>
      <w:tr w:rsidR="00B63022" w:rsidRPr="00483EB6" w:rsidTr="00BB7C8F">
        <w:tc>
          <w:tcPr>
            <w:tcW w:w="1636" w:type="pct"/>
            <w:vAlign w:val="center"/>
          </w:tcPr>
          <w:p w:rsidR="00B63022" w:rsidRPr="00483EB6" w:rsidRDefault="00B63022" w:rsidP="00BB7C8F">
            <w:pPr>
              <w:keepNext/>
              <w:keepLines/>
              <w:jc w:val="left"/>
              <w:rPr>
                <w:rFonts w:ascii="Arial Narrow" w:eastAsiaTheme="minorHAnsi" w:hAnsi="Arial Narrow" w:cstheme="minorBidi"/>
                <w:b/>
                <w:snapToGrid/>
                <w:sz w:val="20"/>
              </w:rPr>
            </w:pPr>
            <w:r w:rsidRPr="00483EB6">
              <w:rPr>
                <w:rFonts w:ascii="Arial Narrow" w:eastAsiaTheme="minorHAnsi" w:hAnsi="Arial Narrow" w:cstheme="minorBidi"/>
                <w:b/>
                <w:snapToGrid/>
                <w:sz w:val="20"/>
              </w:rPr>
              <w:t>Total costs</w:t>
            </w:r>
          </w:p>
        </w:tc>
        <w:tc>
          <w:tcPr>
            <w:tcW w:w="1182" w:type="pct"/>
            <w:vAlign w:val="center"/>
          </w:tcPr>
          <w:p w:rsidR="00B63022" w:rsidRPr="00C94941" w:rsidRDefault="00B63022" w:rsidP="00BB7C8F">
            <w:pPr>
              <w:keepNext/>
              <w:keepLines/>
              <w:jc w:val="center"/>
              <w:rPr>
                <w:rFonts w:ascii="Arial Narrow" w:eastAsiaTheme="minorHAnsi" w:hAnsi="Arial Narrow" w:cstheme="minorBidi"/>
                <w:b/>
                <w:i/>
                <w:snapToGrid/>
                <w:sz w:val="20"/>
              </w:rPr>
            </w:pPr>
            <w:r w:rsidRPr="00C94941">
              <w:rPr>
                <w:rFonts w:ascii="Arial Narrow" w:eastAsiaTheme="minorHAnsi" w:hAnsi="Arial Narrow" w:cstheme="minorBidi"/>
                <w:b/>
                <w:i/>
                <w:snapToGrid/>
                <w:sz w:val="20"/>
              </w:rPr>
              <w:t>$</w:t>
            </w:r>
            <w:r w:rsidR="00D176A1">
              <w:rPr>
                <w:rFonts w:ascii="Arial Narrow" w:eastAsiaTheme="minorHAnsi" w:hAnsi="Arial Narrow" w:cstheme="minorBidi"/>
                <w:b/>
                <w:i/>
                <w:noProof/>
                <w:snapToGrid/>
                <w:color w:val="000000"/>
                <w:sz w:val="20"/>
                <w:highlight w:val="black"/>
              </w:rPr>
              <w:t>''''''''''''''''</w:t>
            </w:r>
          </w:p>
        </w:tc>
        <w:tc>
          <w:tcPr>
            <w:tcW w:w="1182" w:type="pct"/>
            <w:vAlign w:val="center"/>
          </w:tcPr>
          <w:p w:rsidR="00B63022" w:rsidRPr="00C94941" w:rsidRDefault="00B63022" w:rsidP="00BB7C8F">
            <w:pPr>
              <w:keepNext/>
              <w:keepLines/>
              <w:jc w:val="center"/>
              <w:rPr>
                <w:rFonts w:ascii="Arial Narrow" w:eastAsiaTheme="minorHAnsi" w:hAnsi="Arial Narrow" w:cstheme="minorBidi"/>
                <w:b/>
                <w:i/>
                <w:snapToGrid/>
                <w:sz w:val="20"/>
              </w:rPr>
            </w:pPr>
            <w:r w:rsidRPr="00C94941">
              <w:rPr>
                <w:rFonts w:ascii="Arial Narrow" w:eastAsiaTheme="minorHAnsi" w:hAnsi="Arial Narrow" w:cstheme="minorBidi"/>
                <w:b/>
                <w:i/>
                <w:snapToGrid/>
                <w:sz w:val="20"/>
              </w:rPr>
              <w:t>$</w:t>
            </w:r>
            <w:r w:rsidR="00D176A1">
              <w:rPr>
                <w:rFonts w:ascii="Arial Narrow" w:eastAsiaTheme="minorHAnsi" w:hAnsi="Arial Narrow" w:cstheme="minorBidi"/>
                <w:b/>
                <w:i/>
                <w:noProof/>
                <w:snapToGrid/>
                <w:color w:val="000000"/>
                <w:sz w:val="20"/>
                <w:highlight w:val="black"/>
              </w:rPr>
              <w:t>''''''''''''''''</w:t>
            </w:r>
          </w:p>
        </w:tc>
        <w:tc>
          <w:tcPr>
            <w:tcW w:w="999" w:type="pct"/>
            <w:vAlign w:val="center"/>
          </w:tcPr>
          <w:p w:rsidR="00B63022" w:rsidRPr="00C94941" w:rsidRDefault="00B63022" w:rsidP="00BB7C8F">
            <w:pPr>
              <w:keepNext/>
              <w:keepLines/>
              <w:jc w:val="center"/>
              <w:rPr>
                <w:rFonts w:ascii="Arial Narrow" w:eastAsiaTheme="minorHAnsi" w:hAnsi="Arial Narrow" w:cstheme="minorBidi"/>
                <w:b/>
                <w:i/>
                <w:snapToGrid/>
                <w:sz w:val="20"/>
              </w:rPr>
            </w:pPr>
            <w:r w:rsidRPr="00C94941">
              <w:rPr>
                <w:rFonts w:ascii="Arial Narrow" w:eastAsiaTheme="minorHAnsi" w:hAnsi="Arial Narrow" w:cstheme="minorBidi"/>
                <w:b/>
                <w:i/>
                <w:snapToGrid/>
                <w:sz w:val="20"/>
              </w:rPr>
              <w:t>$</w:t>
            </w:r>
            <w:r w:rsidR="00D176A1">
              <w:rPr>
                <w:rFonts w:ascii="Arial Narrow" w:eastAsiaTheme="minorHAnsi" w:hAnsi="Arial Narrow" w:cstheme="minorBidi"/>
                <w:b/>
                <w:i/>
                <w:noProof/>
                <w:snapToGrid/>
                <w:color w:val="000000"/>
                <w:sz w:val="20"/>
                <w:highlight w:val="black"/>
              </w:rPr>
              <w:t>'''''''''''''</w:t>
            </w:r>
          </w:p>
        </w:tc>
      </w:tr>
    </w:tbl>
    <w:p w:rsidR="00B63022" w:rsidRPr="00483EB6" w:rsidRDefault="00B63022" w:rsidP="00B63022">
      <w:pPr>
        <w:keepNext/>
        <w:keepLines/>
        <w:jc w:val="left"/>
        <w:rPr>
          <w:rFonts w:ascii="Arial Narrow" w:eastAsiaTheme="minorHAnsi" w:hAnsi="Arial Narrow" w:cstheme="minorBidi"/>
          <w:snapToGrid/>
          <w:sz w:val="18"/>
        </w:rPr>
      </w:pPr>
      <w:r w:rsidRPr="00483EB6">
        <w:rPr>
          <w:rFonts w:ascii="Arial Narrow" w:eastAsiaTheme="minorHAnsi" w:hAnsi="Arial Narrow" w:cstheme="minorBidi"/>
          <w:snapToGrid/>
          <w:sz w:val="18"/>
        </w:rPr>
        <w:t>Source: Table 78, p177 of the resubmission</w:t>
      </w:r>
    </w:p>
    <w:p w:rsidR="00B63022" w:rsidRPr="00483EB6" w:rsidRDefault="00B63022" w:rsidP="00B63022">
      <w:pPr>
        <w:keepNext/>
        <w:keepLines/>
        <w:jc w:val="left"/>
        <w:rPr>
          <w:rFonts w:ascii="Arial Narrow" w:eastAsiaTheme="minorHAnsi" w:hAnsi="Arial Narrow" w:cs="Times New Roman"/>
          <w:snapToGrid/>
          <w:color w:val="000000"/>
          <w:sz w:val="18"/>
          <w:szCs w:val="20"/>
          <w:lang w:eastAsia="en-AU"/>
        </w:rPr>
      </w:pPr>
      <w:proofErr w:type="spellStart"/>
      <w:proofErr w:type="gramStart"/>
      <w:r w:rsidRPr="00483EB6">
        <w:rPr>
          <w:rFonts w:ascii="Arial Narrow" w:eastAsiaTheme="minorHAnsi" w:hAnsi="Arial Narrow" w:cstheme="minorBidi"/>
          <w:snapToGrid/>
          <w:sz w:val="18"/>
          <w:vertAlign w:val="superscript"/>
        </w:rPr>
        <w:t>a</w:t>
      </w:r>
      <w:proofErr w:type="spellEnd"/>
      <w:proofErr w:type="gramEnd"/>
      <w:r w:rsidRPr="00483EB6">
        <w:rPr>
          <w:rFonts w:ascii="Arial Narrow" w:eastAsiaTheme="minorHAnsi" w:hAnsi="Arial Narrow" w:cs="Times New Roman"/>
          <w:snapToGrid/>
          <w:color w:val="000000"/>
          <w:sz w:val="18"/>
          <w:szCs w:val="20"/>
          <w:lang w:eastAsia="en-AU"/>
        </w:rPr>
        <w:t xml:space="preserve"> Intrathecal chemotherapy prophylaxis costs are included in drug costs and administration costs for consolidation chemotherapy</w:t>
      </w:r>
    </w:p>
    <w:p w:rsidR="00B63022" w:rsidRPr="00483EB6" w:rsidRDefault="00B63022" w:rsidP="00B63022">
      <w:pPr>
        <w:keepNext/>
        <w:keepLines/>
        <w:rPr>
          <w:rFonts w:ascii="Arial Narrow" w:hAnsi="Arial Narrow"/>
          <w:sz w:val="18"/>
        </w:rPr>
      </w:pPr>
      <w:r w:rsidRPr="00483EB6">
        <w:rPr>
          <w:rFonts w:ascii="Arial Narrow" w:hAnsi="Arial Narrow" w:cs="Times New Roman"/>
          <w:color w:val="000000"/>
          <w:sz w:val="18"/>
          <w:szCs w:val="20"/>
          <w:lang w:eastAsia="en-AU"/>
        </w:rPr>
        <w:t>Note: The costs of intrathecal chemotherapy prophylaxis for blinatumomab were corrected during the evaluation for an error in the model</w:t>
      </w:r>
      <w:r w:rsidRPr="00483EB6">
        <w:rPr>
          <w:rFonts w:ascii="Arial Narrow" w:hAnsi="Arial Narrow"/>
          <w:sz w:val="18"/>
        </w:rPr>
        <w:t xml:space="preserve"> (per cycle costs were applied to relapse free years, rather than the proportion of patients in the relapse-free health state)</w:t>
      </w:r>
    </w:p>
    <w:p w:rsidR="00B63022" w:rsidRPr="00483EB6" w:rsidRDefault="00B63022" w:rsidP="00B63022">
      <w:pPr>
        <w:keepNext/>
        <w:keepLines/>
        <w:jc w:val="left"/>
        <w:rPr>
          <w:rFonts w:ascii="Arial Narrow" w:eastAsiaTheme="minorHAnsi" w:hAnsi="Arial Narrow" w:cs="Times New Roman"/>
          <w:snapToGrid/>
          <w:color w:val="000000"/>
          <w:sz w:val="18"/>
          <w:szCs w:val="20"/>
          <w:lang w:eastAsia="en-AU"/>
        </w:rPr>
      </w:pPr>
      <w:r w:rsidRPr="00483EB6">
        <w:rPr>
          <w:rFonts w:ascii="Arial Narrow" w:eastAsiaTheme="minorHAnsi" w:hAnsi="Arial Narrow" w:cs="Times New Roman"/>
          <w:snapToGrid/>
          <w:color w:val="000000"/>
          <w:sz w:val="18"/>
          <w:szCs w:val="20"/>
          <w:lang w:eastAsia="en-AU"/>
        </w:rPr>
        <w:t>Abbreviations: MRD, minimal residual disease</w:t>
      </w:r>
    </w:p>
    <w:p w:rsidR="00B63022" w:rsidRPr="00483EB6" w:rsidRDefault="00B63022" w:rsidP="0010204A">
      <w:pPr>
        <w:pStyle w:val="ListParagraph"/>
        <w:widowControl/>
        <w:numPr>
          <w:ilvl w:val="1"/>
          <w:numId w:val="3"/>
        </w:numPr>
        <w:spacing w:before="120" w:after="120"/>
      </w:pPr>
      <w:r w:rsidRPr="00483EB6">
        <w:t xml:space="preserve">The difference in cost between treatment arms </w:t>
      </w:r>
      <w:proofErr w:type="gramStart"/>
      <w:r w:rsidRPr="00483EB6">
        <w:t>was largely driven</w:t>
      </w:r>
      <w:proofErr w:type="gramEnd"/>
      <w:r w:rsidRPr="00483EB6">
        <w:t xml:space="preserve"> by increased drug costs and transplant costs in the blinatumomab arm, which was partially offset by reductions in relapse-free and relapsed disease management costs. </w:t>
      </w:r>
    </w:p>
    <w:p w:rsidR="00E636F6" w:rsidRPr="00483EB6" w:rsidRDefault="00E636F6" w:rsidP="0010204A">
      <w:pPr>
        <w:pStyle w:val="ListParagraph"/>
        <w:widowControl/>
        <w:numPr>
          <w:ilvl w:val="1"/>
          <w:numId w:val="3"/>
        </w:numPr>
        <w:spacing w:before="120" w:after="120"/>
      </w:pPr>
      <w:r w:rsidRPr="00483EB6">
        <w:t xml:space="preserve">A Markov trace of the proportion of patients in each health state over </w:t>
      </w:r>
      <w:r w:rsidR="00E8275D" w:rsidRPr="00483EB6">
        <w:t xml:space="preserve">time </w:t>
      </w:r>
      <w:r w:rsidR="002044FE" w:rsidRPr="00483EB6">
        <w:t xml:space="preserve">is </w:t>
      </w:r>
      <w:r w:rsidRPr="00483EB6">
        <w:t xml:space="preserve">presented below. </w:t>
      </w:r>
    </w:p>
    <w:p w:rsidR="00E636F6" w:rsidRPr="00483EB6" w:rsidRDefault="00E636F6" w:rsidP="003E2CD9">
      <w:pPr>
        <w:pStyle w:val="TableHeading0"/>
        <w:keepLines/>
        <w:rPr>
          <w:i/>
          <w:lang w:eastAsia="en-AU"/>
        </w:rPr>
      </w:pPr>
      <w:r w:rsidRPr="00483EB6">
        <w:rPr>
          <w:lang w:eastAsia="en-AU"/>
        </w:rPr>
        <w:t xml:space="preserve">Figure </w:t>
      </w:r>
      <w:r w:rsidR="00217625" w:rsidRPr="00483EB6">
        <w:rPr>
          <w:lang w:eastAsia="en-AU"/>
        </w:rPr>
        <w:t>3</w:t>
      </w:r>
      <w:r w:rsidRPr="00483EB6">
        <w:rPr>
          <w:lang w:eastAsia="en-AU"/>
        </w:rPr>
        <w:t xml:space="preserve">: Markov trace of </w:t>
      </w:r>
      <w:r w:rsidR="002044FE" w:rsidRPr="00483EB6">
        <w:rPr>
          <w:lang w:eastAsia="en-AU"/>
        </w:rPr>
        <w:t xml:space="preserve">the proportion of patients in the </w:t>
      </w:r>
      <w:r w:rsidRPr="00483EB6">
        <w:rPr>
          <w:lang w:eastAsia="en-AU"/>
        </w:rPr>
        <w:t>relapse-free, relapsed disease and dead health states</w:t>
      </w:r>
      <w:r w:rsidR="00B07683" w:rsidRPr="00483EB6">
        <w:rPr>
          <w:i/>
          <w:lang w:eastAsia="en-AU"/>
        </w:rPr>
        <w:t xml:space="preserve"> </w:t>
      </w:r>
    </w:p>
    <w:p w:rsidR="00183920" w:rsidRPr="00483EB6" w:rsidRDefault="003E2CD9" w:rsidP="003E2CD9">
      <w:pPr>
        <w:pStyle w:val="TableHeading0"/>
        <w:keepLines/>
        <w:rPr>
          <w:sz w:val="18"/>
        </w:rPr>
      </w:pPr>
      <w:r w:rsidRPr="00483EB6">
        <w:rPr>
          <w:i/>
          <w:noProof/>
          <w:lang w:eastAsia="en-AU"/>
        </w:rPr>
        <w:drawing>
          <wp:inline distT="0" distB="0" distL="0" distR="0" wp14:anchorId="10C77A51" wp14:editId="0E49442A">
            <wp:extent cx="3968750" cy="2592331"/>
            <wp:effectExtent l="0" t="0" r="0" b="0"/>
            <wp:docPr id="6" name="Picture 6" title="Figure 3: Markov trace of the proportion of patients in the relapse-free, relapsed disease and dead health st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0823" cy="2600217"/>
                    </a:xfrm>
                    <a:prstGeom prst="rect">
                      <a:avLst/>
                    </a:prstGeom>
                    <a:noFill/>
                  </pic:spPr>
                </pic:pic>
              </a:graphicData>
            </a:graphic>
          </wp:inline>
        </w:drawing>
      </w:r>
    </w:p>
    <w:p w:rsidR="002044FE" w:rsidRPr="00483EB6" w:rsidRDefault="002044FE" w:rsidP="002044FE">
      <w:pPr>
        <w:keepNext/>
        <w:keepLines/>
        <w:rPr>
          <w:rFonts w:ascii="Arial Narrow" w:hAnsi="Arial Narrow"/>
          <w:sz w:val="18"/>
        </w:rPr>
      </w:pPr>
      <w:r w:rsidRPr="00483EB6">
        <w:rPr>
          <w:rFonts w:ascii="Arial Narrow" w:hAnsi="Arial Narrow"/>
          <w:sz w:val="18"/>
        </w:rPr>
        <w:t>Source: Figure 35, p175 of the resubmission</w:t>
      </w:r>
    </w:p>
    <w:p w:rsidR="000302DD" w:rsidRPr="00483EB6" w:rsidRDefault="002044FE" w:rsidP="0010204A">
      <w:pPr>
        <w:pStyle w:val="ListParagraph"/>
        <w:widowControl/>
        <w:numPr>
          <w:ilvl w:val="1"/>
          <w:numId w:val="3"/>
        </w:numPr>
        <w:spacing w:before="120" w:after="120"/>
      </w:pPr>
      <w:r w:rsidRPr="00483EB6">
        <w:t>The modelled survival curves for relapse-free survival and overall survival are presented below</w:t>
      </w:r>
    </w:p>
    <w:p w:rsidR="000302DD" w:rsidRPr="00483EB6" w:rsidRDefault="002044FE" w:rsidP="003E2CD9">
      <w:pPr>
        <w:pStyle w:val="TableHeading0"/>
        <w:keepLines/>
        <w:rPr>
          <w:sz w:val="18"/>
        </w:rPr>
      </w:pPr>
      <w:r w:rsidRPr="00483EB6">
        <w:rPr>
          <w:lang w:eastAsia="en-AU"/>
        </w:rPr>
        <w:lastRenderedPageBreak/>
        <w:t>Figure 4:</w:t>
      </w:r>
      <w:r w:rsidR="001F3132" w:rsidRPr="00483EB6">
        <w:rPr>
          <w:lang w:eastAsia="en-AU"/>
        </w:rPr>
        <w:t xml:space="preserve"> </w:t>
      </w:r>
      <w:r w:rsidR="00E8275D" w:rsidRPr="00483EB6">
        <w:rPr>
          <w:lang w:eastAsia="en-AU"/>
        </w:rPr>
        <w:t>S</w:t>
      </w:r>
      <w:r w:rsidRPr="00483EB6">
        <w:rPr>
          <w:lang w:eastAsia="en-AU"/>
        </w:rPr>
        <w:t xml:space="preserve">urvival curves informing the model for relapse free survival and overall survival </w:t>
      </w:r>
    </w:p>
    <w:p w:rsidR="000302DD" w:rsidRPr="00483EB6" w:rsidRDefault="00E8275D" w:rsidP="003E2CD9">
      <w:pPr>
        <w:keepNext/>
        <w:keepLines/>
        <w:rPr>
          <w:rFonts w:ascii="Arial Narrow" w:hAnsi="Arial Narrow"/>
          <w:i/>
          <w:sz w:val="18"/>
        </w:rPr>
      </w:pPr>
      <w:r w:rsidRPr="00483EB6">
        <w:rPr>
          <w:rFonts w:ascii="Arial Narrow" w:hAnsi="Arial Narrow"/>
          <w:i/>
          <w:noProof/>
          <w:sz w:val="18"/>
          <w:lang w:eastAsia="en-AU"/>
        </w:rPr>
        <w:drawing>
          <wp:inline distT="0" distB="0" distL="0" distR="0" wp14:anchorId="46394A07" wp14:editId="6562D401">
            <wp:extent cx="4305300" cy="2803546"/>
            <wp:effectExtent l="0" t="0" r="0" b="0"/>
            <wp:docPr id="3" name="Picture 3" title="Figure 4: Survival curves informing the model for relapse free survival and overall surviv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10855" cy="2807163"/>
                    </a:xfrm>
                    <a:prstGeom prst="rect">
                      <a:avLst/>
                    </a:prstGeom>
                    <a:noFill/>
                  </pic:spPr>
                </pic:pic>
              </a:graphicData>
            </a:graphic>
          </wp:inline>
        </w:drawing>
      </w:r>
    </w:p>
    <w:p w:rsidR="00E636F6" w:rsidRPr="00483EB6" w:rsidRDefault="00E636F6" w:rsidP="003E2CD9">
      <w:pPr>
        <w:keepNext/>
        <w:keepLines/>
        <w:rPr>
          <w:rFonts w:ascii="Arial Narrow" w:hAnsi="Arial Narrow"/>
          <w:i/>
          <w:sz w:val="18"/>
        </w:rPr>
      </w:pPr>
      <w:r w:rsidRPr="00483EB6">
        <w:rPr>
          <w:rFonts w:ascii="Arial Narrow" w:hAnsi="Arial Narrow"/>
          <w:i/>
          <w:sz w:val="18"/>
        </w:rPr>
        <w:t xml:space="preserve">Source: Figure </w:t>
      </w:r>
      <w:r w:rsidR="003E2CD9" w:rsidRPr="00483EB6">
        <w:rPr>
          <w:rFonts w:ascii="Arial Narrow" w:hAnsi="Arial Narrow"/>
          <w:i/>
          <w:sz w:val="18"/>
        </w:rPr>
        <w:t>30</w:t>
      </w:r>
      <w:r w:rsidRPr="00483EB6">
        <w:rPr>
          <w:rFonts w:ascii="Arial Narrow" w:hAnsi="Arial Narrow"/>
          <w:i/>
          <w:sz w:val="18"/>
        </w:rPr>
        <w:t xml:space="preserve">, </w:t>
      </w:r>
      <w:r w:rsidR="003E2CD9" w:rsidRPr="00483EB6">
        <w:rPr>
          <w:rFonts w:ascii="Arial Narrow" w:hAnsi="Arial Narrow"/>
          <w:i/>
          <w:sz w:val="18"/>
        </w:rPr>
        <w:t xml:space="preserve">p135 </w:t>
      </w:r>
      <w:r w:rsidRPr="00483EB6">
        <w:rPr>
          <w:rFonts w:ascii="Arial Narrow" w:hAnsi="Arial Narrow"/>
          <w:i/>
          <w:sz w:val="18"/>
        </w:rPr>
        <w:t>of the resubmission</w:t>
      </w:r>
    </w:p>
    <w:p w:rsidR="00733089" w:rsidRPr="00483EB6" w:rsidRDefault="00E636F6" w:rsidP="0010204A">
      <w:pPr>
        <w:pStyle w:val="ListParagraph"/>
        <w:widowControl/>
        <w:numPr>
          <w:ilvl w:val="1"/>
          <w:numId w:val="3"/>
        </w:numPr>
        <w:spacing w:before="120" w:after="120"/>
      </w:pPr>
      <w:r w:rsidRPr="00483EB6">
        <w:t xml:space="preserve">The Markov trace </w:t>
      </w:r>
      <w:r w:rsidR="00E8275D" w:rsidRPr="00483EB6">
        <w:t xml:space="preserve">(Figure 3) </w:t>
      </w:r>
      <w:r w:rsidRPr="00483EB6">
        <w:t xml:space="preserve">demonstrated a rapid separation of curves in the first four years with a slow trend towards convergence over the course of the model. The </w:t>
      </w:r>
      <w:r w:rsidR="003E2CD9" w:rsidRPr="00483EB6">
        <w:t>modelled survival curves</w:t>
      </w:r>
      <w:r w:rsidR="00E8275D" w:rsidRPr="00483EB6">
        <w:t xml:space="preserve"> (Figure 4) </w:t>
      </w:r>
      <w:r w:rsidRPr="00483EB6">
        <w:t>indicated that</w:t>
      </w:r>
      <w:r w:rsidR="006D7767" w:rsidRPr="00483EB6">
        <w:t>, in the blinatumomab arm, the relapse free survival curve was converged with the OS curve at 8 years. This was because the approach used to extrapolate survival resulted in higher relapse-free survival compared to OS (at approximately 8 years in the model) in the blinatumomab treatment arm. To address this, the model included an adjustment factor t</w:t>
      </w:r>
      <w:r w:rsidR="007D1B79" w:rsidRPr="00483EB6">
        <w:t>o</w:t>
      </w:r>
      <w:r w:rsidR="006D7767" w:rsidRPr="00483EB6">
        <w:t xml:space="preserve"> prevent relapse-free survival exceeding OS</w:t>
      </w:r>
      <w:r w:rsidR="00A0339B" w:rsidRPr="00483EB6">
        <w:t xml:space="preserve"> (which essentially assumed that</w:t>
      </w:r>
      <w:r w:rsidR="00043919" w:rsidRPr="00483EB6">
        <w:t xml:space="preserve"> all</w:t>
      </w:r>
      <w:r w:rsidR="00A0339B" w:rsidRPr="00483EB6">
        <w:t xml:space="preserve"> </w:t>
      </w:r>
      <w:r w:rsidR="002F3F0D" w:rsidRPr="00483EB6">
        <w:t xml:space="preserve">patients </w:t>
      </w:r>
      <w:r w:rsidR="00A0339B" w:rsidRPr="00483EB6">
        <w:t>on blinatumomab who relapse die immediately)</w:t>
      </w:r>
      <w:r w:rsidR="006D7767" w:rsidRPr="00483EB6">
        <w:t xml:space="preserve">. This meant that </w:t>
      </w:r>
      <w:r w:rsidRPr="00483EB6">
        <w:t xml:space="preserve">patients in the blinatumomab arm could not </w:t>
      </w:r>
      <w:r w:rsidR="00BB61C7" w:rsidRPr="00483EB6">
        <w:t>be in</w:t>
      </w:r>
      <w:r w:rsidRPr="00483EB6">
        <w:t xml:space="preserve"> the relapsed state after 8 years</w:t>
      </w:r>
      <w:r w:rsidR="006D7767" w:rsidRPr="00483EB6">
        <w:t>,</w:t>
      </w:r>
      <w:r w:rsidRPr="00483EB6">
        <w:t xml:space="preserve"> while patients in the consolidation arm </w:t>
      </w:r>
      <w:r w:rsidR="00BB61C7" w:rsidRPr="00483EB6">
        <w:t>could remain in (or enter) the relapsed state for the entire time horizon of the model</w:t>
      </w:r>
      <w:r w:rsidRPr="00483EB6">
        <w:t xml:space="preserve">. </w:t>
      </w:r>
    </w:p>
    <w:p w:rsidR="00E8275D" w:rsidRPr="00483EB6" w:rsidRDefault="00E8275D" w:rsidP="0010204A">
      <w:pPr>
        <w:pStyle w:val="ListParagraph"/>
        <w:widowControl/>
        <w:numPr>
          <w:ilvl w:val="1"/>
          <w:numId w:val="3"/>
        </w:numPr>
        <w:spacing w:before="120" w:after="120"/>
      </w:pPr>
      <w:r w:rsidRPr="00483EB6">
        <w:t>The ESC considered that the model trace in which OS and relapse free survival for blinatumomab are identical beyond 8 years was not clinically plausible</w:t>
      </w:r>
      <w:r w:rsidR="00FA2D4B" w:rsidRPr="00483EB6">
        <w:t xml:space="preserve"> as, in clinical practice, patients </w:t>
      </w:r>
      <w:r w:rsidRPr="00483EB6">
        <w:t xml:space="preserve">would </w:t>
      </w:r>
      <w:r w:rsidR="00FA2D4B" w:rsidRPr="00483EB6">
        <w:t>hav</w:t>
      </w:r>
      <w:r w:rsidRPr="00483EB6">
        <w:t>e a period of time between relapse and death (albeit short in some cases). Further, the ESC considered that the lack of patients alive post-relapse in the blinatumomab arm</w:t>
      </w:r>
      <w:r w:rsidR="005D3196" w:rsidRPr="00483EB6">
        <w:t>, but not the consolidation chemotherapy arm,</w:t>
      </w:r>
      <w:r w:rsidRPr="00483EB6">
        <w:t xml:space="preserve"> generates a significant cost offset from there being no </w:t>
      </w:r>
      <w:r w:rsidR="00FA2D4B" w:rsidRPr="00483EB6">
        <w:t>further</w:t>
      </w:r>
      <w:r w:rsidRPr="00483EB6">
        <w:t xml:space="preserve"> disease management costs (in the relapsed health state after 8 years) in the blinatumomab arm only.</w:t>
      </w:r>
      <w:r w:rsidR="005D3196" w:rsidRPr="00483EB6">
        <w:t xml:space="preserve"> The ESC considered that this difference in disease trajectory between treatment arms was not adequately supported by available clinical data.</w:t>
      </w:r>
      <w:r w:rsidR="00FA2D4B" w:rsidRPr="00483EB6">
        <w:t xml:space="preserve"> The ESC reiterated its previous view that that the need for adjustments to the survival curves suggested that the underlying data did not adequately reflect the implicit relationships between survival estimates. (Table 12, blinatumomab July 2018 PSD).</w:t>
      </w:r>
    </w:p>
    <w:p w:rsidR="00E636F6" w:rsidRPr="00483EB6" w:rsidRDefault="005D3196" w:rsidP="0010204A">
      <w:pPr>
        <w:pStyle w:val="ListParagraph"/>
        <w:widowControl/>
        <w:numPr>
          <w:ilvl w:val="1"/>
          <w:numId w:val="3"/>
        </w:numPr>
        <w:spacing w:before="120" w:after="120"/>
      </w:pPr>
      <w:r w:rsidRPr="00483EB6">
        <w:t>Notwithstanding th</w:t>
      </w:r>
      <w:r w:rsidR="001F3132" w:rsidRPr="00483EB6">
        <w:t>is, t</w:t>
      </w:r>
      <w:r w:rsidR="005B3532" w:rsidRPr="00483EB6">
        <w:t xml:space="preserve">he ESC considered </w:t>
      </w:r>
      <w:r w:rsidR="002001FF" w:rsidRPr="00483EB6">
        <w:t xml:space="preserve">it was </w:t>
      </w:r>
      <w:r w:rsidR="00D91619" w:rsidRPr="00483EB6">
        <w:t xml:space="preserve">not clinically </w:t>
      </w:r>
      <w:r w:rsidR="00E87B77" w:rsidRPr="00483EB6">
        <w:t>plausible</w:t>
      </w:r>
      <w:r w:rsidR="002001FF" w:rsidRPr="00483EB6">
        <w:t xml:space="preserve"> </w:t>
      </w:r>
      <w:r w:rsidR="00E87B77" w:rsidRPr="00483EB6">
        <w:t>for</w:t>
      </w:r>
      <w:r w:rsidR="002D1825" w:rsidRPr="00483EB6">
        <w:t xml:space="preserve"> </w:t>
      </w:r>
      <w:r w:rsidRPr="00483EB6">
        <w:t xml:space="preserve">many </w:t>
      </w:r>
      <w:r w:rsidR="00E87B77" w:rsidRPr="00483EB6">
        <w:t xml:space="preserve">patients </w:t>
      </w:r>
      <w:r w:rsidR="00B07683" w:rsidRPr="00483EB6">
        <w:t xml:space="preserve">(in either arm) </w:t>
      </w:r>
      <w:r w:rsidR="00E87B77" w:rsidRPr="00483EB6">
        <w:t xml:space="preserve">to </w:t>
      </w:r>
      <w:r w:rsidR="004E2AB3" w:rsidRPr="00483EB6">
        <w:t>be in the</w:t>
      </w:r>
      <w:r w:rsidR="002001FF" w:rsidRPr="00483EB6">
        <w:t xml:space="preserve"> relapse</w:t>
      </w:r>
      <w:r w:rsidR="00D91619" w:rsidRPr="00483EB6">
        <w:t>d</w:t>
      </w:r>
      <w:r w:rsidR="002001FF" w:rsidRPr="00483EB6">
        <w:t xml:space="preserve"> </w:t>
      </w:r>
      <w:r w:rsidR="00B07683" w:rsidRPr="00483EB6">
        <w:t xml:space="preserve">health </w:t>
      </w:r>
      <w:r w:rsidR="004E2AB3" w:rsidRPr="00483EB6">
        <w:t xml:space="preserve">state </w:t>
      </w:r>
      <w:r w:rsidR="00733089" w:rsidRPr="00483EB6">
        <w:t xml:space="preserve">after about 8 </w:t>
      </w:r>
      <w:r w:rsidR="003E2CD9" w:rsidRPr="00483EB6">
        <w:t xml:space="preserve">to 10 </w:t>
      </w:r>
      <w:r w:rsidR="00733089" w:rsidRPr="00483EB6">
        <w:t xml:space="preserve">years </w:t>
      </w:r>
      <w:r w:rsidR="004E2AB3" w:rsidRPr="00483EB6">
        <w:t xml:space="preserve">as </w:t>
      </w:r>
      <w:r w:rsidR="00FC79EC" w:rsidRPr="00483EB6">
        <w:lastRenderedPageBreak/>
        <w:t>most relapses</w:t>
      </w:r>
      <w:r w:rsidR="004E2AB3" w:rsidRPr="00483EB6">
        <w:t xml:space="preserve"> </w:t>
      </w:r>
      <w:r w:rsidR="00FC79EC" w:rsidRPr="00483EB6">
        <w:t>occur in the first few years following</w:t>
      </w:r>
      <w:r w:rsidR="00733089" w:rsidRPr="00483EB6">
        <w:t xml:space="preserve"> initial</w:t>
      </w:r>
      <w:r w:rsidR="00FC79EC" w:rsidRPr="00483EB6">
        <w:t xml:space="preserve"> treatment</w:t>
      </w:r>
      <w:r w:rsidR="00DE3517" w:rsidRPr="00483EB6">
        <w:t xml:space="preserve"> and relapsed disease is associated with high mortality</w:t>
      </w:r>
      <w:r w:rsidR="00FC79EC" w:rsidRPr="00483EB6">
        <w:t xml:space="preserve">. </w:t>
      </w:r>
      <w:r w:rsidR="001F3132" w:rsidRPr="00483EB6">
        <w:t>As such, t</w:t>
      </w:r>
      <w:r w:rsidRPr="00483EB6">
        <w:t>he ESC considered that th</w:t>
      </w:r>
      <w:r w:rsidR="001F3132" w:rsidRPr="00483EB6">
        <w:t xml:space="preserve">e proportion of patients in the relapsed disease health state in the consolidation chemotherapy arm beyond 8 to 10 years was overestimated. </w:t>
      </w:r>
      <w:r w:rsidR="00733089" w:rsidRPr="00483EB6">
        <w:t>The ESC noted that the resubmission did not attempt to validate the model traces using data from other external sources on patient survival with B-ALL.</w:t>
      </w:r>
    </w:p>
    <w:p w:rsidR="00E636F6" w:rsidRPr="00483EB6" w:rsidRDefault="00217625" w:rsidP="0010204A">
      <w:pPr>
        <w:pStyle w:val="ListParagraph"/>
        <w:widowControl/>
        <w:numPr>
          <w:ilvl w:val="1"/>
          <w:numId w:val="3"/>
        </w:numPr>
        <w:spacing w:before="120" w:after="120"/>
      </w:pPr>
      <w:r w:rsidRPr="00483EB6">
        <w:t>Table 1</w:t>
      </w:r>
      <w:r w:rsidR="005E2717" w:rsidRPr="00483EB6">
        <w:t>3</w:t>
      </w:r>
      <w:r w:rsidRPr="00483EB6">
        <w:t xml:space="preserve"> summarises the results of the modelled economic evaluation presented in the July 2018 submission,</w:t>
      </w:r>
      <w:r w:rsidR="00903391" w:rsidRPr="00483EB6">
        <w:t xml:space="preserve"> and</w:t>
      </w:r>
      <w:r w:rsidRPr="00483EB6">
        <w:t xml:space="preserve"> the</w:t>
      </w:r>
      <w:r w:rsidR="00E636F6" w:rsidRPr="00483EB6">
        <w:t xml:space="preserve"> results of the modelled economic evaluation </w:t>
      </w:r>
      <w:r w:rsidRPr="00483EB6">
        <w:t>in the resubmission.</w:t>
      </w:r>
    </w:p>
    <w:p w:rsidR="001C5189" w:rsidRPr="00483EB6" w:rsidRDefault="001C5189" w:rsidP="00DE3517">
      <w:pPr>
        <w:keepNext/>
        <w:keepLines/>
        <w:widowControl/>
        <w:rPr>
          <w:rFonts w:ascii="Arial Narrow" w:hAnsi="Arial Narrow"/>
          <w:b/>
          <w:sz w:val="20"/>
        </w:rPr>
      </w:pPr>
      <w:r w:rsidRPr="00483EB6">
        <w:rPr>
          <w:rFonts w:ascii="Arial Narrow" w:hAnsi="Arial Narrow"/>
          <w:b/>
          <w:sz w:val="20"/>
        </w:rPr>
        <w:t>Table 1</w:t>
      </w:r>
      <w:r w:rsidR="005E2717" w:rsidRPr="00483EB6">
        <w:rPr>
          <w:rFonts w:ascii="Arial Narrow" w:hAnsi="Arial Narrow"/>
          <w:b/>
          <w:sz w:val="20"/>
        </w:rPr>
        <w:t>3</w:t>
      </w:r>
      <w:r w:rsidRPr="00483EB6">
        <w:rPr>
          <w:rFonts w:ascii="Arial Narrow" w:hAnsi="Arial Narrow"/>
          <w:b/>
          <w:sz w:val="20"/>
        </w:rPr>
        <w:t>: Results of the economic evaluation for the previous submission, current resubmission and alternative base case for blinatumomab versus consolidation chemotherapy</w:t>
      </w:r>
    </w:p>
    <w:tbl>
      <w:tblPr>
        <w:tblW w:w="4995"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3: Results of the economic evaluation for the previous submission, current resubmission and alternative base case for blinatumomab versus consolidation chemotherapy"/>
      </w:tblPr>
      <w:tblGrid>
        <w:gridCol w:w="2379"/>
        <w:gridCol w:w="2021"/>
        <w:gridCol w:w="2023"/>
        <w:gridCol w:w="2585"/>
      </w:tblGrid>
      <w:tr w:rsidR="00217625" w:rsidRPr="00483EB6" w:rsidTr="00991B05">
        <w:tc>
          <w:tcPr>
            <w:tcW w:w="1320" w:type="pct"/>
            <w:vAlign w:val="center"/>
          </w:tcPr>
          <w:p w:rsidR="00217625" w:rsidRPr="00483EB6" w:rsidRDefault="00217625" w:rsidP="00DE3517">
            <w:pPr>
              <w:pStyle w:val="TableText0"/>
              <w:widowControl w:val="0"/>
              <w:spacing w:before="0" w:after="0"/>
              <w:jc w:val="center"/>
              <w:rPr>
                <w:b/>
              </w:rPr>
            </w:pPr>
            <w:r w:rsidRPr="00483EB6">
              <w:rPr>
                <w:b/>
                <w:szCs w:val="20"/>
              </w:rPr>
              <w:t>Type of resource item</w:t>
            </w:r>
          </w:p>
        </w:tc>
        <w:tc>
          <w:tcPr>
            <w:tcW w:w="1122" w:type="pct"/>
            <w:vAlign w:val="center"/>
          </w:tcPr>
          <w:p w:rsidR="00217625" w:rsidRPr="00483EB6" w:rsidRDefault="00217625" w:rsidP="00DE3517">
            <w:pPr>
              <w:pStyle w:val="TableText0"/>
              <w:widowControl w:val="0"/>
              <w:spacing w:before="0" w:after="0"/>
              <w:jc w:val="center"/>
              <w:rPr>
                <w:b/>
              </w:rPr>
            </w:pPr>
            <w:r w:rsidRPr="00483EB6">
              <w:rPr>
                <w:b/>
              </w:rPr>
              <w:t>Blinatumomab</w:t>
            </w:r>
          </w:p>
        </w:tc>
        <w:tc>
          <w:tcPr>
            <w:tcW w:w="1123" w:type="pct"/>
            <w:vAlign w:val="center"/>
          </w:tcPr>
          <w:p w:rsidR="00217625" w:rsidRPr="00483EB6" w:rsidRDefault="00217625" w:rsidP="00DE3517">
            <w:pPr>
              <w:pStyle w:val="TableText0"/>
              <w:widowControl w:val="0"/>
              <w:spacing w:before="0" w:after="0"/>
              <w:jc w:val="center"/>
              <w:rPr>
                <w:b/>
              </w:rPr>
            </w:pPr>
            <w:r w:rsidRPr="00483EB6">
              <w:rPr>
                <w:b/>
              </w:rPr>
              <w:t>Consolidation chemotherapy</w:t>
            </w:r>
          </w:p>
        </w:tc>
        <w:tc>
          <w:tcPr>
            <w:tcW w:w="1435" w:type="pct"/>
          </w:tcPr>
          <w:p w:rsidR="00217625" w:rsidRPr="00483EB6" w:rsidRDefault="00217625" w:rsidP="00DE3517">
            <w:pPr>
              <w:pStyle w:val="TableText0"/>
              <w:widowControl w:val="0"/>
              <w:spacing w:before="0" w:after="0"/>
              <w:jc w:val="center"/>
              <w:rPr>
                <w:b/>
              </w:rPr>
            </w:pPr>
            <w:r w:rsidRPr="00483EB6">
              <w:rPr>
                <w:b/>
              </w:rPr>
              <w:t xml:space="preserve">Incremental </w:t>
            </w:r>
          </w:p>
          <w:p w:rsidR="00217625" w:rsidRPr="00483EB6" w:rsidRDefault="00217625" w:rsidP="00DE3517">
            <w:pPr>
              <w:pStyle w:val="TableText0"/>
              <w:widowControl w:val="0"/>
              <w:spacing w:before="0" w:after="0"/>
              <w:jc w:val="center"/>
              <w:rPr>
                <w:b/>
              </w:rPr>
            </w:pPr>
            <w:r w:rsidRPr="00483EB6">
              <w:rPr>
                <w:b/>
              </w:rPr>
              <w:t>difference</w:t>
            </w:r>
          </w:p>
        </w:tc>
      </w:tr>
      <w:tr w:rsidR="00991B05" w:rsidRPr="00483EB6" w:rsidTr="00135C7B">
        <w:tc>
          <w:tcPr>
            <w:tcW w:w="5000" w:type="pct"/>
            <w:gridSpan w:val="4"/>
            <w:shd w:val="clear" w:color="auto" w:fill="D9D9D9" w:themeFill="background1" w:themeFillShade="D9"/>
            <w:vAlign w:val="center"/>
          </w:tcPr>
          <w:p w:rsidR="00991B05" w:rsidRPr="00483EB6" w:rsidRDefault="00135C7B" w:rsidP="00DE3517">
            <w:pPr>
              <w:pStyle w:val="TableText0"/>
              <w:widowControl w:val="0"/>
              <w:spacing w:before="0" w:after="0"/>
              <w:rPr>
                <w:b/>
              </w:rPr>
            </w:pPr>
            <w:r w:rsidRPr="00483EB6">
              <w:rPr>
                <w:b/>
                <w:szCs w:val="20"/>
              </w:rPr>
              <w:t xml:space="preserve">Previous submission: </w:t>
            </w:r>
            <w:r w:rsidR="00991B05" w:rsidRPr="00483EB6">
              <w:rPr>
                <w:b/>
                <w:szCs w:val="20"/>
              </w:rPr>
              <w:t>Results of the economic evaluation presented in the July 2018 submission</w:t>
            </w:r>
          </w:p>
        </w:tc>
      </w:tr>
      <w:tr w:rsidR="00217625" w:rsidRPr="00483EB6" w:rsidTr="00135C7B">
        <w:tc>
          <w:tcPr>
            <w:tcW w:w="1320" w:type="pct"/>
            <w:shd w:val="clear" w:color="auto" w:fill="D9D9D9" w:themeFill="background1" w:themeFillShade="D9"/>
          </w:tcPr>
          <w:p w:rsidR="00217625" w:rsidRPr="00483EB6" w:rsidRDefault="00217625" w:rsidP="00DE3517">
            <w:pPr>
              <w:pStyle w:val="TableText0"/>
              <w:widowControl w:val="0"/>
              <w:spacing w:before="0" w:after="0"/>
            </w:pPr>
            <w:r w:rsidRPr="00483EB6">
              <w:t>Costs</w:t>
            </w:r>
          </w:p>
        </w:tc>
        <w:tc>
          <w:tcPr>
            <w:tcW w:w="1122" w:type="pct"/>
            <w:shd w:val="clear" w:color="auto" w:fill="D9D9D9" w:themeFill="background1" w:themeFillShade="D9"/>
            <w:vAlign w:val="bottom"/>
          </w:tcPr>
          <w:p w:rsidR="00217625" w:rsidRPr="00D176A1" w:rsidRDefault="00D176A1" w:rsidP="00DE3517">
            <w:pPr>
              <w:pStyle w:val="TableText0"/>
              <w:widowControl w:val="0"/>
              <w:spacing w:before="0" w:after="0"/>
              <w:jc w:val="center"/>
              <w:rPr>
                <w:highlight w:val="black"/>
              </w:rPr>
            </w:pPr>
            <w:r>
              <w:rPr>
                <w:noProof/>
                <w:color w:val="000000"/>
                <w:highlight w:val="black"/>
              </w:rPr>
              <w:t>'''''''''''''''''''''''</w:t>
            </w:r>
          </w:p>
        </w:tc>
        <w:tc>
          <w:tcPr>
            <w:tcW w:w="1123" w:type="pct"/>
            <w:shd w:val="clear" w:color="auto" w:fill="D9D9D9" w:themeFill="background1" w:themeFillShade="D9"/>
            <w:vAlign w:val="bottom"/>
          </w:tcPr>
          <w:p w:rsidR="00217625" w:rsidRPr="00D176A1" w:rsidRDefault="00D176A1" w:rsidP="00DE3517">
            <w:pPr>
              <w:pStyle w:val="TableText0"/>
              <w:widowControl w:val="0"/>
              <w:spacing w:before="0" w:after="0"/>
              <w:jc w:val="center"/>
              <w:rPr>
                <w:highlight w:val="black"/>
              </w:rPr>
            </w:pPr>
            <w:r>
              <w:rPr>
                <w:noProof/>
                <w:color w:val="000000"/>
                <w:highlight w:val="black"/>
              </w:rPr>
              <w:t>'''''''''''''''''''''</w:t>
            </w:r>
          </w:p>
        </w:tc>
        <w:tc>
          <w:tcPr>
            <w:tcW w:w="1435" w:type="pct"/>
            <w:shd w:val="clear" w:color="auto" w:fill="D9D9D9" w:themeFill="background1" w:themeFillShade="D9"/>
            <w:vAlign w:val="center"/>
          </w:tcPr>
          <w:p w:rsidR="00217625" w:rsidRPr="00D176A1" w:rsidRDefault="00D176A1" w:rsidP="00DE3517">
            <w:pPr>
              <w:pStyle w:val="TableText0"/>
              <w:widowControl w:val="0"/>
              <w:spacing w:before="0" w:after="0"/>
              <w:jc w:val="center"/>
              <w:rPr>
                <w:highlight w:val="black"/>
              </w:rPr>
            </w:pPr>
            <w:r>
              <w:rPr>
                <w:noProof/>
                <w:color w:val="000000"/>
                <w:highlight w:val="black"/>
              </w:rPr>
              <w:t>'''''''''''''''''</w:t>
            </w:r>
          </w:p>
        </w:tc>
      </w:tr>
      <w:tr w:rsidR="00991B05" w:rsidRPr="00483EB6" w:rsidTr="00135C7B">
        <w:tc>
          <w:tcPr>
            <w:tcW w:w="1320" w:type="pct"/>
            <w:shd w:val="clear" w:color="auto" w:fill="D9D9D9" w:themeFill="background1" w:themeFillShade="D9"/>
          </w:tcPr>
          <w:p w:rsidR="00991B05" w:rsidRPr="00483EB6" w:rsidRDefault="00991B05" w:rsidP="00DE3517">
            <w:pPr>
              <w:pStyle w:val="TableText0"/>
              <w:widowControl w:val="0"/>
              <w:spacing w:before="0" w:after="0"/>
            </w:pPr>
            <w:r w:rsidRPr="00483EB6">
              <w:t>Life years</w:t>
            </w:r>
          </w:p>
        </w:tc>
        <w:tc>
          <w:tcPr>
            <w:tcW w:w="112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91B05" w:rsidRPr="00483EB6" w:rsidRDefault="00991B05" w:rsidP="00DE3517">
            <w:pPr>
              <w:pStyle w:val="TableText0"/>
              <w:widowControl w:val="0"/>
              <w:spacing w:before="0" w:after="0"/>
              <w:jc w:val="center"/>
            </w:pPr>
            <w:r w:rsidRPr="00483EB6">
              <w:rPr>
                <w:color w:val="000000"/>
              </w:rPr>
              <w:t>6.7337</w:t>
            </w:r>
          </w:p>
        </w:tc>
        <w:tc>
          <w:tcPr>
            <w:tcW w:w="1123" w:type="pct"/>
            <w:tcBorders>
              <w:top w:val="single" w:sz="4" w:space="0" w:color="auto"/>
              <w:left w:val="nil"/>
              <w:bottom w:val="single" w:sz="4" w:space="0" w:color="auto"/>
              <w:right w:val="single" w:sz="4" w:space="0" w:color="auto"/>
            </w:tcBorders>
            <w:shd w:val="clear" w:color="auto" w:fill="D9D9D9" w:themeFill="background1" w:themeFillShade="D9"/>
          </w:tcPr>
          <w:p w:rsidR="00991B05" w:rsidRPr="00483EB6" w:rsidRDefault="00991B05" w:rsidP="00DE3517">
            <w:pPr>
              <w:pStyle w:val="TableText0"/>
              <w:widowControl w:val="0"/>
              <w:spacing w:before="0" w:after="0"/>
              <w:jc w:val="center"/>
            </w:pPr>
            <w:r w:rsidRPr="00483EB6">
              <w:rPr>
                <w:color w:val="000000"/>
              </w:rPr>
              <w:t>4.6791</w:t>
            </w:r>
          </w:p>
        </w:tc>
        <w:tc>
          <w:tcPr>
            <w:tcW w:w="1435" w:type="pct"/>
            <w:tcBorders>
              <w:top w:val="single" w:sz="4" w:space="0" w:color="auto"/>
              <w:left w:val="nil"/>
              <w:bottom w:val="single" w:sz="4" w:space="0" w:color="auto"/>
              <w:right w:val="single" w:sz="4" w:space="0" w:color="auto"/>
            </w:tcBorders>
            <w:shd w:val="clear" w:color="auto" w:fill="D9D9D9" w:themeFill="background1" w:themeFillShade="D9"/>
          </w:tcPr>
          <w:p w:rsidR="00991B05" w:rsidRPr="00483EB6" w:rsidRDefault="00991B05" w:rsidP="00DE3517">
            <w:pPr>
              <w:pStyle w:val="TableText0"/>
              <w:widowControl w:val="0"/>
              <w:spacing w:before="0" w:after="0"/>
              <w:jc w:val="center"/>
            </w:pPr>
            <w:r w:rsidRPr="00483EB6">
              <w:rPr>
                <w:color w:val="000000"/>
              </w:rPr>
              <w:t>2.0546</w:t>
            </w:r>
          </w:p>
        </w:tc>
      </w:tr>
      <w:tr w:rsidR="00217625" w:rsidRPr="00483EB6" w:rsidTr="00135C7B">
        <w:tc>
          <w:tcPr>
            <w:tcW w:w="1320" w:type="pct"/>
            <w:shd w:val="clear" w:color="auto" w:fill="D9D9D9" w:themeFill="background1" w:themeFillShade="D9"/>
          </w:tcPr>
          <w:p w:rsidR="00217625" w:rsidRPr="00483EB6" w:rsidRDefault="00217625" w:rsidP="00DE3517">
            <w:pPr>
              <w:pStyle w:val="TableText0"/>
              <w:widowControl w:val="0"/>
              <w:spacing w:before="0" w:after="0"/>
            </w:pPr>
            <w:r w:rsidRPr="00483EB6">
              <w:t>QALYs</w:t>
            </w:r>
          </w:p>
        </w:tc>
        <w:tc>
          <w:tcPr>
            <w:tcW w:w="1122" w:type="pct"/>
            <w:shd w:val="clear" w:color="auto" w:fill="D9D9D9" w:themeFill="background1" w:themeFillShade="D9"/>
            <w:vAlign w:val="bottom"/>
          </w:tcPr>
          <w:p w:rsidR="00217625" w:rsidRPr="00483EB6" w:rsidRDefault="00217625" w:rsidP="00DE3517">
            <w:pPr>
              <w:pStyle w:val="TableText0"/>
              <w:widowControl w:val="0"/>
              <w:spacing w:before="0" w:after="0"/>
              <w:jc w:val="center"/>
            </w:pPr>
            <w:r w:rsidRPr="00483EB6">
              <w:t>5.3820</w:t>
            </w:r>
          </w:p>
        </w:tc>
        <w:tc>
          <w:tcPr>
            <w:tcW w:w="1123" w:type="pct"/>
            <w:shd w:val="clear" w:color="auto" w:fill="D9D9D9" w:themeFill="background1" w:themeFillShade="D9"/>
            <w:vAlign w:val="bottom"/>
          </w:tcPr>
          <w:p w:rsidR="00217625" w:rsidRPr="00483EB6" w:rsidRDefault="00217625" w:rsidP="00DE3517">
            <w:pPr>
              <w:pStyle w:val="TableText0"/>
              <w:widowControl w:val="0"/>
              <w:spacing w:before="0" w:after="0"/>
              <w:jc w:val="center"/>
            </w:pPr>
            <w:r w:rsidRPr="00483EB6">
              <w:t>3.6086</w:t>
            </w:r>
          </w:p>
        </w:tc>
        <w:tc>
          <w:tcPr>
            <w:tcW w:w="1435" w:type="pct"/>
            <w:shd w:val="clear" w:color="auto" w:fill="D9D9D9" w:themeFill="background1" w:themeFillShade="D9"/>
            <w:vAlign w:val="center"/>
          </w:tcPr>
          <w:p w:rsidR="00217625" w:rsidRPr="00483EB6" w:rsidRDefault="00217625" w:rsidP="00DE3517">
            <w:pPr>
              <w:pStyle w:val="TableText0"/>
              <w:widowControl w:val="0"/>
              <w:spacing w:before="0" w:after="0"/>
              <w:jc w:val="center"/>
            </w:pPr>
            <w:r w:rsidRPr="00483EB6">
              <w:t>1.7734</w:t>
            </w:r>
          </w:p>
        </w:tc>
      </w:tr>
      <w:tr w:rsidR="00217625" w:rsidRPr="00483EB6" w:rsidTr="00135C7B">
        <w:tc>
          <w:tcPr>
            <w:tcW w:w="3565" w:type="pct"/>
            <w:gridSpan w:val="3"/>
            <w:shd w:val="clear" w:color="auto" w:fill="D9D9D9" w:themeFill="background1" w:themeFillShade="D9"/>
          </w:tcPr>
          <w:p w:rsidR="00217625" w:rsidRPr="00483EB6" w:rsidRDefault="00217625" w:rsidP="00DE3517">
            <w:pPr>
              <w:pStyle w:val="TableText0"/>
              <w:widowControl w:val="0"/>
              <w:spacing w:before="0" w:after="0"/>
              <w:jc w:val="right"/>
              <w:rPr>
                <w:b/>
              </w:rPr>
            </w:pPr>
            <w:r w:rsidRPr="00483EB6">
              <w:rPr>
                <w:b/>
              </w:rPr>
              <w:t>Incremental cost per QALY gained</w:t>
            </w:r>
          </w:p>
        </w:tc>
        <w:tc>
          <w:tcPr>
            <w:tcW w:w="1435" w:type="pct"/>
            <w:shd w:val="clear" w:color="auto" w:fill="D9D9D9" w:themeFill="background1" w:themeFillShade="D9"/>
            <w:vAlign w:val="center"/>
          </w:tcPr>
          <w:p w:rsidR="00217625" w:rsidRPr="00D176A1" w:rsidRDefault="00D176A1" w:rsidP="00DE3517">
            <w:pPr>
              <w:pStyle w:val="TableText0"/>
              <w:widowControl w:val="0"/>
              <w:spacing w:before="0" w:after="0"/>
              <w:jc w:val="center"/>
              <w:rPr>
                <w:b/>
                <w:highlight w:val="black"/>
              </w:rPr>
            </w:pPr>
            <w:r>
              <w:rPr>
                <w:b/>
                <w:noProof/>
                <w:color w:val="000000"/>
                <w:highlight w:val="black"/>
              </w:rPr>
              <w:t>''''''''''''''''</w:t>
            </w:r>
          </w:p>
        </w:tc>
      </w:tr>
      <w:tr w:rsidR="00991B05" w:rsidRPr="00483EB6" w:rsidTr="0040417D">
        <w:tc>
          <w:tcPr>
            <w:tcW w:w="5000" w:type="pct"/>
            <w:gridSpan w:val="4"/>
            <w:vAlign w:val="center"/>
          </w:tcPr>
          <w:p w:rsidR="00991B05" w:rsidRPr="00483EB6" w:rsidRDefault="00991B05" w:rsidP="00DE3517">
            <w:pPr>
              <w:pStyle w:val="TableText0"/>
              <w:widowControl w:val="0"/>
              <w:spacing w:before="0" w:after="0"/>
            </w:pPr>
            <w:r w:rsidRPr="00483EB6">
              <w:rPr>
                <w:b/>
                <w:szCs w:val="20"/>
              </w:rPr>
              <w:t>Results of the economic evaluation presented in the current resubmission</w:t>
            </w:r>
          </w:p>
        </w:tc>
      </w:tr>
      <w:tr w:rsidR="00991B05" w:rsidRPr="00483EB6" w:rsidTr="0040417D">
        <w:tc>
          <w:tcPr>
            <w:tcW w:w="1320" w:type="pct"/>
          </w:tcPr>
          <w:p w:rsidR="00991B05" w:rsidRPr="00483EB6" w:rsidRDefault="00991B05" w:rsidP="00DE3517">
            <w:pPr>
              <w:pStyle w:val="TableText0"/>
              <w:widowControl w:val="0"/>
              <w:spacing w:before="0" w:after="0"/>
            </w:pPr>
            <w:r w:rsidRPr="00483EB6">
              <w:t>Costs</w:t>
            </w:r>
          </w:p>
        </w:tc>
        <w:tc>
          <w:tcPr>
            <w:tcW w:w="1122" w:type="pct"/>
          </w:tcPr>
          <w:p w:rsidR="00991B05" w:rsidRPr="00D176A1" w:rsidRDefault="00D176A1" w:rsidP="00DE3517">
            <w:pPr>
              <w:pStyle w:val="TableText0"/>
              <w:widowControl w:val="0"/>
              <w:spacing w:before="0" w:after="0"/>
              <w:jc w:val="center"/>
              <w:rPr>
                <w:highlight w:val="black"/>
              </w:rPr>
            </w:pPr>
            <w:r>
              <w:rPr>
                <w:noProof/>
                <w:color w:val="000000"/>
                <w:szCs w:val="20"/>
                <w:highlight w:val="black"/>
              </w:rPr>
              <w:t>''''''''''''''''''''''</w:t>
            </w:r>
          </w:p>
        </w:tc>
        <w:tc>
          <w:tcPr>
            <w:tcW w:w="1123" w:type="pct"/>
          </w:tcPr>
          <w:p w:rsidR="00991B05" w:rsidRPr="00D176A1" w:rsidRDefault="00D176A1" w:rsidP="00DE3517">
            <w:pPr>
              <w:pStyle w:val="TableText0"/>
              <w:widowControl w:val="0"/>
              <w:spacing w:before="0" w:after="0"/>
              <w:jc w:val="center"/>
              <w:rPr>
                <w:highlight w:val="black"/>
              </w:rPr>
            </w:pPr>
            <w:r>
              <w:rPr>
                <w:noProof/>
                <w:color w:val="000000"/>
                <w:szCs w:val="20"/>
                <w:highlight w:val="black"/>
              </w:rPr>
              <w:t>'''''''''''''''''''''</w:t>
            </w:r>
          </w:p>
        </w:tc>
        <w:tc>
          <w:tcPr>
            <w:tcW w:w="1435" w:type="pct"/>
          </w:tcPr>
          <w:p w:rsidR="00991B05" w:rsidRPr="00D176A1" w:rsidRDefault="00D176A1" w:rsidP="00DE3517">
            <w:pPr>
              <w:pStyle w:val="TableText0"/>
              <w:widowControl w:val="0"/>
              <w:spacing w:before="0" w:after="0"/>
              <w:jc w:val="center"/>
              <w:rPr>
                <w:highlight w:val="black"/>
              </w:rPr>
            </w:pPr>
            <w:r>
              <w:rPr>
                <w:bCs/>
                <w:noProof/>
                <w:color w:val="000000"/>
                <w:szCs w:val="20"/>
                <w:highlight w:val="black"/>
              </w:rPr>
              <w:t>''''''''''''''''''</w:t>
            </w:r>
          </w:p>
        </w:tc>
      </w:tr>
      <w:tr w:rsidR="00991B05" w:rsidRPr="00483EB6" w:rsidTr="003408F7">
        <w:tc>
          <w:tcPr>
            <w:tcW w:w="1320" w:type="pct"/>
          </w:tcPr>
          <w:p w:rsidR="00991B05" w:rsidRPr="00483EB6" w:rsidRDefault="00991B05" w:rsidP="00DE3517">
            <w:pPr>
              <w:pStyle w:val="TableText0"/>
              <w:widowControl w:val="0"/>
              <w:spacing w:before="0" w:after="0"/>
            </w:pPr>
            <w:r w:rsidRPr="00483EB6">
              <w:t>Life years</w:t>
            </w:r>
          </w:p>
        </w:tc>
        <w:tc>
          <w:tcPr>
            <w:tcW w:w="1122" w:type="pct"/>
          </w:tcPr>
          <w:p w:rsidR="00991B05" w:rsidRPr="00483EB6" w:rsidRDefault="00991B05" w:rsidP="00DE3517">
            <w:pPr>
              <w:pStyle w:val="TableText0"/>
              <w:widowControl w:val="0"/>
              <w:spacing w:before="0" w:after="0"/>
              <w:jc w:val="center"/>
              <w:rPr>
                <w:color w:val="000000"/>
                <w:szCs w:val="20"/>
              </w:rPr>
            </w:pPr>
            <w:r w:rsidRPr="00483EB6">
              <w:t>5.9900</w:t>
            </w:r>
          </w:p>
        </w:tc>
        <w:tc>
          <w:tcPr>
            <w:tcW w:w="1123" w:type="pct"/>
          </w:tcPr>
          <w:p w:rsidR="00991B05" w:rsidRPr="00483EB6" w:rsidRDefault="00991B05" w:rsidP="00DE3517">
            <w:pPr>
              <w:pStyle w:val="TableText0"/>
              <w:widowControl w:val="0"/>
              <w:spacing w:before="0" w:after="0"/>
              <w:jc w:val="center"/>
              <w:rPr>
                <w:color w:val="000000"/>
                <w:szCs w:val="20"/>
              </w:rPr>
            </w:pPr>
            <w:r w:rsidRPr="00483EB6">
              <w:t>4.7025</w:t>
            </w:r>
          </w:p>
        </w:tc>
        <w:tc>
          <w:tcPr>
            <w:tcW w:w="1435" w:type="pct"/>
          </w:tcPr>
          <w:p w:rsidR="00991B05" w:rsidRPr="00483EB6" w:rsidRDefault="00991B05" w:rsidP="00DE3517">
            <w:pPr>
              <w:pStyle w:val="TableText0"/>
              <w:widowControl w:val="0"/>
              <w:spacing w:before="0" w:after="0"/>
              <w:jc w:val="center"/>
              <w:rPr>
                <w:bCs/>
                <w:color w:val="000000"/>
                <w:szCs w:val="20"/>
              </w:rPr>
            </w:pPr>
            <w:r w:rsidRPr="00483EB6">
              <w:t>1.2875</w:t>
            </w:r>
          </w:p>
        </w:tc>
      </w:tr>
      <w:tr w:rsidR="00991B05" w:rsidRPr="00483EB6" w:rsidTr="0040417D">
        <w:tc>
          <w:tcPr>
            <w:tcW w:w="1320" w:type="pct"/>
          </w:tcPr>
          <w:p w:rsidR="00991B05" w:rsidRPr="00483EB6" w:rsidRDefault="00991B05" w:rsidP="00DE3517">
            <w:pPr>
              <w:pStyle w:val="TableText0"/>
              <w:widowControl w:val="0"/>
              <w:spacing w:before="0" w:after="0"/>
            </w:pPr>
            <w:r w:rsidRPr="00483EB6">
              <w:t>QALYs</w:t>
            </w:r>
          </w:p>
        </w:tc>
        <w:tc>
          <w:tcPr>
            <w:tcW w:w="1122" w:type="pct"/>
          </w:tcPr>
          <w:p w:rsidR="00991B05" w:rsidRPr="00483EB6" w:rsidRDefault="00991B05" w:rsidP="00DE3517">
            <w:pPr>
              <w:pStyle w:val="TableText0"/>
              <w:widowControl w:val="0"/>
              <w:spacing w:before="0" w:after="0"/>
              <w:jc w:val="center"/>
            </w:pPr>
            <w:r w:rsidRPr="00483EB6">
              <w:rPr>
                <w:color w:val="000000"/>
                <w:szCs w:val="20"/>
              </w:rPr>
              <w:t>4.7995</w:t>
            </w:r>
          </w:p>
        </w:tc>
        <w:tc>
          <w:tcPr>
            <w:tcW w:w="1123" w:type="pct"/>
          </w:tcPr>
          <w:p w:rsidR="00991B05" w:rsidRPr="00483EB6" w:rsidRDefault="00991B05" w:rsidP="00DE3517">
            <w:pPr>
              <w:pStyle w:val="TableText0"/>
              <w:widowControl w:val="0"/>
              <w:spacing w:before="0" w:after="0"/>
              <w:jc w:val="center"/>
            </w:pPr>
            <w:r w:rsidRPr="00483EB6">
              <w:rPr>
                <w:color w:val="000000"/>
                <w:szCs w:val="20"/>
              </w:rPr>
              <w:t>3.6047</w:t>
            </w:r>
          </w:p>
        </w:tc>
        <w:tc>
          <w:tcPr>
            <w:tcW w:w="1435" w:type="pct"/>
          </w:tcPr>
          <w:p w:rsidR="00991B05" w:rsidRPr="00483EB6" w:rsidRDefault="00991B05" w:rsidP="00DE3517">
            <w:pPr>
              <w:pStyle w:val="TableText0"/>
              <w:widowControl w:val="0"/>
              <w:spacing w:before="0" w:after="0"/>
              <w:jc w:val="center"/>
            </w:pPr>
            <w:r w:rsidRPr="00483EB6">
              <w:rPr>
                <w:bCs/>
                <w:color w:val="000000"/>
                <w:szCs w:val="20"/>
              </w:rPr>
              <w:t>1.1948</w:t>
            </w:r>
          </w:p>
        </w:tc>
      </w:tr>
      <w:tr w:rsidR="00991B05" w:rsidRPr="00483EB6" w:rsidTr="00991B05">
        <w:tc>
          <w:tcPr>
            <w:tcW w:w="3565" w:type="pct"/>
            <w:gridSpan w:val="3"/>
          </w:tcPr>
          <w:p w:rsidR="00991B05" w:rsidRPr="00483EB6" w:rsidRDefault="00991B05" w:rsidP="00DE3517">
            <w:pPr>
              <w:pStyle w:val="TableText0"/>
              <w:widowControl w:val="0"/>
              <w:spacing w:before="0" w:after="0"/>
              <w:jc w:val="right"/>
              <w:rPr>
                <w:b/>
              </w:rPr>
            </w:pPr>
            <w:r w:rsidRPr="00483EB6">
              <w:rPr>
                <w:b/>
              </w:rPr>
              <w:t>Incremental cost per QALY gained</w:t>
            </w:r>
          </w:p>
        </w:tc>
        <w:tc>
          <w:tcPr>
            <w:tcW w:w="1435" w:type="pct"/>
            <w:vAlign w:val="center"/>
          </w:tcPr>
          <w:p w:rsidR="00991B05" w:rsidRPr="00D176A1" w:rsidRDefault="00D176A1" w:rsidP="00DE3517">
            <w:pPr>
              <w:pStyle w:val="TableText0"/>
              <w:widowControl w:val="0"/>
              <w:spacing w:before="0" w:after="0"/>
              <w:jc w:val="center"/>
              <w:rPr>
                <w:highlight w:val="black"/>
              </w:rPr>
            </w:pPr>
            <w:r>
              <w:rPr>
                <w:b/>
                <w:noProof/>
                <w:color w:val="000000"/>
                <w:szCs w:val="20"/>
                <w:highlight w:val="black"/>
              </w:rPr>
              <w:t>'''''''''''''''''</w:t>
            </w:r>
          </w:p>
        </w:tc>
      </w:tr>
    </w:tbl>
    <w:p w:rsidR="00991B05" w:rsidRPr="00483EB6" w:rsidRDefault="00217625" w:rsidP="00DE3517">
      <w:pPr>
        <w:keepNext/>
        <w:keepLines/>
        <w:rPr>
          <w:rFonts w:ascii="Arial Narrow" w:hAnsi="Arial Narrow"/>
          <w:sz w:val="18"/>
        </w:rPr>
      </w:pPr>
      <w:r w:rsidRPr="00483EB6">
        <w:rPr>
          <w:rFonts w:ascii="Arial Narrow" w:hAnsi="Arial Narrow"/>
          <w:sz w:val="18"/>
        </w:rPr>
        <w:t>Source: Table 91, p163 of the</w:t>
      </w:r>
      <w:r w:rsidR="00991B05" w:rsidRPr="00483EB6">
        <w:rPr>
          <w:rFonts w:ascii="Arial Narrow" w:hAnsi="Arial Narrow"/>
          <w:sz w:val="18"/>
        </w:rPr>
        <w:t xml:space="preserve"> July 2018</w:t>
      </w:r>
      <w:r w:rsidRPr="00483EB6">
        <w:rPr>
          <w:rFonts w:ascii="Arial Narrow" w:hAnsi="Arial Narrow"/>
          <w:sz w:val="18"/>
        </w:rPr>
        <w:t xml:space="preserve"> submission</w:t>
      </w:r>
      <w:r w:rsidR="00991B05" w:rsidRPr="00483EB6">
        <w:rPr>
          <w:rFonts w:ascii="Arial Narrow" w:hAnsi="Arial Narrow"/>
          <w:sz w:val="18"/>
        </w:rPr>
        <w:t>, Table 77, p177 of the resubmission</w:t>
      </w:r>
    </w:p>
    <w:p w:rsidR="00991B05" w:rsidRPr="00483EB6" w:rsidRDefault="00991B05" w:rsidP="00DE3517">
      <w:pPr>
        <w:keepNext/>
        <w:keepLines/>
        <w:rPr>
          <w:rFonts w:ascii="Arial Narrow" w:hAnsi="Arial Narrow"/>
          <w:sz w:val="18"/>
        </w:rPr>
      </w:pPr>
      <w:r w:rsidRPr="00483EB6">
        <w:rPr>
          <w:rFonts w:ascii="Arial Narrow" w:hAnsi="Arial Narrow"/>
          <w:sz w:val="18"/>
        </w:rPr>
        <w:t>Abbreviations: QALYs, quality adjusted life years</w:t>
      </w:r>
    </w:p>
    <w:p w:rsidR="001C5189" w:rsidRPr="00483EB6" w:rsidRDefault="003E2CD9" w:rsidP="00DE3517">
      <w:pPr>
        <w:pStyle w:val="Tablefootnote"/>
        <w:spacing w:after="0"/>
        <w:jc w:val="both"/>
      </w:pPr>
      <w:r w:rsidRPr="00483EB6">
        <w:t>T</w:t>
      </w:r>
      <w:r w:rsidR="00CB0A0E" w:rsidRPr="00483EB6">
        <w:t>he resubmission’s base case w</w:t>
      </w:r>
      <w:r w:rsidRPr="00483EB6">
        <w:t>as</w:t>
      </w:r>
      <w:r w:rsidR="00CB0A0E" w:rsidRPr="00483EB6">
        <w:t xml:space="preserve"> </w:t>
      </w:r>
      <w:r w:rsidR="001C5189" w:rsidRPr="00483EB6">
        <w:t>corrected for an error in the model in the calculation of intrathecal chemotherapy prophylaxis costs for blinatumomab (per cycle costs were applied to relapse free years, rather than the proportion of patients in the relapse-free health state)</w:t>
      </w:r>
    </w:p>
    <w:p w:rsidR="00CB0A0E" w:rsidRPr="00483EB6" w:rsidRDefault="00CB0A0E" w:rsidP="0010204A">
      <w:pPr>
        <w:pStyle w:val="ListParagraph"/>
        <w:widowControl/>
        <w:numPr>
          <w:ilvl w:val="1"/>
          <w:numId w:val="3"/>
        </w:numPr>
        <w:spacing w:before="120" w:after="120"/>
      </w:pPr>
      <w:r w:rsidRPr="00483EB6">
        <w:t xml:space="preserve">Based on the economic model presented in the resubmission, treatment with blinatumomab was associated with a cost per QALY gained of </w:t>
      </w:r>
      <w:r w:rsidR="00C45C1C">
        <w:t xml:space="preserve">$75,000/QALY - $105,000/QALY </w:t>
      </w:r>
      <w:r w:rsidRPr="00483EB6">
        <w:t xml:space="preserve">compared to consolidation therapy for the treatment of patients with B-ALL in haematological complete remission with minimal residual disease. This compares to a cost per QALY gained of </w:t>
      </w:r>
      <w:r w:rsidR="00C45C1C">
        <w:t>$45,000/QALY - $75,000/QALY</w:t>
      </w:r>
      <w:r w:rsidRPr="00483EB6">
        <w:t xml:space="preserve"> in the July 2018 submission. </w:t>
      </w:r>
    </w:p>
    <w:p w:rsidR="00275EB5" w:rsidRPr="00483EB6" w:rsidRDefault="00D447C9" w:rsidP="0010204A">
      <w:pPr>
        <w:pStyle w:val="ListParagraph"/>
        <w:widowControl/>
        <w:numPr>
          <w:ilvl w:val="1"/>
          <w:numId w:val="3"/>
        </w:numPr>
        <w:spacing w:before="120" w:after="120"/>
      </w:pPr>
      <w:r w:rsidRPr="00483EB6">
        <w:t xml:space="preserve">The pre-PBAC response </w:t>
      </w:r>
      <w:r w:rsidR="00275EB5" w:rsidRPr="00483EB6">
        <w:t xml:space="preserve">proposed </w:t>
      </w:r>
      <w:r w:rsidRPr="00483EB6">
        <w:t>a higher rebate</w:t>
      </w:r>
      <w:r w:rsidR="00275EB5" w:rsidRPr="00483EB6">
        <w:t xml:space="preserve"> on the published price of blinatumomab </w:t>
      </w:r>
      <w:r w:rsidR="002C7089" w:rsidRPr="00483EB6">
        <w:t xml:space="preserve">(increased from </w:t>
      </w:r>
      <w:r w:rsidR="00D176A1">
        <w:rPr>
          <w:noProof/>
          <w:color w:val="000000"/>
          <w:highlight w:val="black"/>
        </w:rPr>
        <w:t>'''''''''</w:t>
      </w:r>
      <w:r w:rsidRPr="00483EB6">
        <w:t xml:space="preserve">% to </w:t>
      </w:r>
      <w:proofErr w:type="gramStart"/>
      <w:r w:rsidR="00D176A1">
        <w:rPr>
          <w:noProof/>
          <w:color w:val="000000"/>
          <w:highlight w:val="black"/>
        </w:rPr>
        <w:t>''''''</w:t>
      </w:r>
      <w:r w:rsidRPr="00483EB6">
        <w:t>%</w:t>
      </w:r>
      <w:proofErr w:type="gramEnd"/>
      <w:r w:rsidRPr="00483EB6">
        <w:t>), which reduced</w:t>
      </w:r>
      <w:r w:rsidR="000C6D53" w:rsidRPr="00483EB6">
        <w:t xml:space="preserve"> </w:t>
      </w:r>
      <w:r w:rsidR="00275EB5" w:rsidRPr="00483EB6">
        <w:t xml:space="preserve">the ICER to </w:t>
      </w:r>
      <w:r w:rsidR="001D22A7">
        <w:t>$75,000/QALY gained - $105,000/</w:t>
      </w:r>
      <w:r w:rsidR="00275EB5" w:rsidRPr="00483EB6">
        <w:t xml:space="preserve">QALY gained. </w:t>
      </w:r>
    </w:p>
    <w:p w:rsidR="00CB0A0E" w:rsidRPr="00483EB6" w:rsidRDefault="00CB0A0E" w:rsidP="0010204A">
      <w:pPr>
        <w:pStyle w:val="ListParagraph"/>
        <w:widowControl/>
        <w:numPr>
          <w:ilvl w:val="1"/>
          <w:numId w:val="3"/>
        </w:numPr>
        <w:spacing w:before="120" w:after="120"/>
      </w:pPr>
      <w:r w:rsidRPr="00483EB6">
        <w:t>The results of key sensitivity analyses are summarised below.</w:t>
      </w:r>
      <w:r w:rsidR="00903391" w:rsidRPr="00483EB6">
        <w:t xml:space="preserve"> A multivariate sensitivity analysis</w:t>
      </w:r>
      <w:r w:rsidR="00B63022" w:rsidRPr="00483EB6">
        <w:t>, conducted during evaluation,</w:t>
      </w:r>
      <w:r w:rsidR="00903391" w:rsidRPr="00483EB6">
        <w:t xml:space="preserve"> is also presented assuming no overall survival benefit for blinatumomab (consistent with data from the </w:t>
      </w:r>
      <w:r w:rsidR="00EF6AFD" w:rsidRPr="00483EB6">
        <w:t>propensity score indirect analysis</w:t>
      </w:r>
      <w:r w:rsidR="00903391" w:rsidRPr="00483EB6">
        <w:t xml:space="preserve">), and removing the costs of </w:t>
      </w:r>
      <w:proofErr w:type="spellStart"/>
      <w:r w:rsidR="00903391" w:rsidRPr="00483EB6">
        <w:t>imatinib</w:t>
      </w:r>
      <w:proofErr w:type="spellEnd"/>
      <w:r w:rsidR="00903391" w:rsidRPr="00483EB6">
        <w:t xml:space="preserve"> from the consolidation chemotherapy arm (as this was the only component of the economic model that was specific for </w:t>
      </w:r>
      <w:proofErr w:type="spellStart"/>
      <w:r w:rsidR="00903391" w:rsidRPr="00483EB6">
        <w:t>Ph</w:t>
      </w:r>
      <w:proofErr w:type="spellEnd"/>
      <w:r w:rsidR="00903391" w:rsidRPr="00483EB6">
        <w:t>+ patients)</w:t>
      </w:r>
      <w:r w:rsidR="00483EB6">
        <w:t xml:space="preserve">. </w:t>
      </w:r>
    </w:p>
    <w:p w:rsidR="00E636F6" w:rsidRPr="00483EB6" w:rsidRDefault="00E636F6" w:rsidP="003E2CD9">
      <w:pPr>
        <w:keepNext/>
        <w:keepLines/>
        <w:rPr>
          <w:rFonts w:ascii="Arial Narrow" w:hAnsi="Arial Narrow"/>
          <w:b/>
          <w:sz w:val="20"/>
          <w:szCs w:val="16"/>
        </w:rPr>
      </w:pPr>
      <w:r w:rsidRPr="00483EB6">
        <w:rPr>
          <w:rStyle w:val="CommentReference"/>
        </w:rPr>
        <w:lastRenderedPageBreak/>
        <w:t>Table 1</w:t>
      </w:r>
      <w:r w:rsidR="005E2717" w:rsidRPr="00483EB6">
        <w:rPr>
          <w:rStyle w:val="CommentReference"/>
        </w:rPr>
        <w:t>4</w:t>
      </w:r>
      <w:r w:rsidRPr="00483EB6">
        <w:rPr>
          <w:rStyle w:val="CommentReference"/>
        </w:rPr>
        <w:t>:  Results of key sensitivity analyses</w:t>
      </w:r>
    </w:p>
    <w:tbl>
      <w:tblPr>
        <w:tblStyle w:val="TableGrid"/>
        <w:tblW w:w="0" w:type="auto"/>
        <w:tblCellMar>
          <w:left w:w="28" w:type="dxa"/>
          <w:right w:w="28" w:type="dxa"/>
        </w:tblCellMar>
        <w:tblLook w:val="04A0" w:firstRow="1" w:lastRow="0" w:firstColumn="1" w:lastColumn="0" w:noHBand="0" w:noVBand="1"/>
        <w:tblCaption w:val="Table 14:  Results of key sensitivity analyses"/>
      </w:tblPr>
      <w:tblGrid>
        <w:gridCol w:w="4815"/>
        <w:gridCol w:w="1417"/>
        <w:gridCol w:w="1418"/>
        <w:gridCol w:w="1367"/>
      </w:tblGrid>
      <w:tr w:rsidR="00E636F6" w:rsidRPr="00483EB6" w:rsidTr="001A3870">
        <w:trPr>
          <w:tblHeader/>
        </w:trPr>
        <w:tc>
          <w:tcPr>
            <w:tcW w:w="4815" w:type="dxa"/>
            <w:vAlign w:val="center"/>
          </w:tcPr>
          <w:p w:rsidR="00E636F6" w:rsidRPr="00483EB6" w:rsidRDefault="00E636F6" w:rsidP="003E2CD9">
            <w:pPr>
              <w:keepNext/>
              <w:keepLines/>
              <w:jc w:val="left"/>
              <w:rPr>
                <w:rFonts w:ascii="Arial Narrow" w:hAnsi="Arial Narrow"/>
                <w:sz w:val="20"/>
                <w:szCs w:val="20"/>
              </w:rPr>
            </w:pPr>
          </w:p>
        </w:tc>
        <w:tc>
          <w:tcPr>
            <w:tcW w:w="1417" w:type="dxa"/>
            <w:vAlign w:val="center"/>
          </w:tcPr>
          <w:p w:rsidR="00E636F6" w:rsidRPr="00483EB6" w:rsidRDefault="00E636F6" w:rsidP="003E2CD9">
            <w:pPr>
              <w:keepNext/>
              <w:keepLines/>
              <w:jc w:val="center"/>
              <w:rPr>
                <w:rFonts w:ascii="Arial Narrow" w:hAnsi="Arial Narrow"/>
                <w:b/>
                <w:sz w:val="20"/>
                <w:szCs w:val="20"/>
              </w:rPr>
            </w:pPr>
            <w:r w:rsidRPr="00483EB6">
              <w:rPr>
                <w:rFonts w:ascii="Arial Narrow" w:hAnsi="Arial Narrow"/>
                <w:b/>
                <w:sz w:val="20"/>
                <w:szCs w:val="20"/>
              </w:rPr>
              <w:t>Incremental costs</w:t>
            </w:r>
          </w:p>
        </w:tc>
        <w:tc>
          <w:tcPr>
            <w:tcW w:w="1418" w:type="dxa"/>
            <w:vAlign w:val="center"/>
          </w:tcPr>
          <w:p w:rsidR="00E636F6" w:rsidRPr="00483EB6" w:rsidRDefault="00E636F6" w:rsidP="003E2CD9">
            <w:pPr>
              <w:keepNext/>
              <w:keepLines/>
              <w:jc w:val="center"/>
              <w:rPr>
                <w:rFonts w:ascii="Arial Narrow" w:hAnsi="Arial Narrow"/>
                <w:b/>
                <w:sz w:val="20"/>
                <w:szCs w:val="20"/>
              </w:rPr>
            </w:pPr>
            <w:r w:rsidRPr="00483EB6">
              <w:rPr>
                <w:rFonts w:ascii="Arial Narrow" w:hAnsi="Arial Narrow"/>
                <w:b/>
                <w:sz w:val="20"/>
                <w:szCs w:val="20"/>
              </w:rPr>
              <w:t>Incremental QALYs</w:t>
            </w:r>
          </w:p>
        </w:tc>
        <w:tc>
          <w:tcPr>
            <w:tcW w:w="1367" w:type="dxa"/>
            <w:vAlign w:val="center"/>
          </w:tcPr>
          <w:p w:rsidR="00E636F6" w:rsidRPr="00483EB6" w:rsidRDefault="00E636F6" w:rsidP="003E2CD9">
            <w:pPr>
              <w:keepNext/>
              <w:keepLines/>
              <w:jc w:val="center"/>
              <w:rPr>
                <w:rFonts w:ascii="Arial Narrow" w:hAnsi="Arial Narrow"/>
                <w:b/>
                <w:sz w:val="20"/>
                <w:szCs w:val="20"/>
              </w:rPr>
            </w:pPr>
            <w:r w:rsidRPr="00483EB6">
              <w:rPr>
                <w:rFonts w:ascii="Arial Narrow" w:hAnsi="Arial Narrow"/>
                <w:b/>
                <w:sz w:val="20"/>
                <w:szCs w:val="20"/>
              </w:rPr>
              <w:t>ICER</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Base case</w:t>
            </w:r>
          </w:p>
        </w:tc>
        <w:tc>
          <w:tcPr>
            <w:tcW w:w="1417" w:type="dxa"/>
            <w:tcBorders>
              <w:bottom w:val="single" w:sz="4" w:space="0" w:color="auto"/>
            </w:tcBorders>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bottom w:val="single" w:sz="4" w:space="0" w:color="auto"/>
            </w:tcBorders>
          </w:tcPr>
          <w:p w:rsidR="00E636F6" w:rsidRPr="00483EB6" w:rsidRDefault="00E636F6" w:rsidP="003E2CD9">
            <w:pPr>
              <w:keepNext/>
              <w:keepLines/>
              <w:jc w:val="center"/>
              <w:rPr>
                <w:rFonts w:ascii="Arial Narrow" w:hAnsi="Arial Narrow"/>
                <w:sz w:val="20"/>
                <w:szCs w:val="20"/>
              </w:rPr>
            </w:pPr>
            <w:r w:rsidRPr="00483EB6">
              <w:rPr>
                <w:rFonts w:ascii="Arial Narrow" w:hAnsi="Arial Narrow"/>
                <w:sz w:val="20"/>
                <w:szCs w:val="20"/>
              </w:rPr>
              <w:t>1.1948</w:t>
            </w:r>
          </w:p>
        </w:tc>
        <w:tc>
          <w:tcPr>
            <w:tcW w:w="1367" w:type="dxa"/>
            <w:tcBorders>
              <w:bottom w:val="single" w:sz="4" w:space="0" w:color="auto"/>
            </w:tcBorders>
          </w:tcPr>
          <w:p w:rsidR="00E636F6" w:rsidRPr="00D176A1" w:rsidRDefault="00D176A1" w:rsidP="003E2CD9">
            <w:pPr>
              <w:keepNext/>
              <w:keepLines/>
              <w:jc w:val="center"/>
              <w:rPr>
                <w:rFonts w:ascii="Arial Narrow" w:hAnsi="Arial Narrow"/>
                <w:sz w:val="20"/>
                <w:szCs w:val="20"/>
                <w:highlight w:val="black"/>
              </w:rPr>
            </w:pPr>
            <w:r>
              <w:rPr>
                <w:rFonts w:ascii="Arial Narrow" w:hAnsi="Arial Narrow"/>
                <w:i/>
                <w:noProof/>
                <w:color w:val="000000"/>
                <w:sz w:val="20"/>
                <w:szCs w:val="20"/>
                <w:highlight w:val="black"/>
              </w:rPr>
              <w:t>''''''''''''''''''''</w:t>
            </w:r>
          </w:p>
        </w:tc>
      </w:tr>
      <w:tr w:rsidR="00903391" w:rsidRPr="00483EB6" w:rsidTr="001B5583">
        <w:tc>
          <w:tcPr>
            <w:tcW w:w="9017" w:type="dxa"/>
            <w:gridSpan w:val="4"/>
          </w:tcPr>
          <w:p w:rsidR="00903391" w:rsidRPr="00483EB6" w:rsidRDefault="00903391" w:rsidP="003E2CD9">
            <w:pPr>
              <w:keepNext/>
              <w:keepLines/>
              <w:jc w:val="left"/>
              <w:rPr>
                <w:rFonts w:ascii="Arial Narrow" w:hAnsi="Arial Narrow"/>
                <w:i/>
                <w:sz w:val="20"/>
                <w:szCs w:val="20"/>
              </w:rPr>
            </w:pPr>
            <w:r w:rsidRPr="00483EB6">
              <w:rPr>
                <w:rFonts w:ascii="Arial Narrow" w:hAnsi="Arial Narrow"/>
                <w:b/>
                <w:sz w:val="20"/>
                <w:szCs w:val="20"/>
              </w:rPr>
              <w:t>Univariate sensitivity analyses</w:t>
            </w:r>
          </w:p>
        </w:tc>
      </w:tr>
      <w:tr w:rsidR="00E636F6" w:rsidRPr="00483EB6" w:rsidTr="001A3870">
        <w:tc>
          <w:tcPr>
            <w:tcW w:w="9017" w:type="dxa"/>
            <w:gridSpan w:val="4"/>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RFS efficacy (base case HR=0.47)</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upper CL (HR=0.73)</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sz w:val="20"/>
                <w:szCs w:val="20"/>
              </w:rPr>
            </w:pPr>
            <w:r w:rsidRPr="00483EB6">
              <w:rPr>
                <w:rFonts w:ascii="Arial Narrow" w:hAnsi="Arial Narrow"/>
                <w:i/>
                <w:color w:val="000000"/>
                <w:sz w:val="20"/>
                <w:szCs w:val="20"/>
              </w:rPr>
              <w:t>1.0281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lower CL (HR=0.30)</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sz w:val="20"/>
                <w:szCs w:val="20"/>
              </w:rPr>
            </w:pPr>
            <w:r w:rsidRPr="00483EB6">
              <w:rPr>
                <w:rFonts w:ascii="Arial Narrow" w:hAnsi="Arial Narrow"/>
                <w:i/>
                <w:color w:val="000000"/>
                <w:sz w:val="20"/>
                <w:szCs w:val="20"/>
              </w:rPr>
              <w:t>1.2201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Overall survival (base case HR=0.68)</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no difference (HR=1)</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sz w:val="20"/>
                <w:szCs w:val="20"/>
              </w:rPr>
            </w:pPr>
            <w:r w:rsidRPr="00483EB6">
              <w:rPr>
                <w:rFonts w:ascii="Arial Narrow" w:hAnsi="Arial Narrow"/>
                <w:i/>
                <w:color w:val="000000"/>
                <w:sz w:val="20"/>
                <w:szCs w:val="20"/>
              </w:rPr>
              <w:t>0.1800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vAlign w:val="center"/>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upper CL (HR=1.09)</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483EB6" w:rsidRDefault="00E636F6" w:rsidP="003E2CD9">
            <w:pPr>
              <w:keepNext/>
              <w:keepLines/>
              <w:jc w:val="center"/>
              <w:rPr>
                <w:rFonts w:ascii="Arial Narrow" w:hAnsi="Arial Narrow"/>
                <w:i/>
                <w:sz w:val="20"/>
                <w:szCs w:val="20"/>
              </w:rPr>
            </w:pPr>
            <w:r w:rsidRPr="00483EB6">
              <w:rPr>
                <w:rFonts w:ascii="Arial Narrow" w:hAnsi="Arial Narrow"/>
                <w:i/>
                <w:color w:val="000000"/>
                <w:sz w:val="20"/>
                <w:szCs w:val="20"/>
              </w:rPr>
              <w:t>-0.0626</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 ''''''''''''''''''''''''''''</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lower CL (HR=0.42)</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sz w:val="20"/>
                <w:szCs w:val="20"/>
              </w:rPr>
            </w:pPr>
            <w:r w:rsidRPr="00483EB6">
              <w:rPr>
                <w:rFonts w:ascii="Arial Narrow" w:hAnsi="Arial Narrow"/>
                <w:i/>
                <w:color w:val="000000"/>
                <w:sz w:val="20"/>
                <w:szCs w:val="20"/>
              </w:rPr>
              <w:t>2.1493</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Borders>
              <w:right w:val="single" w:sz="4" w:space="0" w:color="auto"/>
            </w:tcBorders>
          </w:tcPr>
          <w:p w:rsidR="00E636F6" w:rsidRPr="00483EB6" w:rsidRDefault="00E636F6" w:rsidP="003E2CD9">
            <w:pPr>
              <w:keepNext/>
              <w:keepLines/>
              <w:jc w:val="left"/>
              <w:rPr>
                <w:rFonts w:ascii="Arial Narrow" w:hAnsi="Arial Narrow"/>
                <w:i/>
                <w:color w:val="000000"/>
                <w:sz w:val="20"/>
                <w:szCs w:val="20"/>
              </w:rPr>
            </w:pPr>
            <w:r w:rsidRPr="00483EB6">
              <w:rPr>
                <w:rFonts w:ascii="Arial Narrow" w:hAnsi="Arial Narrow"/>
                <w:sz w:val="20"/>
              </w:rPr>
              <w:t xml:space="preserve">Overall survival extrapolation (base case curves do not converge at model endpoint of 30 years) </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rPr>
              <w:t>- convergence starts at 4 years and ends at 30 years</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color w:val="000000"/>
                <w:sz w:val="20"/>
                <w:szCs w:val="20"/>
              </w:rPr>
            </w:pPr>
            <w:r w:rsidRPr="00483EB6">
              <w:rPr>
                <w:rFonts w:ascii="Arial Narrow" w:hAnsi="Arial Narrow"/>
                <w:i/>
                <w:color w:val="000000"/>
                <w:sz w:val="20"/>
                <w:szCs w:val="20"/>
              </w:rPr>
              <w:t>1.2720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rPr>
              <w:t>- convergence starts at 4 years and ends at 20 years</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color w:val="000000"/>
                <w:sz w:val="20"/>
                <w:szCs w:val="20"/>
              </w:rPr>
            </w:pPr>
            <w:r w:rsidRPr="00483EB6">
              <w:rPr>
                <w:rFonts w:ascii="Arial Narrow" w:hAnsi="Arial Narrow"/>
                <w:i/>
                <w:color w:val="000000"/>
                <w:sz w:val="20"/>
                <w:szCs w:val="20"/>
              </w:rPr>
              <w:t>1.0072</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rPr>
              <w:t xml:space="preserve">- convergence starts at 4 years and ends at 10 years </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tabs>
                <w:tab w:val="left" w:pos="1168"/>
              </w:tab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i/>
                <w:color w:val="000000"/>
                <w:sz w:val="20"/>
                <w:szCs w:val="20"/>
              </w:rPr>
            </w:pPr>
            <w:r w:rsidRPr="00483EB6">
              <w:rPr>
                <w:rFonts w:ascii="Arial Narrow" w:hAnsi="Arial Narrow"/>
                <w:i/>
                <w:color w:val="000000"/>
                <w:sz w:val="20"/>
                <w:szCs w:val="20"/>
              </w:rPr>
              <w:t>0.6307</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Borders>
              <w:right w:val="single" w:sz="4" w:space="0" w:color="auto"/>
            </w:tcBorders>
          </w:tcPr>
          <w:p w:rsidR="00E636F6" w:rsidRPr="00483EB6" w:rsidRDefault="00E636F6" w:rsidP="003E2CD9">
            <w:pPr>
              <w:keepNext/>
              <w:keepLines/>
              <w:jc w:val="left"/>
              <w:rPr>
                <w:rFonts w:ascii="Arial Narrow" w:hAnsi="Arial Narrow"/>
                <w:color w:val="000000"/>
                <w:sz w:val="20"/>
                <w:szCs w:val="20"/>
              </w:rPr>
            </w:pPr>
            <w:r w:rsidRPr="00483EB6">
              <w:rPr>
                <w:rFonts w:ascii="Arial Narrow" w:hAnsi="Arial Narrow"/>
                <w:sz w:val="20"/>
                <w:szCs w:val="20"/>
              </w:rPr>
              <w:t>Complete response (base case includes patients in first complete response only)</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Patients in CR2/3 (higher baseline risk)</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0.9488</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Borders>
              <w:right w:val="single" w:sz="4" w:space="0" w:color="auto"/>
            </w:tcBorders>
          </w:tcPr>
          <w:p w:rsidR="00E636F6" w:rsidRPr="00483EB6" w:rsidRDefault="00E636F6" w:rsidP="003E2CD9">
            <w:pPr>
              <w:keepNext/>
              <w:keepLines/>
              <w:jc w:val="left"/>
              <w:rPr>
                <w:rFonts w:ascii="Arial Narrow" w:hAnsi="Arial Narrow"/>
                <w:color w:val="000000"/>
                <w:sz w:val="20"/>
                <w:szCs w:val="20"/>
              </w:rPr>
            </w:pPr>
            <w:r w:rsidRPr="00483EB6">
              <w:rPr>
                <w:rFonts w:ascii="Arial Narrow" w:hAnsi="Arial Narrow"/>
                <w:sz w:val="20"/>
                <w:szCs w:val="20"/>
              </w:rPr>
              <w:t>Time horizon (base case 30 years)</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- 5 years</w:t>
            </w:r>
          </w:p>
        </w:tc>
        <w:tc>
          <w:tcPr>
            <w:tcW w:w="1417" w:type="dxa"/>
            <w:tcBorders>
              <w:top w:val="single" w:sz="4" w:space="0" w:color="auto"/>
              <w:left w:val="nil"/>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rPr>
              <w:t>0.4647</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- 10 years</w:t>
            </w:r>
          </w:p>
        </w:tc>
        <w:tc>
          <w:tcPr>
            <w:tcW w:w="1417" w:type="dxa"/>
            <w:tcBorders>
              <w:top w:val="single" w:sz="4" w:space="0" w:color="auto"/>
              <w:left w:val="nil"/>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rPr>
              <w:t>0.7919</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- 20 years</w:t>
            </w:r>
          </w:p>
        </w:tc>
        <w:tc>
          <w:tcPr>
            <w:tcW w:w="1417" w:type="dxa"/>
            <w:tcBorders>
              <w:top w:val="single" w:sz="4" w:space="0" w:color="auto"/>
              <w:left w:val="nil"/>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rPr>
              <w:t>1.0812</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bottom"/>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highlight w:val="black"/>
              </w:rPr>
              <w:t>'''''''''''''''''''</w:t>
            </w:r>
          </w:p>
        </w:tc>
      </w:tr>
      <w:tr w:rsidR="00E636F6" w:rsidRPr="00483EB6" w:rsidTr="001A3870">
        <w:tc>
          <w:tcPr>
            <w:tcW w:w="9017" w:type="dxa"/>
            <w:gridSpan w:val="4"/>
            <w:tcBorders>
              <w:right w:val="single" w:sz="4" w:space="0" w:color="auto"/>
            </w:tcBorders>
          </w:tcPr>
          <w:p w:rsidR="00E636F6" w:rsidRPr="00483EB6" w:rsidRDefault="00E636F6" w:rsidP="003E2CD9">
            <w:pPr>
              <w:keepNext/>
              <w:keepLines/>
              <w:jc w:val="left"/>
              <w:rPr>
                <w:rFonts w:ascii="Arial Narrow" w:hAnsi="Arial Narrow"/>
                <w:color w:val="000000"/>
                <w:sz w:val="20"/>
                <w:szCs w:val="20"/>
              </w:rPr>
            </w:pPr>
            <w:r w:rsidRPr="00483EB6">
              <w:rPr>
                <w:rFonts w:ascii="Arial Narrow" w:hAnsi="Arial Narrow"/>
                <w:sz w:val="20"/>
                <w:szCs w:val="20"/>
              </w:rPr>
              <w:t>Health state costs (base case: inpatient costs based on UK estimates; physician visits based on Australian survey; relapse free MRD+ costs higher than relapse free MRD- costs)</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MRD+ inpatient costs based on MRD- inpatient costs</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1.1948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all MRD+ costs based on MRD- costs</w:t>
            </w:r>
          </w:p>
        </w:tc>
        <w:tc>
          <w:tcPr>
            <w:tcW w:w="1417" w:type="dxa"/>
            <w:tcBorders>
              <w:top w:val="single" w:sz="4" w:space="0" w:color="auto"/>
              <w:left w:val="nil"/>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1.1948</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Borders>
              <w:right w:val="single" w:sz="4" w:space="0" w:color="auto"/>
            </w:tcBorders>
          </w:tcPr>
          <w:p w:rsidR="00E636F6" w:rsidRPr="00483EB6" w:rsidRDefault="00E636F6" w:rsidP="003E2CD9">
            <w:pPr>
              <w:keepNext/>
              <w:keepLines/>
              <w:jc w:val="left"/>
              <w:rPr>
                <w:rFonts w:ascii="Arial Narrow" w:hAnsi="Arial Narrow"/>
                <w:color w:val="000000"/>
                <w:sz w:val="20"/>
                <w:szCs w:val="20"/>
              </w:rPr>
            </w:pPr>
            <w:r w:rsidRPr="00483EB6">
              <w:rPr>
                <w:rFonts w:ascii="Arial Narrow" w:hAnsi="Arial Narrow"/>
                <w:sz w:val="20"/>
                <w:szCs w:val="20"/>
              </w:rPr>
              <w:t>Relapse free utility (base case 0.806)</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- 0.70</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0.9123</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- 0.75</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1.0455</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- 0.85</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1.3121</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9017" w:type="dxa"/>
            <w:gridSpan w:val="4"/>
            <w:tcBorders>
              <w:bottom w:val="single" w:sz="4" w:space="0" w:color="auto"/>
              <w:right w:val="single" w:sz="4" w:space="0" w:color="auto"/>
            </w:tcBorders>
          </w:tcPr>
          <w:p w:rsidR="00E636F6" w:rsidRPr="00483EB6" w:rsidRDefault="00E636F6" w:rsidP="003E2CD9">
            <w:pPr>
              <w:keepNext/>
              <w:keepLines/>
              <w:jc w:val="left"/>
              <w:rPr>
                <w:rFonts w:ascii="Arial Narrow" w:hAnsi="Arial Narrow"/>
                <w:color w:val="000000"/>
                <w:sz w:val="20"/>
                <w:szCs w:val="20"/>
              </w:rPr>
            </w:pPr>
            <w:r w:rsidRPr="00483EB6">
              <w:rPr>
                <w:rFonts w:ascii="Arial Narrow" w:hAnsi="Arial Narrow"/>
                <w:sz w:val="20"/>
                <w:szCs w:val="20"/>
              </w:rPr>
              <w:t>Relapsed disease utility (base case 0.692)</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lower CL (0.649)</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1.2540</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E636F6" w:rsidRPr="00483EB6" w:rsidTr="001A3870">
        <w:tc>
          <w:tcPr>
            <w:tcW w:w="4815" w:type="dxa"/>
          </w:tcPr>
          <w:p w:rsidR="00E636F6" w:rsidRPr="00483EB6" w:rsidRDefault="00E636F6" w:rsidP="003E2CD9">
            <w:pPr>
              <w:keepNext/>
              <w:keepLines/>
              <w:jc w:val="left"/>
              <w:rPr>
                <w:rFonts w:ascii="Arial Narrow" w:hAnsi="Arial Narrow"/>
                <w:sz w:val="20"/>
                <w:szCs w:val="20"/>
              </w:rPr>
            </w:pPr>
            <w:r w:rsidRPr="00483EB6">
              <w:rPr>
                <w:rFonts w:ascii="Arial Narrow" w:hAnsi="Arial Narrow"/>
                <w:sz w:val="20"/>
                <w:szCs w:val="20"/>
              </w:rPr>
              <w:t>- 95% upper CL (0.734)</w:t>
            </w:r>
          </w:p>
        </w:tc>
        <w:tc>
          <w:tcPr>
            <w:tcW w:w="1417" w:type="dxa"/>
            <w:tcBorders>
              <w:top w:val="single" w:sz="4" w:space="0" w:color="auto"/>
              <w:left w:val="nil"/>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E636F6" w:rsidRPr="00483EB6" w:rsidRDefault="00E636F6" w:rsidP="003E2CD9">
            <w:pPr>
              <w:keepNext/>
              <w:keepLines/>
              <w:jc w:val="center"/>
              <w:rPr>
                <w:rFonts w:ascii="Arial Narrow" w:hAnsi="Arial Narrow"/>
                <w:color w:val="000000"/>
                <w:sz w:val="20"/>
                <w:szCs w:val="20"/>
              </w:rPr>
            </w:pPr>
            <w:r w:rsidRPr="00483EB6">
              <w:rPr>
                <w:rFonts w:ascii="Arial Narrow" w:hAnsi="Arial Narrow"/>
                <w:color w:val="000000"/>
                <w:sz w:val="20"/>
                <w:szCs w:val="20"/>
              </w:rPr>
              <w:t>1.1369</w:t>
            </w:r>
          </w:p>
        </w:tc>
        <w:tc>
          <w:tcPr>
            <w:tcW w:w="1367" w:type="dxa"/>
            <w:tcBorders>
              <w:top w:val="single" w:sz="4" w:space="0" w:color="auto"/>
              <w:left w:val="single" w:sz="4" w:space="0" w:color="auto"/>
              <w:bottom w:val="single" w:sz="4" w:space="0" w:color="auto"/>
              <w:right w:val="single" w:sz="4" w:space="0" w:color="auto"/>
            </w:tcBorders>
            <w:shd w:val="clear" w:color="auto" w:fill="auto"/>
          </w:tcPr>
          <w:p w:rsidR="00E636F6"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r w:rsidR="00903391" w:rsidRPr="00483EB6" w:rsidTr="001B5583">
        <w:tc>
          <w:tcPr>
            <w:tcW w:w="9017" w:type="dxa"/>
            <w:gridSpan w:val="4"/>
            <w:tcBorders>
              <w:top w:val="single" w:sz="4" w:space="0" w:color="auto"/>
              <w:bottom w:val="single" w:sz="4" w:space="0" w:color="auto"/>
              <w:right w:val="single" w:sz="4" w:space="0" w:color="auto"/>
            </w:tcBorders>
          </w:tcPr>
          <w:p w:rsidR="00903391" w:rsidRPr="00483EB6" w:rsidRDefault="00903391" w:rsidP="003E2CD9">
            <w:pPr>
              <w:keepNext/>
              <w:keepLines/>
              <w:jc w:val="left"/>
              <w:rPr>
                <w:rFonts w:ascii="Arial Narrow" w:hAnsi="Arial Narrow"/>
                <w:b/>
                <w:i/>
                <w:color w:val="000000"/>
                <w:sz w:val="20"/>
                <w:szCs w:val="20"/>
              </w:rPr>
            </w:pPr>
            <w:r w:rsidRPr="00483EB6">
              <w:rPr>
                <w:rFonts w:ascii="Arial Narrow" w:hAnsi="Arial Narrow"/>
                <w:b/>
                <w:sz w:val="20"/>
                <w:szCs w:val="20"/>
              </w:rPr>
              <w:t>Multivariate sensitivity analysis</w:t>
            </w:r>
          </w:p>
        </w:tc>
      </w:tr>
      <w:tr w:rsidR="00903391" w:rsidRPr="00483EB6" w:rsidTr="001A3870">
        <w:tc>
          <w:tcPr>
            <w:tcW w:w="4815" w:type="dxa"/>
            <w:tcBorders>
              <w:top w:val="single" w:sz="4" w:space="0" w:color="auto"/>
              <w:bottom w:val="single" w:sz="4" w:space="0" w:color="auto"/>
              <w:right w:val="single" w:sz="4" w:space="0" w:color="auto"/>
            </w:tcBorders>
          </w:tcPr>
          <w:p w:rsidR="00903391" w:rsidRPr="00483EB6" w:rsidRDefault="00903391" w:rsidP="003E2CD9">
            <w:pPr>
              <w:keepNext/>
              <w:keepLines/>
              <w:jc w:val="left"/>
              <w:rPr>
                <w:rFonts w:ascii="Arial Narrow" w:hAnsi="Arial Narrow"/>
                <w:sz w:val="20"/>
                <w:szCs w:val="20"/>
              </w:rPr>
            </w:pPr>
            <w:r w:rsidRPr="00483EB6">
              <w:rPr>
                <w:rFonts w:ascii="Arial Narrow" w:hAnsi="Arial Narrow"/>
                <w:sz w:val="20"/>
                <w:szCs w:val="20"/>
              </w:rPr>
              <w:t xml:space="preserve">No overall survival benefit for </w:t>
            </w:r>
            <w:proofErr w:type="spellStart"/>
            <w:r w:rsidRPr="00483EB6">
              <w:rPr>
                <w:rFonts w:ascii="Arial Narrow" w:hAnsi="Arial Narrow"/>
                <w:sz w:val="20"/>
                <w:szCs w:val="20"/>
              </w:rPr>
              <w:t>blinatumomab</w:t>
            </w:r>
            <w:proofErr w:type="spellEnd"/>
            <w:r w:rsidRPr="00483EB6">
              <w:rPr>
                <w:rFonts w:ascii="Arial Narrow" w:hAnsi="Arial Narrow"/>
                <w:sz w:val="20"/>
                <w:szCs w:val="20"/>
              </w:rPr>
              <w:t xml:space="preserve">; </w:t>
            </w:r>
            <w:proofErr w:type="spellStart"/>
            <w:r w:rsidRPr="00483EB6">
              <w:rPr>
                <w:rFonts w:ascii="Arial Narrow" w:hAnsi="Arial Narrow"/>
                <w:sz w:val="20"/>
                <w:szCs w:val="20"/>
              </w:rPr>
              <w:t>imatinib</w:t>
            </w:r>
            <w:proofErr w:type="spellEnd"/>
            <w:r w:rsidRPr="00483EB6">
              <w:rPr>
                <w:rFonts w:ascii="Arial Narrow" w:hAnsi="Arial Narrow"/>
                <w:sz w:val="20"/>
                <w:szCs w:val="20"/>
              </w:rPr>
              <w:t xml:space="preserve"> costs removed</w:t>
            </w:r>
          </w:p>
        </w:tc>
        <w:tc>
          <w:tcPr>
            <w:tcW w:w="1417" w:type="dxa"/>
            <w:tcBorders>
              <w:top w:val="single" w:sz="4" w:space="0" w:color="auto"/>
              <w:left w:val="nil"/>
              <w:bottom w:val="single" w:sz="4" w:space="0" w:color="auto"/>
              <w:right w:val="single" w:sz="4" w:space="0" w:color="auto"/>
            </w:tcBorders>
            <w:shd w:val="clear" w:color="auto" w:fill="auto"/>
            <w:vAlign w:val="center"/>
          </w:tcPr>
          <w:p w:rsidR="00903391"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903391" w:rsidRPr="00483EB6" w:rsidRDefault="00903391" w:rsidP="003E2CD9">
            <w:pPr>
              <w:keepNext/>
              <w:keepLines/>
              <w:jc w:val="center"/>
              <w:rPr>
                <w:rFonts w:ascii="Arial Narrow" w:hAnsi="Arial Narrow"/>
                <w:i/>
                <w:color w:val="000000"/>
                <w:sz w:val="20"/>
                <w:szCs w:val="20"/>
              </w:rPr>
            </w:pPr>
            <w:r w:rsidRPr="00483EB6">
              <w:rPr>
                <w:rFonts w:ascii="Arial Narrow" w:hAnsi="Arial Narrow"/>
                <w:i/>
                <w:color w:val="000000"/>
                <w:sz w:val="20"/>
                <w:szCs w:val="20"/>
              </w:rPr>
              <w:t>0.1800</w:t>
            </w:r>
          </w:p>
        </w:tc>
        <w:tc>
          <w:tcPr>
            <w:tcW w:w="1367" w:type="dxa"/>
            <w:tcBorders>
              <w:top w:val="single" w:sz="4" w:space="0" w:color="auto"/>
              <w:left w:val="single" w:sz="4" w:space="0" w:color="auto"/>
              <w:bottom w:val="single" w:sz="4" w:space="0" w:color="auto"/>
              <w:right w:val="single" w:sz="4" w:space="0" w:color="auto"/>
            </w:tcBorders>
            <w:shd w:val="clear" w:color="auto" w:fill="auto"/>
            <w:vAlign w:val="center"/>
          </w:tcPr>
          <w:p w:rsidR="00903391" w:rsidRPr="00D176A1" w:rsidRDefault="00D176A1" w:rsidP="003E2CD9">
            <w:pPr>
              <w:keepNext/>
              <w:keepLines/>
              <w:jc w:val="center"/>
              <w:rPr>
                <w:rFonts w:ascii="Arial Narrow" w:hAnsi="Arial Narrow"/>
                <w:i/>
                <w:color w:val="000000"/>
                <w:sz w:val="20"/>
                <w:szCs w:val="20"/>
                <w:highlight w:val="black"/>
              </w:rPr>
            </w:pPr>
            <w:r>
              <w:rPr>
                <w:rFonts w:ascii="Arial Narrow" w:hAnsi="Arial Narrow"/>
                <w:i/>
                <w:noProof/>
                <w:color w:val="000000"/>
                <w:sz w:val="20"/>
                <w:szCs w:val="20"/>
                <w:highlight w:val="black"/>
              </w:rPr>
              <w:t>''''''''''''''''''''''''</w:t>
            </w:r>
          </w:p>
        </w:tc>
      </w:tr>
    </w:tbl>
    <w:p w:rsidR="00E636F6" w:rsidRPr="00483EB6" w:rsidRDefault="00E636F6" w:rsidP="003E2CD9">
      <w:pPr>
        <w:keepNext/>
        <w:keepLines/>
        <w:rPr>
          <w:rFonts w:ascii="Arial Narrow" w:hAnsi="Arial Narrow"/>
          <w:sz w:val="18"/>
          <w:szCs w:val="20"/>
        </w:rPr>
      </w:pPr>
      <w:r w:rsidRPr="00483EB6">
        <w:rPr>
          <w:rFonts w:ascii="Arial Narrow" w:hAnsi="Arial Narrow"/>
          <w:sz w:val="18"/>
          <w:szCs w:val="20"/>
        </w:rPr>
        <w:t>Source: Tables 83-84, p182-184 of the resubmission and calculations performed during the evaluation using BlinMRD_Section3model_October2018 spreadsheet</w:t>
      </w:r>
    </w:p>
    <w:p w:rsidR="001A3870" w:rsidRPr="00483EB6" w:rsidRDefault="001A3870" w:rsidP="003E2CD9">
      <w:pPr>
        <w:pStyle w:val="TableFooter"/>
        <w:keepNext/>
        <w:keepLines/>
      </w:pPr>
      <w:r w:rsidRPr="00483EB6">
        <w:t xml:space="preserve">Abbreviations: </w:t>
      </w:r>
      <w:proofErr w:type="spellStart"/>
      <w:r w:rsidRPr="00483EB6">
        <w:t>blin</w:t>
      </w:r>
      <w:proofErr w:type="spellEnd"/>
      <w:r w:rsidRPr="00483EB6">
        <w:t>., blinatumomab</w:t>
      </w:r>
      <w:r w:rsidR="00E3189C" w:rsidRPr="00483EB6">
        <w:t xml:space="preserve">; CL, confidence limit; HR, hazard ratio; HSCT, </w:t>
      </w:r>
      <w:r w:rsidR="00087091" w:rsidRPr="00483EB6">
        <w:t>haematopoietic</w:t>
      </w:r>
      <w:r w:rsidR="00E3189C" w:rsidRPr="00483EB6">
        <w:t xml:space="preserve"> stem cell transplant; MRD, minimal residual disease</w:t>
      </w:r>
    </w:p>
    <w:p w:rsidR="00E636F6" w:rsidRPr="00483EB6" w:rsidRDefault="00E636F6" w:rsidP="003E2CD9">
      <w:pPr>
        <w:pStyle w:val="TableFooter"/>
        <w:keepNext/>
        <w:keepLines/>
      </w:pPr>
      <w:r w:rsidRPr="00483EB6">
        <w:t>Note: Results corrected for an error in the model in the calculation of intrathecal chemotherapy prophylaxis costs for blinatumomab (per cycle costs were applied to relapse free years, rather than the proportion of patients in the relapse-free health state)</w:t>
      </w:r>
    </w:p>
    <w:p w:rsidR="00903391" w:rsidRPr="00483EB6" w:rsidRDefault="00E636F6" w:rsidP="0010204A">
      <w:pPr>
        <w:pStyle w:val="ListParagraph"/>
        <w:widowControl/>
        <w:numPr>
          <w:ilvl w:val="1"/>
          <w:numId w:val="3"/>
        </w:numPr>
        <w:spacing w:before="120" w:after="120"/>
      </w:pPr>
      <w:r w:rsidRPr="00483EB6">
        <w:t xml:space="preserve">The model was most sensitive to the treatment effect associated with blinatumomab on survival outcomes compared with consolidation chemotherapy. The model was also sensitive to time horizon, health state costs, hospitalisation costs, utilities and adjusting baseline risk for patients in second or subsequent complete response. </w:t>
      </w:r>
    </w:p>
    <w:p w:rsidR="00E636F6" w:rsidRPr="00483EB6" w:rsidRDefault="00903391" w:rsidP="0010204A">
      <w:pPr>
        <w:pStyle w:val="ListParagraph"/>
        <w:widowControl/>
        <w:numPr>
          <w:ilvl w:val="1"/>
          <w:numId w:val="3"/>
        </w:numPr>
        <w:spacing w:before="120" w:after="120"/>
      </w:pPr>
      <w:r w:rsidRPr="00483EB6">
        <w:t xml:space="preserve">When the resubmission’s model </w:t>
      </w:r>
      <w:proofErr w:type="gramStart"/>
      <w:r w:rsidRPr="00483EB6">
        <w:t>is revised</w:t>
      </w:r>
      <w:proofErr w:type="gramEnd"/>
      <w:r w:rsidRPr="00483EB6">
        <w:t xml:space="preserve"> to reflect no overall survival benefit for blinatumomab and to remove the costs of </w:t>
      </w:r>
      <w:proofErr w:type="spellStart"/>
      <w:r w:rsidRPr="00483EB6">
        <w:t>imatinib</w:t>
      </w:r>
      <w:proofErr w:type="spellEnd"/>
      <w:r w:rsidRPr="00483EB6">
        <w:t xml:space="preserve"> for </w:t>
      </w:r>
      <w:proofErr w:type="spellStart"/>
      <w:r w:rsidRPr="00483EB6">
        <w:t>Ph</w:t>
      </w:r>
      <w:proofErr w:type="spellEnd"/>
      <w:r w:rsidRPr="00483EB6">
        <w:t xml:space="preserve">+ consolidation chemotherapy patients, the cost per QALY gained is </w:t>
      </w:r>
      <w:r w:rsidR="009E7BDA">
        <w:t>more than $200,000/QALY</w:t>
      </w:r>
      <w:r w:rsidRPr="00483EB6">
        <w:t>.</w:t>
      </w:r>
    </w:p>
    <w:p w:rsidR="00C25D9C" w:rsidRPr="00483EB6" w:rsidRDefault="00F83E15" w:rsidP="0010204A">
      <w:pPr>
        <w:pStyle w:val="Heading2"/>
        <w:spacing w:before="120" w:after="120"/>
      </w:pPr>
      <w:bookmarkStart w:id="14" w:name="_Toc536013902"/>
      <w:r w:rsidRPr="00483EB6">
        <w:t>Drug cost/patient/</w:t>
      </w:r>
      <w:r w:rsidR="00C25D9C" w:rsidRPr="00483EB6">
        <w:t>course</w:t>
      </w:r>
      <w:bookmarkEnd w:id="14"/>
    </w:p>
    <w:p w:rsidR="001B1FA5" w:rsidRPr="00483EB6" w:rsidRDefault="009656AE" w:rsidP="0010204A">
      <w:pPr>
        <w:pStyle w:val="ListParagraph"/>
        <w:keepNext/>
        <w:widowControl/>
        <w:numPr>
          <w:ilvl w:val="1"/>
          <w:numId w:val="3"/>
        </w:numPr>
        <w:spacing w:before="120" w:after="120"/>
      </w:pPr>
      <w:r w:rsidRPr="00483EB6">
        <w:lastRenderedPageBreak/>
        <w:t>The estimated drug cost for blinatumomab per patient per course was $</w:t>
      </w:r>
      <w:r w:rsidR="00D176A1">
        <w:rPr>
          <w:noProof/>
          <w:color w:val="000000"/>
          <w:highlight w:val="black"/>
        </w:rPr>
        <w:t>''''''''''''''''</w:t>
      </w:r>
      <w:r w:rsidRPr="00483EB6">
        <w:t xml:space="preserve"> (based on 53 treatment days using the effective price of $</w:t>
      </w:r>
      <w:r w:rsidR="00D176A1">
        <w:rPr>
          <w:noProof/>
          <w:color w:val="000000"/>
          <w:highlight w:val="black"/>
        </w:rPr>
        <w:t>''''''''''''''''</w:t>
      </w:r>
      <w:r w:rsidRPr="00483EB6">
        <w:t xml:space="preserve"> per vial per day</w:t>
      </w:r>
      <w:r w:rsidR="00F83E15" w:rsidRPr="00483EB6">
        <w:t xml:space="preserve">; weighted between </w:t>
      </w:r>
      <w:r w:rsidR="00143895" w:rsidRPr="00483EB6">
        <w:t xml:space="preserve">the </w:t>
      </w:r>
      <w:r w:rsidR="00F83E15" w:rsidRPr="00483EB6">
        <w:t xml:space="preserve">private </w:t>
      </w:r>
      <w:r w:rsidR="00143895" w:rsidRPr="00483EB6">
        <w:t xml:space="preserve">setting </w:t>
      </w:r>
      <w:r w:rsidR="00F83E15" w:rsidRPr="00483EB6">
        <w:t>(41%</w:t>
      </w:r>
      <w:r w:rsidR="00143895" w:rsidRPr="00483EB6">
        <w:t xml:space="preserve"> at $</w:t>
      </w:r>
      <w:r w:rsidR="00D176A1">
        <w:rPr>
          <w:noProof/>
          <w:color w:val="000000"/>
          <w:highlight w:val="black"/>
        </w:rPr>
        <w:t>''''''''''''''''</w:t>
      </w:r>
      <w:r w:rsidR="00F83E15" w:rsidRPr="00483EB6">
        <w:t xml:space="preserve">) and public </w:t>
      </w:r>
      <w:r w:rsidR="00143895" w:rsidRPr="00483EB6">
        <w:t xml:space="preserve">hospital use </w:t>
      </w:r>
      <w:r w:rsidR="00F83E15" w:rsidRPr="00483EB6">
        <w:t>(59%</w:t>
      </w:r>
      <w:r w:rsidR="00143895" w:rsidRPr="00483EB6">
        <w:t xml:space="preserve"> at $</w:t>
      </w:r>
      <w:r w:rsidR="00D176A1">
        <w:rPr>
          <w:noProof/>
          <w:color w:val="000000"/>
          <w:highlight w:val="black"/>
        </w:rPr>
        <w:t>''''''''''''''''''</w:t>
      </w:r>
      <w:r w:rsidRPr="00483EB6">
        <w:t>).</w:t>
      </w:r>
      <w:r w:rsidR="001107E9" w:rsidRPr="00483EB6">
        <w:t xml:space="preserve"> This is a small increase compared to the July 2018 submission ($</w:t>
      </w:r>
      <w:r w:rsidR="00D176A1">
        <w:rPr>
          <w:noProof/>
          <w:color w:val="000000"/>
          <w:highlight w:val="black"/>
        </w:rPr>
        <w:t>''''''''''''''''</w:t>
      </w:r>
      <w:r w:rsidR="001107E9" w:rsidRPr="00483EB6">
        <w:t xml:space="preserve"> per patient per course</w:t>
      </w:r>
      <w:r w:rsidR="00143895" w:rsidRPr="00483EB6">
        <w:t>; $</w:t>
      </w:r>
      <w:r w:rsidR="00D176A1">
        <w:rPr>
          <w:noProof/>
          <w:color w:val="000000"/>
          <w:highlight w:val="black"/>
        </w:rPr>
        <w:t>''''''''''''''''</w:t>
      </w:r>
      <w:r w:rsidR="00143895" w:rsidRPr="00483EB6">
        <w:t xml:space="preserve"> effective price per vial</w:t>
      </w:r>
      <w:r w:rsidR="001107E9" w:rsidRPr="00483EB6">
        <w:t xml:space="preserve">) due to </w:t>
      </w:r>
      <w:r w:rsidR="00143895" w:rsidRPr="00483EB6">
        <w:t xml:space="preserve">updated PBS </w:t>
      </w:r>
      <w:r w:rsidR="001107E9" w:rsidRPr="00483EB6">
        <w:t xml:space="preserve">utilisation </w:t>
      </w:r>
      <w:r w:rsidR="00143895" w:rsidRPr="00483EB6">
        <w:t>data (Oct 2018) for the private and public hospital settings</w:t>
      </w:r>
      <w:r w:rsidR="001107E9" w:rsidRPr="00483EB6">
        <w:t>.</w:t>
      </w:r>
    </w:p>
    <w:p w:rsidR="009656AE" w:rsidRPr="00483EB6" w:rsidRDefault="009656AE" w:rsidP="0010204A">
      <w:pPr>
        <w:pStyle w:val="ListParagraph"/>
        <w:keepNext/>
        <w:widowControl/>
        <w:numPr>
          <w:ilvl w:val="1"/>
          <w:numId w:val="3"/>
        </w:numPr>
        <w:spacing w:before="120" w:after="120"/>
      </w:pPr>
      <w:r w:rsidRPr="00483EB6">
        <w:t xml:space="preserve">The estimated drug cost for consolidation chemotherapy per patient per course for </w:t>
      </w:r>
      <w:proofErr w:type="spellStart"/>
      <w:r w:rsidRPr="00483EB6">
        <w:t>Ph</w:t>
      </w:r>
      <w:proofErr w:type="spellEnd"/>
      <w:r w:rsidRPr="00483EB6">
        <w:t>- patients was $</w:t>
      </w:r>
      <w:r w:rsidR="00F83E15" w:rsidRPr="00483EB6">
        <w:t>10</w:t>
      </w:r>
      <w:r w:rsidRPr="00483EB6">
        <w:t>,</w:t>
      </w:r>
      <w:r w:rsidR="00F83E15" w:rsidRPr="00483EB6">
        <w:t>728</w:t>
      </w:r>
      <w:r w:rsidRPr="00483EB6">
        <w:t xml:space="preserve"> (</w:t>
      </w:r>
      <w:r w:rsidR="00F83E15" w:rsidRPr="00483EB6">
        <w:t xml:space="preserve">assuming 80% dose intensity; </w:t>
      </w:r>
      <w:r w:rsidRPr="00483EB6">
        <w:t>based on hyper-CVAD consolidation protocol</w:t>
      </w:r>
      <w:r w:rsidR="001B1FA5" w:rsidRPr="00483EB6">
        <w:t xml:space="preserve"> </w:t>
      </w:r>
      <w:r w:rsidR="00F83E15" w:rsidRPr="00483EB6">
        <w:t>using current DPMQ/DPMAs: $13</w:t>
      </w:r>
      <w:r w:rsidRPr="00483EB6">
        <w:t>,</w:t>
      </w:r>
      <w:r w:rsidR="00F83E15" w:rsidRPr="00483EB6">
        <w:t>409</w:t>
      </w:r>
      <w:r w:rsidRPr="00483EB6">
        <w:t>).</w:t>
      </w:r>
      <w:r w:rsidR="00AE6606" w:rsidRPr="00483EB6">
        <w:t xml:space="preserve"> </w:t>
      </w:r>
      <w:r w:rsidR="001B1FA5" w:rsidRPr="00483EB6">
        <w:t>In the July 2018 submission, t</w:t>
      </w:r>
      <w:r w:rsidR="0021194B" w:rsidRPr="00483EB6">
        <w:t xml:space="preserve">he estimated drug cost for consolidation chemotherapy per patient per course for </w:t>
      </w:r>
      <w:proofErr w:type="spellStart"/>
      <w:r w:rsidR="0021194B" w:rsidRPr="00483EB6">
        <w:t>Ph</w:t>
      </w:r>
      <w:proofErr w:type="spellEnd"/>
      <w:r w:rsidR="0021194B" w:rsidRPr="00483EB6">
        <w:t>- patients was</w:t>
      </w:r>
      <w:r w:rsidR="00AE6606" w:rsidRPr="00483EB6">
        <w:t xml:space="preserve"> $4,094 (based on ALLG ALL6 consolidation protocol, assuming </w:t>
      </w:r>
      <w:r w:rsidR="001B1FA5" w:rsidRPr="00483EB6">
        <w:t>100% dose intensity</w:t>
      </w:r>
      <w:r w:rsidR="00AE6606" w:rsidRPr="00483EB6">
        <w:t>)</w:t>
      </w:r>
      <w:r w:rsidR="001B1FA5" w:rsidRPr="00483EB6">
        <w:t>.</w:t>
      </w:r>
      <w:r w:rsidR="0021194B" w:rsidRPr="00483EB6">
        <w:t xml:space="preserve"> </w:t>
      </w:r>
    </w:p>
    <w:p w:rsidR="009656AE" w:rsidRPr="00483EB6" w:rsidRDefault="009656AE" w:rsidP="0010204A">
      <w:pPr>
        <w:pStyle w:val="ListParagraph"/>
        <w:keepNext/>
        <w:widowControl/>
        <w:numPr>
          <w:ilvl w:val="1"/>
          <w:numId w:val="3"/>
        </w:numPr>
        <w:spacing w:before="120" w:after="120"/>
      </w:pPr>
      <w:r w:rsidRPr="00483EB6">
        <w:t xml:space="preserve">The estimated drug cost for consolidation chemotherapy per patient per course for </w:t>
      </w:r>
      <w:proofErr w:type="spellStart"/>
      <w:r w:rsidRPr="00483EB6">
        <w:t>Ph</w:t>
      </w:r>
      <w:proofErr w:type="spellEnd"/>
      <w:r w:rsidRPr="00483EB6">
        <w:t>+ patients was $</w:t>
      </w:r>
      <w:r w:rsidR="00F83E15" w:rsidRPr="00483EB6">
        <w:t>24</w:t>
      </w:r>
      <w:r w:rsidRPr="00483EB6">
        <w:t>,</w:t>
      </w:r>
      <w:r w:rsidR="00F83E15" w:rsidRPr="00483EB6">
        <w:t>156</w:t>
      </w:r>
      <w:r w:rsidRPr="00483EB6">
        <w:t xml:space="preserve"> (</w:t>
      </w:r>
      <w:r w:rsidR="00F83E15" w:rsidRPr="00483EB6">
        <w:t xml:space="preserve">assuming 80% dose intensity; based on hyper-CVAD consolidation </w:t>
      </w:r>
      <w:r w:rsidR="007B6940" w:rsidRPr="00483EB6">
        <w:t>protocol using</w:t>
      </w:r>
      <w:r w:rsidR="00F83E15" w:rsidRPr="00483EB6">
        <w:t xml:space="preserve"> current DPMQ/DPMAs: $13,409, plus </w:t>
      </w:r>
      <w:proofErr w:type="spellStart"/>
      <w:r w:rsidR="00F83E15" w:rsidRPr="00483EB6">
        <w:t>imatinib</w:t>
      </w:r>
      <w:proofErr w:type="spellEnd"/>
      <w:r w:rsidR="00F83E15" w:rsidRPr="00483EB6">
        <w:t xml:space="preserve"> 600 mg daily</w:t>
      </w:r>
      <w:r w:rsidRPr="00483EB6">
        <w:t>, using current DPMQ for</w:t>
      </w:r>
      <w:r w:rsidR="00F83E15" w:rsidRPr="00483EB6">
        <w:t xml:space="preserve"> 9.13 scripts of</w:t>
      </w:r>
      <w:r w:rsidRPr="00483EB6">
        <w:t xml:space="preserve"> </w:t>
      </w:r>
      <w:proofErr w:type="spellStart"/>
      <w:r w:rsidRPr="00483EB6">
        <w:t>imatinib</w:t>
      </w:r>
      <w:proofErr w:type="spellEnd"/>
      <w:r w:rsidRPr="00483EB6">
        <w:t xml:space="preserve"> 400 mg packs: $</w:t>
      </w:r>
      <w:r w:rsidR="00F83E15" w:rsidRPr="00483EB6">
        <w:t>16</w:t>
      </w:r>
      <w:r w:rsidRPr="00483EB6">
        <w:t>,</w:t>
      </w:r>
      <w:r w:rsidR="00F83E15" w:rsidRPr="00483EB6">
        <w:t>786</w:t>
      </w:r>
      <w:r w:rsidRPr="00483EB6">
        <w:t>).</w:t>
      </w:r>
      <w:r w:rsidR="00DD5953" w:rsidRPr="00483EB6">
        <w:t xml:space="preserve"> In the July 2018 submission, this was estimated to be $26,783</w:t>
      </w:r>
      <w:r w:rsidR="00EA072D" w:rsidRPr="00483EB6">
        <w:t xml:space="preserve"> </w:t>
      </w:r>
      <w:r w:rsidR="00DD5953" w:rsidRPr="00483EB6">
        <w:t>(based on ALLG ALL6 consolidation protocol, assuming 1</w:t>
      </w:r>
      <w:r w:rsidR="001B1FA5" w:rsidRPr="00483EB6">
        <w:t>00% dose intensity</w:t>
      </w:r>
      <w:r w:rsidR="00DD5953" w:rsidRPr="00483EB6">
        <w:t xml:space="preserve"> plus </w:t>
      </w:r>
      <w:proofErr w:type="spellStart"/>
      <w:r w:rsidR="00DD5953" w:rsidRPr="00483EB6">
        <w:t>imatinib</w:t>
      </w:r>
      <w:proofErr w:type="spellEnd"/>
      <w:r w:rsidR="00DD5953" w:rsidRPr="00483EB6">
        <w:t xml:space="preserve"> 600 mg daily, using current DPMQ for </w:t>
      </w:r>
      <w:r w:rsidR="001B1FA5" w:rsidRPr="00483EB6">
        <w:t xml:space="preserve">9.13 scripts of </w:t>
      </w:r>
      <w:proofErr w:type="spellStart"/>
      <w:r w:rsidR="00DD5953" w:rsidRPr="00483EB6">
        <w:t>imatinib</w:t>
      </w:r>
      <w:proofErr w:type="spellEnd"/>
      <w:r w:rsidR="00DD5953" w:rsidRPr="00483EB6">
        <w:t xml:space="preserve"> 400 mg packs: $22,690)</w:t>
      </w:r>
    </w:p>
    <w:p w:rsidR="00B60939" w:rsidRPr="00483EB6" w:rsidRDefault="00B60939" w:rsidP="0010204A">
      <w:pPr>
        <w:pStyle w:val="Heading2"/>
        <w:spacing w:before="120" w:after="120"/>
      </w:pPr>
      <w:bookmarkStart w:id="15" w:name="_Toc536013903"/>
      <w:r w:rsidRPr="00483EB6">
        <w:t>Estimated PBS usage &amp; financial implications</w:t>
      </w:r>
      <w:bookmarkEnd w:id="15"/>
    </w:p>
    <w:p w:rsidR="0072416F" w:rsidRPr="00483EB6" w:rsidRDefault="007A7EA2" w:rsidP="0010204A">
      <w:pPr>
        <w:pStyle w:val="ListParagraph"/>
        <w:widowControl/>
        <w:numPr>
          <w:ilvl w:val="1"/>
          <w:numId w:val="3"/>
        </w:numPr>
        <w:spacing w:before="120" w:after="120"/>
      </w:pPr>
      <w:r w:rsidRPr="00483EB6">
        <w:t xml:space="preserve">This submission </w:t>
      </w:r>
      <w:proofErr w:type="gramStart"/>
      <w:r w:rsidR="00757F4F" w:rsidRPr="00483EB6">
        <w:t xml:space="preserve">was not </w:t>
      </w:r>
      <w:r w:rsidRPr="00483EB6">
        <w:t>considered</w:t>
      </w:r>
      <w:proofErr w:type="gramEnd"/>
      <w:r w:rsidRPr="00483EB6">
        <w:t xml:space="preserve"> by DUSC. </w:t>
      </w:r>
      <w:r w:rsidR="00F83E15" w:rsidRPr="00483EB6">
        <w:t>The resubmission used an epidemiological approach, using the same model and sources as the July 2018 submission to estimate the utilisation and financial implications of PBS listing blinatumomab for the treatment of patients with B-ALL in haematological complete remission with minimal residual disease.</w:t>
      </w:r>
      <w:r w:rsidR="004B2A91" w:rsidRPr="00483EB6">
        <w:t xml:space="preserve"> The estimated number of patients likely to be treated with blinatumomab was higher than estimated in the July 2018 submission due to higher assumed uptake of blinatumomab (increased from </w:t>
      </w:r>
      <w:r w:rsidR="00D176A1">
        <w:rPr>
          <w:noProof/>
          <w:color w:val="000000"/>
          <w:highlight w:val="black"/>
        </w:rPr>
        <w:t>'''''</w:t>
      </w:r>
      <w:r w:rsidR="004B2A91" w:rsidRPr="00B9333B">
        <w:t xml:space="preserve">% to </w:t>
      </w:r>
      <w:r w:rsidR="00D176A1">
        <w:rPr>
          <w:noProof/>
          <w:color w:val="000000"/>
          <w:highlight w:val="black"/>
        </w:rPr>
        <w:t>'''''</w:t>
      </w:r>
      <w:r w:rsidR="004B2A91" w:rsidRPr="00B9333B">
        <w:t>%), and</w:t>
      </w:r>
      <w:r w:rsidR="004B2A91" w:rsidRPr="00483EB6">
        <w:t xml:space="preserve"> larger proportions of paediatric patients </w:t>
      </w:r>
      <w:r w:rsidR="007C18CD" w:rsidRPr="00483EB6">
        <w:t xml:space="preserve">assumed to </w:t>
      </w:r>
      <w:r w:rsidR="004B2A91" w:rsidRPr="00483EB6">
        <w:t>achiev</w:t>
      </w:r>
      <w:r w:rsidR="007C18CD" w:rsidRPr="00483EB6">
        <w:t>e</w:t>
      </w:r>
      <w:r w:rsidR="004B2A91" w:rsidRPr="00483EB6">
        <w:t xml:space="preserve"> complete remission with MRD</w:t>
      </w:r>
      <w:r w:rsidR="009A0FD4" w:rsidRPr="00483EB6">
        <w:t>.</w:t>
      </w:r>
      <w:r w:rsidR="00E3189C" w:rsidRPr="00483EB6">
        <w:t xml:space="preserve"> The increase in uptake rate was in response to PBAC concerns that </w:t>
      </w:r>
      <w:r w:rsidR="00FA06A6" w:rsidRPr="00483EB6">
        <w:t>this</w:t>
      </w:r>
      <w:r w:rsidR="00E3189C" w:rsidRPr="00483EB6">
        <w:t xml:space="preserve"> was likely underestimated</w:t>
      </w:r>
      <w:r w:rsidR="00FA06A6" w:rsidRPr="00483EB6">
        <w:t xml:space="preserve"> in the previous submission</w:t>
      </w:r>
      <w:r w:rsidR="00E3189C" w:rsidRPr="00483EB6">
        <w:t xml:space="preserve"> (Blinatumomab PSD July 2018, para 6.70).</w:t>
      </w:r>
      <w:r w:rsidR="00060316" w:rsidRPr="00483EB6">
        <w:rPr>
          <w:i/>
        </w:rPr>
        <w:t xml:space="preserve"> </w:t>
      </w:r>
      <w:r w:rsidR="00060316" w:rsidRPr="00483EB6">
        <w:t xml:space="preserve">The ESC considered </w:t>
      </w:r>
      <w:r w:rsidR="00054B2C" w:rsidRPr="00483EB6">
        <w:t>the revised uptake rate was more likely to reflect uptake in clinical practice.</w:t>
      </w:r>
      <w:r w:rsidR="00054B2C" w:rsidRPr="00483EB6">
        <w:rPr>
          <w:i/>
        </w:rPr>
        <w:t xml:space="preserve"> </w:t>
      </w:r>
    </w:p>
    <w:p w:rsidR="0099368E" w:rsidRPr="00483EB6" w:rsidRDefault="0099368E" w:rsidP="0010204A">
      <w:pPr>
        <w:pStyle w:val="ListParagraph"/>
        <w:widowControl/>
        <w:numPr>
          <w:ilvl w:val="1"/>
          <w:numId w:val="3"/>
        </w:numPr>
        <w:spacing w:before="120" w:after="120"/>
      </w:pPr>
      <w:r w:rsidRPr="00483EB6">
        <w:t>The resubmission did not address some of the issues related to the estimated usage and financial implications identified by the PBAC at the July 2018 meeting</w:t>
      </w:r>
      <w:r w:rsidR="004F5F80" w:rsidRPr="00483EB6">
        <w:t xml:space="preserve"> (Blinatumomab PSD July 2018, para 6.70-6.71)</w:t>
      </w:r>
      <w:r w:rsidRPr="00483EB6">
        <w:t>:</w:t>
      </w:r>
    </w:p>
    <w:p w:rsidR="004F5F80" w:rsidRPr="00483EB6" w:rsidRDefault="004F5F80" w:rsidP="0010204A">
      <w:pPr>
        <w:pStyle w:val="ListParagraph"/>
        <w:widowControl/>
        <w:numPr>
          <w:ilvl w:val="0"/>
          <w:numId w:val="1"/>
        </w:numPr>
        <w:spacing w:before="120" w:after="120"/>
      </w:pPr>
      <w:r w:rsidRPr="00483EB6">
        <w:t>The resubmission used the same simple extrapolation based on an assumed increase of 4-5 patients per y</w:t>
      </w:r>
      <w:r w:rsidR="00385C97" w:rsidRPr="00483EB6">
        <w:t>ear. Historical AIHW incidence data used to support the assumed annual increase excluded 2014 data</w:t>
      </w:r>
      <w:r w:rsidR="00FA06A6" w:rsidRPr="00483EB6">
        <w:t xml:space="preserve"> (which became available during evaluation)</w:t>
      </w:r>
      <w:r w:rsidR="00385C97" w:rsidRPr="00483EB6">
        <w:t>, and most likely underestimated the eligible population.</w:t>
      </w:r>
      <w:r w:rsidR="00303590" w:rsidRPr="00483EB6">
        <w:t xml:space="preserve"> The ESC noted that including </w:t>
      </w:r>
      <w:r w:rsidR="00FA06A6" w:rsidRPr="00483EB6">
        <w:t xml:space="preserve">the new </w:t>
      </w:r>
      <w:r w:rsidR="00303590" w:rsidRPr="00483EB6">
        <w:t xml:space="preserve">data for 2014 </w:t>
      </w:r>
      <w:r w:rsidR="00FA06A6" w:rsidRPr="00483EB6">
        <w:t>(</w:t>
      </w:r>
      <w:r w:rsidR="00303590" w:rsidRPr="00483EB6">
        <w:t xml:space="preserve">and using the same linear extrapolation used </w:t>
      </w:r>
      <w:r w:rsidR="00303590" w:rsidRPr="00483EB6">
        <w:lastRenderedPageBreak/>
        <w:t>in the resubmission</w:t>
      </w:r>
      <w:r w:rsidR="00FA06A6" w:rsidRPr="00483EB6">
        <w:t>)</w:t>
      </w:r>
      <w:r w:rsidR="00303590" w:rsidRPr="00483EB6">
        <w:t xml:space="preserve">, </w:t>
      </w:r>
      <w:r w:rsidR="008874C7" w:rsidRPr="00483EB6">
        <w:t xml:space="preserve">only slightly </w:t>
      </w:r>
      <w:r w:rsidR="00150ED9" w:rsidRPr="00483EB6">
        <w:t>increase</w:t>
      </w:r>
      <w:r w:rsidR="008874C7" w:rsidRPr="00483EB6">
        <w:t>d</w:t>
      </w:r>
      <w:r w:rsidR="00150ED9" w:rsidRPr="00483EB6">
        <w:t xml:space="preserve"> the </w:t>
      </w:r>
      <w:r w:rsidR="00303590" w:rsidRPr="00483EB6">
        <w:t xml:space="preserve">estimated number of </w:t>
      </w:r>
      <w:r w:rsidR="00FA06A6" w:rsidRPr="00483EB6">
        <w:t>treated</w:t>
      </w:r>
      <w:r w:rsidR="00303590" w:rsidRPr="00483EB6">
        <w:t xml:space="preserve"> patients in </w:t>
      </w:r>
      <w:r w:rsidR="00FA06A6" w:rsidRPr="00483EB6">
        <w:t>Y</w:t>
      </w:r>
      <w:r w:rsidR="00303590" w:rsidRPr="00483EB6">
        <w:t xml:space="preserve">ear 6 </w:t>
      </w:r>
      <w:r w:rsidR="00FA06A6" w:rsidRPr="00483EB6">
        <w:t xml:space="preserve">from </w:t>
      </w:r>
      <w:r w:rsidR="000F0F28">
        <w:t>less than</w:t>
      </w:r>
      <w:r w:rsidR="00593330">
        <w:t xml:space="preserve"> 10,000</w:t>
      </w:r>
      <w:r w:rsidR="00FA06A6" w:rsidRPr="00483EB6">
        <w:t xml:space="preserve"> to </w:t>
      </w:r>
      <w:r w:rsidR="000F0F28">
        <w:t xml:space="preserve">less than </w:t>
      </w:r>
      <w:r w:rsidR="00593330">
        <w:t>10,000</w:t>
      </w:r>
      <w:r w:rsidR="00593330" w:rsidRPr="00483EB6">
        <w:t xml:space="preserve"> </w:t>
      </w:r>
      <w:r w:rsidR="00FA06A6" w:rsidRPr="00483EB6">
        <w:t>patients.</w:t>
      </w:r>
    </w:p>
    <w:p w:rsidR="0099368E" w:rsidRPr="00483EB6" w:rsidRDefault="0099368E" w:rsidP="0010204A">
      <w:pPr>
        <w:pStyle w:val="ListParagraph"/>
        <w:widowControl/>
        <w:numPr>
          <w:ilvl w:val="0"/>
          <w:numId w:val="1"/>
        </w:numPr>
        <w:spacing w:before="120" w:after="120"/>
        <w:ind w:left="1077" w:hanging="357"/>
      </w:pPr>
      <w:r w:rsidRPr="00483EB6">
        <w:t>The resubmission used the same four conditional multipliers for non-independent populations as the July 2018 submission (</w:t>
      </w:r>
      <w:r w:rsidR="004F5F80" w:rsidRPr="00483EB6">
        <w:t xml:space="preserve">i.e. </w:t>
      </w:r>
      <w:r w:rsidRPr="00483EB6">
        <w:t>proportions of patient with B-cell</w:t>
      </w:r>
      <w:r w:rsidR="004F5F80" w:rsidRPr="00483EB6">
        <w:t xml:space="preserve"> linage, immature B-cell precursor, in complete remission with MRD positivity, eligible for treatment), most likely underestimating the eligible population.</w:t>
      </w:r>
      <w:r w:rsidR="00222F12" w:rsidRPr="00483EB6">
        <w:t xml:space="preserve"> </w:t>
      </w:r>
    </w:p>
    <w:p w:rsidR="00222F12" w:rsidRPr="00483EB6" w:rsidRDefault="00222F12" w:rsidP="0010204A">
      <w:pPr>
        <w:pStyle w:val="ListParagraph"/>
        <w:widowControl/>
        <w:numPr>
          <w:ilvl w:val="0"/>
          <w:numId w:val="1"/>
        </w:numPr>
        <w:spacing w:before="120" w:after="120"/>
        <w:ind w:left="1077" w:hanging="357"/>
      </w:pPr>
      <w:r w:rsidRPr="00483EB6">
        <w:t>The resubmission only included patients in first complete remission in the estimated use and financial implications to the PBS, most likely underestimating the eligible population.</w:t>
      </w:r>
    </w:p>
    <w:p w:rsidR="006D084A" w:rsidRPr="00483EB6" w:rsidRDefault="006D084A" w:rsidP="0010204A">
      <w:pPr>
        <w:pStyle w:val="ListParagraph"/>
        <w:widowControl/>
        <w:numPr>
          <w:ilvl w:val="0"/>
          <w:numId w:val="1"/>
        </w:numPr>
        <w:spacing w:before="120" w:after="120"/>
        <w:ind w:left="1077" w:hanging="357"/>
      </w:pPr>
      <w:r w:rsidRPr="00483EB6">
        <w:t xml:space="preserve">The resubmission assumed that each patient will receive </w:t>
      </w:r>
      <w:r w:rsidR="00150ED9" w:rsidRPr="00483EB6">
        <w:t>2 cycles (</w:t>
      </w:r>
      <w:r w:rsidRPr="00483EB6">
        <w:t>53 vials</w:t>
      </w:r>
      <w:r w:rsidR="00150ED9" w:rsidRPr="00483EB6">
        <w:t>)</w:t>
      </w:r>
      <w:r w:rsidRPr="00483EB6">
        <w:t xml:space="preserve"> of blinatumomab, based on exposure in the BLAST study, while patients are eligible for up to four cycles of blinatumomab (112 vials) under the requested restriction.</w:t>
      </w:r>
      <w:r w:rsidR="00FA7A9D" w:rsidRPr="00483EB6">
        <w:t xml:space="preserve"> The ESC considered </w:t>
      </w:r>
      <w:r w:rsidR="00B84AF5" w:rsidRPr="00483EB6">
        <w:t xml:space="preserve">that in clinical practice, patients would </w:t>
      </w:r>
      <w:r w:rsidR="00150ED9" w:rsidRPr="00483EB6">
        <w:t xml:space="preserve">likely </w:t>
      </w:r>
      <w:r w:rsidR="00B84AF5" w:rsidRPr="00483EB6">
        <w:t xml:space="preserve">receive </w:t>
      </w:r>
      <w:r w:rsidR="00150ED9" w:rsidRPr="00483EB6">
        <w:t xml:space="preserve">a </w:t>
      </w:r>
      <w:r w:rsidR="00483EB6">
        <w:t xml:space="preserve">larger </w:t>
      </w:r>
      <w:r w:rsidR="00150ED9" w:rsidRPr="00483EB6">
        <w:t>number of</w:t>
      </w:r>
      <w:r w:rsidR="00B84AF5" w:rsidRPr="00483EB6">
        <w:t xml:space="preserve"> vials of blinatumomab compared to</w:t>
      </w:r>
      <w:r w:rsidR="0083743F" w:rsidRPr="00483EB6">
        <w:t xml:space="preserve"> patients in the BLAST study. The ESC noted that</w:t>
      </w:r>
      <w:r w:rsidR="001F3132" w:rsidRPr="00483EB6">
        <w:t xml:space="preserve">, in the BLAST study, a large proportion of patients went to transplant post cycle 1 or 2, whilst in Australian clinical practice most will </w:t>
      </w:r>
      <w:r w:rsidR="00A179B7" w:rsidRPr="00483EB6">
        <w:t>under</w:t>
      </w:r>
      <w:r w:rsidR="001F3132" w:rsidRPr="00483EB6">
        <w:t>go</w:t>
      </w:r>
      <w:r w:rsidR="00A179B7" w:rsidRPr="00483EB6">
        <w:t xml:space="preserve"> transplant</w:t>
      </w:r>
      <w:r w:rsidR="001F3132" w:rsidRPr="00483EB6">
        <w:t xml:space="preserve"> after 2 to 4 cycles, and thus there </w:t>
      </w:r>
      <w:r w:rsidR="00CC4BE6">
        <w:t xml:space="preserve">will be </w:t>
      </w:r>
      <w:r w:rsidR="001F3132" w:rsidRPr="00483EB6">
        <w:t xml:space="preserve">more cycles </w:t>
      </w:r>
      <w:r w:rsidR="00CC4BE6">
        <w:t xml:space="preserve">per patient </w:t>
      </w:r>
      <w:r w:rsidR="001F3132" w:rsidRPr="00483EB6">
        <w:t xml:space="preserve">in the likely PBS population. </w:t>
      </w:r>
      <w:r w:rsidR="00827D2F" w:rsidRPr="00483EB6">
        <w:t xml:space="preserve">The pre-PBAC Response stated that the proposed RSA would </w:t>
      </w:r>
      <w:r w:rsidR="00D02AA1" w:rsidRPr="00483EB6">
        <w:t xml:space="preserve">help address uncertainties regarding the average number of cycles of blinatumomab. </w:t>
      </w:r>
    </w:p>
    <w:p w:rsidR="00B201A4" w:rsidRPr="00483EB6" w:rsidRDefault="00F83E15" w:rsidP="0010204A">
      <w:pPr>
        <w:pStyle w:val="ListParagraph"/>
        <w:widowControl/>
        <w:numPr>
          <w:ilvl w:val="1"/>
          <w:numId w:val="3"/>
        </w:numPr>
        <w:spacing w:before="120" w:after="120"/>
      </w:pPr>
      <w:r w:rsidRPr="00483EB6">
        <w:t xml:space="preserve">Table </w:t>
      </w:r>
      <w:r w:rsidR="00E636F6" w:rsidRPr="00483EB6">
        <w:t>1</w:t>
      </w:r>
      <w:r w:rsidR="005E2717" w:rsidRPr="00483EB6">
        <w:t>5</w:t>
      </w:r>
      <w:r w:rsidRPr="00483EB6">
        <w:t xml:space="preserve"> summarises the estimated extent of use and costs of listing blinatumomab for the treatment of patients with B-ALL in haematological complete remission with minimal residual disease in the first 6 years of listing.</w:t>
      </w:r>
    </w:p>
    <w:p w:rsidR="00A37CF1" w:rsidRPr="00483EB6" w:rsidRDefault="00A37CF1" w:rsidP="0010204A">
      <w:pPr>
        <w:pStyle w:val="ListParagraph"/>
        <w:widowControl/>
        <w:numPr>
          <w:ilvl w:val="1"/>
          <w:numId w:val="3"/>
        </w:numPr>
        <w:spacing w:before="120" w:after="120"/>
      </w:pPr>
      <w:r w:rsidRPr="00483EB6">
        <w:t xml:space="preserve">The ESC considered </w:t>
      </w:r>
      <w:r w:rsidR="009A7F4C" w:rsidRPr="00483EB6">
        <w:t>the</w:t>
      </w:r>
      <w:r w:rsidR="0071513B" w:rsidRPr="00483EB6">
        <w:t xml:space="preserve"> estimated</w:t>
      </w:r>
      <w:r w:rsidR="009A7F4C" w:rsidRPr="00483EB6">
        <w:t xml:space="preserve"> percentage </w:t>
      </w:r>
      <w:r w:rsidR="0071513B" w:rsidRPr="00483EB6">
        <w:t>of MRD positive adult and paediatric patients</w:t>
      </w:r>
      <w:r w:rsidR="009A7F4C" w:rsidRPr="00483EB6">
        <w:t xml:space="preserve"> to be uncertain as there is wide variability in the reported </w:t>
      </w:r>
      <w:r w:rsidR="0071513B" w:rsidRPr="00483EB6">
        <w:t>proportion of patients with post induction MRD (30-50% adults and 10-20% paediatric patients).</w:t>
      </w:r>
    </w:p>
    <w:p w:rsidR="00C25D9C" w:rsidRPr="00483EB6" w:rsidRDefault="002A2F50" w:rsidP="00A273E2">
      <w:pPr>
        <w:keepNext/>
        <w:keepLines/>
        <w:rPr>
          <w:rStyle w:val="CommentReference"/>
        </w:rPr>
      </w:pPr>
      <w:r w:rsidRPr="00483EB6">
        <w:rPr>
          <w:rStyle w:val="CommentReference"/>
        </w:rPr>
        <w:lastRenderedPageBreak/>
        <w:t xml:space="preserve">Table </w:t>
      </w:r>
      <w:r w:rsidR="00E636F6" w:rsidRPr="00483EB6">
        <w:rPr>
          <w:rStyle w:val="CommentReference"/>
        </w:rPr>
        <w:t>1</w:t>
      </w:r>
      <w:r w:rsidR="005E2717" w:rsidRPr="00483EB6">
        <w:rPr>
          <w:rStyle w:val="CommentReference"/>
        </w:rPr>
        <w:t>5</w:t>
      </w:r>
      <w:r w:rsidRPr="00483EB6">
        <w:rPr>
          <w:rStyle w:val="CommentReference"/>
        </w:rPr>
        <w:t>: Estimated use and financial implications</w:t>
      </w:r>
      <w:r w:rsidR="00FC5AD0" w:rsidRPr="00483EB6">
        <w:rPr>
          <w:rStyle w:val="CommentReference"/>
        </w:rPr>
        <w:t xml:space="preserve"> (based on price proposed in the resubmission)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 w:type="dxa"/>
          <w:left w:w="28" w:type="dxa"/>
          <w:bottom w:w="6" w:type="dxa"/>
          <w:right w:w="28" w:type="dxa"/>
        </w:tblCellMar>
        <w:tblLook w:val="04A0" w:firstRow="1" w:lastRow="0" w:firstColumn="1" w:lastColumn="0" w:noHBand="0" w:noVBand="1"/>
        <w:tblCaption w:val="Table 15: Estimated use and financial implications (based on price proposed in the resubmission)"/>
      </w:tblPr>
      <w:tblGrid>
        <w:gridCol w:w="2405"/>
        <w:gridCol w:w="1110"/>
        <w:gridCol w:w="1110"/>
        <w:gridCol w:w="1111"/>
        <w:gridCol w:w="1110"/>
        <w:gridCol w:w="1110"/>
        <w:gridCol w:w="1111"/>
      </w:tblGrid>
      <w:tr w:rsidR="00F83E15" w:rsidRPr="00483EB6" w:rsidTr="00001121">
        <w:trPr>
          <w:tblHeader/>
        </w:trPr>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b/>
                <w:szCs w:val="20"/>
              </w:rPr>
            </w:pPr>
          </w:p>
        </w:tc>
        <w:tc>
          <w:tcPr>
            <w:tcW w:w="1110"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1</w:t>
            </w:r>
          </w:p>
        </w:tc>
        <w:tc>
          <w:tcPr>
            <w:tcW w:w="1110"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2</w:t>
            </w:r>
          </w:p>
        </w:tc>
        <w:tc>
          <w:tcPr>
            <w:tcW w:w="1111"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3</w:t>
            </w:r>
          </w:p>
        </w:tc>
        <w:tc>
          <w:tcPr>
            <w:tcW w:w="1110"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4</w:t>
            </w:r>
          </w:p>
        </w:tc>
        <w:tc>
          <w:tcPr>
            <w:tcW w:w="1110"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5</w:t>
            </w:r>
          </w:p>
        </w:tc>
        <w:tc>
          <w:tcPr>
            <w:tcW w:w="1111" w:type="dxa"/>
            <w:tcBorders>
              <w:bottom w:val="single" w:sz="4" w:space="0" w:color="auto"/>
            </w:tcBorders>
            <w:shd w:val="clear" w:color="auto" w:fill="auto"/>
            <w:vAlign w:val="center"/>
          </w:tcPr>
          <w:p w:rsidR="00F83E15" w:rsidRPr="00483EB6" w:rsidRDefault="00F83E15" w:rsidP="00A273E2">
            <w:pPr>
              <w:pStyle w:val="Tabletext"/>
              <w:keepNext/>
              <w:keepLines/>
              <w:jc w:val="center"/>
              <w:rPr>
                <w:b/>
                <w:szCs w:val="20"/>
              </w:rPr>
            </w:pPr>
            <w:r w:rsidRPr="00483EB6">
              <w:rPr>
                <w:b/>
                <w:szCs w:val="20"/>
              </w:rPr>
              <w:t>Year 6</w:t>
            </w:r>
          </w:p>
        </w:tc>
      </w:tr>
      <w:tr w:rsidR="00F83E15" w:rsidRPr="00483EB6" w:rsidTr="00001121">
        <w:tc>
          <w:tcPr>
            <w:tcW w:w="9067" w:type="dxa"/>
            <w:gridSpan w:val="7"/>
            <w:tcBorders>
              <w:bottom w:val="single" w:sz="4" w:space="0" w:color="auto"/>
            </w:tcBorders>
            <w:shd w:val="clear" w:color="auto" w:fill="auto"/>
            <w:vAlign w:val="center"/>
          </w:tcPr>
          <w:p w:rsidR="00F83E15" w:rsidRPr="00483EB6" w:rsidRDefault="00F83E15" w:rsidP="00A273E2">
            <w:pPr>
              <w:pStyle w:val="Tabletext"/>
              <w:keepNext/>
              <w:keepLines/>
              <w:rPr>
                <w:b/>
                <w:szCs w:val="20"/>
              </w:rPr>
            </w:pPr>
            <w:r w:rsidRPr="00483EB6">
              <w:rPr>
                <w:b/>
                <w:szCs w:val="20"/>
              </w:rPr>
              <w:t>Estimated eligible patient population</w:t>
            </w:r>
          </w:p>
        </w:tc>
      </w:tr>
      <w:tr w:rsidR="00F83E15" w:rsidRPr="00483EB6" w:rsidTr="00001121">
        <w:tc>
          <w:tcPr>
            <w:tcW w:w="2405" w:type="dxa"/>
            <w:tcBorders>
              <w:top w:val="single" w:sz="4" w:space="0" w:color="auto"/>
              <w:bottom w:val="single" w:sz="4" w:space="0" w:color="auto"/>
              <w:right w:val="single" w:sz="4" w:space="0" w:color="auto"/>
            </w:tcBorders>
            <w:shd w:val="clear" w:color="auto" w:fill="auto"/>
            <w:vAlign w:val="center"/>
          </w:tcPr>
          <w:p w:rsidR="00F83E15" w:rsidRPr="00483EB6" w:rsidRDefault="00F83E15" w:rsidP="00A273E2">
            <w:pPr>
              <w:pStyle w:val="Tabletext"/>
              <w:keepNext/>
              <w:keepLines/>
              <w:rPr>
                <w:szCs w:val="20"/>
              </w:rPr>
            </w:pPr>
            <w:r w:rsidRPr="00483EB6">
              <w:rPr>
                <w:szCs w:val="20"/>
              </w:rPr>
              <w:t>Incidence of ALL (All)</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c>
          <w:tcPr>
            <w:tcW w:w="1111"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c>
          <w:tcPr>
            <w:tcW w:w="1111"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color w:val="000000"/>
                <w:szCs w:val="20"/>
                <w:highlight w:val="black"/>
              </w:rPr>
            </w:pPr>
            <w:r>
              <w:rPr>
                <w:noProof/>
                <w:color w:val="000000"/>
                <w:szCs w:val="20"/>
                <w:highlight w:val="black"/>
              </w:rPr>
              <w:t>''''''''''</w:t>
            </w:r>
          </w:p>
        </w:tc>
      </w:tr>
      <w:tr w:rsidR="00F83E15" w:rsidRPr="00483EB6" w:rsidTr="00001121">
        <w:tc>
          <w:tcPr>
            <w:tcW w:w="2405" w:type="dxa"/>
            <w:tcBorders>
              <w:top w:val="single" w:sz="4" w:space="0" w:color="auto"/>
              <w:bottom w:val="single" w:sz="4" w:space="0" w:color="auto"/>
            </w:tcBorders>
            <w:shd w:val="clear" w:color="auto" w:fill="auto"/>
            <w:vAlign w:val="center"/>
          </w:tcPr>
          <w:p w:rsidR="00F83E15" w:rsidRPr="00483EB6" w:rsidRDefault="00F83E15" w:rsidP="000370CA">
            <w:pPr>
              <w:pStyle w:val="Tabletext"/>
              <w:keepNext/>
              <w:keepLines/>
              <w:numPr>
                <w:ilvl w:val="0"/>
                <w:numId w:val="5"/>
              </w:numPr>
              <w:ind w:left="142" w:hanging="142"/>
              <w:rPr>
                <w:szCs w:val="20"/>
              </w:rPr>
            </w:pPr>
            <w:r w:rsidRPr="00483EB6">
              <w:rPr>
                <w:szCs w:val="20"/>
              </w:rPr>
              <w:t>Adults</w:t>
            </w:r>
          </w:p>
        </w:tc>
        <w:tc>
          <w:tcPr>
            <w:tcW w:w="1110" w:type="dxa"/>
            <w:tcBorders>
              <w:top w:val="nil"/>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1"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1"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0370CA">
            <w:pPr>
              <w:pStyle w:val="Tabletext"/>
              <w:keepNext/>
              <w:keepLines/>
              <w:numPr>
                <w:ilvl w:val="0"/>
                <w:numId w:val="5"/>
              </w:numPr>
              <w:ind w:left="142" w:hanging="142"/>
              <w:rPr>
                <w:szCs w:val="20"/>
              </w:rPr>
            </w:pPr>
            <w:r w:rsidRPr="00483EB6">
              <w:rPr>
                <w:szCs w:val="20"/>
              </w:rPr>
              <w:t>Paediatrics</w:t>
            </w:r>
          </w:p>
        </w:tc>
        <w:tc>
          <w:tcPr>
            <w:tcW w:w="1110" w:type="dxa"/>
            <w:tcBorders>
              <w:top w:val="nil"/>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1"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0"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c>
          <w:tcPr>
            <w:tcW w:w="1111" w:type="dxa"/>
            <w:tcBorders>
              <w:top w:val="nil"/>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rFonts w:cs="Arial"/>
                <w:szCs w:val="20"/>
                <w:highlight w:val="black"/>
              </w:rPr>
            </w:pPr>
            <w:r>
              <w:rPr>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szCs w:val="20"/>
              </w:rPr>
            </w:pPr>
            <w:r w:rsidRPr="00483EB6">
              <w:rPr>
                <w:szCs w:val="20"/>
              </w:rPr>
              <w:t>Eligible patients (All)</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0370CA">
            <w:pPr>
              <w:pStyle w:val="Tabletext"/>
              <w:keepNext/>
              <w:keepLines/>
              <w:numPr>
                <w:ilvl w:val="0"/>
                <w:numId w:val="5"/>
              </w:numPr>
              <w:ind w:left="142" w:hanging="142"/>
              <w:rPr>
                <w:szCs w:val="20"/>
              </w:rPr>
            </w:pPr>
            <w:r w:rsidRPr="00483EB6">
              <w:rPr>
                <w:szCs w:val="20"/>
              </w:rPr>
              <w:t>Adults (24.82%)</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0370CA">
            <w:pPr>
              <w:pStyle w:val="Tabletext"/>
              <w:keepNext/>
              <w:keepLines/>
              <w:numPr>
                <w:ilvl w:val="0"/>
                <w:numId w:val="5"/>
              </w:numPr>
              <w:ind w:left="142" w:hanging="142"/>
              <w:rPr>
                <w:szCs w:val="20"/>
              </w:rPr>
            </w:pPr>
            <w:r w:rsidRPr="00483EB6">
              <w:rPr>
                <w:szCs w:val="20"/>
              </w:rPr>
              <w:t>Paediatrics (13.57%)</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001121">
        <w:tc>
          <w:tcPr>
            <w:tcW w:w="9067" w:type="dxa"/>
            <w:gridSpan w:val="7"/>
            <w:tcBorders>
              <w:right w:val="single" w:sz="4" w:space="0" w:color="auto"/>
            </w:tcBorders>
            <w:shd w:val="clear" w:color="auto" w:fill="auto"/>
            <w:vAlign w:val="center"/>
          </w:tcPr>
          <w:p w:rsidR="00F83E15" w:rsidRPr="00483EB6" w:rsidRDefault="00F83E15" w:rsidP="00A273E2">
            <w:pPr>
              <w:pStyle w:val="Tabletext"/>
              <w:keepNext/>
              <w:keepLines/>
              <w:rPr>
                <w:b/>
                <w:szCs w:val="20"/>
              </w:rPr>
            </w:pPr>
            <w:r w:rsidRPr="00483EB6">
              <w:rPr>
                <w:b/>
                <w:szCs w:val="20"/>
              </w:rPr>
              <w:t>Estimated extent of use and cost of blinatumomab on the PBS</w:t>
            </w:r>
          </w:p>
        </w:tc>
      </w:tr>
      <w:tr w:rsidR="00F83E15" w:rsidRPr="00483EB6" w:rsidTr="00001121">
        <w:tc>
          <w:tcPr>
            <w:tcW w:w="2405" w:type="dxa"/>
            <w:tcBorders>
              <w:bottom w:val="single" w:sz="4" w:space="0" w:color="auto"/>
            </w:tcBorders>
            <w:shd w:val="clear" w:color="auto" w:fill="auto"/>
            <w:vAlign w:val="center"/>
          </w:tcPr>
          <w:p w:rsidR="00F83E15" w:rsidRPr="00483EB6" w:rsidRDefault="00DD42CE" w:rsidP="00A273E2">
            <w:pPr>
              <w:pStyle w:val="Tabletext"/>
              <w:keepNext/>
              <w:keepLines/>
              <w:rPr>
                <w:szCs w:val="20"/>
              </w:rPr>
            </w:pPr>
            <w:r w:rsidRPr="00483EB6">
              <w:rPr>
                <w:szCs w:val="20"/>
              </w:rPr>
              <w:t xml:space="preserve">Total number of patients (95% </w:t>
            </w:r>
            <w:r w:rsidR="00F83E15" w:rsidRPr="00483EB6">
              <w:rPr>
                <w:szCs w:val="20"/>
              </w:rPr>
              <w:t>uptake)</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DD42CE">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szCs w:val="20"/>
                <w:vertAlign w:val="superscript"/>
              </w:rPr>
            </w:pPr>
            <w:r w:rsidRPr="00483EB6">
              <w:rPr>
                <w:szCs w:val="20"/>
              </w:rPr>
              <w:t>Total number of vials (53 vials)</w:t>
            </w:r>
            <w:r w:rsidRPr="00483EB6">
              <w:rPr>
                <w:szCs w:val="20"/>
                <w:vertAlign w:val="superscript"/>
              </w:rPr>
              <w:t>a</w:t>
            </w:r>
          </w:p>
        </w:tc>
        <w:tc>
          <w:tcPr>
            <w:tcW w:w="1110" w:type="dxa"/>
            <w:tcBorders>
              <w:top w:val="single" w:sz="4" w:space="0" w:color="auto"/>
              <w:left w:val="nil"/>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b/>
                <w:szCs w:val="20"/>
              </w:rPr>
            </w:pPr>
            <w:r w:rsidRPr="00483EB6">
              <w:rPr>
                <w:b/>
                <w:szCs w:val="20"/>
              </w:rPr>
              <w:t xml:space="preserve">Total expenditure </w:t>
            </w:r>
          </w:p>
          <w:p w:rsidR="00F83E15" w:rsidRPr="00483EB6" w:rsidRDefault="00F83E15" w:rsidP="00A273E2">
            <w:pPr>
              <w:pStyle w:val="Tabletext"/>
              <w:keepNext/>
              <w:keepLines/>
              <w:rPr>
                <w:b/>
                <w:szCs w:val="20"/>
                <w:vertAlign w:val="superscript"/>
              </w:rPr>
            </w:pPr>
            <w:r w:rsidRPr="00483EB6">
              <w:rPr>
                <w:b/>
                <w:szCs w:val="20"/>
              </w:rPr>
              <w:t>(effective</w:t>
            </w:r>
            <w:r w:rsidRPr="000F0F28">
              <w:rPr>
                <w:b/>
                <w:szCs w:val="20"/>
              </w:rPr>
              <w:t>, $</w:t>
            </w:r>
            <w:r w:rsidR="00D176A1">
              <w:rPr>
                <w:b/>
                <w:noProof/>
                <w:color w:val="000000"/>
                <w:szCs w:val="20"/>
                <w:highlight w:val="black"/>
              </w:rPr>
              <w:t>''''''''''''''''''</w:t>
            </w:r>
            <w:r w:rsidRPr="000F0F28">
              <w:rPr>
                <w:b/>
                <w:szCs w:val="20"/>
              </w:rPr>
              <w:t>/unit</w:t>
            </w:r>
            <w:r w:rsidRPr="00483EB6">
              <w:rPr>
                <w:b/>
                <w:szCs w:val="20"/>
              </w:rPr>
              <w:t>)</w:t>
            </w:r>
            <w:r w:rsidRPr="00483EB6">
              <w:rPr>
                <w:b/>
                <w:szCs w:val="20"/>
                <w:vertAlign w:val="superscript"/>
              </w:rPr>
              <w:t>b</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r>
      <w:tr w:rsidR="00F83E15" w:rsidRPr="00483EB6" w:rsidTr="00001121">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szCs w:val="20"/>
                <w:vertAlign w:val="superscript"/>
              </w:rPr>
            </w:pPr>
            <w:r w:rsidRPr="00483EB6">
              <w:rPr>
                <w:szCs w:val="20"/>
              </w:rPr>
              <w:t>Patient co-payments ($23.51)</w:t>
            </w:r>
            <w:r w:rsidRPr="00483EB6">
              <w:rPr>
                <w:szCs w:val="20"/>
                <w:vertAlign w:val="superscript"/>
              </w:rPr>
              <w:t>c</w:t>
            </w:r>
          </w:p>
        </w:tc>
        <w:tc>
          <w:tcPr>
            <w:tcW w:w="1110" w:type="dxa"/>
            <w:tcBorders>
              <w:top w:val="single" w:sz="4" w:space="0" w:color="auto"/>
              <w:left w:val="nil"/>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001121">
        <w:tc>
          <w:tcPr>
            <w:tcW w:w="2405" w:type="dxa"/>
            <w:shd w:val="clear" w:color="auto" w:fill="auto"/>
            <w:vAlign w:val="center"/>
          </w:tcPr>
          <w:p w:rsidR="00F83E15" w:rsidRPr="00483EB6" w:rsidRDefault="00F83E15" w:rsidP="00A273E2">
            <w:pPr>
              <w:pStyle w:val="Tabletext"/>
              <w:keepNext/>
              <w:keepLines/>
              <w:rPr>
                <w:b/>
                <w:szCs w:val="20"/>
              </w:rPr>
            </w:pPr>
            <w:r w:rsidRPr="00483EB6">
              <w:rPr>
                <w:b/>
                <w:szCs w:val="20"/>
              </w:rPr>
              <w:t>Total cost to PBS</w:t>
            </w:r>
          </w:p>
          <w:p w:rsidR="00F83E15" w:rsidRPr="00483EB6" w:rsidRDefault="00F83E15" w:rsidP="00A273E2">
            <w:pPr>
              <w:pStyle w:val="Tabletext"/>
              <w:keepNext/>
              <w:keepLines/>
              <w:rPr>
                <w:b/>
                <w:szCs w:val="20"/>
                <w:vertAlign w:val="superscript"/>
              </w:rPr>
            </w:pPr>
            <w:r w:rsidRPr="00483EB6">
              <w:rPr>
                <w:b/>
                <w:szCs w:val="20"/>
              </w:rPr>
              <w:t>(effective; no copayment)</w:t>
            </w:r>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r>
      <w:tr w:rsidR="00F83E15" w:rsidRPr="00483EB6" w:rsidTr="00001121">
        <w:tc>
          <w:tcPr>
            <w:tcW w:w="2405" w:type="dxa"/>
            <w:shd w:val="clear" w:color="auto" w:fill="auto"/>
            <w:vAlign w:val="center"/>
          </w:tcPr>
          <w:p w:rsidR="00F83E15" w:rsidRPr="00483EB6" w:rsidRDefault="00F83E15" w:rsidP="00A273E2">
            <w:pPr>
              <w:pStyle w:val="Tabletext"/>
              <w:keepNext/>
              <w:keepLines/>
              <w:rPr>
                <w:szCs w:val="20"/>
              </w:rPr>
            </w:pPr>
            <w:r w:rsidRPr="00483EB6">
              <w:rPr>
                <w:szCs w:val="20"/>
              </w:rPr>
              <w:t xml:space="preserve">Substituted </w:t>
            </w:r>
          </w:p>
          <w:p w:rsidR="00F83E15" w:rsidRPr="00483EB6" w:rsidRDefault="00F83E15" w:rsidP="00A273E2">
            <w:pPr>
              <w:pStyle w:val="Tabletext"/>
              <w:keepNext/>
              <w:keepLines/>
              <w:rPr>
                <w:szCs w:val="20"/>
                <w:vertAlign w:val="superscript"/>
              </w:rPr>
            </w:pPr>
            <w:r w:rsidRPr="00483EB6">
              <w:rPr>
                <w:szCs w:val="20"/>
              </w:rPr>
              <w:t xml:space="preserve">chemotherapy </w:t>
            </w:r>
            <w:proofErr w:type="spellStart"/>
            <w:r w:rsidRPr="00483EB6">
              <w:rPr>
                <w:szCs w:val="20"/>
              </w:rPr>
              <w:t>costs</w:t>
            </w:r>
            <w:r w:rsidRPr="00483EB6">
              <w:rPr>
                <w:szCs w:val="20"/>
                <w:vertAlign w:val="superscript"/>
              </w:rPr>
              <w:t>d</w:t>
            </w:r>
            <w:proofErr w:type="spellEnd"/>
          </w:p>
        </w:tc>
        <w:tc>
          <w:tcPr>
            <w:tcW w:w="1110" w:type="dxa"/>
            <w:tcBorders>
              <w:top w:val="single" w:sz="4" w:space="0" w:color="auto"/>
              <w:left w:val="nil"/>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center"/>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9A0FD4">
        <w:tc>
          <w:tcPr>
            <w:tcW w:w="2405" w:type="dxa"/>
            <w:tcBorders>
              <w:bottom w:val="single" w:sz="4" w:space="0" w:color="auto"/>
            </w:tcBorders>
            <w:shd w:val="clear" w:color="auto" w:fill="auto"/>
            <w:vAlign w:val="center"/>
          </w:tcPr>
          <w:p w:rsidR="00F83E15" w:rsidRPr="00483EB6" w:rsidRDefault="00F83E15" w:rsidP="00A273E2">
            <w:pPr>
              <w:pStyle w:val="Tabletext"/>
              <w:keepNext/>
              <w:keepLines/>
              <w:rPr>
                <w:szCs w:val="20"/>
                <w:vertAlign w:val="superscript"/>
              </w:rPr>
            </w:pPr>
            <w:r w:rsidRPr="00483EB6">
              <w:rPr>
                <w:szCs w:val="20"/>
              </w:rPr>
              <w:t>Avoided salvage therapy costs</w:t>
            </w:r>
          </w:p>
        </w:tc>
        <w:tc>
          <w:tcPr>
            <w:tcW w:w="1110" w:type="dxa"/>
            <w:tcBorders>
              <w:top w:val="single" w:sz="4" w:space="0" w:color="auto"/>
              <w:left w:val="nil"/>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auto"/>
            <w:vAlign w:val="bottom"/>
          </w:tcPr>
          <w:p w:rsidR="00F83E15" w:rsidRPr="00D176A1" w:rsidRDefault="00D176A1" w:rsidP="00A273E2">
            <w:pPr>
              <w:pStyle w:val="Tabletext"/>
              <w:keepNext/>
              <w:keepLines/>
              <w:jc w:val="center"/>
              <w:rPr>
                <w:szCs w:val="20"/>
                <w:highlight w:val="black"/>
              </w:rPr>
            </w:pPr>
            <w:r>
              <w:rPr>
                <w:noProof/>
                <w:color w:val="000000"/>
                <w:szCs w:val="20"/>
                <w:highlight w:val="black"/>
              </w:rPr>
              <w:t>'''''''''''''''''''''''''''''</w:t>
            </w:r>
          </w:p>
        </w:tc>
      </w:tr>
      <w:tr w:rsidR="00F83E15" w:rsidRPr="00483EB6" w:rsidTr="00DD42CE">
        <w:tc>
          <w:tcPr>
            <w:tcW w:w="2405" w:type="dxa"/>
            <w:tcBorders>
              <w:bottom w:val="double" w:sz="4" w:space="0" w:color="auto"/>
            </w:tcBorders>
            <w:shd w:val="clear" w:color="auto" w:fill="auto"/>
            <w:vAlign w:val="center"/>
          </w:tcPr>
          <w:p w:rsidR="00F83E15" w:rsidRPr="00483EB6" w:rsidRDefault="00F83E15" w:rsidP="00A273E2">
            <w:pPr>
              <w:pStyle w:val="Tabletext"/>
              <w:keepNext/>
              <w:keepLines/>
              <w:rPr>
                <w:b/>
                <w:szCs w:val="20"/>
              </w:rPr>
            </w:pPr>
            <w:r w:rsidRPr="00483EB6">
              <w:rPr>
                <w:b/>
                <w:szCs w:val="20"/>
              </w:rPr>
              <w:t>Net financial impact to PBS (effective, no copayment)</w:t>
            </w:r>
          </w:p>
        </w:tc>
        <w:tc>
          <w:tcPr>
            <w:tcW w:w="1110"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0"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c>
          <w:tcPr>
            <w:tcW w:w="1111" w:type="dxa"/>
            <w:tcBorders>
              <w:bottom w:val="double" w:sz="4" w:space="0" w:color="auto"/>
            </w:tcBorders>
            <w:vAlign w:val="center"/>
          </w:tcPr>
          <w:p w:rsidR="00F83E15" w:rsidRPr="00D176A1" w:rsidRDefault="00D176A1" w:rsidP="00A273E2">
            <w:pPr>
              <w:pStyle w:val="Tabletext"/>
              <w:keepNext/>
              <w:keepLines/>
              <w:jc w:val="center"/>
              <w:rPr>
                <w:b/>
                <w:szCs w:val="20"/>
                <w:highlight w:val="black"/>
              </w:rPr>
            </w:pPr>
            <w:r>
              <w:rPr>
                <w:b/>
                <w:noProof/>
                <w:color w:val="000000"/>
                <w:szCs w:val="20"/>
                <w:highlight w:val="black"/>
              </w:rPr>
              <w:t>''''''''''''''''''''</w:t>
            </w:r>
          </w:p>
        </w:tc>
      </w:tr>
      <w:tr w:rsidR="00DD42CE" w:rsidRPr="00483EB6" w:rsidTr="00DD42CE">
        <w:tc>
          <w:tcPr>
            <w:tcW w:w="9067" w:type="dxa"/>
            <w:gridSpan w:val="7"/>
            <w:tcBorders>
              <w:top w:val="double" w:sz="4" w:space="0" w:color="auto"/>
            </w:tcBorders>
            <w:shd w:val="clear" w:color="auto" w:fill="D9D9D9" w:themeFill="background1" w:themeFillShade="D9"/>
            <w:vAlign w:val="center"/>
          </w:tcPr>
          <w:p w:rsidR="00DD42CE" w:rsidRPr="00483EB6" w:rsidRDefault="00DD42CE" w:rsidP="00A273E2">
            <w:pPr>
              <w:pStyle w:val="Tabletext"/>
              <w:keepNext/>
              <w:keepLines/>
              <w:rPr>
                <w:b/>
                <w:szCs w:val="20"/>
              </w:rPr>
            </w:pPr>
            <w:r w:rsidRPr="00483EB6">
              <w:rPr>
                <w:b/>
                <w:szCs w:val="20"/>
              </w:rPr>
              <w:t xml:space="preserve">Previous submission - July 2018 </w:t>
            </w:r>
          </w:p>
        </w:tc>
      </w:tr>
      <w:tr w:rsidR="00903391" w:rsidRPr="00483EB6" w:rsidTr="005C4D5C">
        <w:tc>
          <w:tcPr>
            <w:tcW w:w="2405" w:type="dxa"/>
            <w:shd w:val="clear" w:color="auto" w:fill="D9D9D9" w:themeFill="background1" w:themeFillShade="D9"/>
            <w:vAlign w:val="center"/>
          </w:tcPr>
          <w:p w:rsidR="00903391" w:rsidRPr="00483EB6" w:rsidRDefault="00903391" w:rsidP="00A273E2">
            <w:pPr>
              <w:pStyle w:val="Tabletext"/>
              <w:keepNext/>
              <w:keepLines/>
              <w:rPr>
                <w:b/>
                <w:szCs w:val="20"/>
              </w:rPr>
            </w:pPr>
            <w:r w:rsidRPr="00483EB6">
              <w:rPr>
                <w:szCs w:val="20"/>
              </w:rPr>
              <w:t>Total number of patients</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b/>
                <w:i/>
                <w:szCs w:val="20"/>
                <w:highlight w:val="black"/>
              </w:rPr>
            </w:pPr>
            <w:r>
              <w:rPr>
                <w:bCs/>
                <w:noProof/>
                <w:color w:val="000000"/>
                <w:szCs w:val="20"/>
                <w:highlight w:val="black"/>
              </w:rPr>
              <w:t>''''''</w:t>
            </w:r>
          </w:p>
        </w:tc>
      </w:tr>
      <w:tr w:rsidR="00903391" w:rsidRPr="00483EB6" w:rsidTr="005C4D5C">
        <w:tc>
          <w:tcPr>
            <w:tcW w:w="2405" w:type="dxa"/>
            <w:shd w:val="clear" w:color="auto" w:fill="D9D9D9" w:themeFill="background1" w:themeFillShade="D9"/>
            <w:vAlign w:val="center"/>
          </w:tcPr>
          <w:p w:rsidR="00903391" w:rsidRPr="00483EB6" w:rsidRDefault="00903391" w:rsidP="00A273E2">
            <w:pPr>
              <w:pStyle w:val="Tabletext"/>
              <w:keepNext/>
              <w:keepLines/>
              <w:rPr>
                <w:szCs w:val="20"/>
              </w:rPr>
            </w:pPr>
            <w:r w:rsidRPr="00483EB6">
              <w:rPr>
                <w:szCs w:val="20"/>
              </w:rPr>
              <w:t>Total cost to PBS</w:t>
            </w:r>
          </w:p>
        </w:tc>
        <w:tc>
          <w:tcPr>
            <w:tcW w:w="1110" w:type="dxa"/>
            <w:tcBorders>
              <w:top w:val="single" w:sz="4" w:space="0" w:color="auto"/>
              <w:left w:val="nil"/>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c>
          <w:tcPr>
            <w:tcW w:w="11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c>
          <w:tcPr>
            <w:tcW w:w="11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szCs w:val="20"/>
                <w:highlight w:val="black"/>
              </w:rPr>
              <w:t>'''''''''''''''''''''''''''''</w:t>
            </w:r>
          </w:p>
        </w:tc>
      </w:tr>
      <w:tr w:rsidR="00903391" w:rsidRPr="00483EB6" w:rsidTr="005C4D5C">
        <w:tc>
          <w:tcPr>
            <w:tcW w:w="2405" w:type="dxa"/>
            <w:shd w:val="clear" w:color="auto" w:fill="D9D9D9" w:themeFill="background1" w:themeFillShade="D9"/>
            <w:vAlign w:val="center"/>
          </w:tcPr>
          <w:p w:rsidR="00903391" w:rsidRPr="00483EB6" w:rsidRDefault="00903391" w:rsidP="00A273E2">
            <w:pPr>
              <w:pStyle w:val="Tabletext"/>
              <w:keepNext/>
              <w:keepLines/>
              <w:rPr>
                <w:szCs w:val="20"/>
              </w:rPr>
            </w:pPr>
            <w:r w:rsidRPr="00483EB6">
              <w:rPr>
                <w:szCs w:val="20"/>
              </w:rPr>
              <w:t>Net financial impact to PBS (less offsets)</w:t>
            </w:r>
          </w:p>
        </w:tc>
        <w:tc>
          <w:tcPr>
            <w:tcW w:w="1110"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c>
          <w:tcPr>
            <w:tcW w:w="1110"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c>
          <w:tcPr>
            <w:tcW w:w="1111"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c>
          <w:tcPr>
            <w:tcW w:w="1110"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c>
          <w:tcPr>
            <w:tcW w:w="1110"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c>
          <w:tcPr>
            <w:tcW w:w="1111" w:type="dxa"/>
            <w:shd w:val="clear" w:color="auto" w:fill="D9D9D9" w:themeFill="background1" w:themeFillShade="D9"/>
            <w:vAlign w:val="center"/>
          </w:tcPr>
          <w:p w:rsidR="00903391" w:rsidRPr="00D176A1" w:rsidRDefault="00D176A1" w:rsidP="00A273E2">
            <w:pPr>
              <w:pStyle w:val="Tabletext"/>
              <w:keepNext/>
              <w:keepLines/>
              <w:jc w:val="center"/>
              <w:rPr>
                <w:i/>
                <w:szCs w:val="20"/>
                <w:highlight w:val="black"/>
              </w:rPr>
            </w:pPr>
            <w:r>
              <w:rPr>
                <w:noProof/>
                <w:color w:val="000000"/>
                <w:highlight w:val="black"/>
              </w:rPr>
              <w:t>''''''''''''''''''''''''''''</w:t>
            </w:r>
          </w:p>
        </w:tc>
      </w:tr>
    </w:tbl>
    <w:p w:rsidR="00F83E15" w:rsidRPr="00483EB6" w:rsidRDefault="00F83E15" w:rsidP="00A273E2">
      <w:pPr>
        <w:pStyle w:val="TableFooter"/>
        <w:keepNext/>
        <w:keepLines/>
        <w:rPr>
          <w:szCs w:val="18"/>
        </w:rPr>
      </w:pPr>
      <w:r w:rsidRPr="00483EB6">
        <w:rPr>
          <w:szCs w:val="18"/>
        </w:rPr>
        <w:t>Source: Tables 86, p.189; 89, p.194; 92, p.197; 94, p.200; 95, p.201; 99, p.205 and 100, p.206 of the resubmission.</w:t>
      </w:r>
    </w:p>
    <w:p w:rsidR="00F83E15" w:rsidRPr="00483EB6" w:rsidRDefault="00F83E15" w:rsidP="00A273E2">
      <w:pPr>
        <w:pStyle w:val="TableFooter"/>
        <w:keepNext/>
        <w:keepLines/>
        <w:rPr>
          <w:szCs w:val="18"/>
        </w:rPr>
      </w:pPr>
      <w:r w:rsidRPr="00483EB6">
        <w:rPr>
          <w:szCs w:val="18"/>
        </w:rPr>
        <w:t>Abbreviations: ALL, acute lymphocytic leukaemia.</w:t>
      </w:r>
    </w:p>
    <w:p w:rsidR="00F83E15" w:rsidRPr="00483EB6" w:rsidRDefault="00F83E15" w:rsidP="00A273E2">
      <w:pPr>
        <w:pStyle w:val="TableFooter"/>
        <w:keepNext/>
        <w:keepLines/>
        <w:rPr>
          <w:szCs w:val="18"/>
        </w:rPr>
      </w:pPr>
      <w:proofErr w:type="spellStart"/>
      <w:proofErr w:type="gramStart"/>
      <w:r w:rsidRPr="00483EB6">
        <w:rPr>
          <w:szCs w:val="18"/>
          <w:vertAlign w:val="superscript"/>
        </w:rPr>
        <w:t>a</w:t>
      </w:r>
      <w:proofErr w:type="spellEnd"/>
      <w:proofErr w:type="gramEnd"/>
      <w:r w:rsidRPr="00483EB6">
        <w:rPr>
          <w:szCs w:val="18"/>
        </w:rPr>
        <w:t xml:space="preserve"> Adjusted for proportion of vials used for hospital inpatients (4.81%).</w:t>
      </w:r>
    </w:p>
    <w:p w:rsidR="00F83E15" w:rsidRPr="00483EB6" w:rsidRDefault="00F83E15" w:rsidP="00A273E2">
      <w:pPr>
        <w:pStyle w:val="TableFooter"/>
        <w:keepNext/>
        <w:keepLines/>
        <w:rPr>
          <w:szCs w:val="18"/>
        </w:rPr>
      </w:pPr>
      <w:proofErr w:type="gramStart"/>
      <w:r w:rsidRPr="00483EB6">
        <w:rPr>
          <w:szCs w:val="18"/>
          <w:vertAlign w:val="superscript"/>
        </w:rPr>
        <w:t>b</w:t>
      </w:r>
      <w:proofErr w:type="gramEnd"/>
      <w:r w:rsidRPr="00483EB6">
        <w:rPr>
          <w:szCs w:val="18"/>
        </w:rPr>
        <w:t xml:space="preserve"> Weighted mean price per unit between public and private hospital listed prices (59% public, 41% private).</w:t>
      </w:r>
    </w:p>
    <w:p w:rsidR="00F83E15" w:rsidRPr="00483EB6" w:rsidRDefault="00F83E15" w:rsidP="00A273E2">
      <w:pPr>
        <w:pStyle w:val="TableFooter"/>
        <w:keepNext/>
        <w:keepLines/>
        <w:rPr>
          <w:szCs w:val="18"/>
        </w:rPr>
      </w:pPr>
      <w:proofErr w:type="gramStart"/>
      <w:r w:rsidRPr="00483EB6">
        <w:rPr>
          <w:szCs w:val="18"/>
          <w:vertAlign w:val="superscript"/>
        </w:rPr>
        <w:t>c</w:t>
      </w:r>
      <w:proofErr w:type="gramEnd"/>
      <w:r w:rsidRPr="00483EB6">
        <w:rPr>
          <w:szCs w:val="18"/>
        </w:rPr>
        <w:t xml:space="preserve"> Weighted patient copayment derived from beneficiary distribution of blinatumomab relapsed/refractory listing up to June 2018.</w:t>
      </w:r>
    </w:p>
    <w:p w:rsidR="00F83E15" w:rsidRPr="00483EB6" w:rsidRDefault="00F83E15" w:rsidP="00A273E2">
      <w:pPr>
        <w:pStyle w:val="TableFooter"/>
        <w:keepNext/>
        <w:keepLines/>
        <w:rPr>
          <w:szCs w:val="18"/>
        </w:rPr>
      </w:pPr>
      <w:proofErr w:type="gramStart"/>
      <w:r w:rsidRPr="00483EB6">
        <w:rPr>
          <w:szCs w:val="18"/>
          <w:vertAlign w:val="superscript"/>
        </w:rPr>
        <w:t>d</w:t>
      </w:r>
      <w:proofErr w:type="gramEnd"/>
      <w:r w:rsidRPr="00483EB6">
        <w:rPr>
          <w:szCs w:val="18"/>
        </w:rPr>
        <w:t xml:space="preserve"> Substituted chemotherapy costs corrected for error in costs concomitant medication. Medication costs over the PBS copayment threshold inappropriately included patient copayments in savings to PBS.</w:t>
      </w:r>
    </w:p>
    <w:p w:rsidR="009A0FD4" w:rsidRPr="00483EB6" w:rsidRDefault="009A0FD4" w:rsidP="0010204A">
      <w:pPr>
        <w:pStyle w:val="ListParagraph"/>
        <w:widowControl/>
        <w:numPr>
          <w:ilvl w:val="1"/>
          <w:numId w:val="3"/>
        </w:numPr>
        <w:spacing w:before="120" w:after="120"/>
      </w:pPr>
      <w:r w:rsidRPr="00483EB6">
        <w:t xml:space="preserve">The estimated cost to the PBS (drug cost only) was </w:t>
      </w:r>
      <w:r w:rsidR="00D75113">
        <w:t xml:space="preserve">less than $10 </w:t>
      </w:r>
      <w:r w:rsidRPr="00483EB6">
        <w:t>million (based on the effective price</w:t>
      </w:r>
      <w:r w:rsidR="00FC5AD0" w:rsidRPr="00483EB6">
        <w:t xml:space="preserve"> proposed in the resubmission</w:t>
      </w:r>
      <w:r w:rsidRPr="00483EB6">
        <w:t>) in the sixth year of listing with a cumulative cost over six years of $</w:t>
      </w:r>
      <w:r w:rsidR="00D75113">
        <w:t>30 - $60</w:t>
      </w:r>
      <w:r w:rsidR="00D75113" w:rsidRPr="00483EB6">
        <w:t xml:space="preserve"> </w:t>
      </w:r>
      <w:r w:rsidRPr="00483EB6">
        <w:t xml:space="preserve">million. This is an increase compared to the July 2018 estimates of </w:t>
      </w:r>
      <w:r w:rsidR="00D75113">
        <w:t>less than $10</w:t>
      </w:r>
      <w:r w:rsidR="002E0570" w:rsidRPr="00483EB6">
        <w:t xml:space="preserve"> million in Year six with a cumulative cost of </w:t>
      </w:r>
      <w:r w:rsidRPr="00483EB6">
        <w:t>$</w:t>
      </w:r>
      <w:r w:rsidR="00D75113">
        <w:t>30 - $60</w:t>
      </w:r>
      <w:r w:rsidRPr="00483EB6">
        <w:t xml:space="preserve"> million over six years. </w:t>
      </w:r>
    </w:p>
    <w:p w:rsidR="0015220F" w:rsidRPr="00483EB6" w:rsidRDefault="001979F4" w:rsidP="0010204A">
      <w:pPr>
        <w:pStyle w:val="ListParagraph"/>
        <w:widowControl/>
        <w:numPr>
          <w:ilvl w:val="1"/>
          <w:numId w:val="3"/>
        </w:numPr>
        <w:spacing w:before="120" w:after="120"/>
      </w:pPr>
      <w:r w:rsidRPr="00483EB6">
        <w:t xml:space="preserve">The estimated cost to the PBS (less drug cost offsets) was </w:t>
      </w:r>
      <w:r w:rsidR="007E6416">
        <w:t>less than $10</w:t>
      </w:r>
      <w:r w:rsidRPr="00483EB6">
        <w:t xml:space="preserve"> million (based on the effective price) in the sixth year of listing</w:t>
      </w:r>
      <w:r w:rsidR="00DD42CE" w:rsidRPr="00483EB6">
        <w:t>, and $</w:t>
      </w:r>
      <w:r w:rsidR="007E6416">
        <w:t>20 - $30</w:t>
      </w:r>
      <w:r w:rsidR="00DD42CE" w:rsidRPr="00483EB6">
        <w:t xml:space="preserve"> million over six years</w:t>
      </w:r>
      <w:r w:rsidRPr="00483EB6">
        <w:t xml:space="preserve">. This is a decrease compared to the July 2018 estimates of </w:t>
      </w:r>
      <w:r w:rsidR="007E6416">
        <w:t>less than $10</w:t>
      </w:r>
      <w:r w:rsidRPr="00483EB6">
        <w:t xml:space="preserve"> million in Year six ($</w:t>
      </w:r>
      <w:r w:rsidR="007E6416">
        <w:t>30 - $60</w:t>
      </w:r>
      <w:r w:rsidRPr="00483EB6">
        <w:t xml:space="preserve"> million over six years; based on the effective price).</w:t>
      </w:r>
      <w:r w:rsidR="009A0FD4" w:rsidRPr="00483EB6">
        <w:t xml:space="preserve"> </w:t>
      </w:r>
    </w:p>
    <w:p w:rsidR="0099368E" w:rsidRPr="00483EB6" w:rsidRDefault="0099368E" w:rsidP="0010204A">
      <w:pPr>
        <w:pStyle w:val="ListParagraph"/>
        <w:widowControl/>
        <w:numPr>
          <w:ilvl w:val="1"/>
          <w:numId w:val="3"/>
        </w:numPr>
        <w:spacing w:before="120" w:after="120"/>
      </w:pPr>
      <w:r w:rsidRPr="00483EB6">
        <w:t xml:space="preserve">The estimated net financial impact of listing blinatumomab on the PBS was substantially reduced due to a modest increase in the cost offsets associated with substituted chemotherapies and a substantial increase in the cost offsets associated with the avoidance of salvage therapy for relapsed disease (i.e. use of blinatumomab </w:t>
      </w:r>
      <w:r w:rsidRPr="00483EB6">
        <w:lastRenderedPageBreak/>
        <w:t xml:space="preserve">as salvage therapy for relapsed disease in patients </w:t>
      </w:r>
      <w:r w:rsidR="00FC5AD0" w:rsidRPr="00483EB6">
        <w:t xml:space="preserve">who are </w:t>
      </w:r>
      <w:r w:rsidRPr="00483EB6">
        <w:t xml:space="preserve">not treated with blinatumomab in the MRD setting). </w:t>
      </w:r>
    </w:p>
    <w:p w:rsidR="001979F4" w:rsidRPr="00483EB6" w:rsidRDefault="001979F4" w:rsidP="0010204A">
      <w:pPr>
        <w:pStyle w:val="ListParagraph"/>
        <w:widowControl/>
        <w:numPr>
          <w:ilvl w:val="1"/>
          <w:numId w:val="3"/>
        </w:numPr>
        <w:spacing w:before="120" w:after="120"/>
      </w:pPr>
      <w:r w:rsidRPr="00483EB6">
        <w:t xml:space="preserve">The </w:t>
      </w:r>
      <w:r w:rsidR="009922F4" w:rsidRPr="00483EB6">
        <w:t xml:space="preserve">evaluation considered that the </w:t>
      </w:r>
      <w:r w:rsidRPr="00483EB6">
        <w:t>financial impact was uncertain, and most likely underestimated, for the following reasons:</w:t>
      </w:r>
    </w:p>
    <w:p w:rsidR="001979F4" w:rsidRPr="00483EB6" w:rsidRDefault="001979F4" w:rsidP="0010204A">
      <w:pPr>
        <w:pStyle w:val="ListParagraph"/>
        <w:widowControl/>
        <w:numPr>
          <w:ilvl w:val="0"/>
          <w:numId w:val="1"/>
        </w:numPr>
        <w:spacing w:before="120" w:after="120"/>
        <w:ind w:left="1077" w:hanging="357"/>
      </w:pPr>
      <w:r w:rsidRPr="00483EB6">
        <w:t xml:space="preserve">The estimated eligible population </w:t>
      </w:r>
      <w:r w:rsidR="004D5E3D" w:rsidRPr="00483EB6">
        <w:t xml:space="preserve">was slightly larger than that estimated in the July 2018 submission, but </w:t>
      </w:r>
      <w:r w:rsidR="00E67C7A" w:rsidRPr="00483EB6">
        <w:t xml:space="preserve">remained </w:t>
      </w:r>
      <w:r w:rsidRPr="00483EB6">
        <w:t>underestimated</w:t>
      </w:r>
      <w:r w:rsidR="004D5E3D" w:rsidRPr="00483EB6">
        <w:t>.</w:t>
      </w:r>
      <w:r w:rsidRPr="00483EB6">
        <w:t xml:space="preserve"> </w:t>
      </w:r>
      <w:r w:rsidR="004D5E3D" w:rsidRPr="00483EB6">
        <w:t>T</w:t>
      </w:r>
      <w:r w:rsidRPr="00483EB6">
        <w:t xml:space="preserve">he estimates </w:t>
      </w:r>
      <w:r w:rsidR="004D5E3D" w:rsidRPr="00483EB6">
        <w:t xml:space="preserve">used </w:t>
      </w:r>
      <w:r w:rsidRPr="00483EB6">
        <w:t xml:space="preserve">the same four conditional multipliers </w:t>
      </w:r>
      <w:r w:rsidR="004D5E3D" w:rsidRPr="00483EB6">
        <w:t xml:space="preserve">for non-independent populations </w:t>
      </w:r>
      <w:r w:rsidRPr="00483EB6">
        <w:t xml:space="preserve">and used </w:t>
      </w:r>
      <w:r w:rsidR="007A7EA2" w:rsidRPr="00483EB6">
        <w:t>a low</w:t>
      </w:r>
      <w:r w:rsidRPr="00483EB6">
        <w:t xml:space="preserve"> estimated proportion of post-induction MRD positivity </w:t>
      </w:r>
      <w:r w:rsidR="00D90BA4" w:rsidRPr="00483EB6">
        <w:t>reported</w:t>
      </w:r>
      <w:r w:rsidRPr="00483EB6">
        <w:t xml:space="preserve"> in the </w:t>
      </w:r>
      <w:r w:rsidR="00282FCC" w:rsidRPr="00483EB6">
        <w:t xml:space="preserve">four </w:t>
      </w:r>
      <w:r w:rsidR="00D90BA4" w:rsidRPr="00483EB6">
        <w:t>cited studies</w:t>
      </w:r>
      <w:r w:rsidRPr="00483EB6">
        <w:t xml:space="preserve"> </w:t>
      </w:r>
      <w:r w:rsidR="00D90BA4" w:rsidRPr="00483EB6">
        <w:t xml:space="preserve">(40%) </w:t>
      </w:r>
      <w:r w:rsidRPr="00483EB6">
        <w:t xml:space="preserve">to estimate the proportions of </w:t>
      </w:r>
      <w:r w:rsidR="00D90BA4" w:rsidRPr="00483EB6">
        <w:t xml:space="preserve">adult </w:t>
      </w:r>
      <w:r w:rsidRPr="00483EB6">
        <w:t>patients likely to be MRD positive post-induction</w:t>
      </w:r>
      <w:r w:rsidR="00D90BA4" w:rsidRPr="00483EB6">
        <w:t xml:space="preserve"> in the eligible Australian population</w:t>
      </w:r>
      <w:r w:rsidRPr="00483EB6">
        <w:t xml:space="preserve">. </w:t>
      </w:r>
    </w:p>
    <w:p w:rsidR="0058064C" w:rsidRPr="00483EB6" w:rsidRDefault="0058064C" w:rsidP="0010204A">
      <w:pPr>
        <w:pStyle w:val="ListParagraph"/>
        <w:widowControl/>
        <w:numPr>
          <w:ilvl w:val="0"/>
          <w:numId w:val="1"/>
        </w:numPr>
        <w:spacing w:before="120" w:after="120"/>
        <w:ind w:left="1077" w:hanging="357"/>
      </w:pPr>
      <w:r w:rsidRPr="00483EB6">
        <w:t xml:space="preserve">The number of vials per patient may have been underestimated as it was based on the BLAST study in which </w:t>
      </w:r>
      <w:r w:rsidR="00B0333C" w:rsidRPr="00483EB6">
        <w:t xml:space="preserve">few patients completed four cycles of blinatumomab due to </w:t>
      </w:r>
      <w:r w:rsidRPr="00483EB6">
        <w:t>high</w:t>
      </w:r>
      <w:r w:rsidR="00B0333C" w:rsidRPr="00483EB6">
        <w:t xml:space="preserve">er </w:t>
      </w:r>
      <w:r w:rsidRPr="00483EB6">
        <w:t>rates of HSCT</w:t>
      </w:r>
      <w:r w:rsidR="00B0333C" w:rsidRPr="00483EB6">
        <w:t>, and earlier use of HSCT, than would occur in Australian clinical practice.</w:t>
      </w:r>
    </w:p>
    <w:p w:rsidR="00A20ACF" w:rsidRPr="00483EB6" w:rsidRDefault="007B4BE2" w:rsidP="0010204A">
      <w:pPr>
        <w:pStyle w:val="ListParagraph"/>
        <w:widowControl/>
        <w:numPr>
          <w:ilvl w:val="0"/>
          <w:numId w:val="1"/>
        </w:numPr>
        <w:spacing w:before="120" w:after="120"/>
      </w:pPr>
      <w:r w:rsidRPr="00483EB6">
        <w:t>The drug cost offsets derived from blinatumomab substitution of other chemotherapy regimens were overestimated, as the assumed 80% persistence in substituted chemotherapy regimens was based on relapse rates observed for older chemotherapy regimens in the historic cohort, which are likely to underestimate relapse rates in the Australian setting. In addition, patient copayments were inappropriately included in PBS cost offsets.</w:t>
      </w:r>
    </w:p>
    <w:p w:rsidR="00A20ACF" w:rsidRPr="00483EB6" w:rsidRDefault="007A7EA2" w:rsidP="0010204A">
      <w:pPr>
        <w:pStyle w:val="ListParagraph"/>
        <w:widowControl/>
        <w:numPr>
          <w:ilvl w:val="0"/>
          <w:numId w:val="1"/>
        </w:numPr>
        <w:spacing w:before="120" w:after="120"/>
      </w:pPr>
      <w:r w:rsidRPr="00483EB6">
        <w:t xml:space="preserve">The assumption of equivalent costs of managing adverse events associated with blinatumomab and standard of care chemotherapy was not reasonable as </w:t>
      </w:r>
      <w:r w:rsidR="00923027" w:rsidRPr="00483EB6">
        <w:t xml:space="preserve">the </w:t>
      </w:r>
      <w:r w:rsidRPr="00483EB6">
        <w:t>clinical claim of non</w:t>
      </w:r>
      <w:r w:rsidR="0058064C" w:rsidRPr="00483EB6">
        <w:t>-</w:t>
      </w:r>
      <w:r w:rsidRPr="00483EB6">
        <w:t>inferior safety was not supported.</w:t>
      </w:r>
    </w:p>
    <w:p w:rsidR="00302801" w:rsidRPr="00483EB6" w:rsidRDefault="00FD7DB4" w:rsidP="0010204A">
      <w:pPr>
        <w:pStyle w:val="ListParagraph"/>
        <w:widowControl/>
        <w:numPr>
          <w:ilvl w:val="0"/>
          <w:numId w:val="1"/>
        </w:numPr>
        <w:spacing w:before="120" w:after="120"/>
      </w:pPr>
      <w:r w:rsidRPr="00483EB6">
        <w:t xml:space="preserve">The cost offsets derived from differential costs of salvage therapies for relapsed disease were poorly documented and likely overestimated. Cost estimates were derived from the economic model outputs and therefore incorporate uncertainties associated with the model. Additionally, the costs estimates include the impact of discounting which is inappropriate for budget impact estimates. Furthermore, the cost estimates for salvage therapy were applied to </w:t>
      </w:r>
      <w:r w:rsidRPr="00CC4BE6">
        <w:rPr>
          <w:b/>
        </w:rPr>
        <w:t>all</w:t>
      </w:r>
      <w:r w:rsidRPr="00483EB6">
        <w:t xml:space="preserve"> patients in the </w:t>
      </w:r>
      <w:r w:rsidRPr="00CC4BE6">
        <w:rPr>
          <w:b/>
        </w:rPr>
        <w:t>same</w:t>
      </w:r>
      <w:r w:rsidRPr="00483EB6">
        <w:t xml:space="preserve"> year as treatment for </w:t>
      </w:r>
      <w:r w:rsidR="00CC4BE6" w:rsidRPr="00483EB6">
        <w:t>MRD that</w:t>
      </w:r>
      <w:r w:rsidRPr="00483EB6">
        <w:t xml:space="preserve"> was inconsistent with both clinical data and the economic analysis. The assumption that standard of care patients will receive blinatumomab and blinatumomab patients will receive FLAG-</w:t>
      </w:r>
      <w:proofErr w:type="spellStart"/>
      <w:r w:rsidRPr="00483EB6">
        <w:t>ida</w:t>
      </w:r>
      <w:proofErr w:type="spellEnd"/>
      <w:r w:rsidRPr="00483EB6">
        <w:t xml:space="preserve"> salvage therapy may not be reasonable given that </w:t>
      </w:r>
      <w:r w:rsidR="00670065" w:rsidRPr="00483EB6">
        <w:t xml:space="preserve">inotuzumab </w:t>
      </w:r>
      <w:r w:rsidRPr="00483EB6">
        <w:t>(recommended by the PBAC in November 2018) may be a treatment option as salvage chemotherapy for both treatment arms.</w:t>
      </w:r>
      <w:r w:rsidR="0058064C" w:rsidRPr="00483EB6">
        <w:t xml:space="preserve"> Further, </w:t>
      </w:r>
      <w:r w:rsidR="00F21A19" w:rsidRPr="00483EB6">
        <w:t xml:space="preserve">the PSCR noted that the estimated </w:t>
      </w:r>
      <w:r w:rsidR="0058064C" w:rsidRPr="00483EB6">
        <w:t xml:space="preserve">cost offsets for </w:t>
      </w:r>
      <w:r w:rsidR="00F21A19" w:rsidRPr="00483EB6">
        <w:t xml:space="preserve">salvage therapy are only relevant if the restriction for blinatumomab includes a once per lifetime clause. </w:t>
      </w:r>
    </w:p>
    <w:p w:rsidR="001979F4" w:rsidRPr="00483EB6" w:rsidRDefault="001979F4" w:rsidP="0010204A">
      <w:pPr>
        <w:pStyle w:val="ListParagraph"/>
        <w:widowControl/>
        <w:numPr>
          <w:ilvl w:val="0"/>
          <w:numId w:val="1"/>
        </w:numPr>
        <w:spacing w:before="120" w:after="120"/>
        <w:ind w:left="1077" w:hanging="357"/>
      </w:pPr>
      <w:r w:rsidRPr="00483EB6">
        <w:t>The cost of hospitalisation for blinatumomab administration were underestimated. Blinatumomab hospitalisation was assumed to be at the minimum durations and instances recommended in the blinatumomab product information.</w:t>
      </w:r>
    </w:p>
    <w:p w:rsidR="006D084A" w:rsidRPr="00483EB6" w:rsidRDefault="006D084A" w:rsidP="0010204A">
      <w:pPr>
        <w:pStyle w:val="ListParagraph"/>
        <w:widowControl/>
        <w:numPr>
          <w:ilvl w:val="1"/>
          <w:numId w:val="3"/>
        </w:numPr>
        <w:spacing w:before="120" w:after="120"/>
      </w:pPr>
      <w:r w:rsidRPr="00483EB6">
        <w:lastRenderedPageBreak/>
        <w:t xml:space="preserve">The sensitivity analyses </w:t>
      </w:r>
      <w:r w:rsidR="00F7340F" w:rsidRPr="00483EB6">
        <w:t xml:space="preserve">presented in the resubmission </w:t>
      </w:r>
      <w:r w:rsidRPr="00483EB6">
        <w:t xml:space="preserve">showed that the estimated financial impact of listing blinatumomab on the PBS was most sensitive to changes in the number of vials of blinatumomab required for each treatment, consistent with the high unit cost of blinatumomab per vial (estimated cost of </w:t>
      </w:r>
      <w:r w:rsidR="0069699C">
        <w:t>less than $10</w:t>
      </w:r>
      <w:r w:rsidRPr="00483EB6">
        <w:t xml:space="preserve"> million in Year six; effective price).</w:t>
      </w:r>
      <w:r w:rsidR="00F7340F" w:rsidRPr="00483EB6">
        <w:t xml:space="preserve"> </w:t>
      </w:r>
      <w:r w:rsidRPr="00483EB6">
        <w:t>The estimated financial impact of listing blinatumomab was also sensitive to the assumption of once-in-a-lifetime use</w:t>
      </w:r>
      <w:r w:rsidR="001032F6" w:rsidRPr="00483EB6">
        <w:t>.</w:t>
      </w:r>
      <w:r w:rsidRPr="00483EB6">
        <w:t xml:space="preserve"> </w:t>
      </w:r>
    </w:p>
    <w:p w:rsidR="00576972" w:rsidRPr="00483EB6" w:rsidRDefault="00576972" w:rsidP="0010204A">
      <w:pPr>
        <w:pStyle w:val="Heading2"/>
        <w:spacing w:before="120" w:after="120"/>
      </w:pPr>
      <w:bookmarkStart w:id="16" w:name="_Toc536013904"/>
      <w:r w:rsidRPr="00483EB6">
        <w:t>Quality Use of Medicines</w:t>
      </w:r>
      <w:bookmarkEnd w:id="16"/>
    </w:p>
    <w:p w:rsidR="00576972" w:rsidRPr="00483EB6" w:rsidRDefault="00087733" w:rsidP="0010204A">
      <w:pPr>
        <w:pStyle w:val="ListParagraph"/>
        <w:widowControl/>
        <w:numPr>
          <w:ilvl w:val="1"/>
          <w:numId w:val="3"/>
        </w:numPr>
        <w:spacing w:before="120" w:after="120"/>
      </w:pPr>
      <w:r w:rsidRPr="00483EB6">
        <w:t>The resubmission argued that limiting PBS subsidised blinatumomab to one</w:t>
      </w:r>
      <w:r w:rsidR="008046D9" w:rsidRPr="00483EB6">
        <w:t xml:space="preserve"> course per </w:t>
      </w:r>
      <w:r w:rsidRPr="00483EB6">
        <w:t xml:space="preserve">lifetime between both the MRD and relapsed/refractory listings may result in patients who have responded well to blinatumomab in the MRD setting, being unable to receive blinatumomab in the relapsed/refractory setting. In addition, </w:t>
      </w:r>
      <w:proofErr w:type="gramStart"/>
      <w:r w:rsidRPr="00483EB6">
        <w:t>a</w:t>
      </w:r>
      <w:proofErr w:type="gramEnd"/>
      <w:r w:rsidRPr="00483EB6">
        <w:t xml:space="preserve"> once-in-a-lifetime rule may lead treating clinicians to reserve blinatumomab treatment for the relapsed/refractory setting.</w:t>
      </w:r>
      <w:r w:rsidR="008046D9" w:rsidRPr="00483EB6">
        <w:t xml:space="preserve"> This is discussed in </w:t>
      </w:r>
      <w:r w:rsidR="00D6559D" w:rsidRPr="00483EB6">
        <w:t>‘Requested listing’</w:t>
      </w:r>
      <w:r w:rsidR="008046D9" w:rsidRPr="00483EB6">
        <w:t>.</w:t>
      </w:r>
      <w:r w:rsidR="00362BFE" w:rsidRPr="00483EB6">
        <w:t xml:space="preserve"> </w:t>
      </w:r>
    </w:p>
    <w:p w:rsidR="00576972" w:rsidRPr="00483EB6" w:rsidRDefault="00576972" w:rsidP="0010204A">
      <w:pPr>
        <w:pStyle w:val="Heading2"/>
        <w:spacing w:before="120" w:after="120"/>
      </w:pPr>
      <w:bookmarkStart w:id="17" w:name="_Toc536013905"/>
      <w:r w:rsidRPr="00483EB6">
        <w:t>Financial Management – Risk Sharing Arrangements</w:t>
      </w:r>
      <w:bookmarkEnd w:id="17"/>
    </w:p>
    <w:p w:rsidR="009F3278" w:rsidRPr="00483EB6" w:rsidRDefault="009F3278" w:rsidP="0010204A">
      <w:pPr>
        <w:pStyle w:val="ListParagraph"/>
        <w:widowControl/>
        <w:numPr>
          <w:ilvl w:val="1"/>
          <w:numId w:val="3"/>
        </w:numPr>
        <w:spacing w:before="120" w:after="120"/>
      </w:pPr>
      <w:r w:rsidRPr="00483EB6">
        <w:t xml:space="preserve">The resubmission acknowledged the need for an amended </w:t>
      </w:r>
      <w:r w:rsidR="00CC4BE6">
        <w:t>R</w:t>
      </w:r>
      <w:r w:rsidR="00CC4BE6" w:rsidRPr="00483EB6">
        <w:t xml:space="preserve">isk </w:t>
      </w:r>
      <w:r w:rsidR="00CC4BE6">
        <w:t>S</w:t>
      </w:r>
      <w:r w:rsidR="00CC4BE6" w:rsidRPr="00483EB6">
        <w:t xml:space="preserve">hare </w:t>
      </w:r>
      <w:r w:rsidR="00CC4BE6">
        <w:t>A</w:t>
      </w:r>
      <w:r w:rsidR="00CC4BE6" w:rsidRPr="00483EB6">
        <w:t xml:space="preserve">rrangement </w:t>
      </w:r>
      <w:r w:rsidRPr="00483EB6">
        <w:t xml:space="preserve">to account for </w:t>
      </w:r>
      <w:r w:rsidRPr="00483EB6">
        <w:rPr>
          <w:bCs/>
          <w:szCs w:val="24"/>
        </w:rPr>
        <w:t xml:space="preserve">reduced blinatumomab use in the existing relapsed/refractory listing </w:t>
      </w:r>
      <w:r w:rsidR="00CC4BE6" w:rsidRPr="00483EB6">
        <w:rPr>
          <w:bCs/>
          <w:szCs w:val="24"/>
        </w:rPr>
        <w:t>because</w:t>
      </w:r>
      <w:r w:rsidRPr="00483EB6">
        <w:rPr>
          <w:bCs/>
          <w:szCs w:val="24"/>
        </w:rPr>
        <w:t xml:space="preserve"> of listing blinatumomab in the MRD setting.</w:t>
      </w:r>
      <w:r w:rsidRPr="00483EB6">
        <w:t xml:space="preserve"> </w:t>
      </w:r>
    </w:p>
    <w:p w:rsidR="00576972" w:rsidRPr="00483EB6" w:rsidRDefault="00087733" w:rsidP="0010204A">
      <w:pPr>
        <w:pStyle w:val="ListParagraph"/>
        <w:widowControl/>
        <w:numPr>
          <w:ilvl w:val="1"/>
          <w:numId w:val="3"/>
        </w:numPr>
        <w:spacing w:before="120" w:after="120"/>
      </w:pPr>
      <w:r w:rsidRPr="00483EB6">
        <w:t xml:space="preserve">The resubmission requested the PBAC consider listing blinatumomab </w:t>
      </w:r>
      <w:r w:rsidR="00E00140" w:rsidRPr="00483EB6">
        <w:t xml:space="preserve">for </w:t>
      </w:r>
      <w:r w:rsidRPr="00483EB6">
        <w:t xml:space="preserve">more than </w:t>
      </w:r>
      <w:proofErr w:type="gramStart"/>
      <w:r w:rsidRPr="00483EB6">
        <w:t>a</w:t>
      </w:r>
      <w:proofErr w:type="gramEnd"/>
      <w:r w:rsidRPr="00483EB6">
        <w:t xml:space="preserve"> once-in-a-lifetime treatment, and acknowledged that </w:t>
      </w:r>
      <w:r w:rsidR="009F3278" w:rsidRPr="00483EB6">
        <w:t xml:space="preserve">a revised </w:t>
      </w:r>
      <w:r w:rsidR="00CC4BE6">
        <w:t>R</w:t>
      </w:r>
      <w:r w:rsidR="00CC4BE6" w:rsidRPr="00483EB6">
        <w:t xml:space="preserve">isk </w:t>
      </w:r>
      <w:r w:rsidR="00CC4BE6">
        <w:t>S</w:t>
      </w:r>
      <w:r w:rsidR="00CC4BE6" w:rsidRPr="00483EB6">
        <w:t xml:space="preserve">haring </w:t>
      </w:r>
      <w:r w:rsidR="00CC4BE6">
        <w:t>A</w:t>
      </w:r>
      <w:r w:rsidR="00CC4BE6" w:rsidRPr="00483EB6">
        <w:t xml:space="preserve">rrangement </w:t>
      </w:r>
      <w:r w:rsidRPr="00483EB6">
        <w:t>may be appropriate for this kind of listing.</w:t>
      </w:r>
      <w:r w:rsidR="00C829F1" w:rsidRPr="00483EB6">
        <w:t xml:space="preserve"> </w:t>
      </w:r>
      <w:r w:rsidR="00CC4BE6">
        <w:t>The submission provided n</w:t>
      </w:r>
      <w:r w:rsidR="00CC4BE6" w:rsidRPr="00483EB6">
        <w:t xml:space="preserve">o </w:t>
      </w:r>
      <w:r w:rsidRPr="00483EB6">
        <w:t>further details.</w:t>
      </w:r>
      <w:r w:rsidR="00F21A19" w:rsidRPr="00483EB6">
        <w:t xml:space="preserve"> The PSCR stated that “the uncertainty associated with re-treatment can be managed by an appropriate cap on expenditure which would limit the extent to which the PBS is subject to this uncertainty whilst also providing the opportunity for physician and patients to use this treatment option if clinically appropriate”.</w:t>
      </w:r>
    </w:p>
    <w:p w:rsidR="00D6559D" w:rsidRPr="00483EB6" w:rsidRDefault="00D6559D" w:rsidP="0010204A">
      <w:pPr>
        <w:pStyle w:val="ListParagraph"/>
        <w:widowControl/>
        <w:numPr>
          <w:ilvl w:val="1"/>
          <w:numId w:val="3"/>
        </w:numPr>
        <w:spacing w:before="120" w:after="120"/>
      </w:pPr>
      <w:r w:rsidRPr="00483EB6">
        <w:t>The pre-PBAC Response stated that the sponsor “is willing to agree financial caps for blinatumomab with the expanded listing that reflect new use in the MRD setting and, as requested by the PBAC, a decline in use in the R/R setting.</w:t>
      </w:r>
      <w:r w:rsidR="008F2DBE" w:rsidRPr="00483EB6">
        <w:t>”</w:t>
      </w:r>
      <w:r w:rsidRPr="00483EB6">
        <w:t xml:space="preserve"> </w:t>
      </w:r>
      <w:r w:rsidR="008F2DBE" w:rsidRPr="00483EB6">
        <w:t xml:space="preserve">The pre-PBAC response further stated that </w:t>
      </w:r>
      <w:r w:rsidRPr="00483EB6">
        <w:t xml:space="preserve">the </w:t>
      </w:r>
      <w:r w:rsidR="008F2DBE" w:rsidRPr="00483EB6">
        <w:t>“</w:t>
      </w:r>
      <w:r w:rsidRPr="00483EB6">
        <w:t>ALL treatment pathway is complex and it is difficult to determine what the impact of the MRD listing will be on use of blinatumomab in the R/R setting. In addition, the practice change of using blinatumomab in MRD, and associated decline in use of blinatumomab in R/R, will take several years to reach steady state. For these reasons, Amgen’s preference is for a single deed and one set of caps for blinatumomab.</w:t>
      </w:r>
      <w:r w:rsidR="008F2DBE" w:rsidRPr="00483EB6">
        <w:t>”</w:t>
      </w:r>
    </w:p>
    <w:p w:rsidR="0010204A" w:rsidRDefault="00910881" w:rsidP="0010204A">
      <w:pPr>
        <w:pStyle w:val="ListParagraph"/>
        <w:widowControl/>
        <w:numPr>
          <w:ilvl w:val="1"/>
          <w:numId w:val="3"/>
        </w:numPr>
        <w:spacing w:before="120" w:after="120"/>
      </w:pPr>
      <w:r w:rsidRPr="00483EB6">
        <w:t>The sponsor’s proposed overall caps for blinatumomab are shown in Table 16.</w:t>
      </w:r>
      <w:r w:rsidR="001D2B08" w:rsidRPr="00483EB6">
        <w:t xml:space="preserve"> The pre-PBAC Response stated that these caps reflect the sum of the MRD setting base case financial estimates and established caps in the relapsed/refractory setting with the latter reduced by </w:t>
      </w:r>
      <w:r w:rsidR="00D176A1">
        <w:rPr>
          <w:noProof/>
          <w:color w:val="000000"/>
          <w:highlight w:val="black"/>
        </w:rPr>
        <w:t>'''''</w:t>
      </w:r>
      <w:r w:rsidR="001D2B08" w:rsidRPr="00483EB6">
        <w:t xml:space="preserve">%. </w:t>
      </w:r>
      <w:r w:rsidR="008F2DBE" w:rsidRPr="00483EB6">
        <w:t xml:space="preserve">The pre-PBAC Response proposed </w:t>
      </w:r>
      <w:proofErr w:type="gramStart"/>
      <w:r w:rsidR="00D176A1">
        <w:rPr>
          <w:noProof/>
          <w:color w:val="000000"/>
          <w:highlight w:val="black"/>
        </w:rPr>
        <w:t>''''''''</w:t>
      </w:r>
      <w:r w:rsidR="008F2DBE" w:rsidRPr="00483EB6">
        <w:t>%</w:t>
      </w:r>
      <w:proofErr w:type="gramEnd"/>
      <w:r w:rsidR="008F2DBE" w:rsidRPr="00483EB6">
        <w:t xml:space="preserve"> rebates above the overall cap.</w:t>
      </w:r>
    </w:p>
    <w:p w:rsidR="001D2B08" w:rsidRPr="00483EB6" w:rsidRDefault="0010204A" w:rsidP="0010204A">
      <w:r>
        <w:br w:type="page"/>
      </w:r>
    </w:p>
    <w:p w:rsidR="00910881" w:rsidRPr="00483EB6" w:rsidRDefault="00910881" w:rsidP="00910881">
      <w:pPr>
        <w:keepNext/>
        <w:keepLines/>
        <w:rPr>
          <w:rFonts w:ascii="Arial Narrow" w:hAnsi="Arial Narrow"/>
          <w:b/>
          <w:sz w:val="20"/>
          <w:szCs w:val="16"/>
        </w:rPr>
      </w:pPr>
      <w:r w:rsidRPr="00483EB6">
        <w:rPr>
          <w:rStyle w:val="CommentReference"/>
        </w:rPr>
        <w:lastRenderedPageBreak/>
        <w:t>Table 16: Proposed overall caps for blinatumomab</w:t>
      </w:r>
      <w:r w:rsidR="008F2DBE" w:rsidRPr="00483EB6">
        <w:rPr>
          <w:rStyle w:val="CommentReference"/>
        </w:rPr>
        <w:t xml:space="preserve"> (from the pre-PBAC respons</w:t>
      </w:r>
      <w:r w:rsidR="00FF3612" w:rsidRPr="00483EB6">
        <w:rPr>
          <w:rStyle w:val="CommentReference"/>
        </w:rPr>
        <w:t>e</w:t>
      </w:r>
      <w:r w:rsidR="008F2DBE" w:rsidRPr="00483EB6">
        <w:rPr>
          <w:rStyle w:val="CommentReference"/>
        </w:rPr>
        <w:t>)</w:t>
      </w:r>
    </w:p>
    <w:tbl>
      <w:tblPr>
        <w:tblStyle w:val="TableGrid2"/>
        <w:tblW w:w="5000" w:type="pct"/>
        <w:tblLook w:val="04A0" w:firstRow="1" w:lastRow="0" w:firstColumn="1" w:lastColumn="0" w:noHBand="0" w:noVBand="1"/>
        <w:tblCaption w:val="Table 16: Proposed overall caps for blinatumomab (from the pre-PBAC response)"/>
      </w:tblPr>
      <w:tblGrid>
        <w:gridCol w:w="2767"/>
        <w:gridCol w:w="1223"/>
        <w:gridCol w:w="1256"/>
        <w:gridCol w:w="1257"/>
        <w:gridCol w:w="1257"/>
        <w:gridCol w:w="1257"/>
      </w:tblGrid>
      <w:tr w:rsidR="00910881" w:rsidRPr="00483EB6" w:rsidTr="0011769B">
        <w:trPr>
          <w:tblHeader/>
        </w:trPr>
        <w:tc>
          <w:tcPr>
            <w:tcW w:w="1617" w:type="pct"/>
            <w:vMerge w:val="restart"/>
          </w:tcPr>
          <w:p w:rsidR="00910881" w:rsidRPr="00483EB6" w:rsidRDefault="00910881" w:rsidP="00910881">
            <w:pPr>
              <w:widowControl/>
              <w:rPr>
                <w:rFonts w:ascii="Arial Narrow" w:hAnsi="Arial Narrow" w:cs="Times New Roman"/>
                <w:sz w:val="20"/>
                <w:szCs w:val="20"/>
              </w:rPr>
            </w:pPr>
            <w:bookmarkStart w:id="18" w:name="_GoBack"/>
          </w:p>
        </w:tc>
        <w:tc>
          <w:tcPr>
            <w:tcW w:w="3383" w:type="pct"/>
            <w:gridSpan w:val="5"/>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 xml:space="preserve">Year of </w:t>
            </w:r>
            <w:r w:rsidR="00323A2B" w:rsidRPr="00483EB6">
              <w:rPr>
                <w:rFonts w:ascii="Arial Narrow" w:hAnsi="Arial Narrow" w:cs="Times New Roman"/>
                <w:sz w:val="20"/>
                <w:szCs w:val="20"/>
              </w:rPr>
              <w:t xml:space="preserve">expanded </w:t>
            </w:r>
            <w:r w:rsidRPr="00483EB6">
              <w:rPr>
                <w:rFonts w:ascii="Arial Narrow" w:hAnsi="Arial Narrow" w:cs="Times New Roman"/>
                <w:sz w:val="20"/>
                <w:szCs w:val="20"/>
              </w:rPr>
              <w:t>listing</w:t>
            </w:r>
            <w:r w:rsidRPr="00483EB6">
              <w:rPr>
                <w:rFonts w:ascii="Arial Narrow" w:hAnsi="Arial Narrow" w:cs="Times New Roman"/>
                <w:sz w:val="20"/>
                <w:szCs w:val="20"/>
                <w:vertAlign w:val="superscript"/>
              </w:rPr>
              <w:t>1</w:t>
            </w:r>
          </w:p>
        </w:tc>
      </w:tr>
      <w:tr w:rsidR="00910881" w:rsidRPr="00483EB6" w:rsidTr="0011769B">
        <w:trPr>
          <w:tblHeader/>
        </w:trPr>
        <w:tc>
          <w:tcPr>
            <w:tcW w:w="1617" w:type="pct"/>
            <w:vMerge/>
          </w:tcPr>
          <w:p w:rsidR="00910881" w:rsidRPr="00483EB6" w:rsidRDefault="00910881" w:rsidP="00910881">
            <w:pPr>
              <w:widowControl/>
              <w:rPr>
                <w:rFonts w:ascii="Arial Narrow" w:hAnsi="Arial Narrow" w:cs="Times New Roman"/>
                <w:sz w:val="20"/>
                <w:szCs w:val="20"/>
              </w:rPr>
            </w:pPr>
          </w:p>
        </w:tc>
        <w:tc>
          <w:tcPr>
            <w:tcW w:w="267" w:type="pct"/>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1</w:t>
            </w:r>
          </w:p>
        </w:tc>
        <w:tc>
          <w:tcPr>
            <w:tcW w:w="779" w:type="pct"/>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2</w:t>
            </w:r>
          </w:p>
        </w:tc>
        <w:tc>
          <w:tcPr>
            <w:tcW w:w="779" w:type="pct"/>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3</w:t>
            </w:r>
          </w:p>
        </w:tc>
        <w:tc>
          <w:tcPr>
            <w:tcW w:w="779" w:type="pct"/>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4</w:t>
            </w:r>
          </w:p>
        </w:tc>
        <w:tc>
          <w:tcPr>
            <w:tcW w:w="779" w:type="pct"/>
          </w:tcPr>
          <w:p w:rsidR="00910881" w:rsidRPr="00483EB6" w:rsidRDefault="00910881" w:rsidP="00910881">
            <w:pPr>
              <w:widowControl/>
              <w:jc w:val="center"/>
              <w:rPr>
                <w:rFonts w:ascii="Arial Narrow" w:hAnsi="Arial Narrow" w:cs="Times New Roman"/>
                <w:sz w:val="20"/>
                <w:szCs w:val="20"/>
              </w:rPr>
            </w:pPr>
            <w:r w:rsidRPr="00483EB6">
              <w:rPr>
                <w:rFonts w:ascii="Arial Narrow" w:hAnsi="Arial Narrow" w:cs="Times New Roman"/>
                <w:sz w:val="20"/>
                <w:szCs w:val="20"/>
              </w:rPr>
              <w:t>5</w:t>
            </w:r>
          </w:p>
        </w:tc>
      </w:tr>
      <w:tr w:rsidR="00910881" w:rsidRPr="00483EB6" w:rsidTr="0011769B">
        <w:trPr>
          <w:tblHeader/>
        </w:trPr>
        <w:tc>
          <w:tcPr>
            <w:tcW w:w="1617" w:type="pct"/>
          </w:tcPr>
          <w:p w:rsidR="00910881" w:rsidRPr="00483EB6" w:rsidRDefault="00910881" w:rsidP="00910881">
            <w:pPr>
              <w:widowControl/>
              <w:jc w:val="left"/>
              <w:rPr>
                <w:rFonts w:ascii="Arial Narrow" w:hAnsi="Arial Narrow" w:cs="Times New Roman"/>
                <w:sz w:val="20"/>
                <w:szCs w:val="20"/>
              </w:rPr>
            </w:pPr>
            <w:r w:rsidRPr="00483EB6">
              <w:rPr>
                <w:rFonts w:ascii="Arial Narrow" w:hAnsi="Arial Narrow" w:cs="Times New Roman"/>
                <w:sz w:val="20"/>
                <w:szCs w:val="20"/>
              </w:rPr>
              <w:t>MRD submission base case estimates [A]</w:t>
            </w:r>
            <w:r w:rsidRPr="00483EB6">
              <w:rPr>
                <w:rFonts w:ascii="Arial Narrow" w:hAnsi="Arial Narrow" w:cs="Times New Roman"/>
                <w:sz w:val="20"/>
                <w:szCs w:val="20"/>
                <w:vertAlign w:val="superscript"/>
              </w:rPr>
              <w:t>2</w:t>
            </w:r>
          </w:p>
        </w:tc>
        <w:tc>
          <w:tcPr>
            <w:tcW w:w="267"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r>
      <w:tr w:rsidR="00910881" w:rsidRPr="00483EB6" w:rsidTr="0011769B">
        <w:trPr>
          <w:tblHeader/>
        </w:trPr>
        <w:tc>
          <w:tcPr>
            <w:tcW w:w="1617" w:type="pct"/>
          </w:tcPr>
          <w:p w:rsidR="00910881" w:rsidRPr="00483EB6" w:rsidRDefault="00910881" w:rsidP="00910881">
            <w:pPr>
              <w:widowControl/>
              <w:rPr>
                <w:rFonts w:ascii="Arial Narrow" w:hAnsi="Arial Narrow" w:cs="Times New Roman"/>
                <w:sz w:val="20"/>
                <w:szCs w:val="20"/>
              </w:rPr>
            </w:pPr>
            <w:r w:rsidRPr="00483EB6">
              <w:rPr>
                <w:rFonts w:ascii="Arial Narrow" w:hAnsi="Arial Narrow" w:cs="Times New Roman"/>
                <w:sz w:val="20"/>
                <w:szCs w:val="20"/>
              </w:rPr>
              <w:t>R/R caps</w:t>
            </w:r>
            <w:r w:rsidRPr="00483EB6">
              <w:rPr>
                <w:rFonts w:ascii="Arial Narrow" w:hAnsi="Arial Narrow" w:cs="Times New Roman"/>
                <w:sz w:val="20"/>
                <w:szCs w:val="20"/>
                <w:vertAlign w:val="superscript"/>
              </w:rPr>
              <w:t xml:space="preserve">3 </w:t>
            </w:r>
            <w:r w:rsidRPr="00483EB6">
              <w:rPr>
                <w:rFonts w:ascii="Arial Narrow" w:hAnsi="Arial Narrow" w:cs="Times New Roman"/>
                <w:sz w:val="20"/>
                <w:szCs w:val="20"/>
              </w:rPr>
              <w:t>[B]</w:t>
            </w:r>
          </w:p>
        </w:tc>
        <w:tc>
          <w:tcPr>
            <w:tcW w:w="267" w:type="pct"/>
            <w:vAlign w:val="center"/>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center"/>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center"/>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center"/>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center"/>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r>
      <w:tr w:rsidR="00910881" w:rsidRPr="00483EB6" w:rsidTr="0011769B">
        <w:trPr>
          <w:tblHeader/>
        </w:trPr>
        <w:tc>
          <w:tcPr>
            <w:tcW w:w="1617" w:type="pct"/>
          </w:tcPr>
          <w:p w:rsidR="00910881" w:rsidRPr="00483EB6" w:rsidRDefault="00910881" w:rsidP="00910881">
            <w:pPr>
              <w:widowControl/>
              <w:jc w:val="left"/>
              <w:rPr>
                <w:rFonts w:ascii="Arial Narrow" w:hAnsi="Arial Narrow" w:cs="Times New Roman"/>
                <w:sz w:val="20"/>
                <w:szCs w:val="20"/>
              </w:rPr>
            </w:pPr>
            <w:r w:rsidRPr="00483EB6">
              <w:rPr>
                <w:rFonts w:ascii="Arial Narrow" w:hAnsi="Arial Narrow" w:cs="Times New Roman"/>
                <w:sz w:val="20"/>
                <w:szCs w:val="20"/>
              </w:rPr>
              <w:t>[A] + [B]</w:t>
            </w:r>
          </w:p>
        </w:tc>
        <w:tc>
          <w:tcPr>
            <w:tcW w:w="267"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r>
      <w:tr w:rsidR="00910881" w:rsidRPr="00483EB6" w:rsidTr="0011769B">
        <w:trPr>
          <w:tblHeader/>
        </w:trPr>
        <w:tc>
          <w:tcPr>
            <w:tcW w:w="1617" w:type="pct"/>
          </w:tcPr>
          <w:p w:rsidR="00910881" w:rsidRPr="00483EB6" w:rsidRDefault="00910881" w:rsidP="00910881">
            <w:pPr>
              <w:widowControl/>
              <w:jc w:val="left"/>
              <w:rPr>
                <w:rFonts w:ascii="Arial Narrow" w:hAnsi="Arial Narrow" w:cs="Times New Roman"/>
                <w:sz w:val="20"/>
                <w:szCs w:val="20"/>
              </w:rPr>
            </w:pPr>
            <w:r w:rsidRPr="00483EB6">
              <w:rPr>
                <w:rFonts w:ascii="Arial Narrow" w:hAnsi="Arial Narrow" w:cs="Times New Roman"/>
                <w:sz w:val="20"/>
                <w:szCs w:val="20"/>
              </w:rPr>
              <w:t>Proposed overall caps adjusted for changing treatment patterns</w:t>
            </w:r>
          </w:p>
        </w:tc>
        <w:tc>
          <w:tcPr>
            <w:tcW w:w="267"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c>
          <w:tcPr>
            <w:tcW w:w="779" w:type="pct"/>
            <w:vAlign w:val="bottom"/>
          </w:tcPr>
          <w:p w:rsidR="00910881" w:rsidRPr="00D176A1" w:rsidRDefault="00D176A1" w:rsidP="00910881">
            <w:pPr>
              <w:widowControl/>
              <w:jc w:val="center"/>
              <w:rPr>
                <w:rFonts w:ascii="Arial Narrow" w:hAnsi="Arial Narrow" w:cs="Times New Roman"/>
                <w:color w:val="000000"/>
                <w:sz w:val="20"/>
                <w:szCs w:val="20"/>
                <w:highlight w:val="black"/>
              </w:rPr>
            </w:pPr>
            <w:r>
              <w:rPr>
                <w:rFonts w:ascii="Arial Narrow" w:hAnsi="Arial Narrow" w:cs="Times New Roman"/>
                <w:noProof/>
                <w:color w:val="000000"/>
                <w:sz w:val="20"/>
                <w:szCs w:val="20"/>
                <w:highlight w:val="black"/>
              </w:rPr>
              <w:t>'''''''''''''''''''''''''''''</w:t>
            </w:r>
          </w:p>
        </w:tc>
      </w:tr>
    </w:tbl>
    <w:bookmarkEnd w:id="18"/>
    <w:p w:rsidR="00910881" w:rsidRPr="00483EB6" w:rsidRDefault="00AA6B06" w:rsidP="00AA6B06">
      <w:pPr>
        <w:widowControl/>
        <w:rPr>
          <w:rFonts w:ascii="Arial Narrow" w:hAnsi="Arial Narrow"/>
          <w:sz w:val="18"/>
        </w:rPr>
      </w:pPr>
      <w:r w:rsidRPr="00483EB6">
        <w:rPr>
          <w:rFonts w:ascii="Arial Narrow" w:hAnsi="Arial Narrow"/>
          <w:sz w:val="18"/>
        </w:rPr>
        <w:t>Source: Table 1 p2 of the pre-PBAC Response</w:t>
      </w:r>
    </w:p>
    <w:p w:rsidR="00323A2B" w:rsidRPr="00483EB6" w:rsidRDefault="00323A2B" w:rsidP="00AA6B06">
      <w:pPr>
        <w:widowControl/>
        <w:rPr>
          <w:rFonts w:ascii="Arial Narrow" w:hAnsi="Arial Narrow"/>
          <w:sz w:val="18"/>
        </w:rPr>
      </w:pPr>
      <w:r w:rsidRPr="00483EB6">
        <w:rPr>
          <w:rFonts w:ascii="Arial Narrow" w:hAnsi="Arial Narrow"/>
          <w:sz w:val="18"/>
        </w:rPr>
        <w:t xml:space="preserve">Abbreviations: MRD, minimal residual disease; R/R, relapsed or refractory </w:t>
      </w:r>
    </w:p>
    <w:p w:rsidR="00AA6B06" w:rsidRPr="00483EB6" w:rsidRDefault="00323A2B" w:rsidP="00AA6B06">
      <w:pPr>
        <w:widowControl/>
        <w:rPr>
          <w:rFonts w:ascii="Arial Narrow" w:hAnsi="Arial Narrow"/>
          <w:sz w:val="18"/>
        </w:rPr>
      </w:pPr>
      <w:r w:rsidRPr="00483EB6">
        <w:rPr>
          <w:rFonts w:ascii="Arial Narrow" w:hAnsi="Arial Narrow"/>
          <w:sz w:val="18"/>
          <w:vertAlign w:val="superscript"/>
        </w:rPr>
        <w:t>1</w:t>
      </w:r>
      <w:r w:rsidRPr="00483EB6">
        <w:rPr>
          <w:rFonts w:ascii="Arial Narrow" w:hAnsi="Arial Narrow"/>
          <w:sz w:val="18"/>
        </w:rPr>
        <w:t xml:space="preserve">Year 1 of the expanded listing corresponds to Year 1 for listing in the MRD setting and Year 3 for listing in the R/R setting </w:t>
      </w:r>
    </w:p>
    <w:p w:rsidR="00323A2B" w:rsidRPr="00483EB6" w:rsidRDefault="00323A2B" w:rsidP="00AA6B06">
      <w:pPr>
        <w:widowControl/>
        <w:rPr>
          <w:rFonts w:ascii="Arial Narrow" w:hAnsi="Arial Narrow"/>
          <w:sz w:val="18"/>
        </w:rPr>
      </w:pPr>
      <w:r w:rsidRPr="00483EB6">
        <w:rPr>
          <w:rFonts w:ascii="Arial Narrow" w:hAnsi="Arial Narrow"/>
          <w:sz w:val="18"/>
          <w:vertAlign w:val="superscript"/>
        </w:rPr>
        <w:t>2</w:t>
      </w:r>
      <w:r w:rsidRPr="00483EB6">
        <w:rPr>
          <w:rFonts w:ascii="Arial Narrow" w:hAnsi="Arial Narrow"/>
          <w:sz w:val="18"/>
        </w:rPr>
        <w:t xml:space="preserve"> Current submission base case estimates adjusted for proposed 24% rebate within the financial analysis workbook.</w:t>
      </w:r>
    </w:p>
    <w:p w:rsidR="00323A2B" w:rsidRPr="00483EB6" w:rsidRDefault="00323A2B" w:rsidP="00AA6B06">
      <w:pPr>
        <w:widowControl/>
        <w:rPr>
          <w:rFonts w:ascii="Arial Narrow" w:hAnsi="Arial Narrow"/>
          <w:sz w:val="18"/>
        </w:rPr>
      </w:pPr>
      <w:r w:rsidRPr="00483EB6">
        <w:rPr>
          <w:rFonts w:ascii="Arial Narrow" w:hAnsi="Arial Narrow"/>
          <w:sz w:val="18"/>
          <w:vertAlign w:val="superscript"/>
        </w:rPr>
        <w:t>3</w:t>
      </w:r>
      <w:r w:rsidR="006F7534" w:rsidRPr="00483EB6">
        <w:rPr>
          <w:rFonts w:ascii="Arial Narrow" w:hAnsi="Arial Narrow"/>
          <w:sz w:val="18"/>
        </w:rPr>
        <w:t xml:space="preserve"> Corresponds to current R/R caps in deed with calculation of impact of rebate increase, i.e. </w:t>
      </w:r>
      <w:r w:rsidR="006F7534" w:rsidRPr="00711F99">
        <w:rPr>
          <w:rFonts w:ascii="Arial Narrow" w:hAnsi="Arial Narrow"/>
          <w:sz w:val="18"/>
        </w:rPr>
        <w:t>caps x (1-</w:t>
      </w:r>
      <w:r w:rsidR="00D176A1">
        <w:rPr>
          <w:rFonts w:ascii="Arial Narrow" w:hAnsi="Arial Narrow"/>
          <w:noProof/>
          <w:color w:val="000000"/>
          <w:sz w:val="18"/>
          <w:highlight w:val="black"/>
        </w:rPr>
        <w:t>'''''''''''</w:t>
      </w:r>
      <w:r w:rsidR="006F7534" w:rsidRPr="00711F99">
        <w:rPr>
          <w:rFonts w:ascii="Arial Narrow" w:hAnsi="Arial Narrow"/>
          <w:sz w:val="18"/>
        </w:rPr>
        <w:t>)</w:t>
      </w:r>
      <w:proofErr w:type="gramStart"/>
      <w:r w:rsidR="006F7534" w:rsidRPr="00711F99">
        <w:rPr>
          <w:rFonts w:ascii="Arial Narrow" w:hAnsi="Arial Narrow"/>
          <w:sz w:val="18"/>
        </w:rPr>
        <w:t>/(</w:t>
      </w:r>
      <w:proofErr w:type="gramEnd"/>
      <w:r w:rsidR="006F7534" w:rsidRPr="00711F99">
        <w:rPr>
          <w:rFonts w:ascii="Arial Narrow" w:hAnsi="Arial Narrow"/>
          <w:sz w:val="18"/>
        </w:rPr>
        <w:t>1-</w:t>
      </w:r>
      <w:r w:rsidR="00D176A1">
        <w:rPr>
          <w:rFonts w:ascii="Arial Narrow" w:hAnsi="Arial Narrow"/>
          <w:noProof/>
          <w:color w:val="000000"/>
          <w:sz w:val="18"/>
          <w:highlight w:val="black"/>
        </w:rPr>
        <w:t>'''''''''''''''</w:t>
      </w:r>
      <w:r w:rsidR="006F7534" w:rsidRPr="00711F99">
        <w:rPr>
          <w:rFonts w:ascii="Arial Narrow" w:hAnsi="Arial Narrow"/>
          <w:sz w:val="18"/>
        </w:rPr>
        <w:t>). Caps</w:t>
      </w:r>
      <w:r w:rsidR="006F7534" w:rsidRPr="00483EB6">
        <w:rPr>
          <w:rFonts w:ascii="Arial Narrow" w:hAnsi="Arial Narrow"/>
          <w:sz w:val="18"/>
        </w:rPr>
        <w:t xml:space="preserve"> are forecasted a further 2 years based on percentage increase in prior years. </w:t>
      </w:r>
    </w:p>
    <w:p w:rsidR="00757F4F" w:rsidRPr="00483EB6" w:rsidRDefault="006859E9" w:rsidP="0010204A">
      <w:pPr>
        <w:widowControl/>
        <w:spacing w:before="120" w:after="120"/>
        <w:ind w:firstLine="720"/>
        <w:rPr>
          <w:rFonts w:asciiTheme="minorHAnsi" w:hAnsiTheme="minorHAnsi"/>
          <w:i/>
        </w:rPr>
      </w:pPr>
      <w:r w:rsidRPr="00483EB6">
        <w:rPr>
          <w:rFonts w:asciiTheme="minorHAnsi" w:hAnsiTheme="minorHAnsi"/>
          <w:i/>
        </w:rPr>
        <w:t>For more detail on PBAC’s view, see section 7 PBAC outcome.</w:t>
      </w:r>
    </w:p>
    <w:p w:rsidR="000370CA" w:rsidRPr="00483EB6" w:rsidRDefault="000370CA" w:rsidP="0010204A">
      <w:pPr>
        <w:pStyle w:val="PBACHeading1"/>
        <w:spacing w:before="120" w:after="120"/>
        <w:rPr>
          <w:rFonts w:asciiTheme="minorHAnsi" w:hAnsiTheme="minorHAnsi" w:cstheme="minorHAnsi"/>
          <w:caps/>
          <w:szCs w:val="24"/>
        </w:rPr>
      </w:pPr>
      <w:r w:rsidRPr="00483EB6">
        <w:t xml:space="preserve">PBAC Outcome </w:t>
      </w:r>
    </w:p>
    <w:p w:rsidR="007234EC" w:rsidRPr="00483EB6" w:rsidRDefault="007234EC"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The PBAC deferred making a recommendation on the</w:t>
      </w:r>
      <w:r w:rsidR="007C0553" w:rsidRPr="00483EB6">
        <w:rPr>
          <w:rFonts w:asciiTheme="minorHAnsi" w:hAnsiTheme="minorHAnsi"/>
          <w:bCs/>
          <w:szCs w:val="24"/>
        </w:rPr>
        <w:t xml:space="preserve"> Section 100 Authority Required (Efficient Funding of Chemotherapy)</w:t>
      </w:r>
      <w:r w:rsidRPr="00483EB6">
        <w:rPr>
          <w:rFonts w:asciiTheme="minorHAnsi" w:hAnsiTheme="minorHAnsi"/>
          <w:bCs/>
          <w:szCs w:val="24"/>
        </w:rPr>
        <w:t xml:space="preserve"> listing of blinatumomab for the treatment of patients </w:t>
      </w:r>
      <w:proofErr w:type="gramStart"/>
      <w:r w:rsidRPr="00483EB6">
        <w:rPr>
          <w:rFonts w:asciiTheme="minorHAnsi" w:hAnsiTheme="minorHAnsi"/>
          <w:bCs/>
          <w:szCs w:val="24"/>
        </w:rPr>
        <w:t>with B-cell precursor acute lymphoblastic leukaemia</w:t>
      </w:r>
      <w:r w:rsidR="007C0553" w:rsidRPr="00483EB6">
        <w:rPr>
          <w:rFonts w:asciiTheme="minorHAnsi" w:hAnsiTheme="minorHAnsi"/>
          <w:bCs/>
          <w:szCs w:val="24"/>
        </w:rPr>
        <w:t xml:space="preserve"> (B-ALL)</w:t>
      </w:r>
      <w:r w:rsidRPr="00483EB6">
        <w:rPr>
          <w:rFonts w:asciiTheme="minorHAnsi" w:hAnsiTheme="minorHAnsi"/>
          <w:bCs/>
          <w:szCs w:val="24"/>
        </w:rPr>
        <w:t xml:space="preserve"> in haematological complete remission with minimal residual disease</w:t>
      </w:r>
      <w:r w:rsidR="007C0553" w:rsidRPr="00483EB6">
        <w:rPr>
          <w:rFonts w:asciiTheme="minorHAnsi" w:hAnsiTheme="minorHAnsi"/>
          <w:bCs/>
          <w:szCs w:val="24"/>
        </w:rPr>
        <w:t xml:space="preserve"> (MRD)</w:t>
      </w:r>
      <w:r w:rsidRPr="00483EB6">
        <w:rPr>
          <w:rFonts w:asciiTheme="minorHAnsi" w:hAnsiTheme="minorHAnsi"/>
          <w:bCs/>
          <w:szCs w:val="24"/>
        </w:rPr>
        <w:t xml:space="preserve"> following induction chemotherapy</w:t>
      </w:r>
      <w:proofErr w:type="gramEnd"/>
      <w:r w:rsidR="00CC4BE6">
        <w:rPr>
          <w:rFonts w:asciiTheme="minorHAnsi" w:hAnsiTheme="minorHAnsi"/>
          <w:bCs/>
          <w:szCs w:val="24"/>
        </w:rPr>
        <w:t>.</w:t>
      </w:r>
      <w:r w:rsidRPr="00483EB6">
        <w:rPr>
          <w:rFonts w:asciiTheme="minorHAnsi" w:hAnsiTheme="minorHAnsi"/>
          <w:bCs/>
          <w:szCs w:val="24"/>
        </w:rPr>
        <w:t xml:space="preserve"> </w:t>
      </w:r>
      <w:r w:rsidR="00CC4BE6">
        <w:rPr>
          <w:rFonts w:asciiTheme="minorHAnsi" w:hAnsiTheme="minorHAnsi"/>
          <w:bCs/>
          <w:szCs w:val="24"/>
        </w:rPr>
        <w:t xml:space="preserve">This was </w:t>
      </w:r>
      <w:r w:rsidRPr="00483EB6">
        <w:rPr>
          <w:rFonts w:asciiTheme="minorHAnsi" w:hAnsiTheme="minorHAnsi"/>
          <w:bCs/>
          <w:szCs w:val="24"/>
        </w:rPr>
        <w:t xml:space="preserve">to request </w:t>
      </w:r>
      <w:r w:rsidR="00721AE7" w:rsidRPr="00483EB6">
        <w:rPr>
          <w:rFonts w:asciiTheme="minorHAnsi" w:hAnsiTheme="minorHAnsi"/>
          <w:bCs/>
          <w:szCs w:val="24"/>
        </w:rPr>
        <w:t>further information from the sponsor on</w:t>
      </w:r>
      <w:r w:rsidRPr="00483EB6">
        <w:rPr>
          <w:rFonts w:asciiTheme="minorHAnsi" w:hAnsiTheme="minorHAnsi"/>
          <w:bCs/>
          <w:szCs w:val="24"/>
        </w:rPr>
        <w:t xml:space="preserve"> issues around the estimated incremental cost-effectiveness ratio</w:t>
      </w:r>
      <w:r w:rsidR="00FF3612" w:rsidRPr="00483EB6">
        <w:rPr>
          <w:rFonts w:asciiTheme="minorHAnsi" w:hAnsiTheme="minorHAnsi"/>
          <w:bCs/>
          <w:szCs w:val="24"/>
        </w:rPr>
        <w:t xml:space="preserve"> (ICER)</w:t>
      </w:r>
      <w:r w:rsidRPr="00483EB6">
        <w:rPr>
          <w:rFonts w:asciiTheme="minorHAnsi" w:hAnsiTheme="minorHAnsi"/>
          <w:bCs/>
          <w:szCs w:val="24"/>
        </w:rPr>
        <w:t xml:space="preserve">, </w:t>
      </w:r>
      <w:r w:rsidR="00913582" w:rsidRPr="00483EB6">
        <w:rPr>
          <w:rFonts w:asciiTheme="minorHAnsi" w:hAnsiTheme="minorHAnsi"/>
          <w:bCs/>
          <w:szCs w:val="24"/>
        </w:rPr>
        <w:t xml:space="preserve">overall net </w:t>
      </w:r>
      <w:r w:rsidRPr="00483EB6">
        <w:rPr>
          <w:rFonts w:asciiTheme="minorHAnsi" w:hAnsiTheme="minorHAnsi"/>
          <w:bCs/>
          <w:szCs w:val="24"/>
        </w:rPr>
        <w:t xml:space="preserve">financial implications and proposed </w:t>
      </w:r>
      <w:r w:rsidR="00CC4BE6">
        <w:rPr>
          <w:rFonts w:asciiTheme="minorHAnsi" w:hAnsiTheme="minorHAnsi"/>
          <w:bCs/>
          <w:szCs w:val="24"/>
        </w:rPr>
        <w:t>R</w:t>
      </w:r>
      <w:r w:rsidR="00CC4BE6" w:rsidRPr="00483EB6">
        <w:rPr>
          <w:rFonts w:asciiTheme="minorHAnsi" w:hAnsiTheme="minorHAnsi"/>
          <w:bCs/>
          <w:szCs w:val="24"/>
        </w:rPr>
        <w:t xml:space="preserve">isk </w:t>
      </w:r>
      <w:r w:rsidR="00CC4BE6">
        <w:rPr>
          <w:rFonts w:asciiTheme="minorHAnsi" w:hAnsiTheme="minorHAnsi"/>
          <w:bCs/>
          <w:szCs w:val="24"/>
        </w:rPr>
        <w:t>S</w:t>
      </w:r>
      <w:r w:rsidR="00CC4BE6" w:rsidRPr="00483EB6">
        <w:rPr>
          <w:rFonts w:asciiTheme="minorHAnsi" w:hAnsiTheme="minorHAnsi"/>
          <w:bCs/>
          <w:szCs w:val="24"/>
        </w:rPr>
        <w:t xml:space="preserve">hare </w:t>
      </w:r>
      <w:r w:rsidR="00CC4BE6">
        <w:rPr>
          <w:rFonts w:asciiTheme="minorHAnsi" w:hAnsiTheme="minorHAnsi"/>
          <w:bCs/>
          <w:szCs w:val="24"/>
        </w:rPr>
        <w:t>A</w:t>
      </w:r>
      <w:r w:rsidR="00CC4BE6" w:rsidRPr="00483EB6">
        <w:rPr>
          <w:rFonts w:asciiTheme="minorHAnsi" w:hAnsiTheme="minorHAnsi"/>
          <w:bCs/>
          <w:szCs w:val="24"/>
        </w:rPr>
        <w:t xml:space="preserve">rrangement </w:t>
      </w:r>
      <w:r w:rsidR="006D0648" w:rsidRPr="00483EB6">
        <w:rPr>
          <w:rFonts w:asciiTheme="minorHAnsi" w:hAnsiTheme="minorHAnsi"/>
          <w:bCs/>
          <w:szCs w:val="24"/>
        </w:rPr>
        <w:t>(RSA)</w:t>
      </w:r>
      <w:r w:rsidRPr="00483EB6">
        <w:rPr>
          <w:rFonts w:asciiTheme="minorHAnsi" w:hAnsiTheme="minorHAnsi"/>
          <w:bCs/>
          <w:szCs w:val="24"/>
        </w:rPr>
        <w:t xml:space="preserve">. </w:t>
      </w:r>
      <w:r w:rsidR="00913582" w:rsidRPr="00483EB6">
        <w:rPr>
          <w:rFonts w:asciiTheme="minorHAnsi" w:hAnsiTheme="minorHAnsi"/>
          <w:bCs/>
          <w:szCs w:val="24"/>
        </w:rPr>
        <w:t xml:space="preserve">The PBAC considered that the </w:t>
      </w:r>
      <w:r w:rsidR="00FF3612" w:rsidRPr="00483EB6">
        <w:rPr>
          <w:rFonts w:asciiTheme="minorHAnsi" w:hAnsiTheme="minorHAnsi"/>
          <w:bCs/>
          <w:szCs w:val="24"/>
        </w:rPr>
        <w:t>ICER</w:t>
      </w:r>
      <w:r w:rsidR="00913582" w:rsidRPr="00483EB6">
        <w:rPr>
          <w:rFonts w:asciiTheme="minorHAnsi" w:hAnsiTheme="minorHAnsi"/>
          <w:bCs/>
          <w:szCs w:val="24"/>
        </w:rPr>
        <w:t xml:space="preserve"> was high</w:t>
      </w:r>
      <w:r w:rsidR="00F03700">
        <w:rPr>
          <w:rFonts w:asciiTheme="minorHAnsi" w:hAnsiTheme="minorHAnsi"/>
          <w:bCs/>
          <w:szCs w:val="24"/>
        </w:rPr>
        <w:t>,</w:t>
      </w:r>
      <w:r w:rsidR="006D0648" w:rsidRPr="00483EB6">
        <w:rPr>
          <w:rFonts w:asciiTheme="minorHAnsi" w:hAnsiTheme="minorHAnsi"/>
          <w:bCs/>
          <w:szCs w:val="24"/>
        </w:rPr>
        <w:t xml:space="preserve"> </w:t>
      </w:r>
      <w:r w:rsidR="00913582" w:rsidRPr="00483EB6">
        <w:rPr>
          <w:rFonts w:asciiTheme="minorHAnsi" w:hAnsiTheme="minorHAnsi"/>
          <w:bCs/>
          <w:szCs w:val="24"/>
        </w:rPr>
        <w:t>uncertain</w:t>
      </w:r>
      <w:r w:rsidR="002E669F" w:rsidRPr="00483EB6">
        <w:rPr>
          <w:rFonts w:asciiTheme="minorHAnsi" w:hAnsiTheme="minorHAnsi"/>
          <w:bCs/>
          <w:szCs w:val="24"/>
        </w:rPr>
        <w:t xml:space="preserve"> and likely underestimated. The PBAC considered that</w:t>
      </w:r>
      <w:r w:rsidR="00FF3612" w:rsidRPr="00483EB6">
        <w:rPr>
          <w:rFonts w:asciiTheme="minorHAnsi" w:hAnsiTheme="minorHAnsi"/>
          <w:bCs/>
          <w:szCs w:val="24"/>
        </w:rPr>
        <w:t xml:space="preserve"> </w:t>
      </w:r>
      <w:r w:rsidR="002E669F" w:rsidRPr="00483EB6">
        <w:rPr>
          <w:rFonts w:asciiTheme="minorHAnsi" w:hAnsiTheme="minorHAnsi"/>
          <w:bCs/>
          <w:szCs w:val="24"/>
        </w:rPr>
        <w:t xml:space="preserve">blinatumomab </w:t>
      </w:r>
      <w:r w:rsidR="00FF3612" w:rsidRPr="00483EB6">
        <w:rPr>
          <w:rFonts w:asciiTheme="minorHAnsi" w:hAnsiTheme="minorHAnsi"/>
          <w:bCs/>
          <w:szCs w:val="24"/>
        </w:rPr>
        <w:t xml:space="preserve">would only be </w:t>
      </w:r>
      <w:r w:rsidR="002E669F" w:rsidRPr="00483EB6">
        <w:rPr>
          <w:rFonts w:asciiTheme="minorHAnsi" w:hAnsiTheme="minorHAnsi"/>
          <w:bCs/>
          <w:szCs w:val="24"/>
        </w:rPr>
        <w:t>cost-effective</w:t>
      </w:r>
      <w:r w:rsidR="00FF3612" w:rsidRPr="00483EB6">
        <w:rPr>
          <w:rFonts w:asciiTheme="minorHAnsi" w:hAnsiTheme="minorHAnsi"/>
          <w:bCs/>
          <w:szCs w:val="24"/>
        </w:rPr>
        <w:t xml:space="preserve"> if the price was reduced</w:t>
      </w:r>
      <w:r w:rsidR="00F03700">
        <w:rPr>
          <w:rFonts w:asciiTheme="minorHAnsi" w:hAnsiTheme="minorHAnsi"/>
          <w:bCs/>
          <w:szCs w:val="24"/>
        </w:rPr>
        <w:t>,</w:t>
      </w:r>
      <w:r w:rsidR="00FF3612" w:rsidRPr="00483EB6">
        <w:rPr>
          <w:rFonts w:asciiTheme="minorHAnsi" w:hAnsiTheme="minorHAnsi"/>
          <w:bCs/>
          <w:szCs w:val="24"/>
        </w:rPr>
        <w:t xml:space="preserve"> and </w:t>
      </w:r>
      <w:r w:rsidR="002E669F" w:rsidRPr="00483EB6">
        <w:rPr>
          <w:rFonts w:asciiTheme="minorHAnsi" w:hAnsiTheme="minorHAnsi"/>
          <w:bCs/>
          <w:szCs w:val="24"/>
        </w:rPr>
        <w:t xml:space="preserve">financial arrangements </w:t>
      </w:r>
      <w:r w:rsidR="00FF3612" w:rsidRPr="00483EB6">
        <w:rPr>
          <w:rFonts w:asciiTheme="minorHAnsi" w:hAnsiTheme="minorHAnsi"/>
          <w:bCs/>
          <w:szCs w:val="24"/>
        </w:rPr>
        <w:t xml:space="preserve">were put in place </w:t>
      </w:r>
      <w:r w:rsidR="002E669F" w:rsidRPr="00483EB6">
        <w:rPr>
          <w:rFonts w:asciiTheme="minorHAnsi" w:hAnsiTheme="minorHAnsi"/>
          <w:bCs/>
          <w:szCs w:val="24"/>
        </w:rPr>
        <w:t xml:space="preserve">to ensure that </w:t>
      </w:r>
      <w:r w:rsidR="00194006" w:rsidRPr="00483EB6">
        <w:rPr>
          <w:rFonts w:asciiTheme="minorHAnsi" w:hAnsiTheme="minorHAnsi"/>
          <w:bCs/>
          <w:szCs w:val="24"/>
        </w:rPr>
        <w:t xml:space="preserve">savings due to reduced </w:t>
      </w:r>
      <w:r w:rsidR="002E669F" w:rsidRPr="00483EB6">
        <w:rPr>
          <w:rFonts w:asciiTheme="minorHAnsi" w:hAnsiTheme="minorHAnsi"/>
          <w:bCs/>
          <w:szCs w:val="24"/>
        </w:rPr>
        <w:t xml:space="preserve">use of blinatumomab in the </w:t>
      </w:r>
      <w:r w:rsidR="00FC5AD0" w:rsidRPr="00483EB6">
        <w:rPr>
          <w:rFonts w:asciiTheme="minorHAnsi" w:hAnsiTheme="minorHAnsi"/>
          <w:bCs/>
          <w:szCs w:val="24"/>
        </w:rPr>
        <w:t xml:space="preserve">relapsed/refractory (R/R) </w:t>
      </w:r>
      <w:r w:rsidR="002E669F" w:rsidRPr="00483EB6">
        <w:rPr>
          <w:rFonts w:asciiTheme="minorHAnsi" w:hAnsiTheme="minorHAnsi"/>
          <w:bCs/>
          <w:szCs w:val="24"/>
        </w:rPr>
        <w:t xml:space="preserve">setting would </w:t>
      </w:r>
      <w:r w:rsidR="00194006" w:rsidRPr="00483EB6">
        <w:rPr>
          <w:rFonts w:asciiTheme="minorHAnsi" w:hAnsiTheme="minorHAnsi"/>
          <w:bCs/>
          <w:szCs w:val="24"/>
        </w:rPr>
        <w:t>be realised</w:t>
      </w:r>
      <w:r w:rsidR="00FF3612" w:rsidRPr="00483EB6">
        <w:rPr>
          <w:rFonts w:asciiTheme="minorHAnsi" w:hAnsiTheme="minorHAnsi"/>
          <w:bCs/>
          <w:szCs w:val="24"/>
        </w:rPr>
        <w:t xml:space="preserve">. </w:t>
      </w:r>
      <w:r w:rsidR="006D0648" w:rsidRPr="00483EB6">
        <w:rPr>
          <w:rFonts w:asciiTheme="minorHAnsi" w:hAnsiTheme="minorHAnsi"/>
          <w:bCs/>
          <w:szCs w:val="24"/>
        </w:rPr>
        <w:t>In deciding to defer, the PBAC acknowledged that no further comparative data w</w:t>
      </w:r>
      <w:r w:rsidR="00F03700">
        <w:rPr>
          <w:rFonts w:asciiTheme="minorHAnsi" w:hAnsiTheme="minorHAnsi"/>
          <w:bCs/>
          <w:szCs w:val="24"/>
        </w:rPr>
        <w:t>ere</w:t>
      </w:r>
      <w:r w:rsidR="006D0648" w:rsidRPr="00483EB6">
        <w:rPr>
          <w:rFonts w:asciiTheme="minorHAnsi" w:hAnsiTheme="minorHAnsi"/>
          <w:bCs/>
          <w:szCs w:val="24"/>
        </w:rPr>
        <w:t xml:space="preserve"> likely to be forthcoming and there was unlikely to be sufficient information to construct an economic model that </w:t>
      </w:r>
      <w:r w:rsidR="00F03700">
        <w:rPr>
          <w:rFonts w:asciiTheme="minorHAnsi" w:hAnsiTheme="minorHAnsi"/>
          <w:bCs/>
          <w:szCs w:val="24"/>
        </w:rPr>
        <w:t xml:space="preserve">would </w:t>
      </w:r>
      <w:r w:rsidR="006D0648" w:rsidRPr="00483EB6">
        <w:rPr>
          <w:rFonts w:asciiTheme="minorHAnsi" w:hAnsiTheme="minorHAnsi"/>
          <w:bCs/>
          <w:szCs w:val="24"/>
        </w:rPr>
        <w:t>reliably model the condition.</w:t>
      </w:r>
      <w:r w:rsidRPr="00483EB6">
        <w:rPr>
          <w:rFonts w:asciiTheme="minorHAnsi" w:hAnsiTheme="minorHAnsi"/>
          <w:bCs/>
          <w:szCs w:val="24"/>
        </w:rPr>
        <w:t xml:space="preserve"> </w:t>
      </w:r>
    </w:p>
    <w:p w:rsidR="003554AC" w:rsidRPr="00483EB6" w:rsidRDefault="00F928AE" w:rsidP="0010204A">
      <w:pPr>
        <w:widowControl/>
        <w:numPr>
          <w:ilvl w:val="1"/>
          <w:numId w:val="3"/>
        </w:numPr>
        <w:spacing w:before="120" w:after="120"/>
        <w:rPr>
          <w:rFonts w:asciiTheme="minorHAnsi" w:hAnsiTheme="minorHAnsi"/>
          <w:bCs/>
          <w:szCs w:val="24"/>
        </w:rPr>
      </w:pPr>
      <w:r w:rsidRPr="00483EB6">
        <w:rPr>
          <w:rFonts w:asciiTheme="minorHAnsi" w:hAnsiTheme="minorHAnsi"/>
          <w:bCs/>
        </w:rPr>
        <w:t>The PBAC noted the high risk of relapse in patients with MRD positive disease</w:t>
      </w:r>
      <w:r w:rsidR="00A82604" w:rsidRPr="00483EB6">
        <w:rPr>
          <w:rFonts w:asciiTheme="minorHAnsi" w:hAnsiTheme="minorHAnsi"/>
          <w:bCs/>
        </w:rPr>
        <w:t>, and that use of blinatumomab in the MRD setting would prevent o</w:t>
      </w:r>
      <w:r w:rsidR="003554AC" w:rsidRPr="00483EB6">
        <w:rPr>
          <w:rFonts w:asciiTheme="minorHAnsi" w:hAnsiTheme="minorHAnsi"/>
          <w:bCs/>
        </w:rPr>
        <w:t>r</w:t>
      </w:r>
      <w:r w:rsidR="00A82604" w:rsidRPr="00483EB6">
        <w:rPr>
          <w:rFonts w:asciiTheme="minorHAnsi" w:hAnsiTheme="minorHAnsi"/>
          <w:bCs/>
        </w:rPr>
        <w:t xml:space="preserve"> delay </w:t>
      </w:r>
      <w:r w:rsidR="003554AC" w:rsidRPr="00483EB6">
        <w:rPr>
          <w:rFonts w:asciiTheme="minorHAnsi" w:hAnsiTheme="minorHAnsi"/>
          <w:bCs/>
        </w:rPr>
        <w:t>a proportion of</w:t>
      </w:r>
      <w:r w:rsidR="00A82604" w:rsidRPr="00483EB6">
        <w:rPr>
          <w:rFonts w:asciiTheme="minorHAnsi" w:hAnsiTheme="minorHAnsi"/>
          <w:bCs/>
        </w:rPr>
        <w:t xml:space="preserve"> use in the </w:t>
      </w:r>
      <w:r w:rsidR="00A1490C" w:rsidRPr="00483EB6">
        <w:rPr>
          <w:rFonts w:asciiTheme="minorHAnsi" w:hAnsiTheme="minorHAnsi"/>
          <w:bCs/>
        </w:rPr>
        <w:t>R/R</w:t>
      </w:r>
      <w:r w:rsidR="00A82604" w:rsidRPr="00483EB6">
        <w:rPr>
          <w:rFonts w:asciiTheme="minorHAnsi" w:hAnsiTheme="minorHAnsi"/>
          <w:bCs/>
        </w:rPr>
        <w:t xml:space="preserve"> setting. The PBAC also considered that an important role for blinatumomab was as a bridge to transplant, and considered that use of blinatumomab in the MRD setting may result in more patients receiving a HSCT in a better risk state. </w:t>
      </w:r>
    </w:p>
    <w:p w:rsidR="003554AC" w:rsidRPr="00483EB6" w:rsidRDefault="003554AC" w:rsidP="0010204A">
      <w:pPr>
        <w:widowControl/>
        <w:numPr>
          <w:ilvl w:val="1"/>
          <w:numId w:val="3"/>
        </w:numPr>
        <w:spacing w:before="120" w:after="120"/>
        <w:rPr>
          <w:rFonts w:asciiTheme="minorHAnsi" w:hAnsiTheme="minorHAnsi"/>
          <w:bCs/>
          <w:szCs w:val="24"/>
        </w:rPr>
      </w:pPr>
      <w:r w:rsidRPr="00483EB6">
        <w:rPr>
          <w:rFonts w:asciiTheme="minorHAnsi" w:hAnsiTheme="minorHAnsi"/>
          <w:bCs/>
        </w:rPr>
        <w:t>Overall, t</w:t>
      </w:r>
      <w:r w:rsidRPr="00483EB6">
        <w:rPr>
          <w:rFonts w:asciiTheme="minorHAnsi" w:hAnsiTheme="minorHAnsi"/>
          <w:bCs/>
          <w:szCs w:val="24"/>
        </w:rPr>
        <w:t>he PBAC reiterated that there is a high clinical need for more effective treatments for B-ALL in the first-line setting where there is the greatest potential for impact on cure rates.</w:t>
      </w:r>
    </w:p>
    <w:p w:rsidR="007234EC" w:rsidRPr="00483EB6" w:rsidRDefault="002E3D4B"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w:t>
      </w:r>
      <w:r w:rsidR="007C1B73" w:rsidRPr="00483EB6">
        <w:rPr>
          <w:rFonts w:asciiTheme="minorHAnsi" w:hAnsiTheme="minorHAnsi"/>
          <w:bCs/>
          <w:szCs w:val="24"/>
        </w:rPr>
        <w:t xml:space="preserve">noted </w:t>
      </w:r>
      <w:r w:rsidR="00D447C9" w:rsidRPr="00483EB6">
        <w:rPr>
          <w:rFonts w:asciiTheme="minorHAnsi" w:hAnsiTheme="minorHAnsi"/>
          <w:bCs/>
          <w:szCs w:val="24"/>
        </w:rPr>
        <w:t xml:space="preserve">there is </w:t>
      </w:r>
      <w:r w:rsidR="000747EF" w:rsidRPr="00483EB6">
        <w:rPr>
          <w:rFonts w:asciiTheme="minorHAnsi" w:hAnsiTheme="minorHAnsi"/>
          <w:bCs/>
          <w:szCs w:val="24"/>
        </w:rPr>
        <w:t>clinical evidence (</w:t>
      </w:r>
      <w:proofErr w:type="spellStart"/>
      <w:r w:rsidR="008B7876" w:rsidRPr="00483EB6">
        <w:rPr>
          <w:rFonts w:asciiTheme="minorHAnsi" w:hAnsiTheme="minorHAnsi"/>
          <w:bCs/>
          <w:szCs w:val="24"/>
        </w:rPr>
        <w:t>Topp</w:t>
      </w:r>
      <w:proofErr w:type="spellEnd"/>
      <w:r w:rsidR="008B7876" w:rsidRPr="00483EB6">
        <w:rPr>
          <w:rFonts w:asciiTheme="minorHAnsi" w:hAnsiTheme="minorHAnsi"/>
          <w:bCs/>
          <w:szCs w:val="24"/>
        </w:rPr>
        <w:t xml:space="preserve"> et al., 2018</w:t>
      </w:r>
      <w:r w:rsidR="000747EF" w:rsidRPr="00483EB6">
        <w:rPr>
          <w:rFonts w:asciiTheme="minorHAnsi" w:hAnsiTheme="minorHAnsi"/>
          <w:bCs/>
          <w:szCs w:val="24"/>
        </w:rPr>
        <w:t>)</w:t>
      </w:r>
      <w:r w:rsidR="008B7876" w:rsidRPr="00483EB6">
        <w:rPr>
          <w:rFonts w:asciiTheme="minorHAnsi" w:hAnsiTheme="minorHAnsi"/>
          <w:bCs/>
          <w:szCs w:val="24"/>
        </w:rPr>
        <w:t xml:space="preserve"> indicat</w:t>
      </w:r>
      <w:r w:rsidR="00D447C9" w:rsidRPr="00483EB6">
        <w:rPr>
          <w:rFonts w:asciiTheme="minorHAnsi" w:hAnsiTheme="minorHAnsi"/>
          <w:bCs/>
          <w:szCs w:val="24"/>
        </w:rPr>
        <w:t>ing that</w:t>
      </w:r>
      <w:r w:rsidR="008B7876" w:rsidRPr="00483EB6">
        <w:rPr>
          <w:rFonts w:asciiTheme="minorHAnsi" w:hAnsiTheme="minorHAnsi"/>
          <w:bCs/>
          <w:szCs w:val="24"/>
        </w:rPr>
        <w:t xml:space="preserve"> blinatumomab retreatment may be effective </w:t>
      </w:r>
      <w:r w:rsidR="007C1B73" w:rsidRPr="00483EB6">
        <w:rPr>
          <w:rFonts w:asciiTheme="minorHAnsi" w:hAnsiTheme="minorHAnsi"/>
          <w:bCs/>
          <w:szCs w:val="24"/>
        </w:rPr>
        <w:t xml:space="preserve">for </w:t>
      </w:r>
      <w:r w:rsidR="008B7876" w:rsidRPr="00483EB6">
        <w:rPr>
          <w:rFonts w:asciiTheme="minorHAnsi" w:hAnsiTheme="minorHAnsi"/>
          <w:bCs/>
          <w:szCs w:val="24"/>
        </w:rPr>
        <w:t xml:space="preserve">patients </w:t>
      </w:r>
      <w:r w:rsidR="00A47055" w:rsidRPr="00483EB6">
        <w:rPr>
          <w:rFonts w:asciiTheme="minorHAnsi" w:hAnsiTheme="minorHAnsi"/>
          <w:bCs/>
          <w:szCs w:val="24"/>
        </w:rPr>
        <w:t>with</w:t>
      </w:r>
      <w:r w:rsidR="008B7876" w:rsidRPr="00483EB6">
        <w:rPr>
          <w:rFonts w:asciiTheme="minorHAnsi" w:hAnsiTheme="minorHAnsi"/>
          <w:bCs/>
          <w:szCs w:val="24"/>
        </w:rPr>
        <w:t xml:space="preserve"> prior response to blinatumomab</w:t>
      </w:r>
      <w:r w:rsidR="00432941" w:rsidRPr="00483EB6">
        <w:rPr>
          <w:rFonts w:asciiTheme="minorHAnsi" w:hAnsiTheme="minorHAnsi"/>
          <w:bCs/>
          <w:szCs w:val="24"/>
        </w:rPr>
        <w:t xml:space="preserve"> </w:t>
      </w:r>
      <w:r w:rsidR="00EA055F" w:rsidRPr="00483EB6">
        <w:rPr>
          <w:rFonts w:asciiTheme="minorHAnsi" w:hAnsiTheme="minorHAnsi"/>
          <w:bCs/>
          <w:szCs w:val="24"/>
        </w:rPr>
        <w:t xml:space="preserve">in the </w:t>
      </w:r>
      <w:r w:rsidR="00432941" w:rsidRPr="00483EB6">
        <w:rPr>
          <w:rFonts w:asciiTheme="minorHAnsi" w:hAnsiTheme="minorHAnsi"/>
          <w:bCs/>
          <w:szCs w:val="24"/>
        </w:rPr>
        <w:t>R/R setting</w:t>
      </w:r>
      <w:r w:rsidR="00D447C9" w:rsidRPr="00483EB6">
        <w:rPr>
          <w:rFonts w:asciiTheme="minorHAnsi" w:hAnsiTheme="minorHAnsi"/>
          <w:bCs/>
          <w:szCs w:val="24"/>
        </w:rPr>
        <w:t>. As such</w:t>
      </w:r>
      <w:r w:rsidR="008B7876" w:rsidRPr="00483EB6">
        <w:rPr>
          <w:rFonts w:asciiTheme="minorHAnsi" w:hAnsiTheme="minorHAnsi"/>
          <w:bCs/>
          <w:szCs w:val="24"/>
        </w:rPr>
        <w:t xml:space="preserve">, the PBAC </w:t>
      </w:r>
      <w:r w:rsidR="00A47055" w:rsidRPr="00483EB6">
        <w:rPr>
          <w:rFonts w:asciiTheme="minorHAnsi" w:hAnsiTheme="minorHAnsi"/>
          <w:bCs/>
          <w:szCs w:val="24"/>
        </w:rPr>
        <w:t xml:space="preserve">considered it would be clinically appropriate to allow retreatment in the </w:t>
      </w:r>
      <w:r w:rsidR="00860C58" w:rsidRPr="00483EB6">
        <w:rPr>
          <w:rFonts w:asciiTheme="minorHAnsi" w:hAnsiTheme="minorHAnsi"/>
          <w:bCs/>
          <w:szCs w:val="24"/>
        </w:rPr>
        <w:t>R/R setting for</w:t>
      </w:r>
      <w:r w:rsidR="00D6698D" w:rsidRPr="00483EB6">
        <w:rPr>
          <w:rFonts w:asciiTheme="minorHAnsi" w:hAnsiTheme="minorHAnsi"/>
          <w:bCs/>
          <w:szCs w:val="24"/>
        </w:rPr>
        <w:t xml:space="preserve"> patients who responded</w:t>
      </w:r>
      <w:r w:rsidR="00A47055" w:rsidRPr="00483EB6">
        <w:rPr>
          <w:rFonts w:asciiTheme="minorHAnsi" w:hAnsiTheme="minorHAnsi"/>
          <w:bCs/>
          <w:szCs w:val="24"/>
        </w:rPr>
        <w:t xml:space="preserve"> to </w:t>
      </w:r>
      <w:r w:rsidR="00A47055" w:rsidRPr="00483EB6">
        <w:rPr>
          <w:rFonts w:asciiTheme="minorHAnsi" w:hAnsiTheme="minorHAnsi"/>
          <w:bCs/>
          <w:szCs w:val="24"/>
        </w:rPr>
        <w:lastRenderedPageBreak/>
        <w:t xml:space="preserve">blinatumomab in the MRD positive setting. </w:t>
      </w:r>
      <w:r w:rsidR="004460CB" w:rsidRPr="00483EB6">
        <w:rPr>
          <w:rFonts w:asciiTheme="minorHAnsi" w:hAnsiTheme="minorHAnsi"/>
          <w:bCs/>
          <w:szCs w:val="24"/>
        </w:rPr>
        <w:t xml:space="preserve">The PBAC further considered that an adequate response to blinatumomab in the MRD setting would </w:t>
      </w:r>
      <w:r w:rsidR="00D6698D" w:rsidRPr="00483EB6">
        <w:rPr>
          <w:rFonts w:asciiTheme="minorHAnsi" w:hAnsiTheme="minorHAnsi"/>
          <w:bCs/>
          <w:szCs w:val="24"/>
        </w:rPr>
        <w:t xml:space="preserve">constitute a relapse free period of at least 6 months </w:t>
      </w:r>
      <w:r w:rsidR="00002B38" w:rsidRPr="00483EB6">
        <w:rPr>
          <w:rFonts w:asciiTheme="minorHAnsi" w:hAnsiTheme="minorHAnsi"/>
          <w:bCs/>
          <w:szCs w:val="24"/>
        </w:rPr>
        <w:t>following completion of blinatumomab treatment</w:t>
      </w:r>
      <w:r w:rsidR="00701B07" w:rsidRPr="00483EB6">
        <w:rPr>
          <w:rFonts w:asciiTheme="minorHAnsi" w:hAnsiTheme="minorHAnsi"/>
          <w:bCs/>
          <w:szCs w:val="24"/>
        </w:rPr>
        <w:t>,</w:t>
      </w:r>
      <w:r w:rsidR="00002B38" w:rsidRPr="00483EB6">
        <w:rPr>
          <w:rFonts w:asciiTheme="minorHAnsi" w:hAnsiTheme="minorHAnsi"/>
          <w:bCs/>
          <w:szCs w:val="24"/>
        </w:rPr>
        <w:t xml:space="preserve"> and </w:t>
      </w:r>
      <w:r w:rsidR="00D30F12" w:rsidRPr="00483EB6">
        <w:rPr>
          <w:rFonts w:asciiTheme="minorHAnsi" w:hAnsiTheme="minorHAnsi"/>
          <w:bCs/>
          <w:szCs w:val="24"/>
        </w:rPr>
        <w:t>recommended that</w:t>
      </w:r>
      <w:r w:rsidR="00002B38" w:rsidRPr="00483EB6">
        <w:rPr>
          <w:rFonts w:asciiTheme="minorHAnsi" w:hAnsiTheme="minorHAnsi"/>
          <w:bCs/>
          <w:szCs w:val="24"/>
        </w:rPr>
        <w:t xml:space="preserve"> this be specified in the restriction. </w:t>
      </w:r>
    </w:p>
    <w:p w:rsidR="00002B38" w:rsidRPr="00483EB6" w:rsidRDefault="000747EF"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The PBAC maintained that the appropriate eligible</w:t>
      </w:r>
      <w:r w:rsidR="00B017B0" w:rsidRPr="00483EB6">
        <w:rPr>
          <w:rFonts w:asciiTheme="minorHAnsi" w:hAnsiTheme="minorHAnsi"/>
          <w:bCs/>
          <w:szCs w:val="24"/>
        </w:rPr>
        <w:t xml:space="preserve"> population should include both </w:t>
      </w:r>
      <w:proofErr w:type="spellStart"/>
      <w:r w:rsidR="00B017B0" w:rsidRPr="00483EB6">
        <w:rPr>
          <w:rFonts w:asciiTheme="minorHAnsi" w:hAnsiTheme="minorHAnsi"/>
          <w:bCs/>
          <w:szCs w:val="24"/>
        </w:rPr>
        <w:t>Ph</w:t>
      </w:r>
      <w:proofErr w:type="spellEnd"/>
      <w:r w:rsidR="00B017B0" w:rsidRPr="00483EB6">
        <w:rPr>
          <w:rFonts w:asciiTheme="minorHAnsi" w:hAnsiTheme="minorHAnsi"/>
          <w:bCs/>
          <w:szCs w:val="24"/>
        </w:rPr>
        <w:t xml:space="preserve">+ and </w:t>
      </w:r>
      <w:proofErr w:type="spellStart"/>
      <w:r w:rsidR="00B017B0" w:rsidRPr="00483EB6">
        <w:rPr>
          <w:rFonts w:asciiTheme="minorHAnsi" w:hAnsiTheme="minorHAnsi"/>
          <w:bCs/>
          <w:szCs w:val="24"/>
        </w:rPr>
        <w:t>Ph</w:t>
      </w:r>
      <w:proofErr w:type="spellEnd"/>
      <w:r w:rsidR="00B017B0" w:rsidRPr="00483EB6">
        <w:rPr>
          <w:rFonts w:asciiTheme="minorHAnsi" w:hAnsiTheme="minorHAnsi"/>
          <w:bCs/>
          <w:szCs w:val="24"/>
        </w:rPr>
        <w:t xml:space="preserve">- patients. </w:t>
      </w:r>
      <w:r w:rsidR="00F03700">
        <w:rPr>
          <w:rFonts w:asciiTheme="minorHAnsi" w:hAnsiTheme="minorHAnsi"/>
          <w:bCs/>
          <w:szCs w:val="24"/>
        </w:rPr>
        <w:t xml:space="preserve">The PBAC </w:t>
      </w:r>
      <w:r w:rsidR="00F03700" w:rsidRPr="00483EB6">
        <w:rPr>
          <w:rFonts w:asciiTheme="minorHAnsi" w:hAnsiTheme="minorHAnsi"/>
          <w:bCs/>
          <w:szCs w:val="24"/>
        </w:rPr>
        <w:t>not</w:t>
      </w:r>
      <w:r w:rsidR="00F03700">
        <w:rPr>
          <w:rFonts w:asciiTheme="minorHAnsi" w:hAnsiTheme="minorHAnsi"/>
          <w:bCs/>
          <w:szCs w:val="24"/>
        </w:rPr>
        <w:t>ed</w:t>
      </w:r>
      <w:r w:rsidR="00F03700" w:rsidRPr="00483EB6">
        <w:rPr>
          <w:rFonts w:asciiTheme="minorHAnsi" w:hAnsiTheme="minorHAnsi"/>
          <w:bCs/>
          <w:szCs w:val="24"/>
        </w:rPr>
        <w:t xml:space="preserve"> that </w:t>
      </w:r>
      <w:r w:rsidR="0003042B" w:rsidRPr="00483EB6">
        <w:rPr>
          <w:rFonts w:asciiTheme="minorHAnsi" w:hAnsiTheme="minorHAnsi"/>
          <w:bCs/>
          <w:szCs w:val="24"/>
        </w:rPr>
        <w:t xml:space="preserve">TKIs are part of standard of care treatment for patients with </w:t>
      </w:r>
      <w:proofErr w:type="spellStart"/>
      <w:r w:rsidR="0003042B" w:rsidRPr="00483EB6">
        <w:rPr>
          <w:rFonts w:asciiTheme="minorHAnsi" w:hAnsiTheme="minorHAnsi"/>
          <w:bCs/>
          <w:szCs w:val="24"/>
        </w:rPr>
        <w:t>Ph</w:t>
      </w:r>
      <w:proofErr w:type="spellEnd"/>
      <w:r w:rsidR="0003042B" w:rsidRPr="00483EB6">
        <w:rPr>
          <w:rFonts w:asciiTheme="minorHAnsi" w:hAnsiTheme="minorHAnsi"/>
          <w:bCs/>
          <w:szCs w:val="24"/>
        </w:rPr>
        <w:t>+ B-ALL</w:t>
      </w:r>
      <w:r w:rsidR="0003042B">
        <w:rPr>
          <w:rFonts w:asciiTheme="minorHAnsi" w:hAnsiTheme="minorHAnsi"/>
          <w:bCs/>
          <w:szCs w:val="24"/>
        </w:rPr>
        <w:t xml:space="preserve">, and </w:t>
      </w:r>
      <w:r w:rsidR="00F03700" w:rsidRPr="00483EB6">
        <w:rPr>
          <w:rFonts w:asciiTheme="minorHAnsi" w:hAnsiTheme="minorHAnsi"/>
          <w:bCs/>
          <w:szCs w:val="24"/>
        </w:rPr>
        <w:t xml:space="preserve">clinical evidence </w:t>
      </w:r>
      <w:r w:rsidR="0003042B">
        <w:rPr>
          <w:rFonts w:asciiTheme="minorHAnsi" w:hAnsiTheme="minorHAnsi"/>
          <w:bCs/>
          <w:szCs w:val="24"/>
        </w:rPr>
        <w:t>in the R/R setting indicates that</w:t>
      </w:r>
      <w:r w:rsidR="00F03700" w:rsidRPr="00483EB6">
        <w:rPr>
          <w:rFonts w:asciiTheme="minorHAnsi" w:hAnsiTheme="minorHAnsi"/>
          <w:bCs/>
          <w:szCs w:val="24"/>
        </w:rPr>
        <w:t xml:space="preserve"> concomitant use of blinatumomab </w:t>
      </w:r>
      <w:r w:rsidR="0003042B">
        <w:rPr>
          <w:rFonts w:asciiTheme="minorHAnsi" w:hAnsiTheme="minorHAnsi"/>
          <w:bCs/>
          <w:szCs w:val="24"/>
        </w:rPr>
        <w:t>with</w:t>
      </w:r>
      <w:r w:rsidR="00F03700" w:rsidRPr="00483EB6">
        <w:rPr>
          <w:rFonts w:asciiTheme="minorHAnsi" w:hAnsiTheme="minorHAnsi"/>
          <w:bCs/>
          <w:szCs w:val="24"/>
        </w:rPr>
        <w:t xml:space="preserve"> a TKI</w:t>
      </w:r>
      <w:r w:rsidR="0003042B">
        <w:rPr>
          <w:rFonts w:asciiTheme="minorHAnsi" w:hAnsiTheme="minorHAnsi"/>
          <w:bCs/>
          <w:szCs w:val="24"/>
        </w:rPr>
        <w:t xml:space="preserve"> i</w:t>
      </w:r>
      <w:r w:rsidR="00F03700" w:rsidRPr="00483EB6">
        <w:rPr>
          <w:rFonts w:asciiTheme="minorHAnsi" w:hAnsiTheme="minorHAnsi"/>
          <w:bCs/>
          <w:szCs w:val="24"/>
        </w:rPr>
        <w:t>s</w:t>
      </w:r>
      <w:r w:rsidR="0003042B">
        <w:rPr>
          <w:rFonts w:asciiTheme="minorHAnsi" w:hAnsiTheme="minorHAnsi"/>
          <w:bCs/>
          <w:szCs w:val="24"/>
        </w:rPr>
        <w:t xml:space="preserve"> associated with</w:t>
      </w:r>
      <w:r w:rsidR="00F03700" w:rsidRPr="00483EB6">
        <w:rPr>
          <w:rFonts w:asciiTheme="minorHAnsi" w:hAnsiTheme="minorHAnsi"/>
          <w:bCs/>
          <w:szCs w:val="24"/>
        </w:rPr>
        <w:t xml:space="preserve"> a tolerable safety profile. </w:t>
      </w:r>
      <w:r w:rsidR="00F03700">
        <w:rPr>
          <w:rFonts w:asciiTheme="minorHAnsi" w:hAnsiTheme="minorHAnsi"/>
          <w:bCs/>
          <w:szCs w:val="24"/>
        </w:rPr>
        <w:t>As such, t</w:t>
      </w:r>
      <w:r w:rsidR="00B017B0" w:rsidRPr="00483EB6">
        <w:rPr>
          <w:rFonts w:asciiTheme="minorHAnsi" w:hAnsiTheme="minorHAnsi"/>
          <w:bCs/>
          <w:szCs w:val="24"/>
        </w:rPr>
        <w:t xml:space="preserve">he PBAC agreed with the ESC that </w:t>
      </w:r>
      <w:r w:rsidR="005F0C19" w:rsidRPr="00483EB6">
        <w:rPr>
          <w:rFonts w:asciiTheme="minorHAnsi" w:hAnsiTheme="minorHAnsi"/>
          <w:bCs/>
          <w:szCs w:val="24"/>
        </w:rPr>
        <w:t xml:space="preserve">the restriction should </w:t>
      </w:r>
      <w:r w:rsidR="0003042B">
        <w:rPr>
          <w:rFonts w:asciiTheme="minorHAnsi" w:hAnsiTheme="minorHAnsi"/>
          <w:bCs/>
          <w:szCs w:val="24"/>
        </w:rPr>
        <w:t>allow</w:t>
      </w:r>
      <w:r w:rsidR="005F0C19" w:rsidRPr="00483EB6">
        <w:rPr>
          <w:rFonts w:asciiTheme="minorHAnsi" w:hAnsiTheme="minorHAnsi"/>
          <w:bCs/>
          <w:szCs w:val="24"/>
        </w:rPr>
        <w:t xml:space="preserve"> concomitant use of blinatumomab and a TKI</w:t>
      </w:r>
      <w:r w:rsidR="0003042B">
        <w:rPr>
          <w:rFonts w:asciiTheme="minorHAnsi" w:hAnsiTheme="minorHAnsi"/>
          <w:bCs/>
          <w:szCs w:val="24"/>
        </w:rPr>
        <w:t>.</w:t>
      </w:r>
    </w:p>
    <w:p w:rsidR="009B4CC5" w:rsidRPr="00483EB6" w:rsidRDefault="00957586" w:rsidP="0010204A">
      <w:pPr>
        <w:pStyle w:val="ListParagraph"/>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noted that the comparative effectiveness </w:t>
      </w:r>
      <w:r w:rsidR="009B4CC5" w:rsidRPr="00483EB6">
        <w:rPr>
          <w:rFonts w:asciiTheme="minorHAnsi" w:hAnsiTheme="minorHAnsi"/>
          <w:bCs/>
          <w:szCs w:val="24"/>
        </w:rPr>
        <w:t>continued to be</w:t>
      </w:r>
      <w:r w:rsidRPr="00483EB6">
        <w:rPr>
          <w:rFonts w:asciiTheme="minorHAnsi" w:hAnsiTheme="minorHAnsi"/>
          <w:bCs/>
          <w:szCs w:val="24"/>
        </w:rPr>
        <w:t xml:space="preserve"> based on a propensity score indirect analysis comparing blinatumomab (based on the BLAST study) with standard of care chemotherapy (based on Study 20120148, a historical control). The PBAC noted </w:t>
      </w:r>
      <w:r w:rsidR="009B4CC5" w:rsidRPr="00483EB6">
        <w:rPr>
          <w:rFonts w:asciiTheme="minorHAnsi" w:hAnsiTheme="minorHAnsi"/>
          <w:bCs/>
          <w:szCs w:val="24"/>
        </w:rPr>
        <w:t xml:space="preserve">that the resubmission </w:t>
      </w:r>
      <w:r w:rsidR="006D0648" w:rsidRPr="00483EB6">
        <w:rPr>
          <w:rFonts w:asciiTheme="minorHAnsi" w:hAnsiTheme="minorHAnsi"/>
          <w:bCs/>
          <w:szCs w:val="24"/>
        </w:rPr>
        <w:t xml:space="preserve">had </w:t>
      </w:r>
      <w:r w:rsidRPr="00483EB6">
        <w:rPr>
          <w:rFonts w:asciiTheme="minorHAnsi" w:hAnsiTheme="minorHAnsi"/>
          <w:bCs/>
          <w:szCs w:val="24"/>
        </w:rPr>
        <w:t>us</w:t>
      </w:r>
      <w:r w:rsidR="009B4CC5" w:rsidRPr="00483EB6">
        <w:rPr>
          <w:rFonts w:asciiTheme="minorHAnsi" w:hAnsiTheme="minorHAnsi"/>
          <w:bCs/>
          <w:szCs w:val="24"/>
        </w:rPr>
        <w:t>ed</w:t>
      </w:r>
      <w:r w:rsidRPr="00483EB6">
        <w:rPr>
          <w:rFonts w:asciiTheme="minorHAnsi" w:hAnsiTheme="minorHAnsi"/>
          <w:bCs/>
          <w:szCs w:val="24"/>
        </w:rPr>
        <w:t xml:space="preserve"> the average treatment effect (ATE) method</w:t>
      </w:r>
      <w:r w:rsidR="009B4CC5" w:rsidRPr="00483EB6">
        <w:rPr>
          <w:rFonts w:asciiTheme="minorHAnsi" w:hAnsiTheme="minorHAnsi"/>
          <w:bCs/>
          <w:szCs w:val="24"/>
        </w:rPr>
        <w:t xml:space="preserve"> as the primary analysis, consistent with the PBAC’s advice in July 2018. However, the PBAC considered that the resubmission had not addressed many of its previous concerns with this analysis including po</w:t>
      </w:r>
      <w:r w:rsidR="00990566" w:rsidRPr="00483EB6">
        <w:rPr>
          <w:rFonts w:asciiTheme="minorHAnsi" w:hAnsiTheme="minorHAnsi"/>
          <w:bCs/>
          <w:szCs w:val="24"/>
        </w:rPr>
        <w:t>tential</w:t>
      </w:r>
      <w:r w:rsidR="000A791B" w:rsidRPr="00483EB6">
        <w:rPr>
          <w:rFonts w:asciiTheme="minorHAnsi" w:hAnsiTheme="minorHAnsi"/>
          <w:bCs/>
          <w:szCs w:val="24"/>
        </w:rPr>
        <w:t>:</w:t>
      </w:r>
      <w:r w:rsidR="00990566" w:rsidRPr="00483EB6">
        <w:rPr>
          <w:rFonts w:asciiTheme="minorHAnsi" w:hAnsiTheme="minorHAnsi"/>
          <w:bCs/>
          <w:szCs w:val="24"/>
        </w:rPr>
        <w:t xml:space="preserve"> issues with t</w:t>
      </w:r>
      <w:r w:rsidR="009012A5" w:rsidRPr="00483EB6">
        <w:rPr>
          <w:rFonts w:asciiTheme="minorHAnsi" w:hAnsiTheme="minorHAnsi"/>
          <w:bCs/>
          <w:szCs w:val="24"/>
        </w:rPr>
        <w:t xml:space="preserve">he applicability of </w:t>
      </w:r>
      <w:r w:rsidR="00301739" w:rsidRPr="00483EB6">
        <w:rPr>
          <w:rFonts w:asciiTheme="minorHAnsi" w:hAnsiTheme="minorHAnsi"/>
          <w:bCs/>
          <w:szCs w:val="24"/>
        </w:rPr>
        <w:t>the standard care chemotherapy arm to Australian clinical practice</w:t>
      </w:r>
      <w:r w:rsidR="00990566" w:rsidRPr="00483EB6">
        <w:rPr>
          <w:rFonts w:asciiTheme="minorHAnsi" w:hAnsiTheme="minorHAnsi"/>
          <w:bCs/>
          <w:szCs w:val="24"/>
        </w:rPr>
        <w:t xml:space="preserve">; differences between the </w:t>
      </w:r>
      <w:proofErr w:type="gramStart"/>
      <w:r w:rsidR="002F7CE3" w:rsidRPr="00483EB6">
        <w:rPr>
          <w:rFonts w:asciiTheme="minorHAnsi" w:hAnsiTheme="minorHAnsi"/>
          <w:bCs/>
          <w:szCs w:val="24"/>
        </w:rPr>
        <w:t>population</w:t>
      </w:r>
      <w:proofErr w:type="gramEnd"/>
      <w:r w:rsidR="002F7CE3" w:rsidRPr="00483EB6">
        <w:rPr>
          <w:rFonts w:asciiTheme="minorHAnsi" w:hAnsiTheme="minorHAnsi"/>
          <w:bCs/>
          <w:szCs w:val="24"/>
        </w:rPr>
        <w:t xml:space="preserve"> included in the propensity score analysis </w:t>
      </w:r>
      <w:r w:rsidR="00990566" w:rsidRPr="00483EB6">
        <w:rPr>
          <w:rFonts w:asciiTheme="minorHAnsi" w:hAnsiTheme="minorHAnsi"/>
          <w:bCs/>
          <w:szCs w:val="24"/>
        </w:rPr>
        <w:t>and</w:t>
      </w:r>
      <w:r w:rsidR="0002074D" w:rsidRPr="00483EB6">
        <w:rPr>
          <w:rFonts w:asciiTheme="minorHAnsi" w:hAnsiTheme="minorHAnsi"/>
          <w:bCs/>
          <w:szCs w:val="24"/>
        </w:rPr>
        <w:t xml:space="preserve"> the PBS population</w:t>
      </w:r>
      <w:r w:rsidR="00990566" w:rsidRPr="00483EB6">
        <w:rPr>
          <w:rFonts w:asciiTheme="minorHAnsi" w:hAnsiTheme="minorHAnsi"/>
          <w:bCs/>
          <w:szCs w:val="24"/>
        </w:rPr>
        <w:t xml:space="preserve">; and a </w:t>
      </w:r>
      <w:r w:rsidR="00D06E61" w:rsidRPr="00483EB6">
        <w:rPr>
          <w:rFonts w:asciiTheme="minorHAnsi" w:hAnsiTheme="minorHAnsi"/>
          <w:bCs/>
          <w:szCs w:val="24"/>
        </w:rPr>
        <w:t>high risk of bias</w:t>
      </w:r>
      <w:r w:rsidR="00613FE3" w:rsidRPr="00483EB6">
        <w:rPr>
          <w:rFonts w:asciiTheme="minorHAnsi" w:hAnsiTheme="minorHAnsi"/>
          <w:bCs/>
          <w:szCs w:val="24"/>
        </w:rPr>
        <w:t xml:space="preserve">. </w:t>
      </w:r>
    </w:p>
    <w:p w:rsidR="000615F5" w:rsidRPr="00821743" w:rsidRDefault="00821743" w:rsidP="0010204A">
      <w:pPr>
        <w:keepNext/>
        <w:keepLines/>
        <w:widowControl/>
        <w:numPr>
          <w:ilvl w:val="1"/>
          <w:numId w:val="3"/>
        </w:numPr>
        <w:spacing w:before="120" w:after="120"/>
        <w:rPr>
          <w:rFonts w:asciiTheme="minorHAnsi" w:hAnsiTheme="minorHAnsi"/>
          <w:bCs/>
          <w:szCs w:val="24"/>
        </w:rPr>
      </w:pPr>
      <w:r>
        <w:rPr>
          <w:rFonts w:asciiTheme="minorHAnsi" w:hAnsiTheme="minorHAnsi"/>
          <w:bCs/>
          <w:szCs w:val="24"/>
        </w:rPr>
        <w:t>Th</w:t>
      </w:r>
      <w:r w:rsidR="00686194" w:rsidRPr="00821743">
        <w:rPr>
          <w:rFonts w:asciiTheme="minorHAnsi" w:hAnsiTheme="minorHAnsi"/>
          <w:bCs/>
          <w:szCs w:val="24"/>
        </w:rPr>
        <w:t>e PBAC</w:t>
      </w:r>
      <w:r w:rsidR="00406E3C" w:rsidRPr="00821743">
        <w:rPr>
          <w:rFonts w:asciiTheme="minorHAnsi" w:hAnsiTheme="minorHAnsi"/>
          <w:bCs/>
          <w:szCs w:val="24"/>
        </w:rPr>
        <w:t xml:space="preserve"> recalled its previous consideration</w:t>
      </w:r>
      <w:r w:rsidR="00686194" w:rsidRPr="00821743">
        <w:rPr>
          <w:rFonts w:asciiTheme="minorHAnsi" w:hAnsiTheme="minorHAnsi"/>
          <w:bCs/>
          <w:szCs w:val="24"/>
        </w:rPr>
        <w:t xml:space="preserve"> </w:t>
      </w:r>
      <w:r w:rsidR="00DB1599" w:rsidRPr="00821743">
        <w:rPr>
          <w:rFonts w:asciiTheme="minorHAnsi" w:hAnsiTheme="minorHAnsi"/>
          <w:bCs/>
          <w:szCs w:val="24"/>
        </w:rPr>
        <w:t>that the magnitude of any improvement</w:t>
      </w:r>
      <w:r w:rsidR="00330B70" w:rsidRPr="00821743">
        <w:rPr>
          <w:rFonts w:asciiTheme="minorHAnsi" w:hAnsiTheme="minorHAnsi"/>
          <w:bCs/>
          <w:szCs w:val="24"/>
        </w:rPr>
        <w:t xml:space="preserve"> in overall</w:t>
      </w:r>
      <w:r w:rsidR="00DB1599" w:rsidRPr="00821743">
        <w:rPr>
          <w:rFonts w:asciiTheme="minorHAnsi" w:hAnsiTheme="minorHAnsi"/>
          <w:bCs/>
          <w:szCs w:val="24"/>
        </w:rPr>
        <w:t xml:space="preserve"> survival </w:t>
      </w:r>
      <w:r w:rsidR="007D0C56" w:rsidRPr="00821743">
        <w:rPr>
          <w:rFonts w:asciiTheme="minorHAnsi" w:hAnsiTheme="minorHAnsi"/>
          <w:bCs/>
          <w:szCs w:val="24"/>
        </w:rPr>
        <w:t>could not be</w:t>
      </w:r>
      <w:r w:rsidR="00AE6DAC" w:rsidRPr="00821743">
        <w:rPr>
          <w:rFonts w:asciiTheme="minorHAnsi" w:hAnsiTheme="minorHAnsi"/>
          <w:bCs/>
          <w:szCs w:val="24"/>
        </w:rPr>
        <w:t xml:space="preserve"> reliably</w:t>
      </w:r>
      <w:r w:rsidR="007D0C56" w:rsidRPr="00821743">
        <w:rPr>
          <w:rFonts w:asciiTheme="minorHAnsi" w:hAnsiTheme="minorHAnsi"/>
          <w:bCs/>
          <w:szCs w:val="24"/>
        </w:rPr>
        <w:t xml:space="preserve"> </w:t>
      </w:r>
      <w:r w:rsidR="00DB1599" w:rsidRPr="00821743">
        <w:rPr>
          <w:rFonts w:asciiTheme="minorHAnsi" w:hAnsiTheme="minorHAnsi"/>
          <w:bCs/>
          <w:szCs w:val="24"/>
        </w:rPr>
        <w:t>determined from</w:t>
      </w:r>
      <w:r w:rsidR="007D0C56" w:rsidRPr="00821743">
        <w:rPr>
          <w:rFonts w:asciiTheme="minorHAnsi" w:hAnsiTheme="minorHAnsi"/>
          <w:bCs/>
          <w:szCs w:val="24"/>
        </w:rPr>
        <w:t xml:space="preserve"> the </w:t>
      </w:r>
      <w:r w:rsidR="00690086" w:rsidRPr="00821743">
        <w:rPr>
          <w:rFonts w:asciiTheme="minorHAnsi" w:hAnsiTheme="minorHAnsi"/>
          <w:bCs/>
          <w:szCs w:val="24"/>
        </w:rPr>
        <w:t xml:space="preserve">propensity score </w:t>
      </w:r>
      <w:r w:rsidR="00DB1599" w:rsidRPr="00821743">
        <w:rPr>
          <w:rFonts w:asciiTheme="minorHAnsi" w:hAnsiTheme="minorHAnsi"/>
          <w:bCs/>
          <w:szCs w:val="24"/>
        </w:rPr>
        <w:t>analysis</w:t>
      </w:r>
      <w:r w:rsidR="00670C1F" w:rsidRPr="00821743">
        <w:rPr>
          <w:rFonts w:asciiTheme="minorHAnsi" w:hAnsiTheme="minorHAnsi"/>
          <w:bCs/>
          <w:szCs w:val="24"/>
        </w:rPr>
        <w:t xml:space="preserve"> given</w:t>
      </w:r>
      <w:r w:rsidR="00CC4BE6" w:rsidRPr="00821743">
        <w:rPr>
          <w:rFonts w:asciiTheme="minorHAnsi" w:hAnsiTheme="minorHAnsi"/>
          <w:bCs/>
          <w:szCs w:val="24"/>
        </w:rPr>
        <w:t>:</w:t>
      </w:r>
      <w:r w:rsidRPr="00821743">
        <w:rPr>
          <w:rFonts w:asciiTheme="minorHAnsi" w:hAnsiTheme="minorHAnsi"/>
          <w:bCs/>
          <w:szCs w:val="24"/>
        </w:rPr>
        <w:t xml:space="preserve"> </w:t>
      </w:r>
      <w:r w:rsidR="00330B70" w:rsidRPr="00821743">
        <w:rPr>
          <w:rFonts w:asciiTheme="minorHAnsi" w:hAnsiTheme="minorHAnsi"/>
          <w:bCs/>
          <w:szCs w:val="24"/>
        </w:rPr>
        <w:t>it</w:t>
      </w:r>
      <w:r w:rsidR="00DB1599" w:rsidRPr="00821743">
        <w:rPr>
          <w:rFonts w:asciiTheme="minorHAnsi" w:hAnsiTheme="minorHAnsi"/>
          <w:bCs/>
          <w:szCs w:val="24"/>
        </w:rPr>
        <w:t xml:space="preserve"> was informed by immature data from the BLAST study (median follow-up of 18.3 months)</w:t>
      </w:r>
      <w:r>
        <w:rPr>
          <w:rFonts w:asciiTheme="minorHAnsi" w:hAnsiTheme="minorHAnsi"/>
          <w:bCs/>
          <w:szCs w:val="24"/>
        </w:rPr>
        <w:t>;</w:t>
      </w:r>
      <w:r w:rsidRPr="00821743">
        <w:rPr>
          <w:rFonts w:asciiTheme="minorHAnsi" w:hAnsiTheme="minorHAnsi"/>
          <w:bCs/>
          <w:szCs w:val="24"/>
        </w:rPr>
        <w:t xml:space="preserve"> </w:t>
      </w:r>
      <w:r w:rsidR="00406E3C" w:rsidRPr="00821743">
        <w:rPr>
          <w:rFonts w:asciiTheme="minorHAnsi" w:hAnsiTheme="minorHAnsi"/>
          <w:bCs/>
          <w:szCs w:val="24"/>
        </w:rPr>
        <w:t xml:space="preserve">it was </w:t>
      </w:r>
      <w:r w:rsidR="000D4508" w:rsidRPr="00821743">
        <w:rPr>
          <w:rFonts w:asciiTheme="minorHAnsi" w:hAnsiTheme="minorHAnsi"/>
          <w:bCs/>
          <w:szCs w:val="24"/>
        </w:rPr>
        <w:t>confound</w:t>
      </w:r>
      <w:r w:rsidR="00406E3C" w:rsidRPr="00821743">
        <w:rPr>
          <w:rFonts w:asciiTheme="minorHAnsi" w:hAnsiTheme="minorHAnsi"/>
          <w:bCs/>
          <w:szCs w:val="24"/>
        </w:rPr>
        <w:t>ed</w:t>
      </w:r>
      <w:r w:rsidR="000D4508" w:rsidRPr="00821743">
        <w:rPr>
          <w:rFonts w:asciiTheme="minorHAnsi" w:hAnsiTheme="minorHAnsi"/>
          <w:bCs/>
          <w:szCs w:val="24"/>
        </w:rPr>
        <w:t xml:space="preserve"> by HSCT use</w:t>
      </w:r>
      <w:r>
        <w:rPr>
          <w:rFonts w:asciiTheme="minorHAnsi" w:hAnsiTheme="minorHAnsi"/>
          <w:bCs/>
          <w:szCs w:val="24"/>
        </w:rPr>
        <w:t>;</w:t>
      </w:r>
      <w:r w:rsidRPr="00821743">
        <w:rPr>
          <w:rFonts w:asciiTheme="minorHAnsi" w:hAnsiTheme="minorHAnsi"/>
          <w:bCs/>
          <w:szCs w:val="24"/>
        </w:rPr>
        <w:t xml:space="preserve"> </w:t>
      </w:r>
      <w:r w:rsidR="000D4508" w:rsidRPr="00821743">
        <w:rPr>
          <w:rFonts w:asciiTheme="minorHAnsi" w:hAnsiTheme="minorHAnsi"/>
          <w:bCs/>
          <w:szCs w:val="24"/>
        </w:rPr>
        <w:t>and</w:t>
      </w:r>
      <w:r w:rsidR="00DB1599" w:rsidRPr="00821743">
        <w:rPr>
          <w:rFonts w:asciiTheme="minorHAnsi" w:hAnsiTheme="minorHAnsi"/>
          <w:bCs/>
          <w:szCs w:val="24"/>
        </w:rPr>
        <w:t xml:space="preserve"> the</w:t>
      </w:r>
      <w:r w:rsidR="00406E3C" w:rsidRPr="00821743">
        <w:rPr>
          <w:rFonts w:asciiTheme="minorHAnsi" w:hAnsiTheme="minorHAnsi"/>
          <w:bCs/>
          <w:szCs w:val="24"/>
        </w:rPr>
        <w:t>re were</w:t>
      </w:r>
      <w:r w:rsidR="00DB1599" w:rsidRPr="00821743">
        <w:rPr>
          <w:rFonts w:asciiTheme="minorHAnsi" w:hAnsiTheme="minorHAnsi"/>
          <w:bCs/>
          <w:szCs w:val="24"/>
        </w:rPr>
        <w:t xml:space="preserve"> issues </w:t>
      </w:r>
      <w:r w:rsidR="003C1528" w:rsidRPr="00821743">
        <w:rPr>
          <w:rFonts w:asciiTheme="minorHAnsi" w:hAnsiTheme="minorHAnsi"/>
          <w:bCs/>
          <w:szCs w:val="24"/>
        </w:rPr>
        <w:t xml:space="preserve">limiting </w:t>
      </w:r>
      <w:r w:rsidR="00DB1599" w:rsidRPr="00821743">
        <w:rPr>
          <w:rFonts w:asciiTheme="minorHAnsi" w:hAnsiTheme="minorHAnsi"/>
          <w:bCs/>
          <w:szCs w:val="24"/>
        </w:rPr>
        <w:t>the reliability of the indirect comparison (</w:t>
      </w:r>
      <w:r w:rsidR="003554AC" w:rsidRPr="00821743">
        <w:rPr>
          <w:rFonts w:asciiTheme="minorHAnsi" w:hAnsiTheme="minorHAnsi"/>
          <w:bCs/>
          <w:szCs w:val="24"/>
        </w:rPr>
        <w:t>as outlined in the previous paragraph</w:t>
      </w:r>
      <w:r w:rsidR="00DB1599" w:rsidRPr="00821743">
        <w:rPr>
          <w:rFonts w:asciiTheme="minorHAnsi" w:hAnsiTheme="minorHAnsi"/>
          <w:bCs/>
          <w:szCs w:val="24"/>
        </w:rPr>
        <w:t>)</w:t>
      </w:r>
      <w:r w:rsidR="00330B70" w:rsidRPr="00821743">
        <w:rPr>
          <w:rFonts w:asciiTheme="minorHAnsi" w:hAnsiTheme="minorHAnsi"/>
          <w:bCs/>
          <w:szCs w:val="24"/>
        </w:rPr>
        <w:t>.</w:t>
      </w:r>
      <w:r>
        <w:rPr>
          <w:rFonts w:asciiTheme="minorHAnsi" w:hAnsiTheme="minorHAnsi"/>
          <w:bCs/>
          <w:szCs w:val="24"/>
        </w:rPr>
        <w:t xml:space="preserve"> </w:t>
      </w:r>
      <w:r w:rsidR="003554AC" w:rsidRPr="00821743">
        <w:rPr>
          <w:rFonts w:asciiTheme="minorHAnsi" w:hAnsiTheme="minorHAnsi"/>
          <w:bCs/>
          <w:szCs w:val="24"/>
        </w:rPr>
        <w:t xml:space="preserve">Further, the PBAC noted that the overall survival gain </w:t>
      </w:r>
      <w:r w:rsidR="00FF3612" w:rsidRPr="00821743">
        <w:rPr>
          <w:rFonts w:asciiTheme="minorHAnsi" w:hAnsiTheme="minorHAnsi"/>
          <w:bCs/>
          <w:szCs w:val="24"/>
        </w:rPr>
        <w:t xml:space="preserve">in the ATE analysis </w:t>
      </w:r>
      <w:r w:rsidR="003554AC" w:rsidRPr="00821743">
        <w:rPr>
          <w:rFonts w:asciiTheme="minorHAnsi" w:hAnsiTheme="minorHAnsi"/>
          <w:bCs/>
          <w:szCs w:val="24"/>
        </w:rPr>
        <w:t>was not statistically significant (HR 0.68; 95% CI 0.42, 1.09)</w:t>
      </w:r>
      <w:r w:rsidR="005358A1" w:rsidRPr="00821743">
        <w:rPr>
          <w:rFonts w:asciiTheme="minorHAnsi" w:hAnsiTheme="minorHAnsi"/>
          <w:bCs/>
          <w:szCs w:val="24"/>
        </w:rPr>
        <w:t>.</w:t>
      </w:r>
    </w:p>
    <w:p w:rsidR="00406E3C" w:rsidRPr="00483EB6" w:rsidRDefault="005358A1"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Notwithstanding these limitations, t</w:t>
      </w:r>
      <w:r w:rsidR="000615F5" w:rsidRPr="00483EB6">
        <w:rPr>
          <w:rFonts w:asciiTheme="minorHAnsi" w:hAnsiTheme="minorHAnsi"/>
          <w:bCs/>
          <w:szCs w:val="24"/>
        </w:rPr>
        <w:t>he PBAC considered that th</w:t>
      </w:r>
      <w:r w:rsidRPr="00483EB6">
        <w:rPr>
          <w:rFonts w:asciiTheme="minorHAnsi" w:hAnsiTheme="minorHAnsi"/>
          <w:bCs/>
          <w:szCs w:val="24"/>
        </w:rPr>
        <w:t>e ATE analys</w:t>
      </w:r>
      <w:r w:rsidR="000615F5" w:rsidRPr="00483EB6">
        <w:rPr>
          <w:rFonts w:asciiTheme="minorHAnsi" w:hAnsiTheme="minorHAnsi"/>
          <w:bCs/>
          <w:szCs w:val="24"/>
        </w:rPr>
        <w:t xml:space="preserve">is was likely to be the most reliable comparative data available, noting the resubmission’s advice that randomised control data in this treatment setting would no longer be forthcoming as the ongoing studies of blinatumomab in this setting were amended from randomised controlled phase III trials to single arm studies. </w:t>
      </w:r>
    </w:p>
    <w:p w:rsidR="00CC3626" w:rsidRPr="00483EB6" w:rsidRDefault="00406E3C"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w:t>
      </w:r>
      <w:r w:rsidR="00CC3626" w:rsidRPr="00483EB6">
        <w:rPr>
          <w:rFonts w:asciiTheme="minorHAnsi" w:hAnsiTheme="minorHAnsi"/>
          <w:bCs/>
          <w:szCs w:val="24"/>
        </w:rPr>
        <w:t xml:space="preserve">noted </w:t>
      </w:r>
      <w:r w:rsidRPr="00483EB6">
        <w:rPr>
          <w:rFonts w:asciiTheme="minorHAnsi" w:hAnsiTheme="minorHAnsi"/>
          <w:bCs/>
          <w:szCs w:val="24"/>
        </w:rPr>
        <w:t>that</w:t>
      </w:r>
      <w:r w:rsidRPr="00483EB6">
        <w:t xml:space="preserve"> </w:t>
      </w:r>
      <w:r w:rsidR="00280756">
        <w:t xml:space="preserve">the PSCR provided </w:t>
      </w:r>
      <w:r w:rsidRPr="00483EB6">
        <w:rPr>
          <w:rFonts w:asciiTheme="minorHAnsi" w:hAnsiTheme="minorHAnsi"/>
          <w:bCs/>
          <w:szCs w:val="24"/>
        </w:rPr>
        <w:t xml:space="preserve">updated survival data from </w:t>
      </w:r>
      <w:r w:rsidR="00CC3626" w:rsidRPr="00483EB6">
        <w:rPr>
          <w:rFonts w:asciiTheme="minorHAnsi" w:hAnsiTheme="minorHAnsi"/>
          <w:bCs/>
          <w:szCs w:val="24"/>
        </w:rPr>
        <w:t xml:space="preserve">the </w:t>
      </w:r>
      <w:r w:rsidRPr="00483EB6">
        <w:rPr>
          <w:rFonts w:asciiTheme="minorHAnsi" w:hAnsiTheme="minorHAnsi"/>
          <w:bCs/>
          <w:szCs w:val="24"/>
        </w:rPr>
        <w:t xml:space="preserve">single-arm BLAST </w:t>
      </w:r>
      <w:r w:rsidR="00CC3626" w:rsidRPr="00483EB6">
        <w:rPr>
          <w:rFonts w:asciiTheme="minorHAnsi" w:hAnsiTheme="minorHAnsi"/>
          <w:bCs/>
          <w:szCs w:val="24"/>
        </w:rPr>
        <w:t>study</w:t>
      </w:r>
      <w:r w:rsidR="00C01939" w:rsidRPr="00483EB6">
        <w:rPr>
          <w:rFonts w:asciiTheme="minorHAnsi" w:hAnsiTheme="minorHAnsi"/>
          <w:bCs/>
          <w:szCs w:val="24"/>
        </w:rPr>
        <w:t xml:space="preserve"> </w:t>
      </w:r>
      <w:r w:rsidR="00280756">
        <w:rPr>
          <w:rFonts w:asciiTheme="minorHAnsi" w:hAnsiTheme="minorHAnsi"/>
          <w:bCs/>
          <w:szCs w:val="24"/>
        </w:rPr>
        <w:t xml:space="preserve">that </w:t>
      </w:r>
      <w:r w:rsidR="00C01939" w:rsidRPr="00483EB6">
        <w:rPr>
          <w:rFonts w:asciiTheme="minorHAnsi" w:hAnsiTheme="minorHAnsi"/>
          <w:bCs/>
          <w:szCs w:val="24"/>
        </w:rPr>
        <w:t xml:space="preserve">showed a </w:t>
      </w:r>
      <w:r w:rsidR="00C01939" w:rsidRPr="00483EB6">
        <w:rPr>
          <w:rFonts w:asciiTheme="minorHAnsi" w:hAnsiTheme="minorHAnsi"/>
          <w:szCs w:val="20"/>
        </w:rPr>
        <w:t>median overall survival of 36.5 months (95% CI 22.0, not estimable)</w:t>
      </w:r>
      <w:r w:rsidR="00CC3626" w:rsidRPr="00483EB6">
        <w:rPr>
          <w:rFonts w:asciiTheme="minorHAnsi" w:hAnsiTheme="minorHAnsi"/>
          <w:bCs/>
          <w:szCs w:val="24"/>
        </w:rPr>
        <w:t xml:space="preserve"> with a median follow up of 4.5 years</w:t>
      </w:r>
      <w:r w:rsidR="00C01939" w:rsidRPr="00483EB6">
        <w:rPr>
          <w:rFonts w:asciiTheme="minorHAnsi" w:hAnsiTheme="minorHAnsi"/>
          <w:bCs/>
          <w:szCs w:val="24"/>
        </w:rPr>
        <w:t>.</w:t>
      </w:r>
      <w:r w:rsidR="00CC3626" w:rsidRPr="00483EB6">
        <w:rPr>
          <w:rFonts w:asciiTheme="minorHAnsi" w:hAnsiTheme="minorHAnsi"/>
          <w:bCs/>
          <w:szCs w:val="24"/>
        </w:rPr>
        <w:t xml:space="preserve"> </w:t>
      </w:r>
      <w:r w:rsidR="00C01939" w:rsidRPr="00483EB6">
        <w:rPr>
          <w:rFonts w:asciiTheme="minorHAnsi" w:hAnsiTheme="minorHAnsi"/>
          <w:bCs/>
          <w:szCs w:val="24"/>
        </w:rPr>
        <w:t xml:space="preserve">These data showed </w:t>
      </w:r>
      <w:r w:rsidR="00280756">
        <w:rPr>
          <w:rFonts w:asciiTheme="minorHAnsi" w:hAnsiTheme="minorHAnsi"/>
          <w:bCs/>
          <w:szCs w:val="24"/>
        </w:rPr>
        <w:t xml:space="preserve">that </w:t>
      </w:r>
      <w:r w:rsidR="00065873" w:rsidRPr="00483EB6">
        <w:rPr>
          <w:rFonts w:asciiTheme="minorHAnsi" w:hAnsiTheme="minorHAnsi"/>
          <w:bCs/>
          <w:szCs w:val="24"/>
        </w:rPr>
        <w:t>overall survival was similar regardless of whether or not patients received HSCT (</w:t>
      </w:r>
      <w:r w:rsidR="00C01939" w:rsidRPr="00483EB6">
        <w:rPr>
          <w:rFonts w:asciiTheme="minorHAnsi" w:hAnsiTheme="minorHAnsi"/>
          <w:bCs/>
          <w:szCs w:val="24"/>
        </w:rPr>
        <w:t>in</w:t>
      </w:r>
      <w:r w:rsidR="00065873" w:rsidRPr="00483EB6">
        <w:rPr>
          <w:rFonts w:asciiTheme="minorHAnsi" w:hAnsiTheme="minorHAnsi"/>
          <w:bCs/>
          <w:szCs w:val="24"/>
        </w:rPr>
        <w:t xml:space="preserve"> </w:t>
      </w:r>
      <w:r w:rsidRPr="00483EB6">
        <w:rPr>
          <w:rFonts w:asciiTheme="minorHAnsi" w:hAnsiTheme="minorHAnsi"/>
          <w:bCs/>
          <w:szCs w:val="24"/>
        </w:rPr>
        <w:t>patients in continuous complete remission</w:t>
      </w:r>
      <w:r w:rsidR="00065873" w:rsidRPr="00483EB6">
        <w:rPr>
          <w:rFonts w:asciiTheme="minorHAnsi" w:hAnsiTheme="minorHAnsi"/>
          <w:bCs/>
          <w:szCs w:val="24"/>
        </w:rPr>
        <w:t>,</w:t>
      </w:r>
      <w:r w:rsidRPr="00483EB6">
        <w:rPr>
          <w:rFonts w:asciiTheme="minorHAnsi" w:hAnsiTheme="minorHAnsi"/>
          <w:bCs/>
          <w:szCs w:val="24"/>
        </w:rPr>
        <w:t xml:space="preserve"> Figure 3). </w:t>
      </w:r>
      <w:r w:rsidR="005358A1" w:rsidRPr="00483EB6">
        <w:rPr>
          <w:rFonts w:asciiTheme="minorHAnsi" w:hAnsiTheme="minorHAnsi"/>
          <w:bCs/>
          <w:szCs w:val="24"/>
        </w:rPr>
        <w:t>However, t</w:t>
      </w:r>
      <w:r w:rsidRPr="00483EB6">
        <w:rPr>
          <w:rFonts w:asciiTheme="minorHAnsi" w:hAnsiTheme="minorHAnsi"/>
          <w:bCs/>
          <w:szCs w:val="24"/>
        </w:rPr>
        <w:t xml:space="preserve">he </w:t>
      </w:r>
      <w:r w:rsidR="00065873" w:rsidRPr="00483EB6">
        <w:rPr>
          <w:rFonts w:asciiTheme="minorHAnsi" w:hAnsiTheme="minorHAnsi"/>
          <w:bCs/>
          <w:szCs w:val="24"/>
        </w:rPr>
        <w:t>PBAC</w:t>
      </w:r>
      <w:r w:rsidRPr="00483EB6">
        <w:rPr>
          <w:rFonts w:asciiTheme="minorHAnsi" w:hAnsiTheme="minorHAnsi"/>
          <w:bCs/>
          <w:szCs w:val="24"/>
        </w:rPr>
        <w:t xml:space="preserve"> noted that</w:t>
      </w:r>
      <w:r w:rsidR="00065873" w:rsidRPr="00483EB6">
        <w:rPr>
          <w:rFonts w:asciiTheme="minorHAnsi" w:hAnsiTheme="minorHAnsi"/>
          <w:bCs/>
          <w:szCs w:val="24"/>
        </w:rPr>
        <w:t xml:space="preserve"> the causes of death differed:</w:t>
      </w:r>
      <w:r w:rsidRPr="00483EB6">
        <w:rPr>
          <w:rFonts w:asciiTheme="minorHAnsi" w:hAnsiTheme="minorHAnsi"/>
          <w:bCs/>
          <w:szCs w:val="24"/>
        </w:rPr>
        <w:t xml:space="preserve"> mortality in patients who did not undergo HSCT was largel</w:t>
      </w:r>
      <w:r w:rsidR="00C01939" w:rsidRPr="00483EB6">
        <w:rPr>
          <w:rFonts w:asciiTheme="minorHAnsi" w:hAnsiTheme="minorHAnsi"/>
          <w:bCs/>
          <w:szCs w:val="24"/>
        </w:rPr>
        <w:t>y due to relapse</w:t>
      </w:r>
      <w:r w:rsidR="00821743">
        <w:rPr>
          <w:rFonts w:asciiTheme="minorHAnsi" w:hAnsiTheme="minorHAnsi"/>
          <w:bCs/>
          <w:szCs w:val="24"/>
        </w:rPr>
        <w:t>;</w:t>
      </w:r>
      <w:r w:rsidRPr="00483EB6">
        <w:rPr>
          <w:rFonts w:asciiTheme="minorHAnsi" w:hAnsiTheme="minorHAnsi"/>
          <w:bCs/>
          <w:szCs w:val="24"/>
        </w:rPr>
        <w:t xml:space="preserve"> while mortality in patients who underwent HSCT was mainly in </w:t>
      </w:r>
      <w:r w:rsidR="005531EB" w:rsidRPr="00483EB6">
        <w:rPr>
          <w:rFonts w:asciiTheme="minorHAnsi" w:hAnsiTheme="minorHAnsi"/>
          <w:bCs/>
          <w:szCs w:val="24"/>
        </w:rPr>
        <w:t>relapse-free</w:t>
      </w:r>
      <w:r w:rsidRPr="00483EB6">
        <w:rPr>
          <w:rFonts w:asciiTheme="minorHAnsi" w:hAnsiTheme="minorHAnsi"/>
          <w:bCs/>
          <w:szCs w:val="24"/>
        </w:rPr>
        <w:t xml:space="preserve"> patients and likely due to HSCT complications (Figure 4). The </w:t>
      </w:r>
      <w:r w:rsidR="00C01939" w:rsidRPr="00483EB6">
        <w:rPr>
          <w:rFonts w:asciiTheme="minorHAnsi" w:hAnsiTheme="minorHAnsi"/>
          <w:bCs/>
          <w:szCs w:val="24"/>
        </w:rPr>
        <w:t>PBAC</w:t>
      </w:r>
      <w:r w:rsidRPr="00483EB6">
        <w:rPr>
          <w:rFonts w:asciiTheme="minorHAnsi" w:hAnsiTheme="minorHAnsi"/>
          <w:bCs/>
          <w:szCs w:val="24"/>
        </w:rPr>
        <w:t xml:space="preserve"> noted that the majority of patients who underwent HSCT in continuous complete remission </w:t>
      </w:r>
      <w:r w:rsidR="005358A1" w:rsidRPr="00483EB6">
        <w:rPr>
          <w:rFonts w:asciiTheme="minorHAnsi" w:hAnsiTheme="minorHAnsi"/>
          <w:bCs/>
          <w:szCs w:val="24"/>
        </w:rPr>
        <w:t>were</w:t>
      </w:r>
      <w:r w:rsidRPr="00483EB6">
        <w:rPr>
          <w:rFonts w:asciiTheme="minorHAnsi" w:hAnsiTheme="minorHAnsi"/>
          <w:bCs/>
          <w:szCs w:val="24"/>
        </w:rPr>
        <w:t xml:space="preserve"> relapse</w:t>
      </w:r>
      <w:r w:rsidR="00B731ED" w:rsidRPr="00483EB6">
        <w:rPr>
          <w:rFonts w:asciiTheme="minorHAnsi" w:hAnsiTheme="minorHAnsi"/>
          <w:bCs/>
          <w:szCs w:val="24"/>
        </w:rPr>
        <w:t>-</w:t>
      </w:r>
      <w:r w:rsidRPr="00483EB6">
        <w:rPr>
          <w:rFonts w:asciiTheme="minorHAnsi" w:hAnsiTheme="minorHAnsi"/>
          <w:bCs/>
          <w:szCs w:val="24"/>
        </w:rPr>
        <w:t>free</w:t>
      </w:r>
      <w:r w:rsidR="005358A1" w:rsidRPr="00483EB6">
        <w:rPr>
          <w:rFonts w:asciiTheme="minorHAnsi" w:hAnsiTheme="minorHAnsi"/>
          <w:bCs/>
          <w:szCs w:val="24"/>
        </w:rPr>
        <w:t xml:space="preserve"> at the time of the data-cut</w:t>
      </w:r>
      <w:r w:rsidR="00C01939" w:rsidRPr="00483EB6">
        <w:rPr>
          <w:rFonts w:asciiTheme="minorHAnsi" w:hAnsiTheme="minorHAnsi"/>
          <w:bCs/>
          <w:szCs w:val="24"/>
        </w:rPr>
        <w:t xml:space="preserve"> and considered it was plausible that some of </w:t>
      </w:r>
      <w:r w:rsidR="00C01939" w:rsidRPr="00483EB6">
        <w:rPr>
          <w:rFonts w:asciiTheme="minorHAnsi" w:hAnsiTheme="minorHAnsi"/>
          <w:bCs/>
          <w:szCs w:val="24"/>
        </w:rPr>
        <w:lastRenderedPageBreak/>
        <w:t>these patients may have a durable long-term survival</w:t>
      </w:r>
      <w:r w:rsidRPr="00483EB6">
        <w:rPr>
          <w:rFonts w:asciiTheme="minorHAnsi" w:hAnsiTheme="minorHAnsi"/>
          <w:bCs/>
          <w:szCs w:val="24"/>
        </w:rPr>
        <w:t>.</w:t>
      </w:r>
      <w:r w:rsidR="00AF507F" w:rsidRPr="00483EB6">
        <w:rPr>
          <w:rFonts w:asciiTheme="minorHAnsi" w:hAnsiTheme="minorHAnsi"/>
          <w:bCs/>
          <w:szCs w:val="24"/>
        </w:rPr>
        <w:t xml:space="preserve"> </w:t>
      </w:r>
      <w:r w:rsidR="00C01939" w:rsidRPr="00483EB6">
        <w:rPr>
          <w:rFonts w:asciiTheme="minorHAnsi" w:hAnsiTheme="minorHAnsi"/>
          <w:bCs/>
          <w:szCs w:val="24"/>
        </w:rPr>
        <w:t>Thus, t</w:t>
      </w:r>
      <w:r w:rsidR="007A3965" w:rsidRPr="00483EB6">
        <w:rPr>
          <w:rFonts w:asciiTheme="minorHAnsi" w:hAnsiTheme="minorHAnsi"/>
          <w:bCs/>
          <w:szCs w:val="24"/>
        </w:rPr>
        <w:t>he PBAC considered that th</w:t>
      </w:r>
      <w:r w:rsidR="005358A1" w:rsidRPr="00483EB6">
        <w:rPr>
          <w:rFonts w:asciiTheme="minorHAnsi" w:hAnsiTheme="minorHAnsi"/>
          <w:bCs/>
          <w:szCs w:val="24"/>
        </w:rPr>
        <w:t>ese</w:t>
      </w:r>
      <w:r w:rsidR="007A3965" w:rsidRPr="00483EB6">
        <w:rPr>
          <w:rFonts w:asciiTheme="minorHAnsi" w:hAnsiTheme="minorHAnsi"/>
          <w:bCs/>
          <w:szCs w:val="24"/>
        </w:rPr>
        <w:t xml:space="preserve"> updated data provided a clearer indication that blinatumomab may be associated with an </w:t>
      </w:r>
      <w:r w:rsidR="001B4965" w:rsidRPr="00483EB6">
        <w:rPr>
          <w:rFonts w:asciiTheme="minorHAnsi" w:hAnsiTheme="minorHAnsi"/>
          <w:bCs/>
          <w:szCs w:val="24"/>
        </w:rPr>
        <w:t>overall survival</w:t>
      </w:r>
      <w:r w:rsidR="007A3965" w:rsidRPr="00483EB6">
        <w:rPr>
          <w:rFonts w:asciiTheme="minorHAnsi" w:hAnsiTheme="minorHAnsi"/>
          <w:bCs/>
          <w:szCs w:val="24"/>
        </w:rPr>
        <w:t xml:space="preserve"> advantage.</w:t>
      </w:r>
      <w:r w:rsidR="00BA74A8" w:rsidRPr="00483EB6">
        <w:t xml:space="preserve"> </w:t>
      </w:r>
      <w:r w:rsidR="00BA74A8" w:rsidRPr="00483EB6">
        <w:rPr>
          <w:rFonts w:asciiTheme="minorHAnsi" w:hAnsiTheme="minorHAnsi"/>
          <w:bCs/>
          <w:szCs w:val="24"/>
        </w:rPr>
        <w:t>However, the PBAC considered that it remained unclear whether blinatumomab would lead to long-term gains in overall survival given the lack of reliable comparative data and the relative immaturity of data from the BLAST study.</w:t>
      </w:r>
    </w:p>
    <w:p w:rsidR="009B4CC5" w:rsidRPr="00483EB6" w:rsidRDefault="009B4CC5"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reiterated its previous consideration that blinatumomab is effective </w:t>
      </w:r>
      <w:r w:rsidR="0003042B">
        <w:rPr>
          <w:rFonts w:asciiTheme="minorHAnsi" w:hAnsiTheme="minorHAnsi"/>
          <w:bCs/>
          <w:szCs w:val="24"/>
        </w:rPr>
        <w:t>at</w:t>
      </w:r>
      <w:r w:rsidRPr="00483EB6">
        <w:rPr>
          <w:rFonts w:asciiTheme="minorHAnsi" w:hAnsiTheme="minorHAnsi"/>
          <w:bCs/>
          <w:szCs w:val="24"/>
        </w:rPr>
        <w:t xml:space="preserve"> eliminating MRD and is associated with durable relapse-free survival. </w:t>
      </w:r>
    </w:p>
    <w:p w:rsidR="00C50254" w:rsidRPr="00483EB6" w:rsidRDefault="009B1BF8"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noted that </w:t>
      </w:r>
      <w:r w:rsidR="00280756">
        <w:rPr>
          <w:rFonts w:asciiTheme="minorHAnsi" w:hAnsiTheme="minorHAnsi"/>
          <w:bCs/>
          <w:szCs w:val="24"/>
        </w:rPr>
        <w:t xml:space="preserve">the resubmission did not present any </w:t>
      </w:r>
      <w:r w:rsidRPr="00483EB6">
        <w:rPr>
          <w:rFonts w:asciiTheme="minorHAnsi" w:hAnsiTheme="minorHAnsi"/>
          <w:bCs/>
          <w:szCs w:val="24"/>
        </w:rPr>
        <w:t xml:space="preserve">new clinical safety data. As such, the PBAC maintained its previous consideration that blinatumomab and standard of care chemotherapy have different safety profiles, </w:t>
      </w:r>
      <w:r w:rsidR="003812EF">
        <w:rPr>
          <w:rFonts w:asciiTheme="minorHAnsi" w:hAnsiTheme="minorHAnsi"/>
          <w:bCs/>
          <w:szCs w:val="24"/>
        </w:rPr>
        <w:t>where both</w:t>
      </w:r>
      <w:r w:rsidRPr="00483EB6">
        <w:rPr>
          <w:rFonts w:asciiTheme="minorHAnsi" w:hAnsiTheme="minorHAnsi"/>
          <w:bCs/>
          <w:szCs w:val="24"/>
        </w:rPr>
        <w:t xml:space="preserve"> </w:t>
      </w:r>
      <w:r w:rsidR="003812EF">
        <w:rPr>
          <w:rFonts w:asciiTheme="minorHAnsi" w:hAnsiTheme="minorHAnsi"/>
          <w:bCs/>
          <w:szCs w:val="24"/>
        </w:rPr>
        <w:t xml:space="preserve">are </w:t>
      </w:r>
      <w:r w:rsidRPr="00483EB6">
        <w:rPr>
          <w:rFonts w:asciiTheme="minorHAnsi" w:hAnsiTheme="minorHAnsi"/>
          <w:bCs/>
          <w:szCs w:val="24"/>
        </w:rPr>
        <w:t xml:space="preserve">associated with potentially life-threatening complications. </w:t>
      </w:r>
    </w:p>
    <w:p w:rsidR="0006487E" w:rsidRPr="00483EB6" w:rsidRDefault="000615F5"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The</w:t>
      </w:r>
      <w:r w:rsidR="00E17AD0" w:rsidRPr="00483EB6">
        <w:rPr>
          <w:rFonts w:asciiTheme="minorHAnsi" w:hAnsiTheme="minorHAnsi"/>
          <w:bCs/>
          <w:szCs w:val="24"/>
        </w:rPr>
        <w:t xml:space="preserve"> PBAC </w:t>
      </w:r>
      <w:r w:rsidR="00703BEE" w:rsidRPr="00483EB6">
        <w:rPr>
          <w:rFonts w:asciiTheme="minorHAnsi" w:hAnsiTheme="minorHAnsi"/>
          <w:bCs/>
          <w:szCs w:val="24"/>
        </w:rPr>
        <w:t>noted</w:t>
      </w:r>
      <w:r w:rsidRPr="00483EB6">
        <w:rPr>
          <w:rFonts w:asciiTheme="minorHAnsi" w:hAnsiTheme="minorHAnsi"/>
          <w:bCs/>
          <w:szCs w:val="24"/>
        </w:rPr>
        <w:t xml:space="preserve"> that the economic model </w:t>
      </w:r>
      <w:r w:rsidR="002008EF" w:rsidRPr="00483EB6">
        <w:rPr>
          <w:rFonts w:asciiTheme="minorHAnsi" w:hAnsiTheme="minorHAnsi"/>
          <w:bCs/>
          <w:szCs w:val="24"/>
        </w:rPr>
        <w:t>included three health states: relapse-free disease</w:t>
      </w:r>
      <w:r w:rsidR="00280756">
        <w:rPr>
          <w:rFonts w:asciiTheme="minorHAnsi" w:hAnsiTheme="minorHAnsi"/>
          <w:bCs/>
          <w:szCs w:val="24"/>
        </w:rPr>
        <w:t>,</w:t>
      </w:r>
      <w:r w:rsidR="002008EF" w:rsidRPr="00483EB6">
        <w:rPr>
          <w:rFonts w:asciiTheme="minorHAnsi" w:hAnsiTheme="minorHAnsi"/>
          <w:bCs/>
          <w:szCs w:val="24"/>
        </w:rPr>
        <w:t xml:space="preserve"> relapsed disease and death. </w:t>
      </w:r>
      <w:r w:rsidR="00703BEE" w:rsidRPr="00483EB6">
        <w:rPr>
          <w:rFonts w:asciiTheme="minorHAnsi" w:hAnsiTheme="minorHAnsi"/>
          <w:bCs/>
          <w:szCs w:val="24"/>
        </w:rPr>
        <w:t xml:space="preserve">HSCT </w:t>
      </w:r>
      <w:r w:rsidR="00082EF0" w:rsidRPr="00483EB6">
        <w:rPr>
          <w:rFonts w:asciiTheme="minorHAnsi" w:hAnsiTheme="minorHAnsi"/>
          <w:bCs/>
          <w:szCs w:val="24"/>
        </w:rPr>
        <w:t xml:space="preserve">was not included </w:t>
      </w:r>
      <w:r w:rsidR="00703BEE" w:rsidRPr="00483EB6">
        <w:rPr>
          <w:rFonts w:asciiTheme="minorHAnsi" w:hAnsiTheme="minorHAnsi"/>
          <w:bCs/>
          <w:szCs w:val="24"/>
        </w:rPr>
        <w:t>as a health state</w:t>
      </w:r>
      <w:r w:rsidR="000E0991" w:rsidRPr="00483EB6">
        <w:rPr>
          <w:rFonts w:asciiTheme="minorHAnsi" w:hAnsiTheme="minorHAnsi"/>
          <w:bCs/>
          <w:szCs w:val="24"/>
        </w:rPr>
        <w:t xml:space="preserve"> despite it being a treatment effect modifier, and </w:t>
      </w:r>
      <w:r w:rsidR="0053739D" w:rsidRPr="00483EB6">
        <w:rPr>
          <w:rFonts w:asciiTheme="minorHAnsi" w:hAnsiTheme="minorHAnsi"/>
          <w:bCs/>
          <w:szCs w:val="24"/>
        </w:rPr>
        <w:t xml:space="preserve">a major clinical event with its own </w:t>
      </w:r>
      <w:r w:rsidR="000E0991" w:rsidRPr="00483EB6">
        <w:rPr>
          <w:rFonts w:asciiTheme="minorHAnsi" w:hAnsiTheme="minorHAnsi"/>
          <w:bCs/>
          <w:szCs w:val="24"/>
        </w:rPr>
        <w:t>risks, benefits and costs</w:t>
      </w:r>
      <w:r w:rsidR="00082EF0" w:rsidRPr="00483EB6">
        <w:rPr>
          <w:rFonts w:asciiTheme="minorHAnsi" w:hAnsiTheme="minorHAnsi"/>
          <w:bCs/>
          <w:szCs w:val="24"/>
        </w:rPr>
        <w:t xml:space="preserve">. As outlined in Paragraph 7.9, the cause of death appeared to differ depending on whether a patient </w:t>
      </w:r>
      <w:r w:rsidR="00C107F0" w:rsidRPr="00483EB6">
        <w:rPr>
          <w:rFonts w:asciiTheme="minorHAnsi" w:hAnsiTheme="minorHAnsi"/>
          <w:bCs/>
          <w:szCs w:val="24"/>
        </w:rPr>
        <w:t>underwent</w:t>
      </w:r>
      <w:r w:rsidR="00082EF0" w:rsidRPr="00483EB6">
        <w:rPr>
          <w:rFonts w:asciiTheme="minorHAnsi" w:hAnsiTheme="minorHAnsi"/>
          <w:bCs/>
          <w:szCs w:val="24"/>
        </w:rPr>
        <w:t xml:space="preserve"> HSCT. As such, the PBAC considered that the model</w:t>
      </w:r>
      <w:r w:rsidR="00703BEE" w:rsidRPr="00483EB6">
        <w:rPr>
          <w:rFonts w:asciiTheme="minorHAnsi" w:hAnsiTheme="minorHAnsi"/>
          <w:bCs/>
          <w:szCs w:val="24"/>
        </w:rPr>
        <w:t xml:space="preserve"> did not adequately reflect the different</w:t>
      </w:r>
      <w:r w:rsidR="002405FB" w:rsidRPr="00483EB6">
        <w:rPr>
          <w:rFonts w:asciiTheme="minorHAnsi" w:hAnsiTheme="minorHAnsi"/>
          <w:bCs/>
          <w:szCs w:val="24"/>
        </w:rPr>
        <w:t xml:space="preserve"> treatment pathways </w:t>
      </w:r>
      <w:r w:rsidR="00703BEE" w:rsidRPr="00483EB6">
        <w:rPr>
          <w:rFonts w:asciiTheme="minorHAnsi" w:hAnsiTheme="minorHAnsi"/>
          <w:bCs/>
          <w:szCs w:val="24"/>
        </w:rPr>
        <w:t>that patients treated with blinatumomab would undergo depending on whether they underwent HSCT, relapsed, experienced HSCT complications, died or experienced long-term survival</w:t>
      </w:r>
      <w:r w:rsidR="00061430" w:rsidRPr="00483EB6">
        <w:rPr>
          <w:rFonts w:asciiTheme="minorHAnsi" w:hAnsiTheme="minorHAnsi"/>
          <w:bCs/>
          <w:szCs w:val="24"/>
        </w:rPr>
        <w:t xml:space="preserve"> (as outlined in Paragraph 6.27)</w:t>
      </w:r>
      <w:r w:rsidR="00703BEE" w:rsidRPr="00483EB6">
        <w:rPr>
          <w:rFonts w:asciiTheme="minorHAnsi" w:hAnsiTheme="minorHAnsi"/>
          <w:bCs/>
          <w:szCs w:val="24"/>
        </w:rPr>
        <w:t>.</w:t>
      </w:r>
      <w:r w:rsidR="006106C2" w:rsidRPr="00483EB6">
        <w:rPr>
          <w:rFonts w:asciiTheme="minorHAnsi" w:hAnsiTheme="minorHAnsi"/>
          <w:bCs/>
          <w:szCs w:val="24"/>
        </w:rPr>
        <w:t xml:space="preserve"> </w:t>
      </w:r>
      <w:r w:rsidR="00703BEE" w:rsidRPr="00483EB6">
        <w:rPr>
          <w:rFonts w:asciiTheme="minorHAnsi" w:hAnsiTheme="minorHAnsi"/>
          <w:bCs/>
          <w:szCs w:val="24"/>
        </w:rPr>
        <w:t xml:space="preserve">The PBAC considered that patients following different pathways would accrue different costs, </w:t>
      </w:r>
      <w:r w:rsidR="00061430" w:rsidRPr="00483EB6">
        <w:rPr>
          <w:rFonts w:asciiTheme="minorHAnsi" w:hAnsiTheme="minorHAnsi"/>
          <w:bCs/>
          <w:szCs w:val="24"/>
        </w:rPr>
        <w:t xml:space="preserve">and </w:t>
      </w:r>
      <w:r w:rsidR="00C107F0" w:rsidRPr="00483EB6">
        <w:rPr>
          <w:rFonts w:asciiTheme="minorHAnsi" w:hAnsiTheme="minorHAnsi"/>
          <w:bCs/>
          <w:szCs w:val="24"/>
        </w:rPr>
        <w:t xml:space="preserve">have </w:t>
      </w:r>
      <w:r w:rsidR="00703BEE" w:rsidRPr="00483EB6">
        <w:rPr>
          <w:rFonts w:asciiTheme="minorHAnsi" w:hAnsiTheme="minorHAnsi"/>
          <w:bCs/>
          <w:szCs w:val="24"/>
        </w:rPr>
        <w:t xml:space="preserve">different treatment </w:t>
      </w:r>
      <w:r w:rsidR="0053739D" w:rsidRPr="00483EB6">
        <w:rPr>
          <w:rFonts w:asciiTheme="minorHAnsi" w:hAnsiTheme="minorHAnsi"/>
          <w:bCs/>
          <w:szCs w:val="24"/>
        </w:rPr>
        <w:t>outcomes</w:t>
      </w:r>
      <w:r w:rsidR="001B4965" w:rsidRPr="00483EB6">
        <w:rPr>
          <w:rFonts w:asciiTheme="minorHAnsi" w:hAnsiTheme="minorHAnsi"/>
          <w:bCs/>
          <w:szCs w:val="24"/>
        </w:rPr>
        <w:t xml:space="preserve"> (both risks and benefits)</w:t>
      </w:r>
      <w:r w:rsidR="00061430" w:rsidRPr="00483EB6">
        <w:rPr>
          <w:rFonts w:asciiTheme="minorHAnsi" w:hAnsiTheme="minorHAnsi"/>
          <w:bCs/>
          <w:szCs w:val="24"/>
        </w:rPr>
        <w:t xml:space="preserve">, and that, in patients who undergo HSCT, some of these benefits may also be </w:t>
      </w:r>
      <w:r w:rsidR="00703BEE" w:rsidRPr="00483EB6">
        <w:rPr>
          <w:rFonts w:asciiTheme="minorHAnsi" w:hAnsiTheme="minorHAnsi"/>
          <w:bCs/>
          <w:szCs w:val="24"/>
        </w:rPr>
        <w:t xml:space="preserve">attributable to </w:t>
      </w:r>
      <w:r w:rsidR="00061430" w:rsidRPr="00483EB6">
        <w:rPr>
          <w:rFonts w:asciiTheme="minorHAnsi" w:hAnsiTheme="minorHAnsi"/>
          <w:bCs/>
          <w:szCs w:val="24"/>
        </w:rPr>
        <w:t>HSCT</w:t>
      </w:r>
      <w:r w:rsidR="00703BEE" w:rsidRPr="00483EB6">
        <w:rPr>
          <w:rFonts w:asciiTheme="minorHAnsi" w:hAnsiTheme="minorHAnsi"/>
          <w:bCs/>
          <w:szCs w:val="24"/>
        </w:rPr>
        <w:t>.</w:t>
      </w:r>
      <w:r w:rsidR="002008EF" w:rsidRPr="00483EB6">
        <w:rPr>
          <w:rFonts w:asciiTheme="minorHAnsi" w:hAnsiTheme="minorHAnsi"/>
          <w:bCs/>
          <w:szCs w:val="24"/>
        </w:rPr>
        <w:t xml:space="preserve"> While inclusion of data from the BLAST study may have implicitly included some of these effects, t</w:t>
      </w:r>
      <w:r w:rsidR="009058C8" w:rsidRPr="00483EB6">
        <w:rPr>
          <w:rFonts w:asciiTheme="minorHAnsi" w:hAnsiTheme="minorHAnsi"/>
          <w:bCs/>
          <w:szCs w:val="24"/>
        </w:rPr>
        <w:t xml:space="preserve">he PBAC </w:t>
      </w:r>
      <w:r w:rsidR="002008EF" w:rsidRPr="00483EB6">
        <w:rPr>
          <w:rFonts w:asciiTheme="minorHAnsi" w:hAnsiTheme="minorHAnsi"/>
          <w:bCs/>
          <w:szCs w:val="24"/>
        </w:rPr>
        <w:t>considered</w:t>
      </w:r>
      <w:r w:rsidR="009058C8" w:rsidRPr="00483EB6">
        <w:rPr>
          <w:rFonts w:asciiTheme="minorHAnsi" w:hAnsiTheme="minorHAnsi"/>
          <w:bCs/>
          <w:szCs w:val="24"/>
        </w:rPr>
        <w:t xml:space="preserve"> that</w:t>
      </w:r>
      <w:r w:rsidR="000E0991" w:rsidRPr="00483EB6">
        <w:rPr>
          <w:rFonts w:asciiTheme="minorHAnsi" w:hAnsiTheme="minorHAnsi"/>
          <w:bCs/>
          <w:szCs w:val="24"/>
        </w:rPr>
        <w:t xml:space="preserve"> </w:t>
      </w:r>
      <w:r w:rsidR="0003042B" w:rsidRPr="00483EB6">
        <w:rPr>
          <w:rFonts w:asciiTheme="minorHAnsi" w:hAnsiTheme="minorHAnsi"/>
          <w:bCs/>
          <w:szCs w:val="24"/>
        </w:rPr>
        <w:t xml:space="preserve">the costs, risks and benefits of the different treatment pathways </w:t>
      </w:r>
      <w:r w:rsidR="0003042B">
        <w:rPr>
          <w:rFonts w:asciiTheme="minorHAnsi" w:hAnsiTheme="minorHAnsi"/>
          <w:bCs/>
          <w:szCs w:val="24"/>
        </w:rPr>
        <w:t xml:space="preserve">would </w:t>
      </w:r>
      <w:r w:rsidR="0003042B" w:rsidRPr="00483EB6">
        <w:rPr>
          <w:rFonts w:asciiTheme="minorHAnsi" w:hAnsiTheme="minorHAnsi"/>
          <w:bCs/>
          <w:szCs w:val="24"/>
        </w:rPr>
        <w:t>need to be modelled</w:t>
      </w:r>
      <w:r w:rsidR="0003042B" w:rsidRPr="00821743">
        <w:rPr>
          <w:rFonts w:asciiTheme="minorHAnsi" w:hAnsiTheme="minorHAnsi"/>
          <w:bCs/>
          <w:szCs w:val="24"/>
        </w:rPr>
        <w:t xml:space="preserve"> </w:t>
      </w:r>
      <w:r w:rsidR="0003042B" w:rsidRPr="00483EB6">
        <w:rPr>
          <w:rFonts w:asciiTheme="minorHAnsi" w:hAnsiTheme="minorHAnsi"/>
          <w:bCs/>
          <w:szCs w:val="24"/>
        </w:rPr>
        <w:t>explicitly</w:t>
      </w:r>
      <w:r w:rsidR="0003042B">
        <w:rPr>
          <w:rFonts w:asciiTheme="minorHAnsi" w:hAnsiTheme="minorHAnsi"/>
          <w:bCs/>
          <w:szCs w:val="24"/>
        </w:rPr>
        <w:t xml:space="preserve"> </w:t>
      </w:r>
      <w:r w:rsidR="00821743">
        <w:rPr>
          <w:rFonts w:asciiTheme="minorHAnsi" w:hAnsiTheme="minorHAnsi"/>
          <w:bCs/>
          <w:szCs w:val="24"/>
        </w:rPr>
        <w:t xml:space="preserve">in order </w:t>
      </w:r>
      <w:r w:rsidR="000E0991" w:rsidRPr="00483EB6">
        <w:rPr>
          <w:rFonts w:asciiTheme="minorHAnsi" w:hAnsiTheme="minorHAnsi"/>
          <w:bCs/>
          <w:szCs w:val="24"/>
        </w:rPr>
        <w:t>to accurately reflect the course of the disease</w:t>
      </w:r>
      <w:r w:rsidR="001B4965" w:rsidRPr="00483EB6">
        <w:rPr>
          <w:rFonts w:asciiTheme="minorHAnsi" w:hAnsiTheme="minorHAnsi"/>
          <w:bCs/>
          <w:szCs w:val="24"/>
        </w:rPr>
        <w:t xml:space="preserve"> and </w:t>
      </w:r>
      <w:r w:rsidR="009B4CC9">
        <w:rPr>
          <w:rFonts w:asciiTheme="minorHAnsi" w:hAnsiTheme="minorHAnsi"/>
          <w:bCs/>
          <w:szCs w:val="24"/>
        </w:rPr>
        <w:t xml:space="preserve">to </w:t>
      </w:r>
      <w:r w:rsidR="001B4965" w:rsidRPr="00483EB6">
        <w:rPr>
          <w:rFonts w:asciiTheme="minorHAnsi" w:hAnsiTheme="minorHAnsi"/>
          <w:bCs/>
          <w:szCs w:val="24"/>
        </w:rPr>
        <w:t>reliably estimate cost-effectiveness</w:t>
      </w:r>
      <w:r w:rsidR="0053739D" w:rsidRPr="00483EB6">
        <w:rPr>
          <w:rFonts w:asciiTheme="minorHAnsi" w:hAnsiTheme="minorHAnsi"/>
          <w:bCs/>
          <w:szCs w:val="24"/>
        </w:rPr>
        <w:t>.</w:t>
      </w:r>
      <w:r w:rsidR="00E72327" w:rsidRPr="00483EB6">
        <w:rPr>
          <w:rFonts w:asciiTheme="minorHAnsi" w:hAnsiTheme="minorHAnsi"/>
          <w:bCs/>
          <w:szCs w:val="24"/>
        </w:rPr>
        <w:t xml:space="preserve"> </w:t>
      </w:r>
      <w:r w:rsidR="00BC7164" w:rsidRPr="00483EB6">
        <w:rPr>
          <w:rFonts w:asciiTheme="minorHAnsi" w:hAnsiTheme="minorHAnsi"/>
          <w:bCs/>
          <w:szCs w:val="24"/>
        </w:rPr>
        <w:t xml:space="preserve">However, the </w:t>
      </w:r>
      <w:r w:rsidR="002008EF" w:rsidRPr="00483EB6">
        <w:rPr>
          <w:rFonts w:asciiTheme="minorHAnsi" w:hAnsiTheme="minorHAnsi"/>
          <w:bCs/>
          <w:szCs w:val="24"/>
        </w:rPr>
        <w:t>PBAC acknowledged that there w</w:t>
      </w:r>
      <w:r w:rsidR="00821743">
        <w:rPr>
          <w:rFonts w:asciiTheme="minorHAnsi" w:hAnsiTheme="minorHAnsi"/>
          <w:bCs/>
          <w:szCs w:val="24"/>
        </w:rPr>
        <w:t>as</w:t>
      </w:r>
      <w:r w:rsidR="002008EF" w:rsidRPr="00483EB6">
        <w:rPr>
          <w:rFonts w:asciiTheme="minorHAnsi" w:hAnsiTheme="minorHAnsi"/>
          <w:bCs/>
          <w:szCs w:val="24"/>
        </w:rPr>
        <w:t xml:space="preserve"> unlikely to be sufficient data to </w:t>
      </w:r>
      <w:r w:rsidR="00821743">
        <w:rPr>
          <w:rFonts w:asciiTheme="minorHAnsi" w:hAnsiTheme="minorHAnsi"/>
          <w:bCs/>
          <w:szCs w:val="24"/>
        </w:rPr>
        <w:t>reliably</w:t>
      </w:r>
      <w:r w:rsidR="00821743" w:rsidRPr="00483EB6">
        <w:rPr>
          <w:rFonts w:asciiTheme="minorHAnsi" w:hAnsiTheme="minorHAnsi"/>
          <w:bCs/>
          <w:szCs w:val="24"/>
        </w:rPr>
        <w:t xml:space="preserve"> </w:t>
      </w:r>
      <w:r w:rsidR="002008EF" w:rsidRPr="00483EB6">
        <w:rPr>
          <w:rFonts w:asciiTheme="minorHAnsi" w:hAnsiTheme="minorHAnsi"/>
          <w:bCs/>
          <w:szCs w:val="24"/>
        </w:rPr>
        <w:t xml:space="preserve">inform each of the treatment pathways. </w:t>
      </w:r>
    </w:p>
    <w:p w:rsidR="00280756" w:rsidRDefault="00735801"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w:t>
      </w:r>
      <w:r w:rsidR="00AB3D30" w:rsidRPr="00483EB6">
        <w:rPr>
          <w:rFonts w:asciiTheme="minorHAnsi" w:hAnsiTheme="minorHAnsi"/>
          <w:bCs/>
          <w:szCs w:val="24"/>
        </w:rPr>
        <w:t>noted and agreed with the other issues raised by the evaluation and the ESC regarding the economic evaluation, as outlined in the ‘Economic analysis’ section</w:t>
      </w:r>
      <w:r w:rsidR="00432941" w:rsidRPr="00483EB6">
        <w:rPr>
          <w:rFonts w:asciiTheme="minorHAnsi" w:hAnsiTheme="minorHAnsi"/>
          <w:bCs/>
          <w:szCs w:val="24"/>
        </w:rPr>
        <w:t>, including:</w:t>
      </w:r>
    </w:p>
    <w:p w:rsidR="00280756" w:rsidRDefault="009C7D14" w:rsidP="0010204A">
      <w:pPr>
        <w:pStyle w:val="ListParagraph"/>
        <w:widowControl/>
        <w:numPr>
          <w:ilvl w:val="0"/>
          <w:numId w:val="20"/>
        </w:numPr>
        <w:spacing w:before="120" w:after="120"/>
        <w:ind w:left="1077" w:hanging="357"/>
        <w:rPr>
          <w:rFonts w:asciiTheme="minorHAnsi" w:hAnsiTheme="minorHAnsi"/>
          <w:bCs/>
          <w:szCs w:val="24"/>
        </w:rPr>
      </w:pPr>
      <w:r w:rsidRPr="00280756">
        <w:rPr>
          <w:rFonts w:asciiTheme="minorHAnsi" w:hAnsiTheme="minorHAnsi"/>
          <w:bCs/>
          <w:szCs w:val="24"/>
        </w:rPr>
        <w:t>the model relied on an overall survival benefit that was uncertain;</w:t>
      </w:r>
    </w:p>
    <w:p w:rsidR="00280756" w:rsidRDefault="000615F5" w:rsidP="0010204A">
      <w:pPr>
        <w:pStyle w:val="ListParagraph"/>
        <w:widowControl/>
        <w:numPr>
          <w:ilvl w:val="0"/>
          <w:numId w:val="20"/>
        </w:numPr>
        <w:spacing w:before="120" w:after="120"/>
        <w:ind w:left="1077" w:hanging="357"/>
        <w:rPr>
          <w:rFonts w:asciiTheme="minorHAnsi" w:hAnsiTheme="minorHAnsi"/>
          <w:bCs/>
          <w:szCs w:val="24"/>
        </w:rPr>
      </w:pPr>
      <w:r w:rsidRPr="00280756">
        <w:rPr>
          <w:rFonts w:asciiTheme="minorHAnsi" w:hAnsiTheme="minorHAnsi"/>
          <w:bCs/>
          <w:szCs w:val="24"/>
        </w:rPr>
        <w:t>the</w:t>
      </w:r>
      <w:r w:rsidR="005457AA" w:rsidRPr="00280756">
        <w:rPr>
          <w:rFonts w:asciiTheme="minorHAnsi" w:hAnsiTheme="minorHAnsi"/>
          <w:bCs/>
          <w:szCs w:val="24"/>
        </w:rPr>
        <w:t>re were</w:t>
      </w:r>
      <w:r w:rsidRPr="00280756">
        <w:rPr>
          <w:rFonts w:asciiTheme="minorHAnsi" w:hAnsiTheme="minorHAnsi"/>
          <w:bCs/>
          <w:szCs w:val="24"/>
        </w:rPr>
        <w:t xml:space="preserve"> </w:t>
      </w:r>
      <w:r w:rsidR="00AB3D30" w:rsidRPr="00280756">
        <w:rPr>
          <w:rFonts w:asciiTheme="minorHAnsi" w:hAnsiTheme="minorHAnsi"/>
          <w:bCs/>
          <w:szCs w:val="24"/>
        </w:rPr>
        <w:t>applicability</w:t>
      </w:r>
      <w:r w:rsidR="005457AA" w:rsidRPr="00280756">
        <w:rPr>
          <w:rFonts w:asciiTheme="minorHAnsi" w:hAnsiTheme="minorHAnsi"/>
          <w:bCs/>
          <w:szCs w:val="24"/>
        </w:rPr>
        <w:t xml:space="preserve"> issues with the</w:t>
      </w:r>
      <w:r w:rsidR="00AB3D30" w:rsidRPr="00280756">
        <w:rPr>
          <w:rFonts w:asciiTheme="minorHAnsi" w:hAnsiTheme="minorHAnsi"/>
          <w:bCs/>
          <w:szCs w:val="24"/>
        </w:rPr>
        <w:t xml:space="preserve"> </w:t>
      </w:r>
      <w:r w:rsidRPr="00280756">
        <w:rPr>
          <w:rFonts w:asciiTheme="minorHAnsi" w:hAnsiTheme="minorHAnsi"/>
          <w:bCs/>
          <w:szCs w:val="24"/>
        </w:rPr>
        <w:t>clinical data</w:t>
      </w:r>
      <w:r w:rsidR="005457AA" w:rsidRPr="00280756">
        <w:rPr>
          <w:rFonts w:asciiTheme="minorHAnsi" w:hAnsiTheme="minorHAnsi"/>
          <w:bCs/>
          <w:szCs w:val="24"/>
        </w:rPr>
        <w:t xml:space="preserve"> (e.g. </w:t>
      </w:r>
      <w:r w:rsidR="00D71138" w:rsidRPr="00280756">
        <w:rPr>
          <w:rFonts w:asciiTheme="minorHAnsi" w:hAnsiTheme="minorHAnsi"/>
          <w:bCs/>
          <w:szCs w:val="24"/>
        </w:rPr>
        <w:t>the model was based on patients in first-relapse only</w:t>
      </w:r>
      <w:r w:rsidR="005457AA" w:rsidRPr="00280756">
        <w:rPr>
          <w:rFonts w:asciiTheme="minorHAnsi" w:hAnsiTheme="minorHAnsi"/>
          <w:bCs/>
          <w:szCs w:val="24"/>
        </w:rPr>
        <w:t xml:space="preserve"> which sensitivity analyses suggested </w:t>
      </w:r>
      <w:r w:rsidR="001B4965" w:rsidRPr="00280756">
        <w:rPr>
          <w:rFonts w:asciiTheme="minorHAnsi" w:hAnsiTheme="minorHAnsi"/>
          <w:bCs/>
          <w:szCs w:val="24"/>
        </w:rPr>
        <w:t>under</w:t>
      </w:r>
      <w:r w:rsidR="005457AA" w:rsidRPr="00280756">
        <w:rPr>
          <w:rFonts w:asciiTheme="minorHAnsi" w:hAnsiTheme="minorHAnsi"/>
          <w:bCs/>
          <w:szCs w:val="24"/>
        </w:rPr>
        <w:t>estimated the ICER/QALY)</w:t>
      </w:r>
      <w:r w:rsidR="00D71138" w:rsidRPr="00280756">
        <w:rPr>
          <w:rFonts w:asciiTheme="minorHAnsi" w:hAnsiTheme="minorHAnsi"/>
          <w:bCs/>
          <w:szCs w:val="24"/>
        </w:rPr>
        <w:t>;</w:t>
      </w:r>
    </w:p>
    <w:p w:rsidR="00280756" w:rsidRDefault="000615F5" w:rsidP="0010204A">
      <w:pPr>
        <w:pStyle w:val="ListParagraph"/>
        <w:widowControl/>
        <w:numPr>
          <w:ilvl w:val="0"/>
          <w:numId w:val="20"/>
        </w:numPr>
        <w:spacing w:before="120" w:after="120"/>
        <w:ind w:left="1077" w:hanging="357"/>
        <w:rPr>
          <w:rFonts w:asciiTheme="minorHAnsi" w:hAnsiTheme="minorHAnsi"/>
          <w:bCs/>
          <w:szCs w:val="24"/>
        </w:rPr>
      </w:pPr>
      <w:r w:rsidRPr="00280756">
        <w:rPr>
          <w:rFonts w:asciiTheme="minorHAnsi" w:hAnsiTheme="minorHAnsi"/>
          <w:bCs/>
          <w:szCs w:val="24"/>
        </w:rPr>
        <w:t xml:space="preserve">the </w:t>
      </w:r>
      <w:r w:rsidR="00354F49" w:rsidRPr="00280756">
        <w:rPr>
          <w:rFonts w:asciiTheme="minorHAnsi" w:hAnsiTheme="minorHAnsi"/>
          <w:bCs/>
          <w:szCs w:val="24"/>
        </w:rPr>
        <w:t>disease management</w:t>
      </w:r>
      <w:r w:rsidR="00735801" w:rsidRPr="00280756">
        <w:rPr>
          <w:rFonts w:asciiTheme="minorHAnsi" w:hAnsiTheme="minorHAnsi"/>
          <w:bCs/>
          <w:szCs w:val="24"/>
        </w:rPr>
        <w:t xml:space="preserve"> costs</w:t>
      </w:r>
      <w:r w:rsidR="00354F49" w:rsidRPr="00280756">
        <w:rPr>
          <w:rFonts w:asciiTheme="minorHAnsi" w:hAnsiTheme="minorHAnsi"/>
          <w:bCs/>
          <w:szCs w:val="24"/>
        </w:rPr>
        <w:t xml:space="preserve"> </w:t>
      </w:r>
      <w:r w:rsidR="00D71138" w:rsidRPr="00280756">
        <w:rPr>
          <w:rFonts w:asciiTheme="minorHAnsi" w:hAnsiTheme="minorHAnsi"/>
          <w:bCs/>
          <w:szCs w:val="24"/>
        </w:rPr>
        <w:t xml:space="preserve">were likely </w:t>
      </w:r>
      <w:r w:rsidR="009B4CC9">
        <w:rPr>
          <w:rFonts w:asciiTheme="minorHAnsi" w:hAnsiTheme="minorHAnsi"/>
          <w:bCs/>
          <w:szCs w:val="24"/>
        </w:rPr>
        <w:t xml:space="preserve">to have been </w:t>
      </w:r>
      <w:r w:rsidR="00D71138" w:rsidRPr="00280756">
        <w:rPr>
          <w:rFonts w:asciiTheme="minorHAnsi" w:hAnsiTheme="minorHAnsi"/>
          <w:bCs/>
          <w:szCs w:val="24"/>
        </w:rPr>
        <w:t xml:space="preserve">significantly </w:t>
      </w:r>
      <w:r w:rsidR="00E03F2A" w:rsidRPr="00280756">
        <w:rPr>
          <w:rFonts w:asciiTheme="minorHAnsi" w:hAnsiTheme="minorHAnsi"/>
          <w:bCs/>
          <w:szCs w:val="24"/>
        </w:rPr>
        <w:t>overestimate</w:t>
      </w:r>
      <w:r w:rsidR="00B30E1A" w:rsidRPr="00280756">
        <w:rPr>
          <w:rFonts w:asciiTheme="minorHAnsi" w:hAnsiTheme="minorHAnsi"/>
          <w:bCs/>
          <w:szCs w:val="24"/>
        </w:rPr>
        <w:t>d</w:t>
      </w:r>
      <w:r w:rsidR="00D71138" w:rsidRPr="00280756">
        <w:rPr>
          <w:rFonts w:asciiTheme="minorHAnsi" w:hAnsiTheme="minorHAnsi"/>
          <w:bCs/>
          <w:szCs w:val="24"/>
        </w:rPr>
        <w:t xml:space="preserve"> in the consolidation chemotherapy arm</w:t>
      </w:r>
      <w:r w:rsidR="00D9379D" w:rsidRPr="00280756">
        <w:rPr>
          <w:rFonts w:asciiTheme="minorHAnsi" w:hAnsiTheme="minorHAnsi"/>
          <w:bCs/>
          <w:szCs w:val="24"/>
        </w:rPr>
        <w:t xml:space="preserve"> (which likely underestimated the ICER/QALY)</w:t>
      </w:r>
      <w:r w:rsidR="00D71138" w:rsidRPr="00280756">
        <w:rPr>
          <w:rFonts w:asciiTheme="minorHAnsi" w:hAnsiTheme="minorHAnsi"/>
          <w:bCs/>
          <w:szCs w:val="24"/>
        </w:rPr>
        <w:t>;</w:t>
      </w:r>
    </w:p>
    <w:p w:rsidR="00280756" w:rsidRDefault="005457AA" w:rsidP="0010204A">
      <w:pPr>
        <w:pStyle w:val="ListParagraph"/>
        <w:widowControl/>
        <w:numPr>
          <w:ilvl w:val="0"/>
          <w:numId w:val="20"/>
        </w:numPr>
        <w:spacing w:before="120" w:after="120"/>
        <w:ind w:left="1077" w:hanging="357"/>
        <w:rPr>
          <w:rFonts w:asciiTheme="minorHAnsi" w:hAnsiTheme="minorHAnsi"/>
          <w:bCs/>
          <w:szCs w:val="24"/>
        </w:rPr>
      </w:pPr>
      <w:r w:rsidRPr="00280756">
        <w:rPr>
          <w:rFonts w:asciiTheme="minorHAnsi" w:hAnsiTheme="minorHAnsi"/>
          <w:bCs/>
          <w:szCs w:val="24"/>
        </w:rPr>
        <w:lastRenderedPageBreak/>
        <w:t xml:space="preserve">there were </w:t>
      </w:r>
      <w:r w:rsidR="00F85241" w:rsidRPr="00280756">
        <w:rPr>
          <w:rFonts w:asciiTheme="minorHAnsi" w:hAnsiTheme="minorHAnsi"/>
          <w:bCs/>
          <w:szCs w:val="24"/>
        </w:rPr>
        <w:t xml:space="preserve">structural uncertainties </w:t>
      </w:r>
      <w:r w:rsidR="00BE17CC" w:rsidRPr="00280756">
        <w:rPr>
          <w:rFonts w:asciiTheme="minorHAnsi" w:hAnsiTheme="minorHAnsi"/>
          <w:bCs/>
          <w:szCs w:val="24"/>
        </w:rPr>
        <w:t>given the requirement to adjust</w:t>
      </w:r>
      <w:r w:rsidR="00F85241" w:rsidRPr="00280756">
        <w:rPr>
          <w:rFonts w:asciiTheme="minorHAnsi" w:hAnsiTheme="minorHAnsi"/>
          <w:bCs/>
          <w:szCs w:val="24"/>
        </w:rPr>
        <w:t xml:space="preserve"> </w:t>
      </w:r>
      <w:r w:rsidR="00BE17CC" w:rsidRPr="00280756">
        <w:rPr>
          <w:rFonts w:asciiTheme="minorHAnsi" w:hAnsiTheme="minorHAnsi"/>
          <w:bCs/>
          <w:szCs w:val="24"/>
        </w:rPr>
        <w:t>relapse free survival to not exceed overall survival in the blinatumomab arm</w:t>
      </w:r>
      <w:r w:rsidR="00D71138" w:rsidRPr="00280756">
        <w:rPr>
          <w:rFonts w:asciiTheme="minorHAnsi" w:hAnsiTheme="minorHAnsi"/>
          <w:bCs/>
          <w:szCs w:val="24"/>
        </w:rPr>
        <w:t>; and</w:t>
      </w:r>
    </w:p>
    <w:p w:rsidR="00280756" w:rsidRDefault="00D71138" w:rsidP="0010204A">
      <w:pPr>
        <w:pStyle w:val="ListParagraph"/>
        <w:widowControl/>
        <w:numPr>
          <w:ilvl w:val="0"/>
          <w:numId w:val="20"/>
        </w:numPr>
        <w:spacing w:before="120" w:after="120"/>
        <w:ind w:left="1077" w:hanging="357"/>
        <w:rPr>
          <w:rFonts w:asciiTheme="minorHAnsi" w:hAnsiTheme="minorHAnsi"/>
          <w:bCs/>
          <w:szCs w:val="24"/>
        </w:rPr>
      </w:pPr>
      <w:proofErr w:type="gramStart"/>
      <w:r w:rsidRPr="00280756">
        <w:rPr>
          <w:rFonts w:asciiTheme="minorHAnsi" w:hAnsiTheme="minorHAnsi"/>
          <w:bCs/>
          <w:szCs w:val="24"/>
        </w:rPr>
        <w:t>the</w:t>
      </w:r>
      <w:proofErr w:type="gramEnd"/>
      <w:r w:rsidRPr="00280756">
        <w:rPr>
          <w:rFonts w:asciiTheme="minorHAnsi" w:hAnsiTheme="minorHAnsi"/>
          <w:bCs/>
          <w:szCs w:val="24"/>
        </w:rPr>
        <w:t xml:space="preserve"> utility estimates were not adequately justified and unlikely to have been conservative.</w:t>
      </w:r>
    </w:p>
    <w:p w:rsidR="00D71138" w:rsidRPr="00280756" w:rsidRDefault="00D71138" w:rsidP="0010204A">
      <w:pPr>
        <w:widowControl/>
        <w:numPr>
          <w:ilvl w:val="1"/>
          <w:numId w:val="3"/>
        </w:numPr>
        <w:spacing w:before="120" w:after="120"/>
        <w:rPr>
          <w:rFonts w:asciiTheme="minorHAnsi" w:hAnsiTheme="minorHAnsi"/>
          <w:bCs/>
          <w:szCs w:val="24"/>
        </w:rPr>
      </w:pPr>
      <w:r w:rsidRPr="00280756">
        <w:rPr>
          <w:rFonts w:asciiTheme="minorHAnsi" w:hAnsiTheme="minorHAnsi"/>
          <w:bCs/>
          <w:szCs w:val="24"/>
        </w:rPr>
        <w:t xml:space="preserve">Overall, the PBAC considered that the ICER/QALY was </w:t>
      </w:r>
      <w:r w:rsidR="005457AA" w:rsidRPr="00280756">
        <w:rPr>
          <w:rFonts w:asciiTheme="minorHAnsi" w:hAnsiTheme="minorHAnsi"/>
          <w:bCs/>
          <w:szCs w:val="24"/>
        </w:rPr>
        <w:t xml:space="preserve">highly uncertain and </w:t>
      </w:r>
      <w:r w:rsidRPr="00280756">
        <w:rPr>
          <w:rFonts w:asciiTheme="minorHAnsi" w:hAnsiTheme="minorHAnsi"/>
          <w:bCs/>
          <w:szCs w:val="24"/>
        </w:rPr>
        <w:t xml:space="preserve">likely </w:t>
      </w:r>
      <w:r w:rsidR="005457AA" w:rsidRPr="00280756">
        <w:rPr>
          <w:rFonts w:asciiTheme="minorHAnsi" w:hAnsiTheme="minorHAnsi"/>
          <w:bCs/>
          <w:szCs w:val="24"/>
        </w:rPr>
        <w:t>under</w:t>
      </w:r>
      <w:r w:rsidRPr="00280756">
        <w:rPr>
          <w:rFonts w:asciiTheme="minorHAnsi" w:hAnsiTheme="minorHAnsi"/>
          <w:bCs/>
          <w:szCs w:val="24"/>
        </w:rPr>
        <w:t>estimated.</w:t>
      </w:r>
    </w:p>
    <w:p w:rsidR="000212DC" w:rsidRPr="00483EB6" w:rsidRDefault="00B30E1A" w:rsidP="0010204A">
      <w:pPr>
        <w:pStyle w:val="ListParagraph"/>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noted that the </w:t>
      </w:r>
      <w:r w:rsidR="00CD2CF7" w:rsidRPr="00483EB6">
        <w:rPr>
          <w:rFonts w:asciiTheme="minorHAnsi" w:hAnsiTheme="minorHAnsi"/>
          <w:bCs/>
          <w:szCs w:val="24"/>
        </w:rPr>
        <w:t xml:space="preserve">base case </w:t>
      </w:r>
      <w:r w:rsidRPr="00483EB6">
        <w:rPr>
          <w:rFonts w:asciiTheme="minorHAnsi" w:hAnsiTheme="minorHAnsi"/>
          <w:bCs/>
          <w:szCs w:val="24"/>
        </w:rPr>
        <w:t xml:space="preserve">ICER was </w:t>
      </w:r>
      <w:r w:rsidR="0069699C">
        <w:rPr>
          <w:rFonts w:asciiTheme="minorHAnsi" w:hAnsiTheme="minorHAnsi"/>
          <w:bCs/>
          <w:szCs w:val="24"/>
        </w:rPr>
        <w:t>$75,000/QALY - $105,000</w:t>
      </w:r>
      <w:r w:rsidRPr="00483EB6">
        <w:rPr>
          <w:rFonts w:asciiTheme="minorHAnsi" w:hAnsiTheme="minorHAnsi"/>
          <w:bCs/>
          <w:szCs w:val="24"/>
        </w:rPr>
        <w:t xml:space="preserve">/QALY gained and decreased to </w:t>
      </w:r>
      <w:r w:rsidR="0069699C">
        <w:rPr>
          <w:rFonts w:asciiTheme="minorHAnsi" w:hAnsiTheme="minorHAnsi"/>
          <w:bCs/>
          <w:szCs w:val="24"/>
        </w:rPr>
        <w:t>$75,000/QALY - $105,000</w:t>
      </w:r>
      <w:r w:rsidRPr="00483EB6">
        <w:rPr>
          <w:rFonts w:asciiTheme="minorHAnsi" w:hAnsiTheme="minorHAnsi"/>
          <w:bCs/>
          <w:szCs w:val="24"/>
        </w:rPr>
        <w:t>/</w:t>
      </w:r>
      <w:r w:rsidR="004C0445" w:rsidRPr="00483EB6">
        <w:rPr>
          <w:rFonts w:asciiTheme="minorHAnsi" w:hAnsiTheme="minorHAnsi"/>
          <w:bCs/>
          <w:szCs w:val="24"/>
        </w:rPr>
        <w:t>QALY gained w</w:t>
      </w:r>
      <w:r w:rsidR="008F2DBE" w:rsidRPr="00483EB6">
        <w:rPr>
          <w:rFonts w:asciiTheme="minorHAnsi" w:hAnsiTheme="minorHAnsi"/>
          <w:bCs/>
          <w:szCs w:val="24"/>
        </w:rPr>
        <w:t>ith</w:t>
      </w:r>
      <w:r w:rsidR="004C0445" w:rsidRPr="00483EB6">
        <w:rPr>
          <w:rFonts w:asciiTheme="minorHAnsi" w:hAnsiTheme="minorHAnsi"/>
          <w:bCs/>
          <w:szCs w:val="24"/>
        </w:rPr>
        <w:t xml:space="preserve"> the </w:t>
      </w:r>
      <w:r w:rsidR="00D71138" w:rsidRPr="00483EB6">
        <w:rPr>
          <w:rFonts w:asciiTheme="minorHAnsi" w:hAnsiTheme="minorHAnsi"/>
          <w:bCs/>
          <w:szCs w:val="24"/>
        </w:rPr>
        <w:t xml:space="preserve">additional </w:t>
      </w:r>
      <w:r w:rsidR="004C0445" w:rsidRPr="00483EB6">
        <w:rPr>
          <w:rFonts w:asciiTheme="minorHAnsi" w:hAnsiTheme="minorHAnsi"/>
          <w:bCs/>
          <w:szCs w:val="24"/>
        </w:rPr>
        <w:t>rebate proposed in the</w:t>
      </w:r>
      <w:r w:rsidR="00710255" w:rsidRPr="00483EB6">
        <w:rPr>
          <w:rFonts w:asciiTheme="minorHAnsi" w:hAnsiTheme="minorHAnsi"/>
          <w:bCs/>
          <w:szCs w:val="24"/>
        </w:rPr>
        <w:t xml:space="preserve"> pre-PBAC </w:t>
      </w:r>
      <w:r w:rsidR="00D71138" w:rsidRPr="00483EB6">
        <w:rPr>
          <w:rFonts w:asciiTheme="minorHAnsi" w:hAnsiTheme="minorHAnsi"/>
          <w:bCs/>
          <w:szCs w:val="24"/>
        </w:rPr>
        <w:t>r</w:t>
      </w:r>
      <w:r w:rsidR="00710255" w:rsidRPr="00483EB6">
        <w:rPr>
          <w:rFonts w:asciiTheme="minorHAnsi" w:hAnsiTheme="minorHAnsi"/>
          <w:bCs/>
          <w:szCs w:val="24"/>
        </w:rPr>
        <w:t>esponse</w:t>
      </w:r>
      <w:r w:rsidR="00432941" w:rsidRPr="00483EB6">
        <w:rPr>
          <w:rFonts w:asciiTheme="minorHAnsi" w:hAnsiTheme="minorHAnsi"/>
          <w:bCs/>
          <w:szCs w:val="24"/>
        </w:rPr>
        <w:t>.</w:t>
      </w:r>
      <w:r w:rsidR="00F85241" w:rsidRPr="00483EB6">
        <w:rPr>
          <w:rFonts w:asciiTheme="minorHAnsi" w:hAnsiTheme="minorHAnsi"/>
          <w:bCs/>
          <w:szCs w:val="24"/>
        </w:rPr>
        <w:t xml:space="preserve"> </w:t>
      </w:r>
      <w:r w:rsidR="00710255" w:rsidRPr="00483EB6">
        <w:rPr>
          <w:rFonts w:asciiTheme="minorHAnsi" w:hAnsiTheme="minorHAnsi"/>
          <w:bCs/>
          <w:szCs w:val="24"/>
        </w:rPr>
        <w:t xml:space="preserve">The PBAC recalled that blinatumomab was previously recommended in the </w:t>
      </w:r>
      <w:r w:rsidR="00BB56BA" w:rsidRPr="00483EB6">
        <w:rPr>
          <w:rFonts w:asciiTheme="minorHAnsi" w:hAnsiTheme="minorHAnsi"/>
          <w:bCs/>
          <w:szCs w:val="24"/>
        </w:rPr>
        <w:t>R/R</w:t>
      </w:r>
      <w:r w:rsidR="00710255" w:rsidRPr="00483EB6">
        <w:rPr>
          <w:rFonts w:asciiTheme="minorHAnsi" w:hAnsiTheme="minorHAnsi"/>
          <w:bCs/>
          <w:szCs w:val="24"/>
        </w:rPr>
        <w:t xml:space="preserve"> setting at an ICER of</w:t>
      </w:r>
      <w:r w:rsidR="009B4CC9">
        <w:rPr>
          <w:rFonts w:asciiTheme="minorHAnsi" w:hAnsiTheme="minorHAnsi"/>
          <w:bCs/>
          <w:szCs w:val="24"/>
        </w:rPr>
        <w:t xml:space="preserve"> around</w:t>
      </w:r>
      <w:r w:rsidR="00710255" w:rsidRPr="00483EB6">
        <w:rPr>
          <w:rFonts w:asciiTheme="minorHAnsi" w:hAnsiTheme="minorHAnsi"/>
          <w:bCs/>
          <w:szCs w:val="24"/>
        </w:rPr>
        <w:t xml:space="preserve"> </w:t>
      </w:r>
      <w:r w:rsidR="0069699C">
        <w:rPr>
          <w:rFonts w:asciiTheme="minorHAnsi" w:hAnsiTheme="minorHAnsi"/>
          <w:bCs/>
          <w:szCs w:val="24"/>
        </w:rPr>
        <w:t>$45,000/QALY - $75,000</w:t>
      </w:r>
      <w:r w:rsidR="00710255" w:rsidRPr="00483EB6">
        <w:rPr>
          <w:rFonts w:asciiTheme="minorHAnsi" w:hAnsiTheme="minorHAnsi"/>
          <w:bCs/>
          <w:szCs w:val="24"/>
        </w:rPr>
        <w:t>/</w:t>
      </w:r>
      <w:r w:rsidR="00280756" w:rsidRPr="00483EB6">
        <w:rPr>
          <w:rFonts w:asciiTheme="minorHAnsi" w:hAnsiTheme="minorHAnsi"/>
          <w:bCs/>
          <w:szCs w:val="24"/>
        </w:rPr>
        <w:t>QALY</w:t>
      </w:r>
      <w:r w:rsidR="009E4CD2">
        <w:rPr>
          <w:rFonts w:asciiTheme="minorHAnsi" w:hAnsiTheme="minorHAnsi"/>
          <w:bCs/>
          <w:szCs w:val="24"/>
        </w:rPr>
        <w:t>, which</w:t>
      </w:r>
      <w:r w:rsidR="00710255" w:rsidRPr="00483EB6">
        <w:rPr>
          <w:rFonts w:asciiTheme="minorHAnsi" w:hAnsiTheme="minorHAnsi"/>
          <w:bCs/>
          <w:szCs w:val="24"/>
        </w:rPr>
        <w:t xml:space="preserve"> was based on </w:t>
      </w:r>
      <w:r w:rsidR="005457AA" w:rsidRPr="00483EB6">
        <w:rPr>
          <w:rFonts w:asciiTheme="minorHAnsi" w:hAnsiTheme="minorHAnsi"/>
          <w:bCs/>
          <w:szCs w:val="24"/>
        </w:rPr>
        <w:t xml:space="preserve">a model informed by </w:t>
      </w:r>
      <w:r w:rsidR="00710255" w:rsidRPr="00483EB6">
        <w:rPr>
          <w:rFonts w:asciiTheme="minorHAnsi" w:hAnsiTheme="minorHAnsi"/>
          <w:bCs/>
          <w:szCs w:val="24"/>
        </w:rPr>
        <w:t xml:space="preserve">comparative data from </w:t>
      </w:r>
      <w:r w:rsidR="00C3099F" w:rsidRPr="00483EB6">
        <w:rPr>
          <w:rFonts w:asciiTheme="minorHAnsi" w:hAnsiTheme="minorHAnsi"/>
          <w:bCs/>
          <w:szCs w:val="24"/>
        </w:rPr>
        <w:t>a randomised controlled trial (</w:t>
      </w:r>
      <w:r w:rsidR="00710255" w:rsidRPr="00483EB6">
        <w:rPr>
          <w:rFonts w:asciiTheme="minorHAnsi" w:hAnsiTheme="minorHAnsi"/>
          <w:bCs/>
          <w:szCs w:val="24"/>
        </w:rPr>
        <w:t>TOWER</w:t>
      </w:r>
      <w:r w:rsidR="00C3099F" w:rsidRPr="00483EB6">
        <w:rPr>
          <w:rFonts w:asciiTheme="minorHAnsi" w:hAnsiTheme="minorHAnsi"/>
          <w:bCs/>
          <w:szCs w:val="24"/>
        </w:rPr>
        <w:t>)</w:t>
      </w:r>
      <w:r w:rsidR="00710255" w:rsidRPr="00483EB6">
        <w:rPr>
          <w:rFonts w:asciiTheme="minorHAnsi" w:hAnsiTheme="minorHAnsi"/>
          <w:bCs/>
          <w:szCs w:val="24"/>
        </w:rPr>
        <w:t xml:space="preserve">. Noting </w:t>
      </w:r>
      <w:r w:rsidR="005457AA" w:rsidRPr="00483EB6">
        <w:rPr>
          <w:rFonts w:asciiTheme="minorHAnsi" w:hAnsiTheme="minorHAnsi"/>
          <w:bCs/>
          <w:szCs w:val="24"/>
        </w:rPr>
        <w:t xml:space="preserve">the significant uncertainties with the </w:t>
      </w:r>
      <w:r w:rsidR="00C3099F" w:rsidRPr="00483EB6">
        <w:rPr>
          <w:rFonts w:asciiTheme="minorHAnsi" w:hAnsiTheme="minorHAnsi"/>
          <w:bCs/>
          <w:szCs w:val="24"/>
        </w:rPr>
        <w:t xml:space="preserve">clinical data and </w:t>
      </w:r>
      <w:r w:rsidR="005457AA" w:rsidRPr="00483EB6">
        <w:rPr>
          <w:rFonts w:asciiTheme="minorHAnsi" w:hAnsiTheme="minorHAnsi"/>
          <w:bCs/>
          <w:szCs w:val="24"/>
        </w:rPr>
        <w:t xml:space="preserve">economic </w:t>
      </w:r>
      <w:r w:rsidR="00280756" w:rsidRPr="00483EB6">
        <w:rPr>
          <w:rFonts w:asciiTheme="minorHAnsi" w:hAnsiTheme="minorHAnsi"/>
          <w:bCs/>
          <w:szCs w:val="24"/>
        </w:rPr>
        <w:t>model that</w:t>
      </w:r>
      <w:r w:rsidR="005457AA" w:rsidRPr="00483EB6">
        <w:rPr>
          <w:rFonts w:asciiTheme="minorHAnsi" w:hAnsiTheme="minorHAnsi"/>
          <w:bCs/>
          <w:szCs w:val="24"/>
        </w:rPr>
        <w:t xml:space="preserve"> likely overestimated the ICER, </w:t>
      </w:r>
      <w:r w:rsidR="00710255" w:rsidRPr="00483EB6">
        <w:rPr>
          <w:rFonts w:asciiTheme="minorHAnsi" w:hAnsiTheme="minorHAnsi"/>
          <w:bCs/>
          <w:szCs w:val="24"/>
        </w:rPr>
        <w:t>the PBAC advised that the ICER</w:t>
      </w:r>
      <w:r w:rsidR="00BB56BA" w:rsidRPr="00483EB6">
        <w:rPr>
          <w:rFonts w:asciiTheme="minorHAnsi" w:hAnsiTheme="minorHAnsi"/>
          <w:bCs/>
          <w:szCs w:val="24"/>
        </w:rPr>
        <w:t xml:space="preserve"> in th</w:t>
      </w:r>
      <w:r w:rsidR="00C3099F" w:rsidRPr="00483EB6">
        <w:rPr>
          <w:rFonts w:asciiTheme="minorHAnsi" w:hAnsiTheme="minorHAnsi"/>
          <w:bCs/>
          <w:szCs w:val="24"/>
        </w:rPr>
        <w:t>e MRD</w:t>
      </w:r>
      <w:r w:rsidR="00BB56BA" w:rsidRPr="00483EB6">
        <w:rPr>
          <w:rFonts w:asciiTheme="minorHAnsi" w:hAnsiTheme="minorHAnsi"/>
          <w:bCs/>
          <w:szCs w:val="24"/>
        </w:rPr>
        <w:t xml:space="preserve"> setting should not exceed that </w:t>
      </w:r>
      <w:r w:rsidR="005457AA" w:rsidRPr="00483EB6">
        <w:rPr>
          <w:rFonts w:asciiTheme="minorHAnsi" w:hAnsiTheme="minorHAnsi"/>
          <w:bCs/>
          <w:szCs w:val="24"/>
        </w:rPr>
        <w:t xml:space="preserve">accepted </w:t>
      </w:r>
      <w:r w:rsidR="00BB56BA" w:rsidRPr="00483EB6">
        <w:rPr>
          <w:rFonts w:asciiTheme="minorHAnsi" w:hAnsiTheme="minorHAnsi"/>
          <w:bCs/>
          <w:szCs w:val="24"/>
        </w:rPr>
        <w:t xml:space="preserve">in the R/R setting. </w:t>
      </w:r>
      <w:r w:rsidR="005457AA" w:rsidRPr="00483EB6">
        <w:rPr>
          <w:rFonts w:asciiTheme="minorHAnsi" w:hAnsiTheme="minorHAnsi"/>
          <w:bCs/>
          <w:szCs w:val="24"/>
        </w:rPr>
        <w:t>Thus</w:t>
      </w:r>
      <w:r w:rsidR="005329DE" w:rsidRPr="00483EB6">
        <w:rPr>
          <w:rFonts w:asciiTheme="minorHAnsi" w:hAnsiTheme="minorHAnsi"/>
          <w:bCs/>
          <w:szCs w:val="24"/>
        </w:rPr>
        <w:t>,</w:t>
      </w:r>
      <w:r w:rsidR="00BB56BA" w:rsidRPr="00483EB6">
        <w:rPr>
          <w:rFonts w:asciiTheme="minorHAnsi" w:hAnsiTheme="minorHAnsi"/>
          <w:bCs/>
          <w:szCs w:val="24"/>
        </w:rPr>
        <w:t xml:space="preserve"> the PBAC considered that a price reduction</w:t>
      </w:r>
      <w:r w:rsidR="00F5095C" w:rsidRPr="00483EB6">
        <w:rPr>
          <w:rFonts w:asciiTheme="minorHAnsi" w:hAnsiTheme="minorHAnsi"/>
          <w:bCs/>
          <w:szCs w:val="24"/>
        </w:rPr>
        <w:t xml:space="preserve"> </w:t>
      </w:r>
      <w:r w:rsidR="00C3099F" w:rsidRPr="00483EB6">
        <w:rPr>
          <w:rFonts w:asciiTheme="minorHAnsi" w:hAnsiTheme="minorHAnsi"/>
          <w:bCs/>
          <w:szCs w:val="24"/>
        </w:rPr>
        <w:t>that</w:t>
      </w:r>
      <w:r w:rsidR="00BB56BA" w:rsidRPr="00483EB6">
        <w:rPr>
          <w:rFonts w:asciiTheme="minorHAnsi" w:hAnsiTheme="minorHAnsi"/>
          <w:bCs/>
          <w:szCs w:val="24"/>
        </w:rPr>
        <w:t xml:space="preserve"> results in an ICER </w:t>
      </w:r>
      <w:r w:rsidR="00C3099F" w:rsidRPr="00483EB6">
        <w:rPr>
          <w:rFonts w:asciiTheme="minorHAnsi" w:hAnsiTheme="minorHAnsi"/>
          <w:bCs/>
          <w:szCs w:val="24"/>
        </w:rPr>
        <w:t>less than</w:t>
      </w:r>
      <w:r w:rsidR="00F5095C" w:rsidRPr="00483EB6">
        <w:rPr>
          <w:rFonts w:asciiTheme="minorHAnsi" w:hAnsiTheme="minorHAnsi"/>
          <w:bCs/>
          <w:szCs w:val="24"/>
        </w:rPr>
        <w:t xml:space="preserve"> </w:t>
      </w:r>
      <w:r w:rsidR="00831854">
        <w:rPr>
          <w:rFonts w:asciiTheme="minorHAnsi" w:hAnsiTheme="minorHAnsi"/>
          <w:bCs/>
          <w:szCs w:val="24"/>
        </w:rPr>
        <w:t>$45,000/QALY - $75,000</w:t>
      </w:r>
      <w:r w:rsidR="00BB56BA" w:rsidRPr="00483EB6">
        <w:rPr>
          <w:rFonts w:asciiTheme="minorHAnsi" w:hAnsiTheme="minorHAnsi"/>
          <w:bCs/>
          <w:szCs w:val="24"/>
        </w:rPr>
        <w:t>/QALY would be required</w:t>
      </w:r>
      <w:r w:rsidR="00F5095C" w:rsidRPr="00483EB6">
        <w:rPr>
          <w:rFonts w:asciiTheme="minorHAnsi" w:hAnsiTheme="minorHAnsi"/>
          <w:bCs/>
          <w:szCs w:val="24"/>
        </w:rPr>
        <w:t xml:space="preserve">. </w:t>
      </w:r>
    </w:p>
    <w:p w:rsidR="00701B07" w:rsidRPr="00483EB6" w:rsidRDefault="001B4965" w:rsidP="0010204A">
      <w:pPr>
        <w:pStyle w:val="ListParagraph"/>
        <w:numPr>
          <w:ilvl w:val="1"/>
          <w:numId w:val="3"/>
        </w:numPr>
        <w:spacing w:before="120" w:after="120"/>
        <w:rPr>
          <w:rFonts w:asciiTheme="minorHAnsi" w:hAnsiTheme="minorHAnsi"/>
          <w:bCs/>
          <w:szCs w:val="24"/>
        </w:rPr>
      </w:pPr>
      <w:r w:rsidRPr="00483EB6">
        <w:rPr>
          <w:rFonts w:asciiTheme="minorHAnsi" w:hAnsiTheme="minorHAnsi"/>
          <w:bCs/>
          <w:szCs w:val="24"/>
        </w:rPr>
        <w:t xml:space="preserve">Even </w:t>
      </w:r>
      <w:r w:rsidR="00B62121" w:rsidRPr="00483EB6">
        <w:rPr>
          <w:rFonts w:asciiTheme="minorHAnsi" w:hAnsiTheme="minorHAnsi"/>
          <w:bCs/>
          <w:szCs w:val="24"/>
        </w:rPr>
        <w:t xml:space="preserve">with a lower ICER, the PBAC considered that </w:t>
      </w:r>
      <w:r w:rsidRPr="00483EB6">
        <w:rPr>
          <w:rFonts w:asciiTheme="minorHAnsi" w:hAnsiTheme="minorHAnsi"/>
          <w:bCs/>
          <w:szCs w:val="24"/>
        </w:rPr>
        <w:t xml:space="preserve">the </w:t>
      </w:r>
      <w:r w:rsidR="00B62121" w:rsidRPr="00483EB6">
        <w:rPr>
          <w:rFonts w:asciiTheme="minorHAnsi" w:hAnsiTheme="minorHAnsi"/>
          <w:bCs/>
          <w:szCs w:val="24"/>
        </w:rPr>
        <w:t>magnitude and durability of the overall survival benefit included in the model w</w:t>
      </w:r>
      <w:r w:rsidR="009E4CD2">
        <w:rPr>
          <w:rFonts w:asciiTheme="minorHAnsi" w:hAnsiTheme="minorHAnsi"/>
          <w:bCs/>
          <w:szCs w:val="24"/>
        </w:rPr>
        <w:t>as</w:t>
      </w:r>
      <w:r w:rsidR="00B62121" w:rsidRPr="00483EB6">
        <w:rPr>
          <w:rFonts w:asciiTheme="minorHAnsi" w:hAnsiTheme="minorHAnsi"/>
          <w:bCs/>
          <w:szCs w:val="24"/>
        </w:rPr>
        <w:t xml:space="preserve"> highly uncertain, and it was unclear whether blinatumomab</w:t>
      </w:r>
      <w:r w:rsidR="003812EF">
        <w:rPr>
          <w:rFonts w:asciiTheme="minorHAnsi" w:hAnsiTheme="minorHAnsi"/>
          <w:bCs/>
          <w:szCs w:val="24"/>
        </w:rPr>
        <w:t xml:space="preserve"> when used earlier in the treatment pathway</w:t>
      </w:r>
      <w:r w:rsidR="00B62121" w:rsidRPr="00483EB6">
        <w:rPr>
          <w:rFonts w:asciiTheme="minorHAnsi" w:hAnsiTheme="minorHAnsi"/>
          <w:bCs/>
          <w:szCs w:val="24"/>
        </w:rPr>
        <w:t xml:space="preserve"> </w:t>
      </w:r>
      <w:r w:rsidR="00264C4E" w:rsidRPr="00483EB6">
        <w:rPr>
          <w:rFonts w:asciiTheme="minorHAnsi" w:hAnsiTheme="minorHAnsi"/>
          <w:bCs/>
          <w:szCs w:val="24"/>
        </w:rPr>
        <w:t xml:space="preserve">would reduce </w:t>
      </w:r>
      <w:r w:rsidR="00C3099F" w:rsidRPr="00483EB6">
        <w:rPr>
          <w:rFonts w:asciiTheme="minorHAnsi" w:hAnsiTheme="minorHAnsi"/>
          <w:bCs/>
          <w:szCs w:val="24"/>
        </w:rPr>
        <w:t xml:space="preserve">long-term </w:t>
      </w:r>
      <w:r w:rsidR="00264C4E" w:rsidRPr="00483EB6">
        <w:rPr>
          <w:rFonts w:asciiTheme="minorHAnsi" w:hAnsiTheme="minorHAnsi"/>
          <w:bCs/>
          <w:szCs w:val="24"/>
        </w:rPr>
        <w:t>relapse rates</w:t>
      </w:r>
      <w:r w:rsidR="003812EF">
        <w:rPr>
          <w:rFonts w:asciiTheme="minorHAnsi" w:hAnsiTheme="minorHAnsi"/>
          <w:bCs/>
          <w:szCs w:val="24"/>
        </w:rPr>
        <w:t xml:space="preserve"> and also therefore the use of subsequent therapies in the R/R setting</w:t>
      </w:r>
      <w:r w:rsidR="00264C4E" w:rsidRPr="00483EB6">
        <w:rPr>
          <w:rFonts w:asciiTheme="minorHAnsi" w:hAnsiTheme="minorHAnsi"/>
          <w:bCs/>
          <w:szCs w:val="24"/>
        </w:rPr>
        <w:t xml:space="preserve">. Thus, the PBAC considered that it could only be satisfied that blinatumomab was sufficiently cost-effective if financial arrangements were put in place to </w:t>
      </w:r>
      <w:r w:rsidR="00010DB7" w:rsidRPr="00483EB6">
        <w:rPr>
          <w:rFonts w:asciiTheme="minorHAnsi" w:hAnsiTheme="minorHAnsi"/>
          <w:bCs/>
          <w:szCs w:val="24"/>
        </w:rPr>
        <w:t xml:space="preserve">ensure that </w:t>
      </w:r>
      <w:r w:rsidR="00A87A60" w:rsidRPr="00483EB6">
        <w:rPr>
          <w:rFonts w:asciiTheme="minorHAnsi" w:hAnsiTheme="minorHAnsi"/>
          <w:bCs/>
          <w:szCs w:val="24"/>
        </w:rPr>
        <w:t xml:space="preserve">savings due to </w:t>
      </w:r>
      <w:r w:rsidR="00701B07" w:rsidRPr="00483EB6">
        <w:rPr>
          <w:rFonts w:asciiTheme="minorHAnsi" w:hAnsiTheme="minorHAnsi"/>
          <w:bCs/>
          <w:szCs w:val="24"/>
        </w:rPr>
        <w:t xml:space="preserve">reduced use of </w:t>
      </w:r>
      <w:r w:rsidR="00A87A60" w:rsidRPr="00483EB6">
        <w:rPr>
          <w:rFonts w:asciiTheme="minorHAnsi" w:hAnsiTheme="minorHAnsi"/>
          <w:bCs/>
          <w:szCs w:val="24"/>
        </w:rPr>
        <w:t>blinatumomab</w:t>
      </w:r>
      <w:r w:rsidR="00701B07" w:rsidRPr="00483EB6">
        <w:rPr>
          <w:rFonts w:asciiTheme="minorHAnsi" w:hAnsiTheme="minorHAnsi"/>
          <w:bCs/>
          <w:szCs w:val="24"/>
        </w:rPr>
        <w:t xml:space="preserve"> in the R/R setting </w:t>
      </w:r>
      <w:r w:rsidR="00A87A60" w:rsidRPr="00483EB6">
        <w:rPr>
          <w:rFonts w:asciiTheme="minorHAnsi" w:hAnsiTheme="minorHAnsi"/>
          <w:bCs/>
          <w:szCs w:val="24"/>
        </w:rPr>
        <w:t>would be</w:t>
      </w:r>
      <w:r w:rsidR="00701B07" w:rsidRPr="00483EB6">
        <w:rPr>
          <w:rFonts w:asciiTheme="minorHAnsi" w:hAnsiTheme="minorHAnsi"/>
          <w:bCs/>
          <w:szCs w:val="24"/>
        </w:rPr>
        <w:t xml:space="preserve"> realised.</w:t>
      </w:r>
    </w:p>
    <w:p w:rsidR="001032F6" w:rsidRPr="00483EB6" w:rsidRDefault="00374560"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The PBAC noted that the estimated net cost to the PBS over six years</w:t>
      </w:r>
      <w:r w:rsidR="00D02AA1" w:rsidRPr="00483EB6">
        <w:rPr>
          <w:rFonts w:asciiTheme="minorHAnsi" w:hAnsiTheme="minorHAnsi"/>
          <w:bCs/>
          <w:szCs w:val="24"/>
        </w:rPr>
        <w:t xml:space="preserve"> was $</w:t>
      </w:r>
      <w:r w:rsidR="00831854">
        <w:rPr>
          <w:rFonts w:asciiTheme="minorHAnsi" w:hAnsiTheme="minorHAnsi"/>
          <w:bCs/>
          <w:szCs w:val="24"/>
        </w:rPr>
        <w:t>30 - $60</w:t>
      </w:r>
      <w:r w:rsidR="00831854" w:rsidRPr="00483EB6">
        <w:rPr>
          <w:rFonts w:asciiTheme="minorHAnsi" w:hAnsiTheme="minorHAnsi"/>
          <w:bCs/>
          <w:szCs w:val="24"/>
        </w:rPr>
        <w:t xml:space="preserve"> </w:t>
      </w:r>
      <w:r w:rsidR="00D02AA1" w:rsidRPr="00483EB6">
        <w:rPr>
          <w:rFonts w:asciiTheme="minorHAnsi" w:hAnsiTheme="minorHAnsi"/>
          <w:bCs/>
          <w:szCs w:val="24"/>
        </w:rPr>
        <w:t>million, which reduced to</w:t>
      </w:r>
      <w:r w:rsidRPr="00483EB6">
        <w:rPr>
          <w:rFonts w:asciiTheme="minorHAnsi" w:hAnsiTheme="minorHAnsi"/>
          <w:bCs/>
          <w:szCs w:val="24"/>
        </w:rPr>
        <w:t xml:space="preserve"> $</w:t>
      </w:r>
      <w:r w:rsidR="006F64C6">
        <w:rPr>
          <w:rFonts w:asciiTheme="minorHAnsi" w:hAnsiTheme="minorHAnsi"/>
          <w:bCs/>
          <w:szCs w:val="24"/>
        </w:rPr>
        <w:t>20 - $30</w:t>
      </w:r>
      <w:r w:rsidRPr="00483EB6">
        <w:rPr>
          <w:rFonts w:asciiTheme="minorHAnsi" w:hAnsiTheme="minorHAnsi"/>
          <w:bCs/>
          <w:szCs w:val="24"/>
        </w:rPr>
        <w:t xml:space="preserve"> million</w:t>
      </w:r>
      <w:r w:rsidR="00D02AA1" w:rsidRPr="00483EB6">
        <w:rPr>
          <w:rFonts w:asciiTheme="minorHAnsi" w:hAnsiTheme="minorHAnsi"/>
          <w:bCs/>
          <w:szCs w:val="24"/>
        </w:rPr>
        <w:t xml:space="preserve"> when </w:t>
      </w:r>
      <w:r w:rsidR="00AE5FAB" w:rsidRPr="00483EB6">
        <w:rPr>
          <w:rFonts w:asciiTheme="minorHAnsi" w:hAnsiTheme="minorHAnsi"/>
          <w:bCs/>
          <w:szCs w:val="24"/>
        </w:rPr>
        <w:t xml:space="preserve">PBS </w:t>
      </w:r>
      <w:r w:rsidR="00F43DFC" w:rsidRPr="00483EB6">
        <w:rPr>
          <w:rFonts w:asciiTheme="minorHAnsi" w:hAnsiTheme="minorHAnsi"/>
          <w:bCs/>
          <w:szCs w:val="24"/>
        </w:rPr>
        <w:t>cost</w:t>
      </w:r>
      <w:r w:rsidR="00AE5FAB" w:rsidRPr="00483EB6">
        <w:rPr>
          <w:rFonts w:asciiTheme="minorHAnsi" w:hAnsiTheme="minorHAnsi"/>
          <w:bCs/>
          <w:szCs w:val="24"/>
        </w:rPr>
        <w:t>-</w:t>
      </w:r>
      <w:r w:rsidR="00F43DFC" w:rsidRPr="00483EB6">
        <w:rPr>
          <w:rFonts w:asciiTheme="minorHAnsi" w:hAnsiTheme="minorHAnsi"/>
          <w:bCs/>
          <w:szCs w:val="24"/>
        </w:rPr>
        <w:t>offsets</w:t>
      </w:r>
      <w:r w:rsidR="00D02AA1" w:rsidRPr="00483EB6">
        <w:rPr>
          <w:rFonts w:asciiTheme="minorHAnsi" w:hAnsiTheme="minorHAnsi"/>
          <w:bCs/>
          <w:szCs w:val="24"/>
        </w:rPr>
        <w:t xml:space="preserve"> were included (for </w:t>
      </w:r>
      <w:r w:rsidR="00515C38" w:rsidRPr="00483EB6">
        <w:rPr>
          <w:rFonts w:asciiTheme="minorHAnsi" w:hAnsiTheme="minorHAnsi"/>
          <w:bCs/>
          <w:szCs w:val="24"/>
        </w:rPr>
        <w:t xml:space="preserve">substituted </w:t>
      </w:r>
      <w:r w:rsidR="008168B9" w:rsidRPr="00483EB6">
        <w:rPr>
          <w:rFonts w:asciiTheme="minorHAnsi" w:hAnsiTheme="minorHAnsi"/>
          <w:bCs/>
          <w:szCs w:val="24"/>
        </w:rPr>
        <w:t>consolidation chemotherapy and for avoided salvage therapy). The PBAC noted that the estimated c</w:t>
      </w:r>
      <w:r w:rsidR="008168B9" w:rsidRPr="00483EB6">
        <w:t>ost</w:t>
      </w:r>
      <w:r w:rsidR="005457AA" w:rsidRPr="00483EB6">
        <w:t>-</w:t>
      </w:r>
      <w:r w:rsidR="008168B9" w:rsidRPr="00483EB6">
        <w:t>offset</w:t>
      </w:r>
      <w:r w:rsidR="0097162E" w:rsidRPr="00483EB6">
        <w:t>s</w:t>
      </w:r>
      <w:r w:rsidR="008168B9" w:rsidRPr="00483EB6">
        <w:t xml:space="preserve"> were derived from the economic model outputs and therefore incorporated uncertainties associated with the model. The PBAC noted that the pre-PBAC </w:t>
      </w:r>
      <w:r w:rsidR="008168B9" w:rsidRPr="0046163D">
        <w:t xml:space="preserve">response </w:t>
      </w:r>
      <w:r w:rsidR="00F32520" w:rsidRPr="0046163D">
        <w:t>estimated that, if blinatumomab was listed in the MRD setting, there would be</w:t>
      </w:r>
      <w:r w:rsidR="008168B9" w:rsidRPr="0046163D">
        <w:t xml:space="preserve"> </w:t>
      </w:r>
      <w:r w:rsidR="0097162E" w:rsidRPr="0046163D">
        <w:t xml:space="preserve">a </w:t>
      </w:r>
      <w:r w:rsidR="00D176A1">
        <w:rPr>
          <w:noProof/>
          <w:color w:val="000000"/>
          <w:highlight w:val="black"/>
        </w:rPr>
        <w:t>'''''</w:t>
      </w:r>
      <w:r w:rsidR="0097162E" w:rsidRPr="0046163D">
        <w:t>% reduction</w:t>
      </w:r>
      <w:r w:rsidR="001032F6" w:rsidRPr="0046163D">
        <w:t xml:space="preserve"> in blinatumomab use in the </w:t>
      </w:r>
      <w:r w:rsidR="00A1490C" w:rsidRPr="0046163D">
        <w:t>R/R</w:t>
      </w:r>
      <w:r w:rsidR="001032F6" w:rsidRPr="0046163D">
        <w:t xml:space="preserve"> setting. The reduction in use </w:t>
      </w:r>
      <w:r w:rsidR="00F32520" w:rsidRPr="0046163D">
        <w:t>appeared to be based on</w:t>
      </w:r>
      <w:r w:rsidR="001032F6" w:rsidRPr="0046163D">
        <w:t xml:space="preserve"> reduced use</w:t>
      </w:r>
      <w:r w:rsidR="00F32520" w:rsidRPr="0046163D">
        <w:t xml:space="preserve"> of blinatumomab:</w:t>
      </w:r>
      <w:r w:rsidR="001032F6" w:rsidRPr="0046163D">
        <w:t xml:space="preserve"> in patients who achieve MRD</w:t>
      </w:r>
      <w:r w:rsidR="009B4CC9" w:rsidRPr="0046163D">
        <w:noBreakHyphen/>
      </w:r>
      <w:r w:rsidR="001032F6" w:rsidRPr="0046163D">
        <w:t xml:space="preserve"> </w:t>
      </w:r>
      <w:r w:rsidR="00F32520" w:rsidRPr="0046163D">
        <w:t xml:space="preserve">status </w:t>
      </w:r>
      <w:r w:rsidR="001032F6" w:rsidRPr="0046163D">
        <w:t xml:space="preserve">with blinatumomab and </w:t>
      </w:r>
      <w:r w:rsidR="00270696" w:rsidRPr="0046163D">
        <w:t>remain relapse-free</w:t>
      </w:r>
      <w:r w:rsidR="00F32520" w:rsidRPr="0046163D">
        <w:t>;</w:t>
      </w:r>
      <w:r w:rsidR="001032F6" w:rsidRPr="0046163D">
        <w:t xml:space="preserve"> and </w:t>
      </w:r>
      <w:r w:rsidR="00F32520" w:rsidRPr="0046163D">
        <w:t xml:space="preserve">in </w:t>
      </w:r>
      <w:r w:rsidR="009B4CC9" w:rsidRPr="0046163D">
        <w:t>patients who do not achieve MRD</w:t>
      </w:r>
      <w:r w:rsidR="009B4CC9" w:rsidRPr="0046163D">
        <w:noBreakHyphen/>
      </w:r>
      <w:r w:rsidR="001032F6" w:rsidRPr="0046163D">
        <w:t xml:space="preserve"> </w:t>
      </w:r>
      <w:r w:rsidR="00F32520" w:rsidRPr="0046163D">
        <w:t xml:space="preserve">status </w:t>
      </w:r>
      <w:r w:rsidR="001032F6" w:rsidRPr="0046163D">
        <w:t xml:space="preserve">and are therefore ineligible for blinatumomab in the </w:t>
      </w:r>
      <w:r w:rsidR="00A1490C" w:rsidRPr="0046163D">
        <w:t>R/R</w:t>
      </w:r>
      <w:r w:rsidR="00280756" w:rsidRPr="0046163D">
        <w:t xml:space="preserve"> </w:t>
      </w:r>
      <w:r w:rsidR="001032F6" w:rsidRPr="0046163D">
        <w:t xml:space="preserve">setting. </w:t>
      </w:r>
      <w:r w:rsidR="00F32520" w:rsidRPr="0046163D">
        <w:t xml:space="preserve">The </w:t>
      </w:r>
      <w:r w:rsidR="00270696" w:rsidRPr="0046163D">
        <w:t xml:space="preserve">estimated </w:t>
      </w:r>
      <w:r w:rsidR="00D176A1">
        <w:rPr>
          <w:noProof/>
          <w:color w:val="000000"/>
          <w:highlight w:val="black"/>
        </w:rPr>
        <w:t>'''''</w:t>
      </w:r>
      <w:r w:rsidR="00F32520" w:rsidRPr="0046163D">
        <w:t xml:space="preserve">% reduction also appeared to factor in </w:t>
      </w:r>
      <w:r w:rsidR="001D5657" w:rsidRPr="0046163D">
        <w:t xml:space="preserve">re-treatment with blinatumomab in eligible patients who relapse. </w:t>
      </w:r>
      <w:r w:rsidR="00F32520" w:rsidRPr="0046163D">
        <w:t xml:space="preserve">The PBAC considered that </w:t>
      </w:r>
      <w:r w:rsidR="000212DC" w:rsidRPr="0046163D">
        <w:t xml:space="preserve">the </w:t>
      </w:r>
      <w:r w:rsidR="00F32520" w:rsidRPr="0046163D">
        <w:t xml:space="preserve">pre-PBAC response had not provided sufficient information </w:t>
      </w:r>
      <w:r w:rsidR="009E4CD2" w:rsidRPr="0046163D">
        <w:t>to determine</w:t>
      </w:r>
      <w:r w:rsidR="00F32520" w:rsidRPr="0046163D">
        <w:t xml:space="preserve"> how the </w:t>
      </w:r>
      <w:r w:rsidR="00D176A1">
        <w:rPr>
          <w:noProof/>
          <w:color w:val="000000"/>
          <w:highlight w:val="black"/>
        </w:rPr>
        <w:t>'''''</w:t>
      </w:r>
      <w:r w:rsidR="00F32520" w:rsidRPr="0046163D">
        <w:t>% reduction</w:t>
      </w:r>
      <w:r w:rsidR="00F32520" w:rsidRPr="00483EB6">
        <w:t xml:space="preserve"> was calculated, and</w:t>
      </w:r>
      <w:r w:rsidR="001D5657" w:rsidRPr="00483EB6">
        <w:t xml:space="preserve"> requested that the sponsor provide further information </w:t>
      </w:r>
      <w:r w:rsidR="005457AA" w:rsidRPr="00483EB6">
        <w:t>to justify</w:t>
      </w:r>
      <w:r w:rsidR="001D5657" w:rsidRPr="00483EB6">
        <w:t xml:space="preserve"> these estimates</w:t>
      </w:r>
      <w:r w:rsidR="00F32520" w:rsidRPr="00483EB6">
        <w:t>.</w:t>
      </w:r>
    </w:p>
    <w:p w:rsidR="00FE5D72" w:rsidRPr="00483EB6" w:rsidRDefault="00FE5D72" w:rsidP="0010204A">
      <w:pPr>
        <w:pStyle w:val="ListParagraph"/>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noted that the pre-PBAC response had proposed a </w:t>
      </w:r>
      <w:r w:rsidR="00D176A1">
        <w:rPr>
          <w:rFonts w:asciiTheme="minorHAnsi" w:hAnsiTheme="minorHAnsi"/>
          <w:bCs/>
          <w:noProof/>
          <w:color w:val="000000"/>
          <w:szCs w:val="24"/>
          <w:highlight w:val="black"/>
        </w:rPr>
        <w:t>''''''''</w:t>
      </w:r>
      <w:r w:rsidRPr="00483EB6">
        <w:rPr>
          <w:rFonts w:asciiTheme="minorHAnsi" w:hAnsiTheme="minorHAnsi"/>
          <w:bCs/>
          <w:szCs w:val="24"/>
        </w:rPr>
        <w:t xml:space="preserve">% rebate on expenditure above the subsidy caps and considered a </w:t>
      </w:r>
      <w:r w:rsidR="00D176A1">
        <w:rPr>
          <w:rFonts w:asciiTheme="minorHAnsi" w:hAnsiTheme="minorHAnsi"/>
          <w:bCs/>
          <w:noProof/>
          <w:color w:val="000000"/>
          <w:szCs w:val="24"/>
          <w:highlight w:val="black"/>
        </w:rPr>
        <w:t>''''''''</w:t>
      </w:r>
      <w:r w:rsidRPr="00483EB6">
        <w:rPr>
          <w:rFonts w:asciiTheme="minorHAnsi" w:hAnsiTheme="minorHAnsi"/>
          <w:bCs/>
          <w:szCs w:val="24"/>
        </w:rPr>
        <w:t xml:space="preserve">% rebate was appropriate given the uncertain effect on blinatumomab use in the </w:t>
      </w:r>
      <w:r w:rsidR="00A1490C" w:rsidRPr="00483EB6">
        <w:rPr>
          <w:rFonts w:asciiTheme="minorHAnsi" w:hAnsiTheme="minorHAnsi"/>
          <w:bCs/>
          <w:szCs w:val="24"/>
        </w:rPr>
        <w:t>R/R</w:t>
      </w:r>
      <w:r w:rsidR="00A87A60" w:rsidRPr="00483EB6">
        <w:rPr>
          <w:rFonts w:asciiTheme="minorHAnsi" w:hAnsiTheme="minorHAnsi"/>
          <w:bCs/>
          <w:szCs w:val="24"/>
        </w:rPr>
        <w:t xml:space="preserve"> </w:t>
      </w:r>
      <w:r w:rsidRPr="00483EB6">
        <w:rPr>
          <w:rFonts w:asciiTheme="minorHAnsi" w:hAnsiTheme="minorHAnsi"/>
          <w:bCs/>
          <w:szCs w:val="24"/>
        </w:rPr>
        <w:t xml:space="preserve">setting, the uncertain </w:t>
      </w:r>
      <w:r w:rsidRPr="00483EB6">
        <w:rPr>
          <w:rFonts w:asciiTheme="minorHAnsi" w:hAnsiTheme="minorHAnsi"/>
          <w:bCs/>
          <w:szCs w:val="24"/>
        </w:rPr>
        <w:lastRenderedPageBreak/>
        <w:t xml:space="preserve">patient population and </w:t>
      </w:r>
      <w:r w:rsidR="009E4CD2">
        <w:rPr>
          <w:rFonts w:asciiTheme="minorHAnsi" w:hAnsiTheme="minorHAnsi"/>
          <w:bCs/>
          <w:szCs w:val="24"/>
        </w:rPr>
        <w:t xml:space="preserve">the </w:t>
      </w:r>
      <w:r w:rsidR="007F72F3" w:rsidRPr="00483EB6">
        <w:rPr>
          <w:rFonts w:asciiTheme="minorHAnsi" w:hAnsiTheme="minorHAnsi"/>
          <w:bCs/>
          <w:szCs w:val="24"/>
        </w:rPr>
        <w:t>likely underestimated</w:t>
      </w:r>
      <w:r w:rsidRPr="00483EB6">
        <w:rPr>
          <w:rFonts w:asciiTheme="minorHAnsi" w:hAnsiTheme="minorHAnsi"/>
          <w:bCs/>
          <w:szCs w:val="24"/>
        </w:rPr>
        <w:t xml:space="preserve"> number of vials per patient. </w:t>
      </w:r>
    </w:p>
    <w:p w:rsidR="005457AA" w:rsidRPr="00483EB6" w:rsidRDefault="0015493C"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w:t>
      </w:r>
      <w:r w:rsidR="001D5657" w:rsidRPr="00483EB6">
        <w:rPr>
          <w:rFonts w:asciiTheme="minorHAnsi" w:hAnsiTheme="minorHAnsi"/>
          <w:bCs/>
          <w:szCs w:val="24"/>
        </w:rPr>
        <w:t xml:space="preserve">noted that the </w:t>
      </w:r>
      <w:r w:rsidRPr="00483EB6">
        <w:rPr>
          <w:rFonts w:asciiTheme="minorHAnsi" w:hAnsiTheme="minorHAnsi"/>
          <w:bCs/>
          <w:szCs w:val="24"/>
        </w:rPr>
        <w:t xml:space="preserve">evaluation </w:t>
      </w:r>
      <w:r w:rsidR="001D5657" w:rsidRPr="00483EB6">
        <w:rPr>
          <w:rFonts w:asciiTheme="minorHAnsi" w:hAnsiTheme="minorHAnsi"/>
          <w:bCs/>
          <w:szCs w:val="24"/>
        </w:rPr>
        <w:t>had raised issues regarding the</w:t>
      </w:r>
      <w:r w:rsidR="00D012E6" w:rsidRPr="00483EB6">
        <w:rPr>
          <w:rFonts w:asciiTheme="minorHAnsi" w:hAnsiTheme="minorHAnsi"/>
          <w:bCs/>
          <w:szCs w:val="24"/>
        </w:rPr>
        <w:t xml:space="preserve"> estimation of the size </w:t>
      </w:r>
      <w:r w:rsidR="001D5657" w:rsidRPr="00483EB6">
        <w:rPr>
          <w:rFonts w:asciiTheme="minorHAnsi" w:hAnsiTheme="minorHAnsi"/>
          <w:bCs/>
          <w:szCs w:val="24"/>
        </w:rPr>
        <w:t xml:space="preserve">of </w:t>
      </w:r>
      <w:r w:rsidR="002E669F" w:rsidRPr="00483EB6">
        <w:rPr>
          <w:rFonts w:asciiTheme="minorHAnsi" w:hAnsiTheme="minorHAnsi"/>
          <w:bCs/>
          <w:szCs w:val="24"/>
        </w:rPr>
        <w:t>the eligible population, but consider</w:t>
      </w:r>
      <w:r w:rsidR="001D5657" w:rsidRPr="00483EB6">
        <w:rPr>
          <w:rFonts w:asciiTheme="minorHAnsi" w:hAnsiTheme="minorHAnsi"/>
          <w:bCs/>
          <w:szCs w:val="24"/>
        </w:rPr>
        <w:t xml:space="preserve">ed this was likely conservative in the context of these estimates being used to implement an RSA with a </w:t>
      </w:r>
      <w:r w:rsidR="00D176A1">
        <w:rPr>
          <w:rFonts w:asciiTheme="minorHAnsi" w:hAnsiTheme="minorHAnsi"/>
          <w:bCs/>
          <w:noProof/>
          <w:color w:val="000000"/>
          <w:szCs w:val="24"/>
          <w:highlight w:val="black"/>
        </w:rPr>
        <w:t>''''''''</w:t>
      </w:r>
      <w:r w:rsidR="001D5657" w:rsidRPr="00483EB6">
        <w:rPr>
          <w:rFonts w:asciiTheme="minorHAnsi" w:hAnsiTheme="minorHAnsi"/>
          <w:bCs/>
          <w:szCs w:val="24"/>
        </w:rPr>
        <w:t>% rebate above the subsidy caps</w:t>
      </w:r>
      <w:r w:rsidR="009049B2" w:rsidRPr="00483EB6">
        <w:rPr>
          <w:rFonts w:asciiTheme="minorHAnsi" w:hAnsiTheme="minorHAnsi"/>
          <w:bCs/>
          <w:szCs w:val="24"/>
        </w:rPr>
        <w:t>.</w:t>
      </w:r>
      <w:r w:rsidR="001D5657" w:rsidRPr="00483EB6">
        <w:rPr>
          <w:rFonts w:asciiTheme="minorHAnsi" w:hAnsiTheme="minorHAnsi"/>
          <w:bCs/>
          <w:szCs w:val="24"/>
        </w:rPr>
        <w:t xml:space="preserve"> </w:t>
      </w:r>
      <w:r w:rsidR="00423181">
        <w:rPr>
          <w:rFonts w:asciiTheme="minorHAnsi" w:hAnsiTheme="minorHAnsi"/>
          <w:bCs/>
          <w:szCs w:val="24"/>
        </w:rPr>
        <w:t>The PBAC considered that if a single RSA subsidy cap was to be enacted any increase in subsidy caps over that of the current R/R setting would need to account for both the increase in eligible patients due to MRD and the expected decrease in patients in the R/R setting.</w:t>
      </w:r>
    </w:p>
    <w:p w:rsidR="00280756" w:rsidRDefault="00427FD1"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In deferring making its decision on whether to </w:t>
      </w:r>
      <w:r w:rsidR="003A47A1" w:rsidRPr="00483EB6">
        <w:rPr>
          <w:rFonts w:asciiTheme="minorHAnsi" w:hAnsiTheme="minorHAnsi"/>
          <w:bCs/>
          <w:szCs w:val="24"/>
        </w:rPr>
        <w:t>recommend</w:t>
      </w:r>
      <w:r w:rsidRPr="00483EB6">
        <w:rPr>
          <w:rFonts w:asciiTheme="minorHAnsi" w:hAnsiTheme="minorHAnsi"/>
          <w:bCs/>
          <w:szCs w:val="24"/>
        </w:rPr>
        <w:t xml:space="preserve"> blinatumomab in the MRD setting, the PBAC considered the following issues would need to be addressed:</w:t>
      </w:r>
    </w:p>
    <w:p w:rsidR="00280756" w:rsidRDefault="00427FD1" w:rsidP="0010204A">
      <w:pPr>
        <w:pStyle w:val="ListParagraph"/>
        <w:widowControl/>
        <w:numPr>
          <w:ilvl w:val="0"/>
          <w:numId w:val="21"/>
        </w:numPr>
        <w:spacing w:before="120" w:after="120"/>
        <w:ind w:left="1077" w:hanging="357"/>
        <w:rPr>
          <w:rFonts w:asciiTheme="minorHAnsi" w:hAnsiTheme="minorHAnsi"/>
          <w:bCs/>
          <w:szCs w:val="24"/>
        </w:rPr>
      </w:pPr>
      <w:r w:rsidRPr="00280756">
        <w:rPr>
          <w:rFonts w:asciiTheme="minorHAnsi" w:hAnsiTheme="minorHAnsi"/>
          <w:bCs/>
          <w:szCs w:val="24"/>
        </w:rPr>
        <w:t xml:space="preserve">a price reduction would be required to account for the uncertainties in the </w:t>
      </w:r>
      <w:r w:rsidR="002E669F" w:rsidRPr="00280756">
        <w:rPr>
          <w:rFonts w:asciiTheme="minorHAnsi" w:hAnsiTheme="minorHAnsi"/>
          <w:bCs/>
          <w:szCs w:val="24"/>
        </w:rPr>
        <w:t xml:space="preserve">clinical data and </w:t>
      </w:r>
      <w:r w:rsidRPr="00280756">
        <w:rPr>
          <w:rFonts w:asciiTheme="minorHAnsi" w:hAnsiTheme="minorHAnsi"/>
          <w:bCs/>
          <w:szCs w:val="24"/>
        </w:rPr>
        <w:t>economic model; and</w:t>
      </w:r>
    </w:p>
    <w:p w:rsidR="00427FD1" w:rsidRPr="00280756" w:rsidRDefault="00427FD1" w:rsidP="0010204A">
      <w:pPr>
        <w:pStyle w:val="ListParagraph"/>
        <w:widowControl/>
        <w:numPr>
          <w:ilvl w:val="0"/>
          <w:numId w:val="21"/>
        </w:numPr>
        <w:spacing w:before="120" w:after="120"/>
        <w:ind w:left="1077" w:hanging="357"/>
        <w:rPr>
          <w:rFonts w:asciiTheme="minorHAnsi" w:hAnsiTheme="minorHAnsi"/>
          <w:bCs/>
          <w:szCs w:val="24"/>
        </w:rPr>
      </w:pPr>
      <w:proofErr w:type="gramStart"/>
      <w:r w:rsidRPr="00280756">
        <w:rPr>
          <w:rFonts w:asciiTheme="minorHAnsi" w:hAnsiTheme="minorHAnsi"/>
          <w:bCs/>
          <w:szCs w:val="24"/>
        </w:rPr>
        <w:t>further</w:t>
      </w:r>
      <w:proofErr w:type="gramEnd"/>
      <w:r w:rsidRPr="00280756">
        <w:rPr>
          <w:rFonts w:asciiTheme="minorHAnsi" w:hAnsiTheme="minorHAnsi"/>
          <w:bCs/>
          <w:szCs w:val="24"/>
        </w:rPr>
        <w:t xml:space="preserve"> work was required </w:t>
      </w:r>
      <w:r w:rsidR="002E669F" w:rsidRPr="00280756">
        <w:rPr>
          <w:rFonts w:asciiTheme="minorHAnsi" w:hAnsiTheme="minorHAnsi"/>
          <w:bCs/>
          <w:szCs w:val="24"/>
        </w:rPr>
        <w:t>to determine</w:t>
      </w:r>
      <w:r w:rsidRPr="00280756">
        <w:rPr>
          <w:rFonts w:asciiTheme="minorHAnsi" w:hAnsiTheme="minorHAnsi"/>
          <w:bCs/>
          <w:szCs w:val="24"/>
        </w:rPr>
        <w:t xml:space="preserve"> the appropriate reduction in the RSA caps in the </w:t>
      </w:r>
      <w:r w:rsidR="0064497E" w:rsidRPr="00280756">
        <w:rPr>
          <w:rFonts w:asciiTheme="minorHAnsi" w:hAnsiTheme="minorHAnsi"/>
          <w:bCs/>
          <w:szCs w:val="24"/>
        </w:rPr>
        <w:t xml:space="preserve">R/R </w:t>
      </w:r>
      <w:r w:rsidRPr="00280756">
        <w:rPr>
          <w:rFonts w:asciiTheme="minorHAnsi" w:hAnsiTheme="minorHAnsi"/>
          <w:bCs/>
          <w:szCs w:val="24"/>
        </w:rPr>
        <w:t xml:space="preserve">setting. </w:t>
      </w:r>
    </w:p>
    <w:p w:rsidR="007A3965" w:rsidRPr="00483EB6" w:rsidRDefault="00427FD1" w:rsidP="0010204A">
      <w:pPr>
        <w:widowControl/>
        <w:numPr>
          <w:ilvl w:val="1"/>
          <w:numId w:val="3"/>
        </w:numPr>
        <w:spacing w:before="120" w:after="120"/>
        <w:rPr>
          <w:rFonts w:asciiTheme="minorHAnsi" w:hAnsiTheme="minorHAnsi"/>
          <w:bCs/>
          <w:szCs w:val="24"/>
        </w:rPr>
      </w:pPr>
      <w:r w:rsidRPr="00483EB6">
        <w:rPr>
          <w:rFonts w:asciiTheme="minorHAnsi" w:hAnsiTheme="minorHAnsi"/>
          <w:bCs/>
          <w:szCs w:val="24"/>
        </w:rPr>
        <w:t xml:space="preserve">The PBAC </w:t>
      </w:r>
      <w:r w:rsidR="00280756" w:rsidRPr="00483EB6">
        <w:rPr>
          <w:rFonts w:asciiTheme="minorHAnsi" w:hAnsiTheme="minorHAnsi"/>
          <w:bCs/>
          <w:szCs w:val="24"/>
        </w:rPr>
        <w:t>advised</w:t>
      </w:r>
      <w:r w:rsidRPr="00483EB6">
        <w:rPr>
          <w:rFonts w:asciiTheme="minorHAnsi" w:hAnsiTheme="minorHAnsi"/>
          <w:bCs/>
          <w:szCs w:val="24"/>
        </w:rPr>
        <w:t xml:space="preserve"> that if the uncertainties </w:t>
      </w:r>
      <w:r w:rsidR="000212DC" w:rsidRPr="00483EB6">
        <w:rPr>
          <w:rFonts w:asciiTheme="minorHAnsi" w:hAnsiTheme="minorHAnsi"/>
          <w:bCs/>
          <w:szCs w:val="24"/>
        </w:rPr>
        <w:t>with</w:t>
      </w:r>
      <w:r w:rsidRPr="00483EB6">
        <w:rPr>
          <w:rFonts w:asciiTheme="minorHAnsi" w:hAnsiTheme="minorHAnsi"/>
          <w:bCs/>
          <w:szCs w:val="24"/>
        </w:rPr>
        <w:t xml:space="preserve"> the </w:t>
      </w:r>
      <w:r w:rsidR="000212DC" w:rsidRPr="00483EB6">
        <w:rPr>
          <w:rFonts w:asciiTheme="minorHAnsi" w:hAnsiTheme="minorHAnsi"/>
          <w:bCs/>
          <w:szCs w:val="24"/>
        </w:rPr>
        <w:t xml:space="preserve">clinical data and </w:t>
      </w:r>
      <w:r w:rsidRPr="00483EB6">
        <w:rPr>
          <w:rFonts w:asciiTheme="minorHAnsi" w:hAnsiTheme="minorHAnsi"/>
          <w:bCs/>
          <w:szCs w:val="24"/>
        </w:rPr>
        <w:t xml:space="preserve">economic model could not be </w:t>
      </w:r>
      <w:r w:rsidR="009E4CD2">
        <w:rPr>
          <w:rFonts w:asciiTheme="minorHAnsi" w:hAnsiTheme="minorHAnsi"/>
          <w:bCs/>
          <w:szCs w:val="24"/>
        </w:rPr>
        <w:t>addressed</w:t>
      </w:r>
      <w:r w:rsidRPr="00483EB6">
        <w:rPr>
          <w:rFonts w:asciiTheme="minorHAnsi" w:hAnsiTheme="minorHAnsi"/>
          <w:bCs/>
          <w:szCs w:val="24"/>
        </w:rPr>
        <w:t xml:space="preserve"> through an appropriate price reduction and RSA arrangement, then a revised economic model</w:t>
      </w:r>
      <w:r w:rsidR="009B4CC9">
        <w:rPr>
          <w:rFonts w:asciiTheme="minorHAnsi" w:hAnsiTheme="minorHAnsi"/>
          <w:bCs/>
          <w:szCs w:val="24"/>
        </w:rPr>
        <w:t xml:space="preserve"> would be required</w:t>
      </w:r>
      <w:r w:rsidR="00280756">
        <w:rPr>
          <w:rFonts w:asciiTheme="minorHAnsi" w:hAnsiTheme="minorHAnsi"/>
          <w:bCs/>
          <w:szCs w:val="24"/>
        </w:rPr>
        <w:t xml:space="preserve">. The model </w:t>
      </w:r>
      <w:r w:rsidR="003A47A1" w:rsidRPr="00483EB6">
        <w:rPr>
          <w:rFonts w:asciiTheme="minorHAnsi" w:hAnsiTheme="minorHAnsi"/>
          <w:bCs/>
          <w:szCs w:val="24"/>
        </w:rPr>
        <w:t xml:space="preserve">would need to include HSCT as a health state and explicitly </w:t>
      </w:r>
      <w:r w:rsidRPr="00483EB6">
        <w:rPr>
          <w:rFonts w:asciiTheme="minorHAnsi" w:hAnsiTheme="minorHAnsi"/>
          <w:bCs/>
          <w:szCs w:val="24"/>
        </w:rPr>
        <w:t>incorporat</w:t>
      </w:r>
      <w:r w:rsidR="003A47A1" w:rsidRPr="00483EB6">
        <w:rPr>
          <w:rFonts w:asciiTheme="minorHAnsi" w:hAnsiTheme="minorHAnsi"/>
          <w:bCs/>
          <w:szCs w:val="24"/>
        </w:rPr>
        <w:t>e</w:t>
      </w:r>
      <w:r w:rsidRPr="00483EB6">
        <w:rPr>
          <w:rFonts w:asciiTheme="minorHAnsi" w:hAnsiTheme="minorHAnsi"/>
          <w:bCs/>
          <w:szCs w:val="24"/>
        </w:rPr>
        <w:t xml:space="preserve"> the different patient pathways outlined in Paragraph 7.</w:t>
      </w:r>
      <w:r w:rsidR="000212DC" w:rsidRPr="00483EB6">
        <w:rPr>
          <w:rFonts w:asciiTheme="minorHAnsi" w:hAnsiTheme="minorHAnsi"/>
          <w:bCs/>
          <w:szCs w:val="24"/>
        </w:rPr>
        <w:t>12</w:t>
      </w:r>
      <w:r w:rsidRPr="00483EB6">
        <w:rPr>
          <w:rFonts w:asciiTheme="minorHAnsi" w:hAnsiTheme="minorHAnsi"/>
          <w:bCs/>
          <w:szCs w:val="24"/>
        </w:rPr>
        <w:t xml:space="preserve">, and </w:t>
      </w:r>
      <w:r w:rsidR="003A47A1" w:rsidRPr="00483EB6">
        <w:rPr>
          <w:rFonts w:asciiTheme="minorHAnsi" w:hAnsiTheme="minorHAnsi"/>
          <w:bCs/>
          <w:szCs w:val="24"/>
        </w:rPr>
        <w:t xml:space="preserve">include </w:t>
      </w:r>
      <w:r w:rsidRPr="00483EB6">
        <w:rPr>
          <w:rFonts w:asciiTheme="minorHAnsi" w:hAnsiTheme="minorHAnsi"/>
          <w:bCs/>
          <w:szCs w:val="24"/>
        </w:rPr>
        <w:t xml:space="preserve">the </w:t>
      </w:r>
      <w:r w:rsidR="000C3D4A" w:rsidRPr="00483EB6">
        <w:rPr>
          <w:rFonts w:asciiTheme="minorHAnsi" w:hAnsiTheme="minorHAnsi"/>
          <w:bCs/>
          <w:szCs w:val="24"/>
        </w:rPr>
        <w:t xml:space="preserve">updated </w:t>
      </w:r>
      <w:r w:rsidRPr="00483EB6">
        <w:rPr>
          <w:rFonts w:asciiTheme="minorHAnsi" w:hAnsiTheme="minorHAnsi"/>
          <w:bCs/>
          <w:szCs w:val="24"/>
        </w:rPr>
        <w:t>BLAST</w:t>
      </w:r>
      <w:r w:rsidR="000C3D4A" w:rsidRPr="00483EB6">
        <w:rPr>
          <w:rFonts w:asciiTheme="minorHAnsi" w:hAnsiTheme="minorHAnsi"/>
          <w:bCs/>
          <w:szCs w:val="24"/>
        </w:rPr>
        <w:t xml:space="preserve"> study</w:t>
      </w:r>
      <w:r w:rsidRPr="00483EB6">
        <w:rPr>
          <w:rFonts w:asciiTheme="minorHAnsi" w:hAnsiTheme="minorHAnsi"/>
          <w:bCs/>
          <w:szCs w:val="24"/>
        </w:rPr>
        <w:t xml:space="preserve"> data. </w:t>
      </w:r>
    </w:p>
    <w:p w:rsidR="000370CA" w:rsidRPr="00483EB6" w:rsidRDefault="000370CA" w:rsidP="0010204A">
      <w:pPr>
        <w:widowControl/>
        <w:spacing w:before="120" w:after="120"/>
        <w:rPr>
          <w:rFonts w:asciiTheme="minorHAnsi" w:hAnsiTheme="minorHAnsi"/>
          <w:b/>
          <w:bCs/>
          <w:szCs w:val="24"/>
        </w:rPr>
      </w:pPr>
      <w:r w:rsidRPr="00483EB6">
        <w:rPr>
          <w:rFonts w:asciiTheme="minorHAnsi" w:hAnsiTheme="minorHAnsi"/>
          <w:b/>
          <w:bCs/>
          <w:szCs w:val="24"/>
        </w:rPr>
        <w:t>Outcome:</w:t>
      </w:r>
    </w:p>
    <w:p w:rsidR="004635D4" w:rsidRPr="00991200" w:rsidRDefault="000370CA" w:rsidP="0010204A">
      <w:pPr>
        <w:widowControl/>
        <w:spacing w:before="120" w:after="120"/>
        <w:rPr>
          <w:rFonts w:asciiTheme="minorHAnsi" w:hAnsiTheme="minorHAnsi"/>
          <w:bCs/>
          <w:szCs w:val="24"/>
        </w:rPr>
      </w:pPr>
      <w:r w:rsidRPr="00483EB6">
        <w:rPr>
          <w:rFonts w:asciiTheme="minorHAnsi" w:hAnsiTheme="minorHAnsi"/>
          <w:bCs/>
          <w:szCs w:val="24"/>
        </w:rPr>
        <w:t>Deferred</w:t>
      </w:r>
    </w:p>
    <w:p w:rsidR="004635D4" w:rsidRPr="004635D4" w:rsidRDefault="004635D4" w:rsidP="0010204A">
      <w:pPr>
        <w:pStyle w:val="PBACHeading1"/>
        <w:spacing w:before="120" w:after="120"/>
      </w:pPr>
      <w:r w:rsidRPr="004635D4">
        <w:t>Context for Decision</w:t>
      </w:r>
    </w:p>
    <w:p w:rsidR="004635D4" w:rsidRPr="0010204A" w:rsidRDefault="004635D4" w:rsidP="0010204A">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10204A">
        <w:rPr>
          <w:rFonts w:asciiTheme="minorHAnsi" w:hAnsiTheme="minorHAnsi"/>
        </w:rPr>
        <w:t>nt review of the PBAC decision.</w:t>
      </w:r>
    </w:p>
    <w:p w:rsidR="004635D4" w:rsidRPr="004635D4" w:rsidRDefault="004635D4" w:rsidP="0010204A">
      <w:pPr>
        <w:pStyle w:val="PBACHeading1"/>
        <w:spacing w:before="120" w:after="120"/>
      </w:pPr>
      <w:r w:rsidRPr="004635D4">
        <w:t>Sponsor’s Comment</w:t>
      </w:r>
    </w:p>
    <w:p w:rsidR="000370CA" w:rsidRPr="00483EB6" w:rsidRDefault="005429F9" w:rsidP="0010204A">
      <w:pPr>
        <w:spacing w:before="120" w:after="120"/>
        <w:ind w:left="720"/>
        <w:rPr>
          <w:rFonts w:asciiTheme="minorHAnsi" w:hAnsiTheme="minorHAnsi"/>
          <w:b/>
          <w:bCs/>
          <w:szCs w:val="24"/>
        </w:rPr>
      </w:pPr>
      <w:r>
        <w:t xml:space="preserve">Amgen is pleased that the PBAC acknowledged the clinical need for effective treatment for B-ALL. The elimination of MRD with blinatumomab is an important and effective treatment option for these patients. As such, Amgen will continue to work with the PBAC with the aim to make blinatumomab available for these patients. </w:t>
      </w:r>
    </w:p>
    <w:sectPr w:rsidR="000370CA" w:rsidRPr="00483EB6" w:rsidSect="00E21358">
      <w:headerReference w:type="default" r:id="rId16"/>
      <w:footerReference w:type="default" r:id="rId17"/>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04ECC5" w16cid:durableId="209603BF"/>
  <w16cid:commentId w16cid:paraId="522D1C74" w16cid:durableId="209606B7"/>
  <w16cid:commentId w16cid:paraId="2E9F3706" w16cid:durableId="209A6E21"/>
  <w16cid:commentId w16cid:paraId="07786B79" w16cid:durableId="209A6DFB"/>
  <w16cid:commentId w16cid:paraId="3A7854ED" w16cid:durableId="209605ED"/>
  <w16cid:commentId w16cid:paraId="36F5E701" w16cid:durableId="209A6F49"/>
  <w16cid:commentId w16cid:paraId="2EA03487" w16cid:durableId="2096050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FDE" w:rsidRDefault="00904FDE" w:rsidP="00124A51">
      <w:r>
        <w:separator/>
      </w:r>
    </w:p>
    <w:p w:rsidR="00904FDE" w:rsidRDefault="00904FDE"/>
  </w:endnote>
  <w:endnote w:type="continuationSeparator" w:id="0">
    <w:p w:rsidR="00904FDE" w:rsidRDefault="00904FDE" w:rsidP="00124A51">
      <w:r>
        <w:continuationSeparator/>
      </w:r>
    </w:p>
    <w:p w:rsidR="00904FDE" w:rsidRDefault="00904F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Bold">
    <w:panose1 w:val="020B07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DE" w:rsidRPr="00C058E5" w:rsidRDefault="00904FDE" w:rsidP="006859E9">
    <w:pPr>
      <w:widowControl/>
      <w:tabs>
        <w:tab w:val="center" w:pos="4153"/>
        <w:tab w:val="right" w:pos="8306"/>
      </w:tabs>
      <w:spacing w:after="120"/>
      <w:ind w:left="360"/>
      <w:jc w:val="center"/>
      <w:rPr>
        <w:b/>
        <w:snapToGrid/>
        <w:szCs w:val="24"/>
      </w:rPr>
    </w:pPr>
    <w:r w:rsidRPr="00C058E5">
      <w:rPr>
        <w:b/>
        <w:snapToGrid/>
        <w:szCs w:val="24"/>
      </w:rPr>
      <w:fldChar w:fldCharType="begin"/>
    </w:r>
    <w:r w:rsidRPr="00C058E5">
      <w:rPr>
        <w:b/>
        <w:snapToGrid/>
        <w:szCs w:val="24"/>
      </w:rPr>
      <w:instrText xml:space="preserve"> PAGE   \* MERGEFORMAT </w:instrText>
    </w:r>
    <w:r w:rsidRPr="00C058E5">
      <w:rPr>
        <w:b/>
        <w:snapToGrid/>
        <w:szCs w:val="24"/>
      </w:rPr>
      <w:fldChar w:fldCharType="separate"/>
    </w:r>
    <w:r w:rsidR="0011769B">
      <w:rPr>
        <w:b/>
        <w:noProof/>
        <w:snapToGrid/>
        <w:szCs w:val="24"/>
      </w:rPr>
      <w:t>40</w:t>
    </w:r>
    <w:r w:rsidRPr="00C058E5">
      <w:rPr>
        <w:b/>
        <w:noProof/>
        <w:snapToGrid/>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FDE" w:rsidRDefault="00904FDE" w:rsidP="00124A51">
      <w:r>
        <w:separator/>
      </w:r>
    </w:p>
    <w:p w:rsidR="00904FDE" w:rsidRDefault="00904FDE"/>
  </w:footnote>
  <w:footnote w:type="continuationSeparator" w:id="0">
    <w:p w:rsidR="00904FDE" w:rsidRDefault="00904FDE" w:rsidP="00124A51">
      <w:r>
        <w:continuationSeparator/>
      </w:r>
    </w:p>
    <w:p w:rsidR="00904FDE" w:rsidRDefault="00904FD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DE" w:rsidRPr="00C058E5" w:rsidRDefault="00904FDE" w:rsidP="00C058E5">
    <w:pPr>
      <w:widowControl/>
      <w:tabs>
        <w:tab w:val="center" w:pos="4153"/>
        <w:tab w:val="right" w:pos="8306"/>
      </w:tabs>
      <w:ind w:left="360"/>
      <w:jc w:val="center"/>
      <w:rPr>
        <w:rFonts w:asciiTheme="minorHAnsi" w:hAnsiTheme="minorHAnsi"/>
        <w:i/>
        <w:snapToGrid/>
        <w:color w:val="808080"/>
        <w:szCs w:val="24"/>
      </w:rPr>
    </w:pPr>
    <w:r>
      <w:rPr>
        <w:rFonts w:asciiTheme="minorHAnsi" w:hAnsiTheme="minorHAnsi"/>
        <w:i/>
        <w:snapToGrid/>
        <w:color w:val="808080"/>
        <w:szCs w:val="24"/>
      </w:rPr>
      <w:t xml:space="preserve">Public Summary Document </w:t>
    </w:r>
    <w:r w:rsidRPr="00C058E5">
      <w:rPr>
        <w:rFonts w:asciiTheme="minorHAnsi" w:hAnsiTheme="minorHAnsi"/>
        <w:i/>
        <w:snapToGrid/>
        <w:color w:val="808080"/>
        <w:szCs w:val="24"/>
      </w:rPr>
      <w:t>– March 2019 PBAC Meeting</w:t>
    </w:r>
  </w:p>
  <w:p w:rsidR="00904FDE" w:rsidRPr="00C058E5" w:rsidRDefault="00904FDE">
    <w:pPr>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D6A35"/>
    <w:multiLevelType w:val="hybridMultilevel"/>
    <w:tmpl w:val="C64CD038"/>
    <w:lvl w:ilvl="0" w:tplc="25A44E4A">
      <w:start w:val="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4670FC"/>
    <w:multiLevelType w:val="hybridMultilevel"/>
    <w:tmpl w:val="949CD3F8"/>
    <w:lvl w:ilvl="0" w:tplc="8796FD82">
      <w:start w:val="1"/>
      <w:numFmt w:val="bullet"/>
      <w:lvlText w:val="•"/>
      <w:lvlJc w:val="left"/>
      <w:pPr>
        <w:tabs>
          <w:tab w:val="num" w:pos="720"/>
        </w:tabs>
        <w:ind w:left="720" w:hanging="360"/>
      </w:pPr>
      <w:rPr>
        <w:rFonts w:ascii="Times New Roman" w:hAnsi="Times New Roman" w:hint="default"/>
      </w:rPr>
    </w:lvl>
    <w:lvl w:ilvl="1" w:tplc="FA10DFF6">
      <w:start w:val="78"/>
      <w:numFmt w:val="bullet"/>
      <w:lvlText w:val="–"/>
      <w:lvlJc w:val="left"/>
      <w:pPr>
        <w:tabs>
          <w:tab w:val="num" w:pos="1440"/>
        </w:tabs>
        <w:ind w:left="1440" w:hanging="360"/>
      </w:pPr>
      <w:rPr>
        <w:rFonts w:ascii="Times New Roman" w:hAnsi="Times New Roman" w:hint="default"/>
      </w:rPr>
    </w:lvl>
    <w:lvl w:ilvl="2" w:tplc="8F58978A" w:tentative="1">
      <w:start w:val="1"/>
      <w:numFmt w:val="bullet"/>
      <w:lvlText w:val="•"/>
      <w:lvlJc w:val="left"/>
      <w:pPr>
        <w:tabs>
          <w:tab w:val="num" w:pos="2160"/>
        </w:tabs>
        <w:ind w:left="2160" w:hanging="360"/>
      </w:pPr>
      <w:rPr>
        <w:rFonts w:ascii="Times New Roman" w:hAnsi="Times New Roman" w:hint="default"/>
      </w:rPr>
    </w:lvl>
    <w:lvl w:ilvl="3" w:tplc="14428F4C" w:tentative="1">
      <w:start w:val="1"/>
      <w:numFmt w:val="bullet"/>
      <w:lvlText w:val="•"/>
      <w:lvlJc w:val="left"/>
      <w:pPr>
        <w:tabs>
          <w:tab w:val="num" w:pos="2880"/>
        </w:tabs>
        <w:ind w:left="2880" w:hanging="360"/>
      </w:pPr>
      <w:rPr>
        <w:rFonts w:ascii="Times New Roman" w:hAnsi="Times New Roman" w:hint="default"/>
      </w:rPr>
    </w:lvl>
    <w:lvl w:ilvl="4" w:tplc="E2E64680" w:tentative="1">
      <w:start w:val="1"/>
      <w:numFmt w:val="bullet"/>
      <w:lvlText w:val="•"/>
      <w:lvlJc w:val="left"/>
      <w:pPr>
        <w:tabs>
          <w:tab w:val="num" w:pos="3600"/>
        </w:tabs>
        <w:ind w:left="3600" w:hanging="360"/>
      </w:pPr>
      <w:rPr>
        <w:rFonts w:ascii="Times New Roman" w:hAnsi="Times New Roman" w:hint="default"/>
      </w:rPr>
    </w:lvl>
    <w:lvl w:ilvl="5" w:tplc="1BCCA70E" w:tentative="1">
      <w:start w:val="1"/>
      <w:numFmt w:val="bullet"/>
      <w:lvlText w:val="•"/>
      <w:lvlJc w:val="left"/>
      <w:pPr>
        <w:tabs>
          <w:tab w:val="num" w:pos="4320"/>
        </w:tabs>
        <w:ind w:left="4320" w:hanging="360"/>
      </w:pPr>
      <w:rPr>
        <w:rFonts w:ascii="Times New Roman" w:hAnsi="Times New Roman" w:hint="default"/>
      </w:rPr>
    </w:lvl>
    <w:lvl w:ilvl="6" w:tplc="66121C6C" w:tentative="1">
      <w:start w:val="1"/>
      <w:numFmt w:val="bullet"/>
      <w:lvlText w:val="•"/>
      <w:lvlJc w:val="left"/>
      <w:pPr>
        <w:tabs>
          <w:tab w:val="num" w:pos="5040"/>
        </w:tabs>
        <w:ind w:left="5040" w:hanging="360"/>
      </w:pPr>
      <w:rPr>
        <w:rFonts w:ascii="Times New Roman" w:hAnsi="Times New Roman" w:hint="default"/>
      </w:rPr>
    </w:lvl>
    <w:lvl w:ilvl="7" w:tplc="A406E274" w:tentative="1">
      <w:start w:val="1"/>
      <w:numFmt w:val="bullet"/>
      <w:lvlText w:val="•"/>
      <w:lvlJc w:val="left"/>
      <w:pPr>
        <w:tabs>
          <w:tab w:val="num" w:pos="5760"/>
        </w:tabs>
        <w:ind w:left="5760" w:hanging="360"/>
      </w:pPr>
      <w:rPr>
        <w:rFonts w:ascii="Times New Roman" w:hAnsi="Times New Roman" w:hint="default"/>
      </w:rPr>
    </w:lvl>
    <w:lvl w:ilvl="8" w:tplc="1DE6816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1C965C3B"/>
    <w:multiLevelType w:val="hybridMultilevel"/>
    <w:tmpl w:val="35E03036"/>
    <w:lvl w:ilvl="0" w:tplc="07C8FF88">
      <w:start w:val="1"/>
      <w:numFmt w:val="bullet"/>
      <w:lvlText w:val="•"/>
      <w:lvlJc w:val="left"/>
      <w:pPr>
        <w:tabs>
          <w:tab w:val="num" w:pos="720"/>
        </w:tabs>
        <w:ind w:left="720" w:hanging="360"/>
      </w:pPr>
      <w:rPr>
        <w:rFonts w:ascii="Times New Roman" w:hAnsi="Times New Roman" w:hint="default"/>
      </w:rPr>
    </w:lvl>
    <w:lvl w:ilvl="1" w:tplc="8F7ABB3C" w:tentative="1">
      <w:start w:val="1"/>
      <w:numFmt w:val="bullet"/>
      <w:lvlText w:val="•"/>
      <w:lvlJc w:val="left"/>
      <w:pPr>
        <w:tabs>
          <w:tab w:val="num" w:pos="1440"/>
        </w:tabs>
        <w:ind w:left="1440" w:hanging="360"/>
      </w:pPr>
      <w:rPr>
        <w:rFonts w:ascii="Times New Roman" w:hAnsi="Times New Roman" w:hint="default"/>
      </w:rPr>
    </w:lvl>
    <w:lvl w:ilvl="2" w:tplc="84E83798" w:tentative="1">
      <w:start w:val="1"/>
      <w:numFmt w:val="bullet"/>
      <w:lvlText w:val="•"/>
      <w:lvlJc w:val="left"/>
      <w:pPr>
        <w:tabs>
          <w:tab w:val="num" w:pos="2160"/>
        </w:tabs>
        <w:ind w:left="2160" w:hanging="360"/>
      </w:pPr>
      <w:rPr>
        <w:rFonts w:ascii="Times New Roman" w:hAnsi="Times New Roman" w:hint="default"/>
      </w:rPr>
    </w:lvl>
    <w:lvl w:ilvl="3" w:tplc="304C3404" w:tentative="1">
      <w:start w:val="1"/>
      <w:numFmt w:val="bullet"/>
      <w:lvlText w:val="•"/>
      <w:lvlJc w:val="left"/>
      <w:pPr>
        <w:tabs>
          <w:tab w:val="num" w:pos="2880"/>
        </w:tabs>
        <w:ind w:left="2880" w:hanging="360"/>
      </w:pPr>
      <w:rPr>
        <w:rFonts w:ascii="Times New Roman" w:hAnsi="Times New Roman" w:hint="default"/>
      </w:rPr>
    </w:lvl>
    <w:lvl w:ilvl="4" w:tplc="028C29F6" w:tentative="1">
      <w:start w:val="1"/>
      <w:numFmt w:val="bullet"/>
      <w:lvlText w:val="•"/>
      <w:lvlJc w:val="left"/>
      <w:pPr>
        <w:tabs>
          <w:tab w:val="num" w:pos="3600"/>
        </w:tabs>
        <w:ind w:left="3600" w:hanging="360"/>
      </w:pPr>
      <w:rPr>
        <w:rFonts w:ascii="Times New Roman" w:hAnsi="Times New Roman" w:hint="default"/>
      </w:rPr>
    </w:lvl>
    <w:lvl w:ilvl="5" w:tplc="214811DC" w:tentative="1">
      <w:start w:val="1"/>
      <w:numFmt w:val="bullet"/>
      <w:lvlText w:val="•"/>
      <w:lvlJc w:val="left"/>
      <w:pPr>
        <w:tabs>
          <w:tab w:val="num" w:pos="4320"/>
        </w:tabs>
        <w:ind w:left="4320" w:hanging="360"/>
      </w:pPr>
      <w:rPr>
        <w:rFonts w:ascii="Times New Roman" w:hAnsi="Times New Roman" w:hint="default"/>
      </w:rPr>
    </w:lvl>
    <w:lvl w:ilvl="6" w:tplc="6BE23422" w:tentative="1">
      <w:start w:val="1"/>
      <w:numFmt w:val="bullet"/>
      <w:lvlText w:val="•"/>
      <w:lvlJc w:val="left"/>
      <w:pPr>
        <w:tabs>
          <w:tab w:val="num" w:pos="5040"/>
        </w:tabs>
        <w:ind w:left="5040" w:hanging="360"/>
      </w:pPr>
      <w:rPr>
        <w:rFonts w:ascii="Times New Roman" w:hAnsi="Times New Roman" w:hint="default"/>
      </w:rPr>
    </w:lvl>
    <w:lvl w:ilvl="7" w:tplc="76DE89CC" w:tentative="1">
      <w:start w:val="1"/>
      <w:numFmt w:val="bullet"/>
      <w:lvlText w:val="•"/>
      <w:lvlJc w:val="left"/>
      <w:pPr>
        <w:tabs>
          <w:tab w:val="num" w:pos="5760"/>
        </w:tabs>
        <w:ind w:left="5760" w:hanging="360"/>
      </w:pPr>
      <w:rPr>
        <w:rFonts w:ascii="Times New Roman" w:hAnsi="Times New Roman" w:hint="default"/>
      </w:rPr>
    </w:lvl>
    <w:lvl w:ilvl="8" w:tplc="E118E620"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9C76359"/>
    <w:multiLevelType w:val="hybridMultilevel"/>
    <w:tmpl w:val="3CF2665C"/>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8" w15:restartNumberingAfterBreak="0">
    <w:nsid w:val="30E50F09"/>
    <w:multiLevelType w:val="hybridMultilevel"/>
    <w:tmpl w:val="2240601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3B7C34E2"/>
    <w:multiLevelType w:val="hybridMultilevel"/>
    <w:tmpl w:val="50E615E6"/>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B15EEA"/>
    <w:multiLevelType w:val="hybridMultilevel"/>
    <w:tmpl w:val="0ABC227C"/>
    <w:lvl w:ilvl="0" w:tplc="7A7EC0F2">
      <w:start w:val="1"/>
      <w:numFmt w:val="bullet"/>
      <w:lvlText w:val="•"/>
      <w:lvlJc w:val="left"/>
      <w:pPr>
        <w:tabs>
          <w:tab w:val="num" w:pos="720"/>
        </w:tabs>
        <w:ind w:left="720" w:hanging="360"/>
      </w:pPr>
      <w:rPr>
        <w:rFonts w:ascii="Times New Roman" w:hAnsi="Times New Roman" w:hint="default"/>
      </w:rPr>
    </w:lvl>
    <w:lvl w:ilvl="1" w:tplc="7408E09E" w:tentative="1">
      <w:start w:val="1"/>
      <w:numFmt w:val="bullet"/>
      <w:lvlText w:val="•"/>
      <w:lvlJc w:val="left"/>
      <w:pPr>
        <w:tabs>
          <w:tab w:val="num" w:pos="1440"/>
        </w:tabs>
        <w:ind w:left="1440" w:hanging="360"/>
      </w:pPr>
      <w:rPr>
        <w:rFonts w:ascii="Times New Roman" w:hAnsi="Times New Roman" w:hint="default"/>
      </w:rPr>
    </w:lvl>
    <w:lvl w:ilvl="2" w:tplc="9918A3E8" w:tentative="1">
      <w:start w:val="1"/>
      <w:numFmt w:val="bullet"/>
      <w:lvlText w:val="•"/>
      <w:lvlJc w:val="left"/>
      <w:pPr>
        <w:tabs>
          <w:tab w:val="num" w:pos="2160"/>
        </w:tabs>
        <w:ind w:left="2160" w:hanging="360"/>
      </w:pPr>
      <w:rPr>
        <w:rFonts w:ascii="Times New Roman" w:hAnsi="Times New Roman" w:hint="default"/>
      </w:rPr>
    </w:lvl>
    <w:lvl w:ilvl="3" w:tplc="A7A27D58" w:tentative="1">
      <w:start w:val="1"/>
      <w:numFmt w:val="bullet"/>
      <w:lvlText w:val="•"/>
      <w:lvlJc w:val="left"/>
      <w:pPr>
        <w:tabs>
          <w:tab w:val="num" w:pos="2880"/>
        </w:tabs>
        <w:ind w:left="2880" w:hanging="360"/>
      </w:pPr>
      <w:rPr>
        <w:rFonts w:ascii="Times New Roman" w:hAnsi="Times New Roman" w:hint="default"/>
      </w:rPr>
    </w:lvl>
    <w:lvl w:ilvl="4" w:tplc="276E1652" w:tentative="1">
      <w:start w:val="1"/>
      <w:numFmt w:val="bullet"/>
      <w:lvlText w:val="•"/>
      <w:lvlJc w:val="left"/>
      <w:pPr>
        <w:tabs>
          <w:tab w:val="num" w:pos="3600"/>
        </w:tabs>
        <w:ind w:left="3600" w:hanging="360"/>
      </w:pPr>
      <w:rPr>
        <w:rFonts w:ascii="Times New Roman" w:hAnsi="Times New Roman" w:hint="default"/>
      </w:rPr>
    </w:lvl>
    <w:lvl w:ilvl="5" w:tplc="8CAC48A2" w:tentative="1">
      <w:start w:val="1"/>
      <w:numFmt w:val="bullet"/>
      <w:lvlText w:val="•"/>
      <w:lvlJc w:val="left"/>
      <w:pPr>
        <w:tabs>
          <w:tab w:val="num" w:pos="4320"/>
        </w:tabs>
        <w:ind w:left="4320" w:hanging="360"/>
      </w:pPr>
      <w:rPr>
        <w:rFonts w:ascii="Times New Roman" w:hAnsi="Times New Roman" w:hint="default"/>
      </w:rPr>
    </w:lvl>
    <w:lvl w:ilvl="6" w:tplc="FBF45054" w:tentative="1">
      <w:start w:val="1"/>
      <w:numFmt w:val="bullet"/>
      <w:lvlText w:val="•"/>
      <w:lvlJc w:val="left"/>
      <w:pPr>
        <w:tabs>
          <w:tab w:val="num" w:pos="5040"/>
        </w:tabs>
        <w:ind w:left="5040" w:hanging="360"/>
      </w:pPr>
      <w:rPr>
        <w:rFonts w:ascii="Times New Roman" w:hAnsi="Times New Roman" w:hint="default"/>
      </w:rPr>
    </w:lvl>
    <w:lvl w:ilvl="7" w:tplc="3DC07284" w:tentative="1">
      <w:start w:val="1"/>
      <w:numFmt w:val="bullet"/>
      <w:lvlText w:val="•"/>
      <w:lvlJc w:val="left"/>
      <w:pPr>
        <w:tabs>
          <w:tab w:val="num" w:pos="5760"/>
        </w:tabs>
        <w:ind w:left="5760" w:hanging="360"/>
      </w:pPr>
      <w:rPr>
        <w:rFonts w:ascii="Times New Roman" w:hAnsi="Times New Roman" w:hint="default"/>
      </w:rPr>
    </w:lvl>
    <w:lvl w:ilvl="8" w:tplc="9378F048"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C6D2E4D"/>
    <w:multiLevelType w:val="hybridMultilevel"/>
    <w:tmpl w:val="15DCF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F787361"/>
    <w:multiLevelType w:val="hybridMultilevel"/>
    <w:tmpl w:val="4ABC68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5"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65036B07"/>
    <w:multiLevelType w:val="hybridMultilevel"/>
    <w:tmpl w:val="5D421C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4D033C"/>
    <w:multiLevelType w:val="multilevel"/>
    <w:tmpl w:val="B0DC5AB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8691AEA"/>
    <w:multiLevelType w:val="hybridMultilevel"/>
    <w:tmpl w:val="58EA78B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7A5A14A4"/>
    <w:multiLevelType w:val="hybridMultilevel"/>
    <w:tmpl w:val="F08022EA"/>
    <w:lvl w:ilvl="0" w:tplc="546639F6">
      <w:start w:val="2024"/>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BF711BB"/>
    <w:multiLevelType w:val="hybridMultilevel"/>
    <w:tmpl w:val="C1C8B3A4"/>
    <w:lvl w:ilvl="0" w:tplc="40DED0CC">
      <w:numFmt w:val="bullet"/>
      <w:lvlText w:val="-"/>
      <w:lvlJc w:val="left"/>
      <w:pPr>
        <w:ind w:left="720" w:hanging="360"/>
      </w:pPr>
      <w:rPr>
        <w:rFonts w:ascii="Arial Narrow" w:eastAsia="Times New Roman" w:hAnsi="Arial Narrow"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18"/>
  </w:num>
  <w:num w:numId="4">
    <w:abstractNumId w:val="10"/>
  </w:num>
  <w:num w:numId="5">
    <w:abstractNumId w:val="20"/>
  </w:num>
  <w:num w:numId="6">
    <w:abstractNumId w:val="21"/>
  </w:num>
  <w:num w:numId="7">
    <w:abstractNumId w:val="15"/>
  </w:num>
  <w:num w:numId="8">
    <w:abstractNumId w:val="3"/>
  </w:num>
  <w:num w:numId="9">
    <w:abstractNumId w:val="0"/>
  </w:num>
  <w:num w:numId="10">
    <w:abstractNumId w:val="6"/>
  </w:num>
  <w:num w:numId="11">
    <w:abstractNumId w:val="14"/>
  </w:num>
  <w:num w:numId="12">
    <w:abstractNumId w:val="19"/>
  </w:num>
  <w:num w:numId="13">
    <w:abstractNumId w:val="8"/>
  </w:num>
  <w:num w:numId="14">
    <w:abstractNumId w:val="4"/>
  </w:num>
  <w:num w:numId="15">
    <w:abstractNumId w:val="5"/>
  </w:num>
  <w:num w:numId="16">
    <w:abstractNumId w:val="11"/>
  </w:num>
  <w:num w:numId="17">
    <w:abstractNumId w:val="2"/>
  </w:num>
  <w:num w:numId="18">
    <w:abstractNumId w:val="17"/>
  </w:num>
  <w:num w:numId="19">
    <w:abstractNumId w:val="12"/>
  </w:num>
  <w:num w:numId="20">
    <w:abstractNumId w:val="7"/>
  </w:num>
  <w:num w:numId="21">
    <w:abstractNumId w:val="13"/>
  </w:num>
  <w:num w:numId="22">
    <w:abstractNumId w:val="16"/>
  </w:num>
  <w:num w:numId="23">
    <w:abstractNumId w:val="18"/>
  </w:num>
  <w:num w:numId="2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2F3"/>
    <w:rsid w:val="00000790"/>
    <w:rsid w:val="0000110B"/>
    <w:rsid w:val="00001121"/>
    <w:rsid w:val="000020CA"/>
    <w:rsid w:val="000022B0"/>
    <w:rsid w:val="00002B38"/>
    <w:rsid w:val="00003499"/>
    <w:rsid w:val="000039B7"/>
    <w:rsid w:val="00006C1C"/>
    <w:rsid w:val="0000701A"/>
    <w:rsid w:val="00007084"/>
    <w:rsid w:val="00010DB7"/>
    <w:rsid w:val="000112E3"/>
    <w:rsid w:val="00012C16"/>
    <w:rsid w:val="00013247"/>
    <w:rsid w:val="00015886"/>
    <w:rsid w:val="00015DED"/>
    <w:rsid w:val="0001610D"/>
    <w:rsid w:val="000162EF"/>
    <w:rsid w:val="00017F48"/>
    <w:rsid w:val="0002074D"/>
    <w:rsid w:val="000212DC"/>
    <w:rsid w:val="00021AF8"/>
    <w:rsid w:val="0002225F"/>
    <w:rsid w:val="0002333D"/>
    <w:rsid w:val="00023763"/>
    <w:rsid w:val="00023F93"/>
    <w:rsid w:val="00023FC3"/>
    <w:rsid w:val="00025004"/>
    <w:rsid w:val="00026376"/>
    <w:rsid w:val="000302DD"/>
    <w:rsid w:val="0003042B"/>
    <w:rsid w:val="00030781"/>
    <w:rsid w:val="00030AED"/>
    <w:rsid w:val="00031517"/>
    <w:rsid w:val="0003268D"/>
    <w:rsid w:val="00033863"/>
    <w:rsid w:val="00033AC2"/>
    <w:rsid w:val="00033EFD"/>
    <w:rsid w:val="00035AB2"/>
    <w:rsid w:val="00035D93"/>
    <w:rsid w:val="00035DC0"/>
    <w:rsid w:val="000367B0"/>
    <w:rsid w:val="00036829"/>
    <w:rsid w:val="000370CA"/>
    <w:rsid w:val="000406A2"/>
    <w:rsid w:val="00040895"/>
    <w:rsid w:val="00040F07"/>
    <w:rsid w:val="000437D5"/>
    <w:rsid w:val="00043919"/>
    <w:rsid w:val="00043C37"/>
    <w:rsid w:val="00045017"/>
    <w:rsid w:val="00045A2B"/>
    <w:rsid w:val="000468AE"/>
    <w:rsid w:val="0004698F"/>
    <w:rsid w:val="00047F6A"/>
    <w:rsid w:val="000516A5"/>
    <w:rsid w:val="000539D0"/>
    <w:rsid w:val="00054621"/>
    <w:rsid w:val="000546D7"/>
    <w:rsid w:val="00054B2C"/>
    <w:rsid w:val="00054BE2"/>
    <w:rsid w:val="00055882"/>
    <w:rsid w:val="00060316"/>
    <w:rsid w:val="00061430"/>
    <w:rsid w:val="000615F5"/>
    <w:rsid w:val="000619CA"/>
    <w:rsid w:val="000628CE"/>
    <w:rsid w:val="00062B56"/>
    <w:rsid w:val="00062D2D"/>
    <w:rsid w:val="0006358E"/>
    <w:rsid w:val="00063997"/>
    <w:rsid w:val="00063FC0"/>
    <w:rsid w:val="0006428B"/>
    <w:rsid w:val="0006487E"/>
    <w:rsid w:val="00065873"/>
    <w:rsid w:val="00066360"/>
    <w:rsid w:val="00067AE8"/>
    <w:rsid w:val="00067FD2"/>
    <w:rsid w:val="000706A3"/>
    <w:rsid w:val="00071248"/>
    <w:rsid w:val="00071783"/>
    <w:rsid w:val="00071B16"/>
    <w:rsid w:val="000720B9"/>
    <w:rsid w:val="00072747"/>
    <w:rsid w:val="000737F7"/>
    <w:rsid w:val="00073B12"/>
    <w:rsid w:val="000747EF"/>
    <w:rsid w:val="00075560"/>
    <w:rsid w:val="00075758"/>
    <w:rsid w:val="00075A8C"/>
    <w:rsid w:val="0007672F"/>
    <w:rsid w:val="000769B7"/>
    <w:rsid w:val="00076E7A"/>
    <w:rsid w:val="000771B5"/>
    <w:rsid w:val="000774F0"/>
    <w:rsid w:val="00080909"/>
    <w:rsid w:val="000812CA"/>
    <w:rsid w:val="0008258D"/>
    <w:rsid w:val="00082699"/>
    <w:rsid w:val="00082B5C"/>
    <w:rsid w:val="00082EF0"/>
    <w:rsid w:val="000830CC"/>
    <w:rsid w:val="00083E99"/>
    <w:rsid w:val="000856C5"/>
    <w:rsid w:val="00087091"/>
    <w:rsid w:val="00087733"/>
    <w:rsid w:val="000906ED"/>
    <w:rsid w:val="00090C7E"/>
    <w:rsid w:val="00090F45"/>
    <w:rsid w:val="00092600"/>
    <w:rsid w:val="0009262B"/>
    <w:rsid w:val="00093310"/>
    <w:rsid w:val="0009445C"/>
    <w:rsid w:val="0009529A"/>
    <w:rsid w:val="00095FE5"/>
    <w:rsid w:val="00096284"/>
    <w:rsid w:val="00096E27"/>
    <w:rsid w:val="000972E0"/>
    <w:rsid w:val="000A3E32"/>
    <w:rsid w:val="000A4F51"/>
    <w:rsid w:val="000A57D0"/>
    <w:rsid w:val="000A6173"/>
    <w:rsid w:val="000A710C"/>
    <w:rsid w:val="000A791B"/>
    <w:rsid w:val="000A7D08"/>
    <w:rsid w:val="000B0670"/>
    <w:rsid w:val="000B0E75"/>
    <w:rsid w:val="000B15AE"/>
    <w:rsid w:val="000B1AD2"/>
    <w:rsid w:val="000B247A"/>
    <w:rsid w:val="000B26FC"/>
    <w:rsid w:val="000B28D8"/>
    <w:rsid w:val="000B477C"/>
    <w:rsid w:val="000B59B4"/>
    <w:rsid w:val="000B5ABC"/>
    <w:rsid w:val="000B6CAC"/>
    <w:rsid w:val="000B7612"/>
    <w:rsid w:val="000B7701"/>
    <w:rsid w:val="000C1236"/>
    <w:rsid w:val="000C14CE"/>
    <w:rsid w:val="000C2BA9"/>
    <w:rsid w:val="000C3B60"/>
    <w:rsid w:val="000C3D4A"/>
    <w:rsid w:val="000C3DF9"/>
    <w:rsid w:val="000C450F"/>
    <w:rsid w:val="000C6713"/>
    <w:rsid w:val="000C6D53"/>
    <w:rsid w:val="000D06C5"/>
    <w:rsid w:val="000D1BFC"/>
    <w:rsid w:val="000D281A"/>
    <w:rsid w:val="000D30B2"/>
    <w:rsid w:val="000D326A"/>
    <w:rsid w:val="000D4508"/>
    <w:rsid w:val="000D4948"/>
    <w:rsid w:val="000D4E02"/>
    <w:rsid w:val="000D51FB"/>
    <w:rsid w:val="000D58AC"/>
    <w:rsid w:val="000D58BE"/>
    <w:rsid w:val="000D64D5"/>
    <w:rsid w:val="000D6FCF"/>
    <w:rsid w:val="000E0991"/>
    <w:rsid w:val="000E0CA5"/>
    <w:rsid w:val="000E135D"/>
    <w:rsid w:val="000E14BF"/>
    <w:rsid w:val="000E409C"/>
    <w:rsid w:val="000E748B"/>
    <w:rsid w:val="000E77C8"/>
    <w:rsid w:val="000F00BA"/>
    <w:rsid w:val="000F0F28"/>
    <w:rsid w:val="000F13A1"/>
    <w:rsid w:val="000F1472"/>
    <w:rsid w:val="000F1F8E"/>
    <w:rsid w:val="000F316A"/>
    <w:rsid w:val="000F3C74"/>
    <w:rsid w:val="000F41A6"/>
    <w:rsid w:val="000F4BB8"/>
    <w:rsid w:val="000F7127"/>
    <w:rsid w:val="000F79AC"/>
    <w:rsid w:val="00100F8A"/>
    <w:rsid w:val="0010204A"/>
    <w:rsid w:val="001032F6"/>
    <w:rsid w:val="00103AF4"/>
    <w:rsid w:val="0010594F"/>
    <w:rsid w:val="00105AE2"/>
    <w:rsid w:val="00106654"/>
    <w:rsid w:val="00106B80"/>
    <w:rsid w:val="0011032E"/>
    <w:rsid w:val="001107E9"/>
    <w:rsid w:val="00112346"/>
    <w:rsid w:val="00112A4E"/>
    <w:rsid w:val="0011348B"/>
    <w:rsid w:val="001153F4"/>
    <w:rsid w:val="00115982"/>
    <w:rsid w:val="00116C53"/>
    <w:rsid w:val="0011769B"/>
    <w:rsid w:val="00120659"/>
    <w:rsid w:val="00120C46"/>
    <w:rsid w:val="00120FE0"/>
    <w:rsid w:val="0012114B"/>
    <w:rsid w:val="001213D4"/>
    <w:rsid w:val="00121799"/>
    <w:rsid w:val="00121DDF"/>
    <w:rsid w:val="00121F17"/>
    <w:rsid w:val="00122247"/>
    <w:rsid w:val="001222FC"/>
    <w:rsid w:val="00123A21"/>
    <w:rsid w:val="00124365"/>
    <w:rsid w:val="00124A51"/>
    <w:rsid w:val="00126621"/>
    <w:rsid w:val="001301E9"/>
    <w:rsid w:val="0013051C"/>
    <w:rsid w:val="00131B27"/>
    <w:rsid w:val="00131D82"/>
    <w:rsid w:val="00133D36"/>
    <w:rsid w:val="00134168"/>
    <w:rsid w:val="00134BEC"/>
    <w:rsid w:val="00135C7B"/>
    <w:rsid w:val="00136DD9"/>
    <w:rsid w:val="00137645"/>
    <w:rsid w:val="0014015A"/>
    <w:rsid w:val="001407DF"/>
    <w:rsid w:val="00140E99"/>
    <w:rsid w:val="001412EE"/>
    <w:rsid w:val="00143895"/>
    <w:rsid w:val="00145540"/>
    <w:rsid w:val="001456B0"/>
    <w:rsid w:val="00147BCA"/>
    <w:rsid w:val="00147F54"/>
    <w:rsid w:val="00150ED9"/>
    <w:rsid w:val="0015220F"/>
    <w:rsid w:val="0015493C"/>
    <w:rsid w:val="001555D6"/>
    <w:rsid w:val="0015661F"/>
    <w:rsid w:val="00157130"/>
    <w:rsid w:val="001576B1"/>
    <w:rsid w:val="00160A4C"/>
    <w:rsid w:val="00161698"/>
    <w:rsid w:val="00161BFA"/>
    <w:rsid w:val="00161C7A"/>
    <w:rsid w:val="00162913"/>
    <w:rsid w:val="00162CD9"/>
    <w:rsid w:val="00163E97"/>
    <w:rsid w:val="00163EFF"/>
    <w:rsid w:val="00163FCE"/>
    <w:rsid w:val="001661FB"/>
    <w:rsid w:val="001676C5"/>
    <w:rsid w:val="00167859"/>
    <w:rsid w:val="001721DF"/>
    <w:rsid w:val="00173565"/>
    <w:rsid w:val="00173B04"/>
    <w:rsid w:val="00173B07"/>
    <w:rsid w:val="001743CC"/>
    <w:rsid w:val="0017621E"/>
    <w:rsid w:val="00176EBE"/>
    <w:rsid w:val="00177737"/>
    <w:rsid w:val="00177DEF"/>
    <w:rsid w:val="0018088C"/>
    <w:rsid w:val="00181D9C"/>
    <w:rsid w:val="00182F34"/>
    <w:rsid w:val="00183920"/>
    <w:rsid w:val="001844CB"/>
    <w:rsid w:val="00186D29"/>
    <w:rsid w:val="0018752F"/>
    <w:rsid w:val="0019046A"/>
    <w:rsid w:val="001921A2"/>
    <w:rsid w:val="0019252F"/>
    <w:rsid w:val="001928FE"/>
    <w:rsid w:val="00193165"/>
    <w:rsid w:val="00194006"/>
    <w:rsid w:val="00195222"/>
    <w:rsid w:val="001975D8"/>
    <w:rsid w:val="001979F4"/>
    <w:rsid w:val="001A0FD1"/>
    <w:rsid w:val="001A14CD"/>
    <w:rsid w:val="001A32F6"/>
    <w:rsid w:val="001A3870"/>
    <w:rsid w:val="001A43FA"/>
    <w:rsid w:val="001A473F"/>
    <w:rsid w:val="001A4B7F"/>
    <w:rsid w:val="001A59FB"/>
    <w:rsid w:val="001A6354"/>
    <w:rsid w:val="001A7674"/>
    <w:rsid w:val="001A7AE8"/>
    <w:rsid w:val="001B00F9"/>
    <w:rsid w:val="001B151E"/>
    <w:rsid w:val="001B1C41"/>
    <w:rsid w:val="001B1F4F"/>
    <w:rsid w:val="001B1FA5"/>
    <w:rsid w:val="001B204E"/>
    <w:rsid w:val="001B2A57"/>
    <w:rsid w:val="001B2E58"/>
    <w:rsid w:val="001B3443"/>
    <w:rsid w:val="001B4965"/>
    <w:rsid w:val="001B4C88"/>
    <w:rsid w:val="001B4D20"/>
    <w:rsid w:val="001B5583"/>
    <w:rsid w:val="001B64DF"/>
    <w:rsid w:val="001B6A53"/>
    <w:rsid w:val="001C0345"/>
    <w:rsid w:val="001C037C"/>
    <w:rsid w:val="001C1B03"/>
    <w:rsid w:val="001C231B"/>
    <w:rsid w:val="001C2A9B"/>
    <w:rsid w:val="001C4299"/>
    <w:rsid w:val="001C468B"/>
    <w:rsid w:val="001C5189"/>
    <w:rsid w:val="001C5301"/>
    <w:rsid w:val="001C5F94"/>
    <w:rsid w:val="001C6E66"/>
    <w:rsid w:val="001D04CE"/>
    <w:rsid w:val="001D0622"/>
    <w:rsid w:val="001D22A7"/>
    <w:rsid w:val="001D2A6B"/>
    <w:rsid w:val="001D2B08"/>
    <w:rsid w:val="001D4672"/>
    <w:rsid w:val="001D5657"/>
    <w:rsid w:val="001D5CF6"/>
    <w:rsid w:val="001D698D"/>
    <w:rsid w:val="001D7529"/>
    <w:rsid w:val="001D763E"/>
    <w:rsid w:val="001D7770"/>
    <w:rsid w:val="001E0AF9"/>
    <w:rsid w:val="001E2056"/>
    <w:rsid w:val="001E238E"/>
    <w:rsid w:val="001E23DB"/>
    <w:rsid w:val="001E2483"/>
    <w:rsid w:val="001E2B1E"/>
    <w:rsid w:val="001E30D4"/>
    <w:rsid w:val="001E4330"/>
    <w:rsid w:val="001E52EB"/>
    <w:rsid w:val="001E61D2"/>
    <w:rsid w:val="001E740C"/>
    <w:rsid w:val="001F0599"/>
    <w:rsid w:val="001F1235"/>
    <w:rsid w:val="001F1696"/>
    <w:rsid w:val="001F1A67"/>
    <w:rsid w:val="001F1CB3"/>
    <w:rsid w:val="001F3132"/>
    <w:rsid w:val="001F3390"/>
    <w:rsid w:val="001F33AF"/>
    <w:rsid w:val="001F38B5"/>
    <w:rsid w:val="001F501A"/>
    <w:rsid w:val="001F5D22"/>
    <w:rsid w:val="001F7361"/>
    <w:rsid w:val="002001FF"/>
    <w:rsid w:val="002008EF"/>
    <w:rsid w:val="00200E53"/>
    <w:rsid w:val="002011B0"/>
    <w:rsid w:val="00203181"/>
    <w:rsid w:val="00203783"/>
    <w:rsid w:val="0020385F"/>
    <w:rsid w:val="002044FE"/>
    <w:rsid w:val="00205678"/>
    <w:rsid w:val="00207021"/>
    <w:rsid w:val="0020732F"/>
    <w:rsid w:val="00207D00"/>
    <w:rsid w:val="002105C1"/>
    <w:rsid w:val="00210FD9"/>
    <w:rsid w:val="002110CE"/>
    <w:rsid w:val="002113E5"/>
    <w:rsid w:val="00211791"/>
    <w:rsid w:val="0021194B"/>
    <w:rsid w:val="002125E0"/>
    <w:rsid w:val="00212AF2"/>
    <w:rsid w:val="00212D8C"/>
    <w:rsid w:val="00212E65"/>
    <w:rsid w:val="002152C9"/>
    <w:rsid w:val="0021547A"/>
    <w:rsid w:val="00215689"/>
    <w:rsid w:val="00216C63"/>
    <w:rsid w:val="00217625"/>
    <w:rsid w:val="00220CFE"/>
    <w:rsid w:val="00222F12"/>
    <w:rsid w:val="00223370"/>
    <w:rsid w:val="00223B49"/>
    <w:rsid w:val="00224DD4"/>
    <w:rsid w:val="00225AA0"/>
    <w:rsid w:val="00226117"/>
    <w:rsid w:val="00227B41"/>
    <w:rsid w:val="00227D16"/>
    <w:rsid w:val="002306E5"/>
    <w:rsid w:val="002307AA"/>
    <w:rsid w:val="002309CC"/>
    <w:rsid w:val="0023164F"/>
    <w:rsid w:val="0023209F"/>
    <w:rsid w:val="0023288A"/>
    <w:rsid w:val="00234645"/>
    <w:rsid w:val="00234764"/>
    <w:rsid w:val="00234F43"/>
    <w:rsid w:val="002357D9"/>
    <w:rsid w:val="002360D8"/>
    <w:rsid w:val="0023629D"/>
    <w:rsid w:val="00236411"/>
    <w:rsid w:val="00237255"/>
    <w:rsid w:val="0023736D"/>
    <w:rsid w:val="0023756D"/>
    <w:rsid w:val="00237589"/>
    <w:rsid w:val="00237662"/>
    <w:rsid w:val="00237851"/>
    <w:rsid w:val="00240347"/>
    <w:rsid w:val="002405FB"/>
    <w:rsid w:val="002424AF"/>
    <w:rsid w:val="002424DE"/>
    <w:rsid w:val="00242972"/>
    <w:rsid w:val="002439DC"/>
    <w:rsid w:val="0024438F"/>
    <w:rsid w:val="00244DC8"/>
    <w:rsid w:val="00244E88"/>
    <w:rsid w:val="002458BA"/>
    <w:rsid w:val="00245BB3"/>
    <w:rsid w:val="0024636C"/>
    <w:rsid w:val="00247488"/>
    <w:rsid w:val="00247925"/>
    <w:rsid w:val="00250902"/>
    <w:rsid w:val="00250E74"/>
    <w:rsid w:val="002512E2"/>
    <w:rsid w:val="00251605"/>
    <w:rsid w:val="00251609"/>
    <w:rsid w:val="00252931"/>
    <w:rsid w:val="002534E7"/>
    <w:rsid w:val="00253B53"/>
    <w:rsid w:val="00254722"/>
    <w:rsid w:val="00254DCF"/>
    <w:rsid w:val="0025534B"/>
    <w:rsid w:val="00255BB7"/>
    <w:rsid w:val="00255E40"/>
    <w:rsid w:val="00255E5B"/>
    <w:rsid w:val="00256B6C"/>
    <w:rsid w:val="00256FDE"/>
    <w:rsid w:val="00257541"/>
    <w:rsid w:val="002619CA"/>
    <w:rsid w:val="002622BD"/>
    <w:rsid w:val="00262A1A"/>
    <w:rsid w:val="00262A87"/>
    <w:rsid w:val="0026303B"/>
    <w:rsid w:val="00263126"/>
    <w:rsid w:val="0026437B"/>
    <w:rsid w:val="00264C4E"/>
    <w:rsid w:val="00264D26"/>
    <w:rsid w:val="00266F31"/>
    <w:rsid w:val="00267423"/>
    <w:rsid w:val="00267642"/>
    <w:rsid w:val="00267AEA"/>
    <w:rsid w:val="00267CF1"/>
    <w:rsid w:val="002700E6"/>
    <w:rsid w:val="00270696"/>
    <w:rsid w:val="002723BD"/>
    <w:rsid w:val="0027294B"/>
    <w:rsid w:val="00272E21"/>
    <w:rsid w:val="002749F7"/>
    <w:rsid w:val="00275C5A"/>
    <w:rsid w:val="00275EB5"/>
    <w:rsid w:val="00276779"/>
    <w:rsid w:val="00277E9A"/>
    <w:rsid w:val="00280756"/>
    <w:rsid w:val="00281014"/>
    <w:rsid w:val="00282186"/>
    <w:rsid w:val="00282FCC"/>
    <w:rsid w:val="00283156"/>
    <w:rsid w:val="00286CFE"/>
    <w:rsid w:val="00291BF2"/>
    <w:rsid w:val="0029274C"/>
    <w:rsid w:val="0029302A"/>
    <w:rsid w:val="00294072"/>
    <w:rsid w:val="002959C1"/>
    <w:rsid w:val="002A0867"/>
    <w:rsid w:val="002A14AB"/>
    <w:rsid w:val="002A1684"/>
    <w:rsid w:val="002A2F50"/>
    <w:rsid w:val="002A3758"/>
    <w:rsid w:val="002A4DD3"/>
    <w:rsid w:val="002A5B08"/>
    <w:rsid w:val="002A70F0"/>
    <w:rsid w:val="002A785B"/>
    <w:rsid w:val="002B0283"/>
    <w:rsid w:val="002B09A4"/>
    <w:rsid w:val="002B1500"/>
    <w:rsid w:val="002B1C1F"/>
    <w:rsid w:val="002B1CDA"/>
    <w:rsid w:val="002B432F"/>
    <w:rsid w:val="002B62B3"/>
    <w:rsid w:val="002B6754"/>
    <w:rsid w:val="002B6CCE"/>
    <w:rsid w:val="002B786F"/>
    <w:rsid w:val="002C0E28"/>
    <w:rsid w:val="002C0FBD"/>
    <w:rsid w:val="002C2510"/>
    <w:rsid w:val="002C2775"/>
    <w:rsid w:val="002C27C1"/>
    <w:rsid w:val="002C46C5"/>
    <w:rsid w:val="002C49C1"/>
    <w:rsid w:val="002C5099"/>
    <w:rsid w:val="002C5889"/>
    <w:rsid w:val="002C7089"/>
    <w:rsid w:val="002C71CE"/>
    <w:rsid w:val="002C7DD9"/>
    <w:rsid w:val="002D107B"/>
    <w:rsid w:val="002D1825"/>
    <w:rsid w:val="002D2F7C"/>
    <w:rsid w:val="002D3142"/>
    <w:rsid w:val="002D342B"/>
    <w:rsid w:val="002D37D5"/>
    <w:rsid w:val="002D3A4B"/>
    <w:rsid w:val="002D54F6"/>
    <w:rsid w:val="002D577C"/>
    <w:rsid w:val="002D6514"/>
    <w:rsid w:val="002E011D"/>
    <w:rsid w:val="002E0570"/>
    <w:rsid w:val="002E15B9"/>
    <w:rsid w:val="002E1BCE"/>
    <w:rsid w:val="002E2158"/>
    <w:rsid w:val="002E3D4B"/>
    <w:rsid w:val="002E669F"/>
    <w:rsid w:val="002E6BCD"/>
    <w:rsid w:val="002E742D"/>
    <w:rsid w:val="002E7722"/>
    <w:rsid w:val="002F07BA"/>
    <w:rsid w:val="002F0DA9"/>
    <w:rsid w:val="002F2137"/>
    <w:rsid w:val="002F2743"/>
    <w:rsid w:val="002F3F0D"/>
    <w:rsid w:val="002F4B53"/>
    <w:rsid w:val="002F4EC8"/>
    <w:rsid w:val="002F4EEC"/>
    <w:rsid w:val="002F5C80"/>
    <w:rsid w:val="002F643C"/>
    <w:rsid w:val="002F71C0"/>
    <w:rsid w:val="002F7CE3"/>
    <w:rsid w:val="00300428"/>
    <w:rsid w:val="00301017"/>
    <w:rsid w:val="0030155F"/>
    <w:rsid w:val="00301739"/>
    <w:rsid w:val="00302801"/>
    <w:rsid w:val="00303590"/>
    <w:rsid w:val="0030587B"/>
    <w:rsid w:val="003061D9"/>
    <w:rsid w:val="00306875"/>
    <w:rsid w:val="00306AC6"/>
    <w:rsid w:val="00306D98"/>
    <w:rsid w:val="00307728"/>
    <w:rsid w:val="0030786C"/>
    <w:rsid w:val="0031031A"/>
    <w:rsid w:val="00310981"/>
    <w:rsid w:val="00311AE9"/>
    <w:rsid w:val="00312C45"/>
    <w:rsid w:val="00314297"/>
    <w:rsid w:val="00315498"/>
    <w:rsid w:val="00316B37"/>
    <w:rsid w:val="00322107"/>
    <w:rsid w:val="003226E4"/>
    <w:rsid w:val="00322846"/>
    <w:rsid w:val="00323624"/>
    <w:rsid w:val="00323A2B"/>
    <w:rsid w:val="00324391"/>
    <w:rsid w:val="00324419"/>
    <w:rsid w:val="003249A1"/>
    <w:rsid w:val="00324F89"/>
    <w:rsid w:val="00326DA7"/>
    <w:rsid w:val="003270E4"/>
    <w:rsid w:val="00330B70"/>
    <w:rsid w:val="00330F5C"/>
    <w:rsid w:val="00331240"/>
    <w:rsid w:val="00335C0C"/>
    <w:rsid w:val="003366C9"/>
    <w:rsid w:val="003371B0"/>
    <w:rsid w:val="003408F7"/>
    <w:rsid w:val="00340DF1"/>
    <w:rsid w:val="00341ECE"/>
    <w:rsid w:val="0034270E"/>
    <w:rsid w:val="00343A6E"/>
    <w:rsid w:val="00345E60"/>
    <w:rsid w:val="003467C7"/>
    <w:rsid w:val="0034694B"/>
    <w:rsid w:val="00347103"/>
    <w:rsid w:val="00347F34"/>
    <w:rsid w:val="003502D8"/>
    <w:rsid w:val="003512EE"/>
    <w:rsid w:val="003517F9"/>
    <w:rsid w:val="00353765"/>
    <w:rsid w:val="00353DFD"/>
    <w:rsid w:val="00354C91"/>
    <w:rsid w:val="00354F49"/>
    <w:rsid w:val="003554AC"/>
    <w:rsid w:val="0035620E"/>
    <w:rsid w:val="003601F9"/>
    <w:rsid w:val="00360FCC"/>
    <w:rsid w:val="003624C4"/>
    <w:rsid w:val="00362BFE"/>
    <w:rsid w:val="003654AC"/>
    <w:rsid w:val="003660D4"/>
    <w:rsid w:val="003670A1"/>
    <w:rsid w:val="003710CF"/>
    <w:rsid w:val="0037358A"/>
    <w:rsid w:val="003743A5"/>
    <w:rsid w:val="00374560"/>
    <w:rsid w:val="0037497C"/>
    <w:rsid w:val="003750F6"/>
    <w:rsid w:val="003751C6"/>
    <w:rsid w:val="003752DD"/>
    <w:rsid w:val="003760FC"/>
    <w:rsid w:val="003769C1"/>
    <w:rsid w:val="003776A3"/>
    <w:rsid w:val="00377CA7"/>
    <w:rsid w:val="00377FF7"/>
    <w:rsid w:val="00380783"/>
    <w:rsid w:val="00380A03"/>
    <w:rsid w:val="003812EF"/>
    <w:rsid w:val="003821E6"/>
    <w:rsid w:val="0038245D"/>
    <w:rsid w:val="00382677"/>
    <w:rsid w:val="0038365C"/>
    <w:rsid w:val="0038369B"/>
    <w:rsid w:val="003837EC"/>
    <w:rsid w:val="00383B78"/>
    <w:rsid w:val="00383EA3"/>
    <w:rsid w:val="00384097"/>
    <w:rsid w:val="003848F9"/>
    <w:rsid w:val="003850F4"/>
    <w:rsid w:val="00385A9D"/>
    <w:rsid w:val="00385C97"/>
    <w:rsid w:val="0038725F"/>
    <w:rsid w:val="00387833"/>
    <w:rsid w:val="003902B1"/>
    <w:rsid w:val="003906E3"/>
    <w:rsid w:val="00390A7D"/>
    <w:rsid w:val="00391583"/>
    <w:rsid w:val="00391D1E"/>
    <w:rsid w:val="00391FDB"/>
    <w:rsid w:val="00392C83"/>
    <w:rsid w:val="003957B3"/>
    <w:rsid w:val="0039588D"/>
    <w:rsid w:val="00395944"/>
    <w:rsid w:val="0039629C"/>
    <w:rsid w:val="00396896"/>
    <w:rsid w:val="00396A6F"/>
    <w:rsid w:val="00396FD0"/>
    <w:rsid w:val="00397287"/>
    <w:rsid w:val="003A02DE"/>
    <w:rsid w:val="003A1A7A"/>
    <w:rsid w:val="003A1AD9"/>
    <w:rsid w:val="003A2392"/>
    <w:rsid w:val="003A2831"/>
    <w:rsid w:val="003A2F0D"/>
    <w:rsid w:val="003A3BD5"/>
    <w:rsid w:val="003A3ED1"/>
    <w:rsid w:val="003A47A1"/>
    <w:rsid w:val="003A6B24"/>
    <w:rsid w:val="003A6DF9"/>
    <w:rsid w:val="003A6FFE"/>
    <w:rsid w:val="003A7AC3"/>
    <w:rsid w:val="003B0053"/>
    <w:rsid w:val="003B05D7"/>
    <w:rsid w:val="003B0807"/>
    <w:rsid w:val="003B1F47"/>
    <w:rsid w:val="003B2D84"/>
    <w:rsid w:val="003B31F0"/>
    <w:rsid w:val="003B5B61"/>
    <w:rsid w:val="003B74B7"/>
    <w:rsid w:val="003C00A3"/>
    <w:rsid w:val="003C1528"/>
    <w:rsid w:val="003C1654"/>
    <w:rsid w:val="003C39E7"/>
    <w:rsid w:val="003C4892"/>
    <w:rsid w:val="003C5746"/>
    <w:rsid w:val="003C69AE"/>
    <w:rsid w:val="003C7D19"/>
    <w:rsid w:val="003D0444"/>
    <w:rsid w:val="003D157E"/>
    <w:rsid w:val="003D1828"/>
    <w:rsid w:val="003D1DE4"/>
    <w:rsid w:val="003D22AD"/>
    <w:rsid w:val="003D2422"/>
    <w:rsid w:val="003D287E"/>
    <w:rsid w:val="003D2E8E"/>
    <w:rsid w:val="003D39A1"/>
    <w:rsid w:val="003D3BBE"/>
    <w:rsid w:val="003D3FBF"/>
    <w:rsid w:val="003D478B"/>
    <w:rsid w:val="003D4A30"/>
    <w:rsid w:val="003D4CC2"/>
    <w:rsid w:val="003D5DE9"/>
    <w:rsid w:val="003D79BB"/>
    <w:rsid w:val="003D7C98"/>
    <w:rsid w:val="003E0543"/>
    <w:rsid w:val="003E1E0C"/>
    <w:rsid w:val="003E2CD9"/>
    <w:rsid w:val="003E495C"/>
    <w:rsid w:val="003E515A"/>
    <w:rsid w:val="003E5576"/>
    <w:rsid w:val="003E69BC"/>
    <w:rsid w:val="003E6D79"/>
    <w:rsid w:val="003E763F"/>
    <w:rsid w:val="003F1BA4"/>
    <w:rsid w:val="003F262D"/>
    <w:rsid w:val="003F2B56"/>
    <w:rsid w:val="003F3E33"/>
    <w:rsid w:val="003F4156"/>
    <w:rsid w:val="003F59EA"/>
    <w:rsid w:val="004003A4"/>
    <w:rsid w:val="00400778"/>
    <w:rsid w:val="00400B29"/>
    <w:rsid w:val="004013BD"/>
    <w:rsid w:val="00401F4D"/>
    <w:rsid w:val="0040417D"/>
    <w:rsid w:val="00404B0D"/>
    <w:rsid w:val="00404E7E"/>
    <w:rsid w:val="0040504B"/>
    <w:rsid w:val="00405B91"/>
    <w:rsid w:val="00405D1B"/>
    <w:rsid w:val="004063B2"/>
    <w:rsid w:val="00406E3C"/>
    <w:rsid w:val="004073FA"/>
    <w:rsid w:val="00410662"/>
    <w:rsid w:val="00410708"/>
    <w:rsid w:val="00410EC7"/>
    <w:rsid w:val="004110A6"/>
    <w:rsid w:val="00411B39"/>
    <w:rsid w:val="0041275E"/>
    <w:rsid w:val="00413A1E"/>
    <w:rsid w:val="00414476"/>
    <w:rsid w:val="00414B38"/>
    <w:rsid w:val="00414C2E"/>
    <w:rsid w:val="004151CF"/>
    <w:rsid w:val="00415BB7"/>
    <w:rsid w:val="00416364"/>
    <w:rsid w:val="00416A31"/>
    <w:rsid w:val="00420100"/>
    <w:rsid w:val="00420AA6"/>
    <w:rsid w:val="00420B9F"/>
    <w:rsid w:val="004215EF"/>
    <w:rsid w:val="00422260"/>
    <w:rsid w:val="00422ACF"/>
    <w:rsid w:val="00423181"/>
    <w:rsid w:val="00423757"/>
    <w:rsid w:val="0042413F"/>
    <w:rsid w:val="00426B86"/>
    <w:rsid w:val="00426C01"/>
    <w:rsid w:val="00426D14"/>
    <w:rsid w:val="00427FD1"/>
    <w:rsid w:val="004319F8"/>
    <w:rsid w:val="00431E55"/>
    <w:rsid w:val="00431EE2"/>
    <w:rsid w:val="004321F6"/>
    <w:rsid w:val="00432941"/>
    <w:rsid w:val="00432A08"/>
    <w:rsid w:val="00433044"/>
    <w:rsid w:val="00436C06"/>
    <w:rsid w:val="004370C6"/>
    <w:rsid w:val="004375B9"/>
    <w:rsid w:val="00437ED0"/>
    <w:rsid w:val="004407F5"/>
    <w:rsid w:val="0044157C"/>
    <w:rsid w:val="004428D0"/>
    <w:rsid w:val="00442D82"/>
    <w:rsid w:val="004435C2"/>
    <w:rsid w:val="00443D52"/>
    <w:rsid w:val="0044406A"/>
    <w:rsid w:val="004443A7"/>
    <w:rsid w:val="0044442C"/>
    <w:rsid w:val="004448B1"/>
    <w:rsid w:val="00444A3D"/>
    <w:rsid w:val="004458BA"/>
    <w:rsid w:val="00445941"/>
    <w:rsid w:val="00445D5D"/>
    <w:rsid w:val="004460CB"/>
    <w:rsid w:val="004464EB"/>
    <w:rsid w:val="00447D26"/>
    <w:rsid w:val="004527E4"/>
    <w:rsid w:val="00453D30"/>
    <w:rsid w:val="00455428"/>
    <w:rsid w:val="00455D45"/>
    <w:rsid w:val="00456B17"/>
    <w:rsid w:val="004608A2"/>
    <w:rsid w:val="0046163D"/>
    <w:rsid w:val="00461AD1"/>
    <w:rsid w:val="004635D4"/>
    <w:rsid w:val="00464595"/>
    <w:rsid w:val="00466259"/>
    <w:rsid w:val="00467B8F"/>
    <w:rsid w:val="0047050C"/>
    <w:rsid w:val="004713FC"/>
    <w:rsid w:val="00472A79"/>
    <w:rsid w:val="00473DB1"/>
    <w:rsid w:val="00473F19"/>
    <w:rsid w:val="004759D0"/>
    <w:rsid w:val="00475E22"/>
    <w:rsid w:val="00476AE4"/>
    <w:rsid w:val="00477942"/>
    <w:rsid w:val="004805FA"/>
    <w:rsid w:val="0048088E"/>
    <w:rsid w:val="00480BB6"/>
    <w:rsid w:val="00481347"/>
    <w:rsid w:val="004820F1"/>
    <w:rsid w:val="00482720"/>
    <w:rsid w:val="004829DA"/>
    <w:rsid w:val="004835E7"/>
    <w:rsid w:val="0048363D"/>
    <w:rsid w:val="00483EB6"/>
    <w:rsid w:val="004867E2"/>
    <w:rsid w:val="00486902"/>
    <w:rsid w:val="0048697A"/>
    <w:rsid w:val="00490D91"/>
    <w:rsid w:val="00490F14"/>
    <w:rsid w:val="00491B3A"/>
    <w:rsid w:val="00492CFD"/>
    <w:rsid w:val="00493071"/>
    <w:rsid w:val="00494DD5"/>
    <w:rsid w:val="0049557F"/>
    <w:rsid w:val="0049587D"/>
    <w:rsid w:val="004962D2"/>
    <w:rsid w:val="0049735A"/>
    <w:rsid w:val="004A0DA1"/>
    <w:rsid w:val="004A0EF6"/>
    <w:rsid w:val="004A1219"/>
    <w:rsid w:val="004A13D6"/>
    <w:rsid w:val="004A1444"/>
    <w:rsid w:val="004A22C5"/>
    <w:rsid w:val="004A301C"/>
    <w:rsid w:val="004A3A83"/>
    <w:rsid w:val="004A419A"/>
    <w:rsid w:val="004A4B67"/>
    <w:rsid w:val="004A52E9"/>
    <w:rsid w:val="004A5D6B"/>
    <w:rsid w:val="004A6453"/>
    <w:rsid w:val="004A6597"/>
    <w:rsid w:val="004A7848"/>
    <w:rsid w:val="004B007C"/>
    <w:rsid w:val="004B0537"/>
    <w:rsid w:val="004B0E22"/>
    <w:rsid w:val="004B1CB4"/>
    <w:rsid w:val="004B2A91"/>
    <w:rsid w:val="004B2F18"/>
    <w:rsid w:val="004B3DDB"/>
    <w:rsid w:val="004B44FD"/>
    <w:rsid w:val="004B5CFC"/>
    <w:rsid w:val="004B774D"/>
    <w:rsid w:val="004C0445"/>
    <w:rsid w:val="004C2E4D"/>
    <w:rsid w:val="004C339B"/>
    <w:rsid w:val="004C4AED"/>
    <w:rsid w:val="004C4DB7"/>
    <w:rsid w:val="004C6EE8"/>
    <w:rsid w:val="004D278E"/>
    <w:rsid w:val="004D2C2D"/>
    <w:rsid w:val="004D4F02"/>
    <w:rsid w:val="004D5C4A"/>
    <w:rsid w:val="004D5E3D"/>
    <w:rsid w:val="004D621C"/>
    <w:rsid w:val="004D7227"/>
    <w:rsid w:val="004E04CB"/>
    <w:rsid w:val="004E0E7F"/>
    <w:rsid w:val="004E0EB8"/>
    <w:rsid w:val="004E2938"/>
    <w:rsid w:val="004E2AB3"/>
    <w:rsid w:val="004E2ADC"/>
    <w:rsid w:val="004E3952"/>
    <w:rsid w:val="004E43B2"/>
    <w:rsid w:val="004E6780"/>
    <w:rsid w:val="004E7888"/>
    <w:rsid w:val="004E7F24"/>
    <w:rsid w:val="004F1D02"/>
    <w:rsid w:val="004F21F5"/>
    <w:rsid w:val="004F2679"/>
    <w:rsid w:val="004F2F21"/>
    <w:rsid w:val="004F5137"/>
    <w:rsid w:val="004F5F80"/>
    <w:rsid w:val="004F6913"/>
    <w:rsid w:val="004F74AE"/>
    <w:rsid w:val="004F7865"/>
    <w:rsid w:val="004F7B20"/>
    <w:rsid w:val="0050069E"/>
    <w:rsid w:val="00501D8F"/>
    <w:rsid w:val="0050219B"/>
    <w:rsid w:val="005039A3"/>
    <w:rsid w:val="00503F17"/>
    <w:rsid w:val="005046C0"/>
    <w:rsid w:val="005047E7"/>
    <w:rsid w:val="005061F6"/>
    <w:rsid w:val="00506928"/>
    <w:rsid w:val="00506C0F"/>
    <w:rsid w:val="0050798B"/>
    <w:rsid w:val="00510158"/>
    <w:rsid w:val="00510586"/>
    <w:rsid w:val="0051080E"/>
    <w:rsid w:val="005111E2"/>
    <w:rsid w:val="005115BE"/>
    <w:rsid w:val="00511950"/>
    <w:rsid w:val="00512CE3"/>
    <w:rsid w:val="00512E0E"/>
    <w:rsid w:val="00513781"/>
    <w:rsid w:val="005152B5"/>
    <w:rsid w:val="00515C38"/>
    <w:rsid w:val="005165FC"/>
    <w:rsid w:val="00521319"/>
    <w:rsid w:val="005224D8"/>
    <w:rsid w:val="00522644"/>
    <w:rsid w:val="00522954"/>
    <w:rsid w:val="00522BC8"/>
    <w:rsid w:val="00523C28"/>
    <w:rsid w:val="00523D31"/>
    <w:rsid w:val="00525376"/>
    <w:rsid w:val="0052569B"/>
    <w:rsid w:val="00525CA1"/>
    <w:rsid w:val="0052706A"/>
    <w:rsid w:val="0053022D"/>
    <w:rsid w:val="00530E85"/>
    <w:rsid w:val="00531F9F"/>
    <w:rsid w:val="005329DE"/>
    <w:rsid w:val="00534449"/>
    <w:rsid w:val="005358A1"/>
    <w:rsid w:val="00536F42"/>
    <w:rsid w:val="00537182"/>
    <w:rsid w:val="0053739D"/>
    <w:rsid w:val="00540E05"/>
    <w:rsid w:val="00541DE1"/>
    <w:rsid w:val="00542743"/>
    <w:rsid w:val="005429F9"/>
    <w:rsid w:val="00542C2D"/>
    <w:rsid w:val="00544BEB"/>
    <w:rsid w:val="00544F4E"/>
    <w:rsid w:val="005457AA"/>
    <w:rsid w:val="005476A3"/>
    <w:rsid w:val="005509DE"/>
    <w:rsid w:val="0055120E"/>
    <w:rsid w:val="00551985"/>
    <w:rsid w:val="00551A80"/>
    <w:rsid w:val="00552BD3"/>
    <w:rsid w:val="005531EB"/>
    <w:rsid w:val="00553415"/>
    <w:rsid w:val="00555109"/>
    <w:rsid w:val="005564CB"/>
    <w:rsid w:val="00557B49"/>
    <w:rsid w:val="005622D2"/>
    <w:rsid w:val="00562C7A"/>
    <w:rsid w:val="0056696F"/>
    <w:rsid w:val="00570BE0"/>
    <w:rsid w:val="00571BE6"/>
    <w:rsid w:val="00572269"/>
    <w:rsid w:val="0057244A"/>
    <w:rsid w:val="005725A8"/>
    <w:rsid w:val="00572D2D"/>
    <w:rsid w:val="005733C7"/>
    <w:rsid w:val="00574C3C"/>
    <w:rsid w:val="0057512B"/>
    <w:rsid w:val="00575D8D"/>
    <w:rsid w:val="00576972"/>
    <w:rsid w:val="0057742D"/>
    <w:rsid w:val="0058064C"/>
    <w:rsid w:val="00580798"/>
    <w:rsid w:val="00581273"/>
    <w:rsid w:val="00582F0E"/>
    <w:rsid w:val="005834C8"/>
    <w:rsid w:val="00583699"/>
    <w:rsid w:val="005843D7"/>
    <w:rsid w:val="005848D4"/>
    <w:rsid w:val="005854FA"/>
    <w:rsid w:val="005857ED"/>
    <w:rsid w:val="00585CDD"/>
    <w:rsid w:val="00587058"/>
    <w:rsid w:val="0058732E"/>
    <w:rsid w:val="00590C21"/>
    <w:rsid w:val="00591957"/>
    <w:rsid w:val="005919FD"/>
    <w:rsid w:val="00592328"/>
    <w:rsid w:val="00592BD7"/>
    <w:rsid w:val="00593330"/>
    <w:rsid w:val="00597BF9"/>
    <w:rsid w:val="005A0F31"/>
    <w:rsid w:val="005A1E4E"/>
    <w:rsid w:val="005A373D"/>
    <w:rsid w:val="005A4276"/>
    <w:rsid w:val="005A59B7"/>
    <w:rsid w:val="005A5AA4"/>
    <w:rsid w:val="005A6A8B"/>
    <w:rsid w:val="005A7498"/>
    <w:rsid w:val="005B2567"/>
    <w:rsid w:val="005B3018"/>
    <w:rsid w:val="005B330C"/>
    <w:rsid w:val="005B3532"/>
    <w:rsid w:val="005B5391"/>
    <w:rsid w:val="005B5857"/>
    <w:rsid w:val="005C02A3"/>
    <w:rsid w:val="005C09BD"/>
    <w:rsid w:val="005C1B83"/>
    <w:rsid w:val="005C2C73"/>
    <w:rsid w:val="005C2D55"/>
    <w:rsid w:val="005C346B"/>
    <w:rsid w:val="005C3EF0"/>
    <w:rsid w:val="005C41FA"/>
    <w:rsid w:val="005C4907"/>
    <w:rsid w:val="005C4D5C"/>
    <w:rsid w:val="005C533A"/>
    <w:rsid w:val="005C5C9B"/>
    <w:rsid w:val="005C6913"/>
    <w:rsid w:val="005C7977"/>
    <w:rsid w:val="005D044D"/>
    <w:rsid w:val="005D0ABD"/>
    <w:rsid w:val="005D18AD"/>
    <w:rsid w:val="005D26B4"/>
    <w:rsid w:val="005D3196"/>
    <w:rsid w:val="005D5280"/>
    <w:rsid w:val="005D5BA5"/>
    <w:rsid w:val="005D63FA"/>
    <w:rsid w:val="005D6A60"/>
    <w:rsid w:val="005E0D0E"/>
    <w:rsid w:val="005E1034"/>
    <w:rsid w:val="005E18CC"/>
    <w:rsid w:val="005E2717"/>
    <w:rsid w:val="005E2A62"/>
    <w:rsid w:val="005E31DE"/>
    <w:rsid w:val="005E54E6"/>
    <w:rsid w:val="005E6936"/>
    <w:rsid w:val="005E6CBC"/>
    <w:rsid w:val="005E73C0"/>
    <w:rsid w:val="005E76FA"/>
    <w:rsid w:val="005F098B"/>
    <w:rsid w:val="005F0C19"/>
    <w:rsid w:val="005F1CF8"/>
    <w:rsid w:val="005F2126"/>
    <w:rsid w:val="005F2706"/>
    <w:rsid w:val="005F38D3"/>
    <w:rsid w:val="005F6A8F"/>
    <w:rsid w:val="005F777D"/>
    <w:rsid w:val="005F7C0A"/>
    <w:rsid w:val="00600BF2"/>
    <w:rsid w:val="00600ED2"/>
    <w:rsid w:val="0060178B"/>
    <w:rsid w:val="00602159"/>
    <w:rsid w:val="00603DB9"/>
    <w:rsid w:val="00606A3C"/>
    <w:rsid w:val="00607669"/>
    <w:rsid w:val="00607AFD"/>
    <w:rsid w:val="006106C2"/>
    <w:rsid w:val="00612F97"/>
    <w:rsid w:val="006132DD"/>
    <w:rsid w:val="0061345D"/>
    <w:rsid w:val="0061378A"/>
    <w:rsid w:val="00613EFA"/>
    <w:rsid w:val="00613FE3"/>
    <w:rsid w:val="006162DF"/>
    <w:rsid w:val="00616802"/>
    <w:rsid w:val="006175E0"/>
    <w:rsid w:val="00617E12"/>
    <w:rsid w:val="00621477"/>
    <w:rsid w:val="0062237F"/>
    <w:rsid w:val="006226C3"/>
    <w:rsid w:val="006240CF"/>
    <w:rsid w:val="006245DF"/>
    <w:rsid w:val="00625A9B"/>
    <w:rsid w:val="00626FDB"/>
    <w:rsid w:val="0063029B"/>
    <w:rsid w:val="00630F1C"/>
    <w:rsid w:val="00631450"/>
    <w:rsid w:val="0063158F"/>
    <w:rsid w:val="00631AB6"/>
    <w:rsid w:val="00631D6B"/>
    <w:rsid w:val="006326BC"/>
    <w:rsid w:val="00632D2E"/>
    <w:rsid w:val="006330A1"/>
    <w:rsid w:val="00634617"/>
    <w:rsid w:val="0063479F"/>
    <w:rsid w:val="00634D64"/>
    <w:rsid w:val="006353F0"/>
    <w:rsid w:val="00635B1F"/>
    <w:rsid w:val="00635B9C"/>
    <w:rsid w:val="006363ED"/>
    <w:rsid w:val="006364A1"/>
    <w:rsid w:val="00636789"/>
    <w:rsid w:val="00637BFD"/>
    <w:rsid w:val="00640092"/>
    <w:rsid w:val="00640AE5"/>
    <w:rsid w:val="00641C4E"/>
    <w:rsid w:val="0064497E"/>
    <w:rsid w:val="006450DE"/>
    <w:rsid w:val="00645CF6"/>
    <w:rsid w:val="006471CC"/>
    <w:rsid w:val="0065079F"/>
    <w:rsid w:val="00651EAD"/>
    <w:rsid w:val="0065379F"/>
    <w:rsid w:val="00654AE9"/>
    <w:rsid w:val="00655E36"/>
    <w:rsid w:val="00657F38"/>
    <w:rsid w:val="006606E1"/>
    <w:rsid w:val="006611CF"/>
    <w:rsid w:val="00661B9F"/>
    <w:rsid w:val="00661C6B"/>
    <w:rsid w:val="006624DE"/>
    <w:rsid w:val="00664FF2"/>
    <w:rsid w:val="00665A5A"/>
    <w:rsid w:val="00666691"/>
    <w:rsid w:val="00667568"/>
    <w:rsid w:val="00670065"/>
    <w:rsid w:val="006709D8"/>
    <w:rsid w:val="00670C1F"/>
    <w:rsid w:val="0067178B"/>
    <w:rsid w:val="00671C47"/>
    <w:rsid w:val="00674131"/>
    <w:rsid w:val="00674E42"/>
    <w:rsid w:val="006767DE"/>
    <w:rsid w:val="006803F9"/>
    <w:rsid w:val="00680484"/>
    <w:rsid w:val="00681D12"/>
    <w:rsid w:val="00682112"/>
    <w:rsid w:val="0068261C"/>
    <w:rsid w:val="0068298C"/>
    <w:rsid w:val="006854BC"/>
    <w:rsid w:val="006859E9"/>
    <w:rsid w:val="00686194"/>
    <w:rsid w:val="00686957"/>
    <w:rsid w:val="006872BA"/>
    <w:rsid w:val="00687B56"/>
    <w:rsid w:val="00690086"/>
    <w:rsid w:val="00691648"/>
    <w:rsid w:val="006917D7"/>
    <w:rsid w:val="00691DAA"/>
    <w:rsid w:val="006933DD"/>
    <w:rsid w:val="00694F44"/>
    <w:rsid w:val="00695403"/>
    <w:rsid w:val="0069699C"/>
    <w:rsid w:val="006A0AF2"/>
    <w:rsid w:val="006A0E45"/>
    <w:rsid w:val="006A10A3"/>
    <w:rsid w:val="006A292F"/>
    <w:rsid w:val="006A3FDB"/>
    <w:rsid w:val="006A54A2"/>
    <w:rsid w:val="006A6D37"/>
    <w:rsid w:val="006A7E5F"/>
    <w:rsid w:val="006B261B"/>
    <w:rsid w:val="006B2C90"/>
    <w:rsid w:val="006B3632"/>
    <w:rsid w:val="006B62E9"/>
    <w:rsid w:val="006B63B5"/>
    <w:rsid w:val="006B6DD0"/>
    <w:rsid w:val="006B710E"/>
    <w:rsid w:val="006B716D"/>
    <w:rsid w:val="006B74AE"/>
    <w:rsid w:val="006B75B9"/>
    <w:rsid w:val="006B79D9"/>
    <w:rsid w:val="006C2A8E"/>
    <w:rsid w:val="006C37C5"/>
    <w:rsid w:val="006C5592"/>
    <w:rsid w:val="006D0648"/>
    <w:rsid w:val="006D084A"/>
    <w:rsid w:val="006D2B5B"/>
    <w:rsid w:val="006D3C7D"/>
    <w:rsid w:val="006D4499"/>
    <w:rsid w:val="006D4AFB"/>
    <w:rsid w:val="006D4E26"/>
    <w:rsid w:val="006D5196"/>
    <w:rsid w:val="006D5D5F"/>
    <w:rsid w:val="006D7767"/>
    <w:rsid w:val="006E0451"/>
    <w:rsid w:val="006E0ECF"/>
    <w:rsid w:val="006E27DA"/>
    <w:rsid w:val="006E2F9B"/>
    <w:rsid w:val="006E6C53"/>
    <w:rsid w:val="006F044E"/>
    <w:rsid w:val="006F0758"/>
    <w:rsid w:val="006F1D50"/>
    <w:rsid w:val="006F306C"/>
    <w:rsid w:val="006F42D8"/>
    <w:rsid w:val="006F4492"/>
    <w:rsid w:val="006F63A5"/>
    <w:rsid w:val="006F64C6"/>
    <w:rsid w:val="006F69B1"/>
    <w:rsid w:val="006F7534"/>
    <w:rsid w:val="006F7949"/>
    <w:rsid w:val="00701229"/>
    <w:rsid w:val="0070142B"/>
    <w:rsid w:val="00701A1C"/>
    <w:rsid w:val="00701B07"/>
    <w:rsid w:val="00702574"/>
    <w:rsid w:val="0070276E"/>
    <w:rsid w:val="00702F8F"/>
    <w:rsid w:val="00703BEE"/>
    <w:rsid w:val="00705D40"/>
    <w:rsid w:val="00705D89"/>
    <w:rsid w:val="00705FAA"/>
    <w:rsid w:val="00707781"/>
    <w:rsid w:val="00710255"/>
    <w:rsid w:val="00710A87"/>
    <w:rsid w:val="00710BDE"/>
    <w:rsid w:val="00711993"/>
    <w:rsid w:val="00711A36"/>
    <w:rsid w:val="00711DCD"/>
    <w:rsid w:val="00711F99"/>
    <w:rsid w:val="007140C5"/>
    <w:rsid w:val="0071513B"/>
    <w:rsid w:val="0071529C"/>
    <w:rsid w:val="00716C30"/>
    <w:rsid w:val="007172AD"/>
    <w:rsid w:val="0071740C"/>
    <w:rsid w:val="007200E4"/>
    <w:rsid w:val="00720DD4"/>
    <w:rsid w:val="00721AE7"/>
    <w:rsid w:val="00722B1B"/>
    <w:rsid w:val="00722C06"/>
    <w:rsid w:val="007234EC"/>
    <w:rsid w:val="00723863"/>
    <w:rsid w:val="0072416F"/>
    <w:rsid w:val="00724E48"/>
    <w:rsid w:val="00727C0A"/>
    <w:rsid w:val="00727C94"/>
    <w:rsid w:val="007310C1"/>
    <w:rsid w:val="00731EAE"/>
    <w:rsid w:val="00732B00"/>
    <w:rsid w:val="00733089"/>
    <w:rsid w:val="00735033"/>
    <w:rsid w:val="00735328"/>
    <w:rsid w:val="00735801"/>
    <w:rsid w:val="0073685B"/>
    <w:rsid w:val="00736D83"/>
    <w:rsid w:val="00741741"/>
    <w:rsid w:val="00741FCB"/>
    <w:rsid w:val="007425AC"/>
    <w:rsid w:val="00744CFA"/>
    <w:rsid w:val="007450D9"/>
    <w:rsid w:val="00747E5D"/>
    <w:rsid w:val="00747F88"/>
    <w:rsid w:val="00750B0B"/>
    <w:rsid w:val="00750BEB"/>
    <w:rsid w:val="00750DE7"/>
    <w:rsid w:val="00751A60"/>
    <w:rsid w:val="00751C8A"/>
    <w:rsid w:val="00752142"/>
    <w:rsid w:val="007523F9"/>
    <w:rsid w:val="00752534"/>
    <w:rsid w:val="00752C2B"/>
    <w:rsid w:val="00753905"/>
    <w:rsid w:val="00755950"/>
    <w:rsid w:val="007566B0"/>
    <w:rsid w:val="00757372"/>
    <w:rsid w:val="007573E8"/>
    <w:rsid w:val="00757F4F"/>
    <w:rsid w:val="00760AA8"/>
    <w:rsid w:val="00760C4E"/>
    <w:rsid w:val="00761B9D"/>
    <w:rsid w:val="00762283"/>
    <w:rsid w:val="00762949"/>
    <w:rsid w:val="0076398B"/>
    <w:rsid w:val="00764469"/>
    <w:rsid w:val="00764E2C"/>
    <w:rsid w:val="00765B1A"/>
    <w:rsid w:val="00766668"/>
    <w:rsid w:val="007666DD"/>
    <w:rsid w:val="00766F07"/>
    <w:rsid w:val="00770705"/>
    <w:rsid w:val="007709EA"/>
    <w:rsid w:val="007760F5"/>
    <w:rsid w:val="00777557"/>
    <w:rsid w:val="00780146"/>
    <w:rsid w:val="007826DF"/>
    <w:rsid w:val="0078292D"/>
    <w:rsid w:val="00783900"/>
    <w:rsid w:val="007843F2"/>
    <w:rsid w:val="00787957"/>
    <w:rsid w:val="007910CB"/>
    <w:rsid w:val="00791C3F"/>
    <w:rsid w:val="007A011C"/>
    <w:rsid w:val="007A0A12"/>
    <w:rsid w:val="007A132D"/>
    <w:rsid w:val="007A1924"/>
    <w:rsid w:val="007A3965"/>
    <w:rsid w:val="007A3E9D"/>
    <w:rsid w:val="007A5B4F"/>
    <w:rsid w:val="007A7EA2"/>
    <w:rsid w:val="007B0D68"/>
    <w:rsid w:val="007B251D"/>
    <w:rsid w:val="007B2609"/>
    <w:rsid w:val="007B2C02"/>
    <w:rsid w:val="007B4BE2"/>
    <w:rsid w:val="007B4F58"/>
    <w:rsid w:val="007B528D"/>
    <w:rsid w:val="007B6223"/>
    <w:rsid w:val="007B6940"/>
    <w:rsid w:val="007B77D1"/>
    <w:rsid w:val="007C01EE"/>
    <w:rsid w:val="007C0553"/>
    <w:rsid w:val="007C18CD"/>
    <w:rsid w:val="007C1B73"/>
    <w:rsid w:val="007C1CD9"/>
    <w:rsid w:val="007C1E39"/>
    <w:rsid w:val="007C262D"/>
    <w:rsid w:val="007C2EFB"/>
    <w:rsid w:val="007C3501"/>
    <w:rsid w:val="007C361D"/>
    <w:rsid w:val="007C4B84"/>
    <w:rsid w:val="007C6874"/>
    <w:rsid w:val="007C79B7"/>
    <w:rsid w:val="007C7E68"/>
    <w:rsid w:val="007D004F"/>
    <w:rsid w:val="007D03A3"/>
    <w:rsid w:val="007D0B38"/>
    <w:rsid w:val="007D0C56"/>
    <w:rsid w:val="007D1A0E"/>
    <w:rsid w:val="007D1B79"/>
    <w:rsid w:val="007D2FE8"/>
    <w:rsid w:val="007D5440"/>
    <w:rsid w:val="007D5C49"/>
    <w:rsid w:val="007E025B"/>
    <w:rsid w:val="007E3409"/>
    <w:rsid w:val="007E3857"/>
    <w:rsid w:val="007E3EB9"/>
    <w:rsid w:val="007E4E82"/>
    <w:rsid w:val="007E5771"/>
    <w:rsid w:val="007E6416"/>
    <w:rsid w:val="007E73E6"/>
    <w:rsid w:val="007E7C1F"/>
    <w:rsid w:val="007F1017"/>
    <w:rsid w:val="007F25EB"/>
    <w:rsid w:val="007F29E7"/>
    <w:rsid w:val="007F2F8F"/>
    <w:rsid w:val="007F4A3F"/>
    <w:rsid w:val="007F4A61"/>
    <w:rsid w:val="007F4B7F"/>
    <w:rsid w:val="007F4BE5"/>
    <w:rsid w:val="007F50EB"/>
    <w:rsid w:val="007F61C2"/>
    <w:rsid w:val="007F6971"/>
    <w:rsid w:val="007F72F3"/>
    <w:rsid w:val="00802380"/>
    <w:rsid w:val="00802507"/>
    <w:rsid w:val="00803250"/>
    <w:rsid w:val="008046D9"/>
    <w:rsid w:val="00804DDA"/>
    <w:rsid w:val="00805142"/>
    <w:rsid w:val="00805FDB"/>
    <w:rsid w:val="0080646D"/>
    <w:rsid w:val="00806D57"/>
    <w:rsid w:val="008079C6"/>
    <w:rsid w:val="00807A8B"/>
    <w:rsid w:val="008105F2"/>
    <w:rsid w:val="00811383"/>
    <w:rsid w:val="00811AE9"/>
    <w:rsid w:val="00811D87"/>
    <w:rsid w:val="00812149"/>
    <w:rsid w:val="008121C2"/>
    <w:rsid w:val="00812AB3"/>
    <w:rsid w:val="00812CAC"/>
    <w:rsid w:val="00813A97"/>
    <w:rsid w:val="00813D19"/>
    <w:rsid w:val="00814009"/>
    <w:rsid w:val="00814149"/>
    <w:rsid w:val="008142C7"/>
    <w:rsid w:val="00815765"/>
    <w:rsid w:val="008166EF"/>
    <w:rsid w:val="008168B9"/>
    <w:rsid w:val="00816DEF"/>
    <w:rsid w:val="008201FE"/>
    <w:rsid w:val="0082023F"/>
    <w:rsid w:val="00820CB1"/>
    <w:rsid w:val="008213DF"/>
    <w:rsid w:val="00821743"/>
    <w:rsid w:val="0082542C"/>
    <w:rsid w:val="00825751"/>
    <w:rsid w:val="008264EB"/>
    <w:rsid w:val="008269CE"/>
    <w:rsid w:val="00827D2F"/>
    <w:rsid w:val="008302BD"/>
    <w:rsid w:val="008308D5"/>
    <w:rsid w:val="008309F1"/>
    <w:rsid w:val="0083128B"/>
    <w:rsid w:val="00831854"/>
    <w:rsid w:val="00832817"/>
    <w:rsid w:val="00833B05"/>
    <w:rsid w:val="00834B88"/>
    <w:rsid w:val="008362B4"/>
    <w:rsid w:val="0083743F"/>
    <w:rsid w:val="008400E4"/>
    <w:rsid w:val="00840CA2"/>
    <w:rsid w:val="0084207A"/>
    <w:rsid w:val="0084374F"/>
    <w:rsid w:val="00844E8C"/>
    <w:rsid w:val="008467E1"/>
    <w:rsid w:val="008470E9"/>
    <w:rsid w:val="00847DF5"/>
    <w:rsid w:val="008519BE"/>
    <w:rsid w:val="00851F09"/>
    <w:rsid w:val="0085246F"/>
    <w:rsid w:val="00852CEC"/>
    <w:rsid w:val="0085309D"/>
    <w:rsid w:val="008557C4"/>
    <w:rsid w:val="008566C4"/>
    <w:rsid w:val="00856897"/>
    <w:rsid w:val="00856E9A"/>
    <w:rsid w:val="00857213"/>
    <w:rsid w:val="008576B9"/>
    <w:rsid w:val="00857732"/>
    <w:rsid w:val="0086075D"/>
    <w:rsid w:val="00860C58"/>
    <w:rsid w:val="00862502"/>
    <w:rsid w:val="00862F65"/>
    <w:rsid w:val="00863FD2"/>
    <w:rsid w:val="0086513A"/>
    <w:rsid w:val="008660D4"/>
    <w:rsid w:val="00866B67"/>
    <w:rsid w:val="00866DA6"/>
    <w:rsid w:val="00871A79"/>
    <w:rsid w:val="00871FA9"/>
    <w:rsid w:val="008728E9"/>
    <w:rsid w:val="00873D52"/>
    <w:rsid w:val="00875010"/>
    <w:rsid w:val="0087663D"/>
    <w:rsid w:val="00880D58"/>
    <w:rsid w:val="00880F3F"/>
    <w:rsid w:val="00882874"/>
    <w:rsid w:val="008832A1"/>
    <w:rsid w:val="008836E9"/>
    <w:rsid w:val="00883787"/>
    <w:rsid w:val="008838B4"/>
    <w:rsid w:val="0088442D"/>
    <w:rsid w:val="00885043"/>
    <w:rsid w:val="00885B83"/>
    <w:rsid w:val="00885BED"/>
    <w:rsid w:val="008867BF"/>
    <w:rsid w:val="00886CD2"/>
    <w:rsid w:val="00886CE2"/>
    <w:rsid w:val="008874C7"/>
    <w:rsid w:val="008877C8"/>
    <w:rsid w:val="00890289"/>
    <w:rsid w:val="00890A25"/>
    <w:rsid w:val="00891B56"/>
    <w:rsid w:val="00892A36"/>
    <w:rsid w:val="00892C71"/>
    <w:rsid w:val="00893036"/>
    <w:rsid w:val="00893239"/>
    <w:rsid w:val="00893D84"/>
    <w:rsid w:val="00894489"/>
    <w:rsid w:val="00895820"/>
    <w:rsid w:val="008963A5"/>
    <w:rsid w:val="00896405"/>
    <w:rsid w:val="008970AE"/>
    <w:rsid w:val="00897558"/>
    <w:rsid w:val="008A0D0A"/>
    <w:rsid w:val="008A1E87"/>
    <w:rsid w:val="008A2959"/>
    <w:rsid w:val="008A2A31"/>
    <w:rsid w:val="008A2FD1"/>
    <w:rsid w:val="008A3363"/>
    <w:rsid w:val="008A3371"/>
    <w:rsid w:val="008A3C3E"/>
    <w:rsid w:val="008A79DE"/>
    <w:rsid w:val="008B0045"/>
    <w:rsid w:val="008B1001"/>
    <w:rsid w:val="008B1757"/>
    <w:rsid w:val="008B23DB"/>
    <w:rsid w:val="008B276A"/>
    <w:rsid w:val="008B3575"/>
    <w:rsid w:val="008B3D52"/>
    <w:rsid w:val="008B4C0A"/>
    <w:rsid w:val="008B6F3D"/>
    <w:rsid w:val="008B7876"/>
    <w:rsid w:val="008B7C11"/>
    <w:rsid w:val="008B7D7E"/>
    <w:rsid w:val="008C2161"/>
    <w:rsid w:val="008C41F3"/>
    <w:rsid w:val="008C5936"/>
    <w:rsid w:val="008C59D8"/>
    <w:rsid w:val="008C5EAF"/>
    <w:rsid w:val="008C758A"/>
    <w:rsid w:val="008C7ECB"/>
    <w:rsid w:val="008D0DEB"/>
    <w:rsid w:val="008D1040"/>
    <w:rsid w:val="008D1593"/>
    <w:rsid w:val="008D1E1A"/>
    <w:rsid w:val="008D4635"/>
    <w:rsid w:val="008D4755"/>
    <w:rsid w:val="008D4C3D"/>
    <w:rsid w:val="008D56F5"/>
    <w:rsid w:val="008D7C2A"/>
    <w:rsid w:val="008E0A80"/>
    <w:rsid w:val="008E0D3C"/>
    <w:rsid w:val="008E1B9E"/>
    <w:rsid w:val="008E31F3"/>
    <w:rsid w:val="008E4233"/>
    <w:rsid w:val="008E55AB"/>
    <w:rsid w:val="008E5679"/>
    <w:rsid w:val="008E5B30"/>
    <w:rsid w:val="008F1065"/>
    <w:rsid w:val="008F120A"/>
    <w:rsid w:val="008F27E0"/>
    <w:rsid w:val="008F2DBE"/>
    <w:rsid w:val="008F39FE"/>
    <w:rsid w:val="008F4797"/>
    <w:rsid w:val="008F483A"/>
    <w:rsid w:val="008F48EB"/>
    <w:rsid w:val="008F4F0B"/>
    <w:rsid w:val="008F63FE"/>
    <w:rsid w:val="00900C60"/>
    <w:rsid w:val="00900F1A"/>
    <w:rsid w:val="00900F97"/>
    <w:rsid w:val="009012A5"/>
    <w:rsid w:val="00903391"/>
    <w:rsid w:val="009033E3"/>
    <w:rsid w:val="009046C4"/>
    <w:rsid w:val="009049B2"/>
    <w:rsid w:val="00904FDE"/>
    <w:rsid w:val="009058C8"/>
    <w:rsid w:val="009062A5"/>
    <w:rsid w:val="0090689A"/>
    <w:rsid w:val="00907DD6"/>
    <w:rsid w:val="00910881"/>
    <w:rsid w:val="00911272"/>
    <w:rsid w:val="00911496"/>
    <w:rsid w:val="00911B0B"/>
    <w:rsid w:val="00911EA5"/>
    <w:rsid w:val="00912B73"/>
    <w:rsid w:val="00913582"/>
    <w:rsid w:val="009135D6"/>
    <w:rsid w:val="00914C77"/>
    <w:rsid w:val="00915F28"/>
    <w:rsid w:val="00920238"/>
    <w:rsid w:val="00920607"/>
    <w:rsid w:val="00923027"/>
    <w:rsid w:val="00923174"/>
    <w:rsid w:val="0092369B"/>
    <w:rsid w:val="00923D2A"/>
    <w:rsid w:val="009245D4"/>
    <w:rsid w:val="009254AD"/>
    <w:rsid w:val="00927C70"/>
    <w:rsid w:val="00931F2C"/>
    <w:rsid w:val="00933712"/>
    <w:rsid w:val="0093478B"/>
    <w:rsid w:val="00934979"/>
    <w:rsid w:val="00935DC4"/>
    <w:rsid w:val="00941876"/>
    <w:rsid w:val="00941E26"/>
    <w:rsid w:val="00942A3E"/>
    <w:rsid w:val="009437E4"/>
    <w:rsid w:val="00943850"/>
    <w:rsid w:val="009439DE"/>
    <w:rsid w:val="00943EDD"/>
    <w:rsid w:val="00944E12"/>
    <w:rsid w:val="0095037A"/>
    <w:rsid w:val="009510A2"/>
    <w:rsid w:val="009528E9"/>
    <w:rsid w:val="00953257"/>
    <w:rsid w:val="00955C2E"/>
    <w:rsid w:val="0095636E"/>
    <w:rsid w:val="00956773"/>
    <w:rsid w:val="00956E8C"/>
    <w:rsid w:val="00957586"/>
    <w:rsid w:val="00962CB9"/>
    <w:rsid w:val="00964312"/>
    <w:rsid w:val="009650A8"/>
    <w:rsid w:val="009656AE"/>
    <w:rsid w:val="00965B8A"/>
    <w:rsid w:val="009669C4"/>
    <w:rsid w:val="00966E41"/>
    <w:rsid w:val="0097162E"/>
    <w:rsid w:val="009717AC"/>
    <w:rsid w:val="00972059"/>
    <w:rsid w:val="009749FC"/>
    <w:rsid w:val="0097724C"/>
    <w:rsid w:val="0098235C"/>
    <w:rsid w:val="0098287C"/>
    <w:rsid w:val="00983E57"/>
    <w:rsid w:val="0098459E"/>
    <w:rsid w:val="009851C5"/>
    <w:rsid w:val="0098675D"/>
    <w:rsid w:val="00987375"/>
    <w:rsid w:val="00987FA2"/>
    <w:rsid w:val="00990566"/>
    <w:rsid w:val="0099094F"/>
    <w:rsid w:val="00991200"/>
    <w:rsid w:val="00991B05"/>
    <w:rsid w:val="00991CEA"/>
    <w:rsid w:val="009922F4"/>
    <w:rsid w:val="0099249F"/>
    <w:rsid w:val="00993028"/>
    <w:rsid w:val="0099368E"/>
    <w:rsid w:val="009938E6"/>
    <w:rsid w:val="00993B23"/>
    <w:rsid w:val="00994DD8"/>
    <w:rsid w:val="00996803"/>
    <w:rsid w:val="009968F7"/>
    <w:rsid w:val="00996B1A"/>
    <w:rsid w:val="009A0669"/>
    <w:rsid w:val="009A0FD4"/>
    <w:rsid w:val="009A1790"/>
    <w:rsid w:val="009A26AA"/>
    <w:rsid w:val="009A3F29"/>
    <w:rsid w:val="009A4973"/>
    <w:rsid w:val="009A5B15"/>
    <w:rsid w:val="009A7F10"/>
    <w:rsid w:val="009A7F4C"/>
    <w:rsid w:val="009B0190"/>
    <w:rsid w:val="009B1BF8"/>
    <w:rsid w:val="009B3E26"/>
    <w:rsid w:val="009B4CC5"/>
    <w:rsid w:val="009B4CC9"/>
    <w:rsid w:val="009B532D"/>
    <w:rsid w:val="009C054C"/>
    <w:rsid w:val="009C2341"/>
    <w:rsid w:val="009C36C8"/>
    <w:rsid w:val="009C4B7A"/>
    <w:rsid w:val="009C55A2"/>
    <w:rsid w:val="009C6CEA"/>
    <w:rsid w:val="009C75E5"/>
    <w:rsid w:val="009C7B85"/>
    <w:rsid w:val="009C7D14"/>
    <w:rsid w:val="009D0B60"/>
    <w:rsid w:val="009D0D35"/>
    <w:rsid w:val="009D0DF3"/>
    <w:rsid w:val="009D1441"/>
    <w:rsid w:val="009D14B8"/>
    <w:rsid w:val="009D4A79"/>
    <w:rsid w:val="009D511E"/>
    <w:rsid w:val="009D5B91"/>
    <w:rsid w:val="009D756B"/>
    <w:rsid w:val="009D792E"/>
    <w:rsid w:val="009D7ABC"/>
    <w:rsid w:val="009E03F5"/>
    <w:rsid w:val="009E0DFE"/>
    <w:rsid w:val="009E1B28"/>
    <w:rsid w:val="009E1F28"/>
    <w:rsid w:val="009E2035"/>
    <w:rsid w:val="009E260B"/>
    <w:rsid w:val="009E2B30"/>
    <w:rsid w:val="009E47DE"/>
    <w:rsid w:val="009E4C07"/>
    <w:rsid w:val="009E4CD2"/>
    <w:rsid w:val="009E4D9A"/>
    <w:rsid w:val="009E7BDA"/>
    <w:rsid w:val="009E7D23"/>
    <w:rsid w:val="009E7F27"/>
    <w:rsid w:val="009E7F29"/>
    <w:rsid w:val="009F0E97"/>
    <w:rsid w:val="009F3278"/>
    <w:rsid w:val="009F497B"/>
    <w:rsid w:val="009F4FBF"/>
    <w:rsid w:val="00A01184"/>
    <w:rsid w:val="00A02FDA"/>
    <w:rsid w:val="00A0339B"/>
    <w:rsid w:val="00A03D43"/>
    <w:rsid w:val="00A04380"/>
    <w:rsid w:val="00A049A8"/>
    <w:rsid w:val="00A04D29"/>
    <w:rsid w:val="00A051F2"/>
    <w:rsid w:val="00A05649"/>
    <w:rsid w:val="00A069A8"/>
    <w:rsid w:val="00A070B6"/>
    <w:rsid w:val="00A10199"/>
    <w:rsid w:val="00A10BFC"/>
    <w:rsid w:val="00A11CD0"/>
    <w:rsid w:val="00A13948"/>
    <w:rsid w:val="00A1490C"/>
    <w:rsid w:val="00A1555B"/>
    <w:rsid w:val="00A155C5"/>
    <w:rsid w:val="00A16681"/>
    <w:rsid w:val="00A16AD8"/>
    <w:rsid w:val="00A179B7"/>
    <w:rsid w:val="00A20973"/>
    <w:rsid w:val="00A20ACF"/>
    <w:rsid w:val="00A20E9F"/>
    <w:rsid w:val="00A210AB"/>
    <w:rsid w:val="00A21CF3"/>
    <w:rsid w:val="00A24A5D"/>
    <w:rsid w:val="00A252E6"/>
    <w:rsid w:val="00A261FA"/>
    <w:rsid w:val="00A273E2"/>
    <w:rsid w:val="00A27AEC"/>
    <w:rsid w:val="00A320DB"/>
    <w:rsid w:val="00A324D9"/>
    <w:rsid w:val="00A348FB"/>
    <w:rsid w:val="00A35D16"/>
    <w:rsid w:val="00A36852"/>
    <w:rsid w:val="00A37BCD"/>
    <w:rsid w:val="00A37CF1"/>
    <w:rsid w:val="00A413FC"/>
    <w:rsid w:val="00A42B9E"/>
    <w:rsid w:val="00A4322F"/>
    <w:rsid w:val="00A43C59"/>
    <w:rsid w:val="00A445E1"/>
    <w:rsid w:val="00A448CC"/>
    <w:rsid w:val="00A47055"/>
    <w:rsid w:val="00A50ECD"/>
    <w:rsid w:val="00A518F3"/>
    <w:rsid w:val="00A52729"/>
    <w:rsid w:val="00A53675"/>
    <w:rsid w:val="00A53BA9"/>
    <w:rsid w:val="00A547F7"/>
    <w:rsid w:val="00A564D7"/>
    <w:rsid w:val="00A56581"/>
    <w:rsid w:val="00A566D0"/>
    <w:rsid w:val="00A56B6A"/>
    <w:rsid w:val="00A572F7"/>
    <w:rsid w:val="00A578DC"/>
    <w:rsid w:val="00A6066C"/>
    <w:rsid w:val="00A65BF9"/>
    <w:rsid w:val="00A660FD"/>
    <w:rsid w:val="00A6725B"/>
    <w:rsid w:val="00A67612"/>
    <w:rsid w:val="00A70605"/>
    <w:rsid w:val="00A73134"/>
    <w:rsid w:val="00A76470"/>
    <w:rsid w:val="00A7747A"/>
    <w:rsid w:val="00A7766C"/>
    <w:rsid w:val="00A777B2"/>
    <w:rsid w:val="00A82604"/>
    <w:rsid w:val="00A826D9"/>
    <w:rsid w:val="00A83680"/>
    <w:rsid w:val="00A84E91"/>
    <w:rsid w:val="00A86E8B"/>
    <w:rsid w:val="00A87164"/>
    <w:rsid w:val="00A876EC"/>
    <w:rsid w:val="00A87A60"/>
    <w:rsid w:val="00A90AE3"/>
    <w:rsid w:val="00A90DAB"/>
    <w:rsid w:val="00A93072"/>
    <w:rsid w:val="00A93953"/>
    <w:rsid w:val="00A951DF"/>
    <w:rsid w:val="00A954D6"/>
    <w:rsid w:val="00A959D8"/>
    <w:rsid w:val="00A96412"/>
    <w:rsid w:val="00AA113D"/>
    <w:rsid w:val="00AA1218"/>
    <w:rsid w:val="00AA2C07"/>
    <w:rsid w:val="00AA3DF6"/>
    <w:rsid w:val="00AA6B06"/>
    <w:rsid w:val="00AA6C7D"/>
    <w:rsid w:val="00AA7277"/>
    <w:rsid w:val="00AA78E3"/>
    <w:rsid w:val="00AA7FD6"/>
    <w:rsid w:val="00AB042A"/>
    <w:rsid w:val="00AB0948"/>
    <w:rsid w:val="00AB1D33"/>
    <w:rsid w:val="00AB2D34"/>
    <w:rsid w:val="00AB30EB"/>
    <w:rsid w:val="00AB3430"/>
    <w:rsid w:val="00AB3D30"/>
    <w:rsid w:val="00AB4474"/>
    <w:rsid w:val="00AB4AD1"/>
    <w:rsid w:val="00AB5BE8"/>
    <w:rsid w:val="00AB69F5"/>
    <w:rsid w:val="00AB7CFA"/>
    <w:rsid w:val="00AC2B4D"/>
    <w:rsid w:val="00AC35AF"/>
    <w:rsid w:val="00AC3ADB"/>
    <w:rsid w:val="00AC3CDA"/>
    <w:rsid w:val="00AC5B48"/>
    <w:rsid w:val="00AC7F55"/>
    <w:rsid w:val="00AD0927"/>
    <w:rsid w:val="00AD3F46"/>
    <w:rsid w:val="00AD42F6"/>
    <w:rsid w:val="00AD48D0"/>
    <w:rsid w:val="00AD4E34"/>
    <w:rsid w:val="00AD5909"/>
    <w:rsid w:val="00AD5D40"/>
    <w:rsid w:val="00AD5F4F"/>
    <w:rsid w:val="00AD6502"/>
    <w:rsid w:val="00AE1E0A"/>
    <w:rsid w:val="00AE52F3"/>
    <w:rsid w:val="00AE5313"/>
    <w:rsid w:val="00AE5FAB"/>
    <w:rsid w:val="00AE6606"/>
    <w:rsid w:val="00AE669C"/>
    <w:rsid w:val="00AE6DAC"/>
    <w:rsid w:val="00AE79DF"/>
    <w:rsid w:val="00AE7AAC"/>
    <w:rsid w:val="00AF064C"/>
    <w:rsid w:val="00AF0946"/>
    <w:rsid w:val="00AF1315"/>
    <w:rsid w:val="00AF136B"/>
    <w:rsid w:val="00AF19BF"/>
    <w:rsid w:val="00AF235D"/>
    <w:rsid w:val="00AF28D6"/>
    <w:rsid w:val="00AF2DC3"/>
    <w:rsid w:val="00AF409E"/>
    <w:rsid w:val="00AF4422"/>
    <w:rsid w:val="00AF507F"/>
    <w:rsid w:val="00AF509A"/>
    <w:rsid w:val="00AF69E4"/>
    <w:rsid w:val="00B00C2E"/>
    <w:rsid w:val="00B017B0"/>
    <w:rsid w:val="00B02963"/>
    <w:rsid w:val="00B02F89"/>
    <w:rsid w:val="00B0333C"/>
    <w:rsid w:val="00B033E5"/>
    <w:rsid w:val="00B0394E"/>
    <w:rsid w:val="00B03A63"/>
    <w:rsid w:val="00B0445A"/>
    <w:rsid w:val="00B0642E"/>
    <w:rsid w:val="00B06A8A"/>
    <w:rsid w:val="00B06C2E"/>
    <w:rsid w:val="00B07683"/>
    <w:rsid w:val="00B07688"/>
    <w:rsid w:val="00B10E3C"/>
    <w:rsid w:val="00B11784"/>
    <w:rsid w:val="00B11BD7"/>
    <w:rsid w:val="00B12D9D"/>
    <w:rsid w:val="00B12FF2"/>
    <w:rsid w:val="00B13C31"/>
    <w:rsid w:val="00B148EC"/>
    <w:rsid w:val="00B15D26"/>
    <w:rsid w:val="00B16BC4"/>
    <w:rsid w:val="00B201A4"/>
    <w:rsid w:val="00B20F24"/>
    <w:rsid w:val="00B213A6"/>
    <w:rsid w:val="00B239A8"/>
    <w:rsid w:val="00B23D7B"/>
    <w:rsid w:val="00B23E49"/>
    <w:rsid w:val="00B2493F"/>
    <w:rsid w:val="00B24DF6"/>
    <w:rsid w:val="00B27509"/>
    <w:rsid w:val="00B30E1A"/>
    <w:rsid w:val="00B3161D"/>
    <w:rsid w:val="00B31AF7"/>
    <w:rsid w:val="00B337BB"/>
    <w:rsid w:val="00B33875"/>
    <w:rsid w:val="00B33CFC"/>
    <w:rsid w:val="00B341AB"/>
    <w:rsid w:val="00B34FE2"/>
    <w:rsid w:val="00B357D8"/>
    <w:rsid w:val="00B35C78"/>
    <w:rsid w:val="00B37BFC"/>
    <w:rsid w:val="00B4008F"/>
    <w:rsid w:val="00B40358"/>
    <w:rsid w:val="00B41614"/>
    <w:rsid w:val="00B41CE8"/>
    <w:rsid w:val="00B42851"/>
    <w:rsid w:val="00B42ECB"/>
    <w:rsid w:val="00B42F80"/>
    <w:rsid w:val="00B435CB"/>
    <w:rsid w:val="00B44DB5"/>
    <w:rsid w:val="00B454F5"/>
    <w:rsid w:val="00B50DB8"/>
    <w:rsid w:val="00B51121"/>
    <w:rsid w:val="00B51E7C"/>
    <w:rsid w:val="00B524B2"/>
    <w:rsid w:val="00B53654"/>
    <w:rsid w:val="00B53905"/>
    <w:rsid w:val="00B54B5B"/>
    <w:rsid w:val="00B55026"/>
    <w:rsid w:val="00B5562E"/>
    <w:rsid w:val="00B569D1"/>
    <w:rsid w:val="00B57000"/>
    <w:rsid w:val="00B60374"/>
    <w:rsid w:val="00B60939"/>
    <w:rsid w:val="00B60AFD"/>
    <w:rsid w:val="00B60CF6"/>
    <w:rsid w:val="00B614B5"/>
    <w:rsid w:val="00B6197E"/>
    <w:rsid w:val="00B62121"/>
    <w:rsid w:val="00B62715"/>
    <w:rsid w:val="00B6282D"/>
    <w:rsid w:val="00B63022"/>
    <w:rsid w:val="00B635C9"/>
    <w:rsid w:val="00B65E98"/>
    <w:rsid w:val="00B70A0E"/>
    <w:rsid w:val="00B71B58"/>
    <w:rsid w:val="00B731ED"/>
    <w:rsid w:val="00B73672"/>
    <w:rsid w:val="00B779B1"/>
    <w:rsid w:val="00B779F0"/>
    <w:rsid w:val="00B818A4"/>
    <w:rsid w:val="00B8198E"/>
    <w:rsid w:val="00B8297C"/>
    <w:rsid w:val="00B836E4"/>
    <w:rsid w:val="00B83F9B"/>
    <w:rsid w:val="00B84117"/>
    <w:rsid w:val="00B84AF5"/>
    <w:rsid w:val="00B8576A"/>
    <w:rsid w:val="00B85AA2"/>
    <w:rsid w:val="00B8649C"/>
    <w:rsid w:val="00B87F0A"/>
    <w:rsid w:val="00B91B21"/>
    <w:rsid w:val="00B91E7D"/>
    <w:rsid w:val="00B92953"/>
    <w:rsid w:val="00B92D0B"/>
    <w:rsid w:val="00B9333B"/>
    <w:rsid w:val="00B94945"/>
    <w:rsid w:val="00B950B7"/>
    <w:rsid w:val="00B9636B"/>
    <w:rsid w:val="00B970DB"/>
    <w:rsid w:val="00B977FD"/>
    <w:rsid w:val="00B97DE3"/>
    <w:rsid w:val="00B97FC6"/>
    <w:rsid w:val="00BA0A67"/>
    <w:rsid w:val="00BA0DB1"/>
    <w:rsid w:val="00BA0FC3"/>
    <w:rsid w:val="00BA212A"/>
    <w:rsid w:val="00BA322D"/>
    <w:rsid w:val="00BA34D3"/>
    <w:rsid w:val="00BA74A8"/>
    <w:rsid w:val="00BB0BDD"/>
    <w:rsid w:val="00BB19B2"/>
    <w:rsid w:val="00BB1D45"/>
    <w:rsid w:val="00BB1EB0"/>
    <w:rsid w:val="00BB2A73"/>
    <w:rsid w:val="00BB33FF"/>
    <w:rsid w:val="00BB48F2"/>
    <w:rsid w:val="00BB4ACC"/>
    <w:rsid w:val="00BB56BA"/>
    <w:rsid w:val="00BB61C7"/>
    <w:rsid w:val="00BB703E"/>
    <w:rsid w:val="00BB7405"/>
    <w:rsid w:val="00BB7C8F"/>
    <w:rsid w:val="00BC2224"/>
    <w:rsid w:val="00BC284E"/>
    <w:rsid w:val="00BC3631"/>
    <w:rsid w:val="00BC3F8C"/>
    <w:rsid w:val="00BC4A33"/>
    <w:rsid w:val="00BC7164"/>
    <w:rsid w:val="00BD434E"/>
    <w:rsid w:val="00BD52F3"/>
    <w:rsid w:val="00BD68A3"/>
    <w:rsid w:val="00BD6938"/>
    <w:rsid w:val="00BD6CF3"/>
    <w:rsid w:val="00BD7F59"/>
    <w:rsid w:val="00BE17CC"/>
    <w:rsid w:val="00BE2180"/>
    <w:rsid w:val="00BE21F2"/>
    <w:rsid w:val="00BE231B"/>
    <w:rsid w:val="00BE4275"/>
    <w:rsid w:val="00BE4C4A"/>
    <w:rsid w:val="00BE4F07"/>
    <w:rsid w:val="00BE5FD0"/>
    <w:rsid w:val="00BF02A1"/>
    <w:rsid w:val="00BF08FE"/>
    <w:rsid w:val="00BF0F95"/>
    <w:rsid w:val="00BF11F0"/>
    <w:rsid w:val="00BF154C"/>
    <w:rsid w:val="00BF1D0B"/>
    <w:rsid w:val="00BF2433"/>
    <w:rsid w:val="00BF2555"/>
    <w:rsid w:val="00BF2841"/>
    <w:rsid w:val="00BF40EB"/>
    <w:rsid w:val="00BF61C9"/>
    <w:rsid w:val="00BF6C94"/>
    <w:rsid w:val="00BF768E"/>
    <w:rsid w:val="00BF76EF"/>
    <w:rsid w:val="00C00424"/>
    <w:rsid w:val="00C00A7C"/>
    <w:rsid w:val="00C00CCE"/>
    <w:rsid w:val="00C0122A"/>
    <w:rsid w:val="00C01939"/>
    <w:rsid w:val="00C04322"/>
    <w:rsid w:val="00C048DC"/>
    <w:rsid w:val="00C058E5"/>
    <w:rsid w:val="00C0627D"/>
    <w:rsid w:val="00C06DDC"/>
    <w:rsid w:val="00C06DEA"/>
    <w:rsid w:val="00C0713B"/>
    <w:rsid w:val="00C07D14"/>
    <w:rsid w:val="00C107F0"/>
    <w:rsid w:val="00C11FC9"/>
    <w:rsid w:val="00C12C14"/>
    <w:rsid w:val="00C12D98"/>
    <w:rsid w:val="00C13339"/>
    <w:rsid w:val="00C14E20"/>
    <w:rsid w:val="00C200AA"/>
    <w:rsid w:val="00C20F1F"/>
    <w:rsid w:val="00C22487"/>
    <w:rsid w:val="00C237ED"/>
    <w:rsid w:val="00C24632"/>
    <w:rsid w:val="00C24CAD"/>
    <w:rsid w:val="00C25418"/>
    <w:rsid w:val="00C25D9C"/>
    <w:rsid w:val="00C25F66"/>
    <w:rsid w:val="00C2778B"/>
    <w:rsid w:val="00C27892"/>
    <w:rsid w:val="00C3086C"/>
    <w:rsid w:val="00C3099F"/>
    <w:rsid w:val="00C30CCF"/>
    <w:rsid w:val="00C310ED"/>
    <w:rsid w:val="00C31649"/>
    <w:rsid w:val="00C32429"/>
    <w:rsid w:val="00C32CB6"/>
    <w:rsid w:val="00C35402"/>
    <w:rsid w:val="00C363A5"/>
    <w:rsid w:val="00C3711C"/>
    <w:rsid w:val="00C40385"/>
    <w:rsid w:val="00C41AF9"/>
    <w:rsid w:val="00C42D76"/>
    <w:rsid w:val="00C438E0"/>
    <w:rsid w:val="00C45C1C"/>
    <w:rsid w:val="00C45FA8"/>
    <w:rsid w:val="00C46422"/>
    <w:rsid w:val="00C469AB"/>
    <w:rsid w:val="00C475AA"/>
    <w:rsid w:val="00C479FE"/>
    <w:rsid w:val="00C50254"/>
    <w:rsid w:val="00C52768"/>
    <w:rsid w:val="00C53E33"/>
    <w:rsid w:val="00C5631E"/>
    <w:rsid w:val="00C5645D"/>
    <w:rsid w:val="00C63D1A"/>
    <w:rsid w:val="00C65576"/>
    <w:rsid w:val="00C66165"/>
    <w:rsid w:val="00C67FE8"/>
    <w:rsid w:val="00C7151A"/>
    <w:rsid w:val="00C71F60"/>
    <w:rsid w:val="00C72241"/>
    <w:rsid w:val="00C72CE1"/>
    <w:rsid w:val="00C72E3A"/>
    <w:rsid w:val="00C72E5E"/>
    <w:rsid w:val="00C74118"/>
    <w:rsid w:val="00C750C8"/>
    <w:rsid w:val="00C7560F"/>
    <w:rsid w:val="00C77F3D"/>
    <w:rsid w:val="00C80A0E"/>
    <w:rsid w:val="00C81FD3"/>
    <w:rsid w:val="00C8213F"/>
    <w:rsid w:val="00C829F1"/>
    <w:rsid w:val="00C83BE8"/>
    <w:rsid w:val="00C8505C"/>
    <w:rsid w:val="00C854DE"/>
    <w:rsid w:val="00C85854"/>
    <w:rsid w:val="00C85966"/>
    <w:rsid w:val="00C85E05"/>
    <w:rsid w:val="00C86890"/>
    <w:rsid w:val="00C86D98"/>
    <w:rsid w:val="00C8797A"/>
    <w:rsid w:val="00C900B8"/>
    <w:rsid w:val="00C90C71"/>
    <w:rsid w:val="00C92EBD"/>
    <w:rsid w:val="00C931CF"/>
    <w:rsid w:val="00C93427"/>
    <w:rsid w:val="00C938CF"/>
    <w:rsid w:val="00C94941"/>
    <w:rsid w:val="00C95017"/>
    <w:rsid w:val="00C95E27"/>
    <w:rsid w:val="00C96212"/>
    <w:rsid w:val="00C9624D"/>
    <w:rsid w:val="00C969DA"/>
    <w:rsid w:val="00C96CA5"/>
    <w:rsid w:val="00CA0693"/>
    <w:rsid w:val="00CA2C77"/>
    <w:rsid w:val="00CA35C2"/>
    <w:rsid w:val="00CA444F"/>
    <w:rsid w:val="00CA4D3F"/>
    <w:rsid w:val="00CA5245"/>
    <w:rsid w:val="00CA5CAC"/>
    <w:rsid w:val="00CA71F4"/>
    <w:rsid w:val="00CA7B09"/>
    <w:rsid w:val="00CB0A0E"/>
    <w:rsid w:val="00CB215F"/>
    <w:rsid w:val="00CB23AE"/>
    <w:rsid w:val="00CB2D25"/>
    <w:rsid w:val="00CB2F2A"/>
    <w:rsid w:val="00CB515B"/>
    <w:rsid w:val="00CB5676"/>
    <w:rsid w:val="00CB58B3"/>
    <w:rsid w:val="00CB5B1A"/>
    <w:rsid w:val="00CB662A"/>
    <w:rsid w:val="00CB6B22"/>
    <w:rsid w:val="00CB7F5F"/>
    <w:rsid w:val="00CC1B39"/>
    <w:rsid w:val="00CC2562"/>
    <w:rsid w:val="00CC2B2C"/>
    <w:rsid w:val="00CC3626"/>
    <w:rsid w:val="00CC41CD"/>
    <w:rsid w:val="00CC4BE6"/>
    <w:rsid w:val="00CC57FE"/>
    <w:rsid w:val="00CC707D"/>
    <w:rsid w:val="00CD1AAE"/>
    <w:rsid w:val="00CD1F5E"/>
    <w:rsid w:val="00CD2CF7"/>
    <w:rsid w:val="00CD37A8"/>
    <w:rsid w:val="00CD431C"/>
    <w:rsid w:val="00CD6ADC"/>
    <w:rsid w:val="00CE004E"/>
    <w:rsid w:val="00CE2851"/>
    <w:rsid w:val="00CE43B7"/>
    <w:rsid w:val="00CE4B56"/>
    <w:rsid w:val="00CE6274"/>
    <w:rsid w:val="00CE7F43"/>
    <w:rsid w:val="00CF29DA"/>
    <w:rsid w:val="00CF2B8D"/>
    <w:rsid w:val="00CF456B"/>
    <w:rsid w:val="00CF5A22"/>
    <w:rsid w:val="00CF5CD2"/>
    <w:rsid w:val="00CF5D63"/>
    <w:rsid w:val="00CF6EEF"/>
    <w:rsid w:val="00CF74D8"/>
    <w:rsid w:val="00D012E6"/>
    <w:rsid w:val="00D01EA3"/>
    <w:rsid w:val="00D0262E"/>
    <w:rsid w:val="00D02AA1"/>
    <w:rsid w:val="00D03FDB"/>
    <w:rsid w:val="00D045C8"/>
    <w:rsid w:val="00D04986"/>
    <w:rsid w:val="00D06E61"/>
    <w:rsid w:val="00D0762A"/>
    <w:rsid w:val="00D07B12"/>
    <w:rsid w:val="00D110BD"/>
    <w:rsid w:val="00D11F8F"/>
    <w:rsid w:val="00D127E1"/>
    <w:rsid w:val="00D13675"/>
    <w:rsid w:val="00D141E1"/>
    <w:rsid w:val="00D16C94"/>
    <w:rsid w:val="00D17306"/>
    <w:rsid w:val="00D176A1"/>
    <w:rsid w:val="00D17890"/>
    <w:rsid w:val="00D17CF1"/>
    <w:rsid w:val="00D17D6C"/>
    <w:rsid w:val="00D17E94"/>
    <w:rsid w:val="00D2066B"/>
    <w:rsid w:val="00D21EB3"/>
    <w:rsid w:val="00D223CA"/>
    <w:rsid w:val="00D252D3"/>
    <w:rsid w:val="00D26E7A"/>
    <w:rsid w:val="00D2754D"/>
    <w:rsid w:val="00D27AE8"/>
    <w:rsid w:val="00D27B27"/>
    <w:rsid w:val="00D305EC"/>
    <w:rsid w:val="00D30F12"/>
    <w:rsid w:val="00D30F8B"/>
    <w:rsid w:val="00D33A55"/>
    <w:rsid w:val="00D33BE9"/>
    <w:rsid w:val="00D34363"/>
    <w:rsid w:val="00D3564F"/>
    <w:rsid w:val="00D357FF"/>
    <w:rsid w:val="00D35C95"/>
    <w:rsid w:val="00D3620F"/>
    <w:rsid w:val="00D3628C"/>
    <w:rsid w:val="00D363C1"/>
    <w:rsid w:val="00D36E40"/>
    <w:rsid w:val="00D413AB"/>
    <w:rsid w:val="00D41532"/>
    <w:rsid w:val="00D424C7"/>
    <w:rsid w:val="00D431F3"/>
    <w:rsid w:val="00D432C5"/>
    <w:rsid w:val="00D43B2A"/>
    <w:rsid w:val="00D447C9"/>
    <w:rsid w:val="00D44D9A"/>
    <w:rsid w:val="00D44E26"/>
    <w:rsid w:val="00D451F8"/>
    <w:rsid w:val="00D457EA"/>
    <w:rsid w:val="00D45909"/>
    <w:rsid w:val="00D47575"/>
    <w:rsid w:val="00D5026B"/>
    <w:rsid w:val="00D5038B"/>
    <w:rsid w:val="00D52C61"/>
    <w:rsid w:val="00D542FD"/>
    <w:rsid w:val="00D54521"/>
    <w:rsid w:val="00D54FEB"/>
    <w:rsid w:val="00D60189"/>
    <w:rsid w:val="00D629B9"/>
    <w:rsid w:val="00D6395C"/>
    <w:rsid w:val="00D63FA9"/>
    <w:rsid w:val="00D6405D"/>
    <w:rsid w:val="00D6559D"/>
    <w:rsid w:val="00D665C4"/>
    <w:rsid w:val="00D6698D"/>
    <w:rsid w:val="00D66EA2"/>
    <w:rsid w:val="00D7063B"/>
    <w:rsid w:val="00D70F16"/>
    <w:rsid w:val="00D71138"/>
    <w:rsid w:val="00D71965"/>
    <w:rsid w:val="00D72323"/>
    <w:rsid w:val="00D731B0"/>
    <w:rsid w:val="00D73705"/>
    <w:rsid w:val="00D744F2"/>
    <w:rsid w:val="00D75113"/>
    <w:rsid w:val="00D75D06"/>
    <w:rsid w:val="00D76A44"/>
    <w:rsid w:val="00D76B32"/>
    <w:rsid w:val="00D76D83"/>
    <w:rsid w:val="00D77BC7"/>
    <w:rsid w:val="00D77DAE"/>
    <w:rsid w:val="00D815EF"/>
    <w:rsid w:val="00D82336"/>
    <w:rsid w:val="00D83134"/>
    <w:rsid w:val="00D858D1"/>
    <w:rsid w:val="00D86199"/>
    <w:rsid w:val="00D8703C"/>
    <w:rsid w:val="00D90BA4"/>
    <w:rsid w:val="00D91619"/>
    <w:rsid w:val="00D916E9"/>
    <w:rsid w:val="00D91923"/>
    <w:rsid w:val="00D93753"/>
    <w:rsid w:val="00D9379D"/>
    <w:rsid w:val="00D946C1"/>
    <w:rsid w:val="00D94BBF"/>
    <w:rsid w:val="00D96007"/>
    <w:rsid w:val="00D96B82"/>
    <w:rsid w:val="00D96F48"/>
    <w:rsid w:val="00D97A16"/>
    <w:rsid w:val="00DA0BDB"/>
    <w:rsid w:val="00DA2C24"/>
    <w:rsid w:val="00DA3167"/>
    <w:rsid w:val="00DA4593"/>
    <w:rsid w:val="00DA47A9"/>
    <w:rsid w:val="00DA4DC3"/>
    <w:rsid w:val="00DA5443"/>
    <w:rsid w:val="00DA7614"/>
    <w:rsid w:val="00DA77A5"/>
    <w:rsid w:val="00DA796E"/>
    <w:rsid w:val="00DB0027"/>
    <w:rsid w:val="00DB1599"/>
    <w:rsid w:val="00DB2E41"/>
    <w:rsid w:val="00DB309E"/>
    <w:rsid w:val="00DB3296"/>
    <w:rsid w:val="00DB36A8"/>
    <w:rsid w:val="00DB4250"/>
    <w:rsid w:val="00DB484F"/>
    <w:rsid w:val="00DB5FC3"/>
    <w:rsid w:val="00DB6ADB"/>
    <w:rsid w:val="00DB74B0"/>
    <w:rsid w:val="00DC04F6"/>
    <w:rsid w:val="00DC103B"/>
    <w:rsid w:val="00DC1FD4"/>
    <w:rsid w:val="00DC2E8B"/>
    <w:rsid w:val="00DC3C57"/>
    <w:rsid w:val="00DC5501"/>
    <w:rsid w:val="00DC57D2"/>
    <w:rsid w:val="00DC5EEF"/>
    <w:rsid w:val="00DC62FE"/>
    <w:rsid w:val="00DC7ED6"/>
    <w:rsid w:val="00DD0BC7"/>
    <w:rsid w:val="00DD273C"/>
    <w:rsid w:val="00DD311D"/>
    <w:rsid w:val="00DD3949"/>
    <w:rsid w:val="00DD3F28"/>
    <w:rsid w:val="00DD42CE"/>
    <w:rsid w:val="00DD4537"/>
    <w:rsid w:val="00DD4E15"/>
    <w:rsid w:val="00DD5953"/>
    <w:rsid w:val="00DD78A2"/>
    <w:rsid w:val="00DE13AA"/>
    <w:rsid w:val="00DE24C5"/>
    <w:rsid w:val="00DE3138"/>
    <w:rsid w:val="00DE3517"/>
    <w:rsid w:val="00DE37F8"/>
    <w:rsid w:val="00DE3E70"/>
    <w:rsid w:val="00DE4D8C"/>
    <w:rsid w:val="00DE4FCB"/>
    <w:rsid w:val="00DE5867"/>
    <w:rsid w:val="00DE698D"/>
    <w:rsid w:val="00DE70AB"/>
    <w:rsid w:val="00DE7832"/>
    <w:rsid w:val="00DF18FC"/>
    <w:rsid w:val="00DF1929"/>
    <w:rsid w:val="00DF5D2B"/>
    <w:rsid w:val="00DF5E8E"/>
    <w:rsid w:val="00E00140"/>
    <w:rsid w:val="00E00E8E"/>
    <w:rsid w:val="00E0182D"/>
    <w:rsid w:val="00E03F2A"/>
    <w:rsid w:val="00E045F0"/>
    <w:rsid w:val="00E05486"/>
    <w:rsid w:val="00E05630"/>
    <w:rsid w:val="00E06DBB"/>
    <w:rsid w:val="00E10149"/>
    <w:rsid w:val="00E11B7E"/>
    <w:rsid w:val="00E12709"/>
    <w:rsid w:val="00E15457"/>
    <w:rsid w:val="00E16372"/>
    <w:rsid w:val="00E16784"/>
    <w:rsid w:val="00E169E8"/>
    <w:rsid w:val="00E175FD"/>
    <w:rsid w:val="00E17663"/>
    <w:rsid w:val="00E17AD0"/>
    <w:rsid w:val="00E20B4D"/>
    <w:rsid w:val="00E20B88"/>
    <w:rsid w:val="00E20E4D"/>
    <w:rsid w:val="00E20ED6"/>
    <w:rsid w:val="00E21040"/>
    <w:rsid w:val="00E212A1"/>
    <w:rsid w:val="00E21358"/>
    <w:rsid w:val="00E21FF2"/>
    <w:rsid w:val="00E2249B"/>
    <w:rsid w:val="00E22A0D"/>
    <w:rsid w:val="00E25C9F"/>
    <w:rsid w:val="00E2771E"/>
    <w:rsid w:val="00E3189C"/>
    <w:rsid w:val="00E32376"/>
    <w:rsid w:val="00E32E20"/>
    <w:rsid w:val="00E33674"/>
    <w:rsid w:val="00E33FB1"/>
    <w:rsid w:val="00E34948"/>
    <w:rsid w:val="00E367D5"/>
    <w:rsid w:val="00E3734E"/>
    <w:rsid w:val="00E37569"/>
    <w:rsid w:val="00E37E30"/>
    <w:rsid w:val="00E412FE"/>
    <w:rsid w:val="00E41E30"/>
    <w:rsid w:val="00E43D70"/>
    <w:rsid w:val="00E44168"/>
    <w:rsid w:val="00E44634"/>
    <w:rsid w:val="00E466F3"/>
    <w:rsid w:val="00E4757F"/>
    <w:rsid w:val="00E47B2C"/>
    <w:rsid w:val="00E51560"/>
    <w:rsid w:val="00E54347"/>
    <w:rsid w:val="00E54631"/>
    <w:rsid w:val="00E5489C"/>
    <w:rsid w:val="00E55061"/>
    <w:rsid w:val="00E55268"/>
    <w:rsid w:val="00E55424"/>
    <w:rsid w:val="00E55BB5"/>
    <w:rsid w:val="00E563F3"/>
    <w:rsid w:val="00E565B3"/>
    <w:rsid w:val="00E56733"/>
    <w:rsid w:val="00E572B1"/>
    <w:rsid w:val="00E60358"/>
    <w:rsid w:val="00E61946"/>
    <w:rsid w:val="00E6317B"/>
    <w:rsid w:val="00E636F6"/>
    <w:rsid w:val="00E6396C"/>
    <w:rsid w:val="00E65E79"/>
    <w:rsid w:val="00E66BA2"/>
    <w:rsid w:val="00E67416"/>
    <w:rsid w:val="00E67B2A"/>
    <w:rsid w:val="00E67C23"/>
    <w:rsid w:val="00E67C7A"/>
    <w:rsid w:val="00E70E7C"/>
    <w:rsid w:val="00E718B6"/>
    <w:rsid w:val="00E72327"/>
    <w:rsid w:val="00E723BA"/>
    <w:rsid w:val="00E7267E"/>
    <w:rsid w:val="00E73397"/>
    <w:rsid w:val="00E73581"/>
    <w:rsid w:val="00E73B4A"/>
    <w:rsid w:val="00E763C4"/>
    <w:rsid w:val="00E777FE"/>
    <w:rsid w:val="00E77CA1"/>
    <w:rsid w:val="00E77DAD"/>
    <w:rsid w:val="00E807A5"/>
    <w:rsid w:val="00E8275D"/>
    <w:rsid w:val="00E833F7"/>
    <w:rsid w:val="00E83BDF"/>
    <w:rsid w:val="00E85797"/>
    <w:rsid w:val="00E872FA"/>
    <w:rsid w:val="00E87A1D"/>
    <w:rsid w:val="00E87B77"/>
    <w:rsid w:val="00E926A5"/>
    <w:rsid w:val="00E932DA"/>
    <w:rsid w:val="00E93BD5"/>
    <w:rsid w:val="00E9609F"/>
    <w:rsid w:val="00E96E04"/>
    <w:rsid w:val="00E97A0C"/>
    <w:rsid w:val="00EA055F"/>
    <w:rsid w:val="00EA072D"/>
    <w:rsid w:val="00EA0BAA"/>
    <w:rsid w:val="00EA1062"/>
    <w:rsid w:val="00EA17C3"/>
    <w:rsid w:val="00EA2CAA"/>
    <w:rsid w:val="00EA3864"/>
    <w:rsid w:val="00EA3FA0"/>
    <w:rsid w:val="00EB15B6"/>
    <w:rsid w:val="00EB1EBF"/>
    <w:rsid w:val="00EB2273"/>
    <w:rsid w:val="00EB2FE3"/>
    <w:rsid w:val="00EB354F"/>
    <w:rsid w:val="00EB3591"/>
    <w:rsid w:val="00EB448A"/>
    <w:rsid w:val="00EB4581"/>
    <w:rsid w:val="00EB4916"/>
    <w:rsid w:val="00EB6ECF"/>
    <w:rsid w:val="00EB7F55"/>
    <w:rsid w:val="00EC00C9"/>
    <w:rsid w:val="00EC08AE"/>
    <w:rsid w:val="00EC24E3"/>
    <w:rsid w:val="00EC2649"/>
    <w:rsid w:val="00EC39C2"/>
    <w:rsid w:val="00EC45D3"/>
    <w:rsid w:val="00EC4B74"/>
    <w:rsid w:val="00EC5408"/>
    <w:rsid w:val="00EC558F"/>
    <w:rsid w:val="00EC5F59"/>
    <w:rsid w:val="00EC65D5"/>
    <w:rsid w:val="00EC7EE6"/>
    <w:rsid w:val="00ED1C6A"/>
    <w:rsid w:val="00ED2519"/>
    <w:rsid w:val="00ED2C91"/>
    <w:rsid w:val="00ED4788"/>
    <w:rsid w:val="00ED5415"/>
    <w:rsid w:val="00ED57EA"/>
    <w:rsid w:val="00EE042F"/>
    <w:rsid w:val="00EE07D3"/>
    <w:rsid w:val="00EE0BDA"/>
    <w:rsid w:val="00EE209B"/>
    <w:rsid w:val="00EE22AF"/>
    <w:rsid w:val="00EE3417"/>
    <w:rsid w:val="00EE6D6B"/>
    <w:rsid w:val="00EE76EA"/>
    <w:rsid w:val="00EF0171"/>
    <w:rsid w:val="00EF031C"/>
    <w:rsid w:val="00EF1073"/>
    <w:rsid w:val="00EF1B25"/>
    <w:rsid w:val="00EF1BF0"/>
    <w:rsid w:val="00EF2D43"/>
    <w:rsid w:val="00EF4747"/>
    <w:rsid w:val="00EF4BF8"/>
    <w:rsid w:val="00EF6AFD"/>
    <w:rsid w:val="00F008BD"/>
    <w:rsid w:val="00F02253"/>
    <w:rsid w:val="00F03700"/>
    <w:rsid w:val="00F03C2E"/>
    <w:rsid w:val="00F03C44"/>
    <w:rsid w:val="00F04A66"/>
    <w:rsid w:val="00F0516C"/>
    <w:rsid w:val="00F067A2"/>
    <w:rsid w:val="00F10A87"/>
    <w:rsid w:val="00F11810"/>
    <w:rsid w:val="00F1263A"/>
    <w:rsid w:val="00F13A5B"/>
    <w:rsid w:val="00F15270"/>
    <w:rsid w:val="00F15F24"/>
    <w:rsid w:val="00F16495"/>
    <w:rsid w:val="00F203C2"/>
    <w:rsid w:val="00F21A19"/>
    <w:rsid w:val="00F22C50"/>
    <w:rsid w:val="00F22FA6"/>
    <w:rsid w:val="00F22FF6"/>
    <w:rsid w:val="00F24837"/>
    <w:rsid w:val="00F24868"/>
    <w:rsid w:val="00F248B2"/>
    <w:rsid w:val="00F25435"/>
    <w:rsid w:val="00F2575F"/>
    <w:rsid w:val="00F2586F"/>
    <w:rsid w:val="00F27565"/>
    <w:rsid w:val="00F27578"/>
    <w:rsid w:val="00F310D4"/>
    <w:rsid w:val="00F314E9"/>
    <w:rsid w:val="00F31D5A"/>
    <w:rsid w:val="00F32520"/>
    <w:rsid w:val="00F33DE9"/>
    <w:rsid w:val="00F34D24"/>
    <w:rsid w:val="00F3619A"/>
    <w:rsid w:val="00F36E28"/>
    <w:rsid w:val="00F40A14"/>
    <w:rsid w:val="00F40AAA"/>
    <w:rsid w:val="00F40BA7"/>
    <w:rsid w:val="00F42E0E"/>
    <w:rsid w:val="00F43DFC"/>
    <w:rsid w:val="00F44690"/>
    <w:rsid w:val="00F454D1"/>
    <w:rsid w:val="00F45B76"/>
    <w:rsid w:val="00F461B6"/>
    <w:rsid w:val="00F464C1"/>
    <w:rsid w:val="00F46CB6"/>
    <w:rsid w:val="00F47DE8"/>
    <w:rsid w:val="00F5095C"/>
    <w:rsid w:val="00F51DBF"/>
    <w:rsid w:val="00F51F99"/>
    <w:rsid w:val="00F52421"/>
    <w:rsid w:val="00F527DA"/>
    <w:rsid w:val="00F52DB8"/>
    <w:rsid w:val="00F53671"/>
    <w:rsid w:val="00F53F2E"/>
    <w:rsid w:val="00F542C1"/>
    <w:rsid w:val="00F55E73"/>
    <w:rsid w:val="00F55EDA"/>
    <w:rsid w:val="00F56539"/>
    <w:rsid w:val="00F5660A"/>
    <w:rsid w:val="00F570AB"/>
    <w:rsid w:val="00F5726B"/>
    <w:rsid w:val="00F57663"/>
    <w:rsid w:val="00F60092"/>
    <w:rsid w:val="00F604DE"/>
    <w:rsid w:val="00F60738"/>
    <w:rsid w:val="00F621E9"/>
    <w:rsid w:val="00F65CB5"/>
    <w:rsid w:val="00F65DFC"/>
    <w:rsid w:val="00F65F4B"/>
    <w:rsid w:val="00F66E45"/>
    <w:rsid w:val="00F67D00"/>
    <w:rsid w:val="00F70C9D"/>
    <w:rsid w:val="00F71A7A"/>
    <w:rsid w:val="00F73366"/>
    <w:rsid w:val="00F7340F"/>
    <w:rsid w:val="00F734FE"/>
    <w:rsid w:val="00F745CC"/>
    <w:rsid w:val="00F74CD9"/>
    <w:rsid w:val="00F75F13"/>
    <w:rsid w:val="00F75FEE"/>
    <w:rsid w:val="00F76E62"/>
    <w:rsid w:val="00F80A7B"/>
    <w:rsid w:val="00F80E5D"/>
    <w:rsid w:val="00F836DC"/>
    <w:rsid w:val="00F83E15"/>
    <w:rsid w:val="00F84A53"/>
    <w:rsid w:val="00F851CE"/>
    <w:rsid w:val="00F85241"/>
    <w:rsid w:val="00F85A2B"/>
    <w:rsid w:val="00F87818"/>
    <w:rsid w:val="00F87E62"/>
    <w:rsid w:val="00F91219"/>
    <w:rsid w:val="00F928AE"/>
    <w:rsid w:val="00F9421C"/>
    <w:rsid w:val="00F945C7"/>
    <w:rsid w:val="00F94729"/>
    <w:rsid w:val="00F94A8C"/>
    <w:rsid w:val="00F95E62"/>
    <w:rsid w:val="00F97A78"/>
    <w:rsid w:val="00FA06A6"/>
    <w:rsid w:val="00FA0B20"/>
    <w:rsid w:val="00FA16C8"/>
    <w:rsid w:val="00FA24E7"/>
    <w:rsid w:val="00FA25D7"/>
    <w:rsid w:val="00FA2D4B"/>
    <w:rsid w:val="00FA2DAC"/>
    <w:rsid w:val="00FA4F1E"/>
    <w:rsid w:val="00FA6CE7"/>
    <w:rsid w:val="00FA7A9D"/>
    <w:rsid w:val="00FB0A1F"/>
    <w:rsid w:val="00FB1869"/>
    <w:rsid w:val="00FB1D7E"/>
    <w:rsid w:val="00FB2FCB"/>
    <w:rsid w:val="00FB4366"/>
    <w:rsid w:val="00FB4FB6"/>
    <w:rsid w:val="00FB64CA"/>
    <w:rsid w:val="00FC1074"/>
    <w:rsid w:val="00FC1884"/>
    <w:rsid w:val="00FC2DCA"/>
    <w:rsid w:val="00FC371D"/>
    <w:rsid w:val="00FC5AD0"/>
    <w:rsid w:val="00FC5DC7"/>
    <w:rsid w:val="00FC5F0B"/>
    <w:rsid w:val="00FC680B"/>
    <w:rsid w:val="00FC79EC"/>
    <w:rsid w:val="00FD17CC"/>
    <w:rsid w:val="00FD1AE9"/>
    <w:rsid w:val="00FD2100"/>
    <w:rsid w:val="00FD3386"/>
    <w:rsid w:val="00FD436C"/>
    <w:rsid w:val="00FD446D"/>
    <w:rsid w:val="00FD4842"/>
    <w:rsid w:val="00FD6394"/>
    <w:rsid w:val="00FD76D2"/>
    <w:rsid w:val="00FD7DB4"/>
    <w:rsid w:val="00FE002E"/>
    <w:rsid w:val="00FE0E6C"/>
    <w:rsid w:val="00FE5D72"/>
    <w:rsid w:val="00FE70C3"/>
    <w:rsid w:val="00FF0C1F"/>
    <w:rsid w:val="00FF0F15"/>
    <w:rsid w:val="00FF0F6D"/>
    <w:rsid w:val="00FF29C4"/>
    <w:rsid w:val="00FF3612"/>
    <w:rsid w:val="00FF3DCF"/>
    <w:rsid w:val="00FF492C"/>
    <w:rsid w:val="00FF4A21"/>
    <w:rsid w:val="00FF54F6"/>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1AA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9AE"/>
    <w:pPr>
      <w:widowControl w:val="0"/>
      <w:jc w:val="both"/>
    </w:pPr>
    <w:rPr>
      <w:rFonts w:ascii="Calibri" w:hAnsi="Calibri" w:cs="Arial"/>
      <w:snapToGrid w:val="0"/>
      <w:sz w:val="24"/>
      <w:szCs w:val="22"/>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qFormat/>
    <w:rsid w:val="000D1BFC"/>
    <w:rPr>
      <w:b/>
      <w:sz w:val="2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Styl moj Char,Akapit z listą11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4"/>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E515A"/>
    <w:pPr>
      <w:numPr>
        <w:numId w:val="3"/>
      </w:num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table" w:customStyle="1" w:styleId="ASDTable1">
    <w:name w:val="ASD Table1"/>
    <w:basedOn w:val="TableNormal"/>
    <w:next w:val="TableGrid"/>
    <w:uiPriority w:val="39"/>
    <w:rsid w:val="005A0F31"/>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 Text"/>
    <w:basedOn w:val="Normal"/>
    <w:link w:val="TableTextChar0"/>
    <w:qFormat/>
    <w:rsid w:val="007C1E39"/>
    <w:pPr>
      <w:keepNext/>
      <w:keepLines/>
      <w:widowControl/>
      <w:spacing w:before="60" w:after="60"/>
      <w:jc w:val="left"/>
    </w:pPr>
    <w:rPr>
      <w:rFonts w:ascii="Arial Narrow" w:hAnsi="Arial Narrow" w:cs="Times New Roman"/>
      <w:snapToGrid/>
      <w:sz w:val="20"/>
      <w:lang w:eastAsia="en-AU"/>
    </w:rPr>
  </w:style>
  <w:style w:type="character" w:customStyle="1" w:styleId="TableTextChar0">
    <w:name w:val="Table Text Char"/>
    <w:link w:val="TableText0"/>
    <w:locked/>
    <w:rsid w:val="007C1E39"/>
    <w:rPr>
      <w:rFonts w:ascii="Arial Narrow" w:hAnsi="Arial Narrow"/>
      <w:szCs w:val="22"/>
    </w:rPr>
  </w:style>
  <w:style w:type="paragraph" w:customStyle="1" w:styleId="V50Instructions">
    <w:name w:val="V5.0 Instructions"/>
    <w:basedOn w:val="Normal"/>
    <w:link w:val="V50InstructionsChar"/>
    <w:qFormat/>
    <w:rsid w:val="00751A60"/>
    <w:pPr>
      <w:widowControl/>
      <w:spacing w:before="120" w:after="160"/>
      <w:jc w:val="left"/>
    </w:pPr>
    <w:rPr>
      <w:rFonts w:asciiTheme="minorHAnsi" w:eastAsiaTheme="minorHAnsi" w:hAnsiTheme="minorHAnsi" w:cstheme="minorBidi"/>
      <w:snapToGrid/>
      <w:color w:val="4BACC6" w:themeColor="accent5"/>
    </w:rPr>
  </w:style>
  <w:style w:type="character" w:customStyle="1" w:styleId="V50InstructionsChar">
    <w:name w:val="V5.0 Instructions Char"/>
    <w:basedOn w:val="DefaultParagraphFont"/>
    <w:link w:val="V50Instructions"/>
    <w:rsid w:val="00751A60"/>
    <w:rPr>
      <w:rFonts w:asciiTheme="minorHAnsi" w:eastAsiaTheme="minorHAnsi" w:hAnsiTheme="minorHAnsi" w:cstheme="minorBidi"/>
      <w:color w:val="4BACC6" w:themeColor="accent5"/>
      <w:sz w:val="24"/>
      <w:szCs w:val="22"/>
      <w:lang w:eastAsia="en-US"/>
    </w:rPr>
  </w:style>
  <w:style w:type="character" w:styleId="Emphasis">
    <w:name w:val="Emphasis"/>
    <w:basedOn w:val="DefaultParagraphFont"/>
    <w:uiPriority w:val="20"/>
    <w:qFormat/>
    <w:rsid w:val="00D63FA9"/>
    <w:rPr>
      <w:b w:val="0"/>
      <w:i/>
      <w:iCs/>
    </w:rPr>
  </w:style>
  <w:style w:type="table" w:customStyle="1" w:styleId="TableGrid1">
    <w:name w:val="Table Grid1"/>
    <w:basedOn w:val="TableNormal"/>
    <w:next w:val="TableGrid"/>
    <w:uiPriority w:val="39"/>
    <w:rsid w:val="0058127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footnote">
    <w:name w:val="Table footnote"/>
    <w:basedOn w:val="Normal"/>
    <w:link w:val="TablefootnoteChar"/>
    <w:qFormat/>
    <w:rsid w:val="00680484"/>
    <w:pPr>
      <w:keepNext/>
      <w:keepLines/>
      <w:widowControl/>
      <w:spacing w:after="360"/>
      <w:contextualSpacing/>
      <w:jc w:val="left"/>
    </w:pPr>
    <w:rPr>
      <w:rFonts w:ascii="Arial Narrow" w:eastAsiaTheme="minorHAnsi" w:hAnsi="Arial Narrow" w:cs="Times New Roman"/>
      <w:snapToGrid/>
      <w:sz w:val="18"/>
      <w:lang w:eastAsia="en-GB"/>
    </w:rPr>
  </w:style>
  <w:style w:type="character" w:customStyle="1" w:styleId="TablefootnoteChar">
    <w:name w:val="Table footnote Char"/>
    <w:basedOn w:val="DefaultParagraphFont"/>
    <w:link w:val="Tablefootnote"/>
    <w:rsid w:val="00680484"/>
    <w:rPr>
      <w:rFonts w:ascii="Arial Narrow" w:eastAsiaTheme="minorHAnsi" w:hAnsi="Arial Narrow"/>
      <w:sz w:val="18"/>
      <w:szCs w:val="22"/>
      <w:lang w:eastAsia="en-GB"/>
    </w:rPr>
  </w:style>
  <w:style w:type="paragraph" w:customStyle="1" w:styleId="Tablenotes">
    <w:name w:val="Table notes"/>
    <w:basedOn w:val="Normal"/>
    <w:link w:val="TablenotesCharChar"/>
    <w:qFormat/>
    <w:rsid w:val="007D1A0E"/>
    <w:pPr>
      <w:keepNext/>
      <w:keepLines/>
      <w:widowControl/>
      <w:spacing w:after="360"/>
      <w:contextualSpacing/>
      <w:jc w:val="left"/>
    </w:pPr>
    <w:rPr>
      <w:rFonts w:ascii="Arial Narrow" w:hAnsi="Arial Narrow" w:cs="Times New Roman"/>
      <w:snapToGrid/>
      <w:sz w:val="16"/>
    </w:rPr>
  </w:style>
  <w:style w:type="character" w:customStyle="1" w:styleId="TablenotesCharChar">
    <w:name w:val="Table notes Char Char"/>
    <w:link w:val="Tablenotes"/>
    <w:locked/>
    <w:rsid w:val="007D1A0E"/>
    <w:rPr>
      <w:rFonts w:ascii="Arial Narrow" w:hAnsi="Arial Narrow"/>
      <w:sz w:val="16"/>
      <w:szCs w:val="22"/>
      <w:lang w:eastAsia="en-US"/>
    </w:rPr>
  </w:style>
  <w:style w:type="table" w:customStyle="1" w:styleId="ASDTable13">
    <w:name w:val="ASD Table13"/>
    <w:basedOn w:val="TableNormal"/>
    <w:next w:val="TableGrid"/>
    <w:rsid w:val="0062237F"/>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1Char">
    <w:name w:val="Body Text1 Char"/>
    <w:link w:val="BodyText1"/>
    <w:locked/>
    <w:rsid w:val="00B02963"/>
    <w:rPr>
      <w:rFonts w:ascii="Garamond" w:hAnsi="Garamond"/>
      <w:sz w:val="24"/>
      <w:szCs w:val="22"/>
      <w:shd w:val="clear" w:color="auto" w:fill="FFFFFF" w:themeFill="background1"/>
      <w:lang w:eastAsia="en-GB"/>
    </w:rPr>
  </w:style>
  <w:style w:type="paragraph" w:customStyle="1" w:styleId="BodyText1">
    <w:name w:val="Body Text1"/>
    <w:basedOn w:val="Normal"/>
    <w:link w:val="BodyText1Char"/>
    <w:autoRedefine/>
    <w:qFormat/>
    <w:rsid w:val="00B02963"/>
    <w:pPr>
      <w:shd w:val="clear" w:color="auto" w:fill="FFFFFF" w:themeFill="background1"/>
      <w:spacing w:before="120" w:after="120" w:line="276" w:lineRule="auto"/>
    </w:pPr>
    <w:rPr>
      <w:rFonts w:ascii="Garamond" w:hAnsi="Garamond" w:cs="Times New Roman"/>
      <w:snapToGrid/>
      <w:shd w:val="clear" w:color="auto" w:fill="FFFFFF"/>
      <w:lang w:eastAsia="en-GB"/>
    </w:rPr>
  </w:style>
  <w:style w:type="table" w:customStyle="1" w:styleId="TableGridbeth10">
    <w:name w:val="Table Gridbeth10"/>
    <w:basedOn w:val="TableNormal"/>
    <w:next w:val="TableGrid"/>
    <w:uiPriority w:val="59"/>
    <w:rsid w:val="00A05649"/>
    <w:pPr>
      <w:jc w:val="both"/>
    </w:pPr>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161C7A"/>
    <w:pPr>
      <w:keepNext/>
      <w:widowControl/>
      <w:spacing w:after="60"/>
      <w:jc w:val="left"/>
    </w:pPr>
    <w:rPr>
      <w:rFonts w:ascii="Arial Narrow" w:eastAsiaTheme="minorHAnsi" w:hAnsi="Arial Narrow" w:cstheme="minorBidi"/>
      <w:b/>
      <w:snapToGrid/>
      <w:sz w:val="20"/>
    </w:rPr>
  </w:style>
  <w:style w:type="table" w:customStyle="1" w:styleId="TableGridbeth2">
    <w:name w:val="Table Gridbeth2"/>
    <w:basedOn w:val="TableNormal"/>
    <w:next w:val="TableGrid"/>
    <w:uiPriority w:val="59"/>
    <w:rsid w:val="009938E6"/>
    <w:rPr>
      <w:rFonts w:ascii="Arial Narrow" w:hAnsi="Arial Narrow"/>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nutesbodytext">
    <w:name w:val="Minutes body text"/>
    <w:link w:val="MinutesbodytextChar"/>
    <w:rsid w:val="009938E6"/>
    <w:pPr>
      <w:spacing w:after="120"/>
      <w:jc w:val="both"/>
    </w:pPr>
    <w:rPr>
      <w:rFonts w:ascii="Arial" w:eastAsia="Arial Unicode MS" w:hAnsi="Arial" w:cs="Arial"/>
      <w:lang w:val="en-GB" w:eastAsia="en-US"/>
    </w:rPr>
  </w:style>
  <w:style w:type="character" w:customStyle="1" w:styleId="MinutesbodytextChar">
    <w:name w:val="Minutes body text Char"/>
    <w:link w:val="Minutesbodytext"/>
    <w:rsid w:val="009938E6"/>
    <w:rPr>
      <w:rFonts w:ascii="Arial" w:eastAsia="Arial Unicode MS" w:hAnsi="Arial" w:cs="Arial"/>
      <w:lang w:val="en-GB" w:eastAsia="en-US"/>
    </w:rPr>
  </w:style>
  <w:style w:type="paragraph" w:customStyle="1" w:styleId="V50InstructionsBullets">
    <w:name w:val="V5.0 Instructions Bullets"/>
    <w:basedOn w:val="V50Instructions"/>
    <w:qFormat/>
    <w:rsid w:val="009938E6"/>
    <w:pPr>
      <w:spacing w:before="0" w:after="0"/>
      <w:ind w:left="714" w:hanging="357"/>
    </w:pPr>
  </w:style>
  <w:style w:type="character" w:customStyle="1" w:styleId="hitinf">
    <w:name w:val="hit_inf"/>
    <w:basedOn w:val="DefaultParagraphFont"/>
    <w:rsid w:val="009938E6"/>
  </w:style>
  <w:style w:type="paragraph" w:customStyle="1" w:styleId="Default">
    <w:name w:val="Default"/>
    <w:rsid w:val="009938E6"/>
    <w:pPr>
      <w:autoSpaceDE w:val="0"/>
      <w:autoSpaceDN w:val="0"/>
      <w:adjustRightInd w:val="0"/>
    </w:pPr>
    <w:rPr>
      <w:rFonts w:ascii="Arial" w:hAnsi="Arial" w:cs="Arial"/>
      <w:color w:val="000000"/>
      <w:sz w:val="24"/>
      <w:szCs w:val="24"/>
    </w:rPr>
  </w:style>
  <w:style w:type="table" w:customStyle="1" w:styleId="ASDTable11">
    <w:name w:val="ASD Table11"/>
    <w:basedOn w:val="TableNormal"/>
    <w:next w:val="TableGrid"/>
    <w:uiPriority w:val="39"/>
    <w:rsid w:val="009938E6"/>
    <w:pPr>
      <w:jc w:val="both"/>
    </w:pPr>
    <w:rPr>
      <w:rFonts w:asciiTheme="minorHAnsi" w:eastAsiaTheme="minorEastAsia" w:hAnsi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0">
    <w:name w:val="Heading4"/>
    <w:basedOn w:val="Normal"/>
    <w:link w:val="Heading4Char"/>
    <w:autoRedefine/>
    <w:qFormat/>
    <w:rsid w:val="009938E6"/>
    <w:pPr>
      <w:widowControl/>
      <w:tabs>
        <w:tab w:val="left" w:pos="1430"/>
      </w:tabs>
      <w:spacing w:before="200"/>
      <w:contextualSpacing/>
    </w:pPr>
    <w:rPr>
      <w:rFonts w:ascii="Arial Bold" w:hAnsi="Arial Bold" w:cs="Times New Roman"/>
      <w:b/>
      <w:bCs/>
      <w:snapToGrid/>
      <w:sz w:val="22"/>
      <w:szCs w:val="32"/>
      <w:lang w:eastAsia="en-GB"/>
    </w:rPr>
  </w:style>
  <w:style w:type="character" w:customStyle="1" w:styleId="Heading4Char">
    <w:name w:val="Heading4 Char"/>
    <w:link w:val="Heading40"/>
    <w:locked/>
    <w:rsid w:val="009938E6"/>
    <w:rPr>
      <w:rFonts w:ascii="Arial Bold" w:hAnsi="Arial Bold"/>
      <w:b/>
      <w:bCs/>
      <w:sz w:val="22"/>
      <w:szCs w:val="32"/>
      <w:lang w:eastAsia="en-GB"/>
    </w:rPr>
  </w:style>
  <w:style w:type="character" w:customStyle="1" w:styleId="COMBodyChar">
    <w:name w:val="COMBody Char"/>
    <w:basedOn w:val="DefaultParagraphFont"/>
    <w:link w:val="COMBody"/>
    <w:locked/>
    <w:rsid w:val="009938E6"/>
    <w:rPr>
      <w:rFonts w:ascii="Calibri" w:hAnsi="Calibri" w:cs="Arial"/>
      <w:sz w:val="24"/>
    </w:rPr>
  </w:style>
  <w:style w:type="paragraph" w:customStyle="1" w:styleId="COMBody">
    <w:name w:val="COMBody"/>
    <w:basedOn w:val="Normal"/>
    <w:link w:val="COMBodyChar"/>
    <w:qFormat/>
    <w:rsid w:val="009938E6"/>
    <w:pPr>
      <w:snapToGrid w:val="0"/>
    </w:pPr>
    <w:rPr>
      <w:snapToGrid/>
      <w:szCs w:val="20"/>
      <w:lang w:eastAsia="en-AU"/>
    </w:rPr>
  </w:style>
  <w:style w:type="character" w:customStyle="1" w:styleId="Heading3Char">
    <w:name w:val="Heading 3 Char"/>
    <w:basedOn w:val="DefaultParagraphFont"/>
    <w:link w:val="Heading3"/>
    <w:rsid w:val="009938E6"/>
    <w:rPr>
      <w:rFonts w:ascii="Calibri" w:hAnsi="Calibri" w:cs="Arial"/>
      <w:snapToGrid w:val="0"/>
      <w:sz w:val="24"/>
      <w:szCs w:val="22"/>
      <w:u w:val="single"/>
      <w:lang w:eastAsia="en-US"/>
    </w:rPr>
  </w:style>
  <w:style w:type="table" w:customStyle="1" w:styleId="Commentarytable">
    <w:name w:val="Commentary table"/>
    <w:basedOn w:val="TableNormal"/>
    <w:uiPriority w:val="99"/>
    <w:rsid w:val="009938E6"/>
    <w:rPr>
      <w:rFonts w:ascii="Arial Narrow" w:hAnsi="Arial Narrow"/>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938E6"/>
    <w:pPr>
      <w:widowControl/>
      <w:spacing w:after="160" w:line="240" w:lineRule="exact"/>
      <w:jc w:val="left"/>
    </w:pPr>
    <w:rPr>
      <w:rFonts w:ascii="Verdana" w:eastAsia="MS Mincho" w:hAnsi="Verdana" w:cs="Verdana"/>
      <w:snapToGrid/>
      <w:sz w:val="20"/>
      <w:szCs w:val="20"/>
      <w:lang w:val="en-US"/>
    </w:rPr>
  </w:style>
  <w:style w:type="paragraph" w:customStyle="1" w:styleId="PBACheading10">
    <w:name w:val="PBAC heading 1"/>
    <w:qFormat/>
    <w:rsid w:val="003B74B7"/>
    <w:pPr>
      <w:ind w:left="720" w:hanging="720"/>
      <w:outlineLvl w:val="0"/>
    </w:pPr>
    <w:rPr>
      <w:rFonts w:asciiTheme="minorHAnsi" w:hAnsiTheme="minorHAnsi" w:cs="Arial"/>
      <w:b/>
      <w:snapToGrid w:val="0"/>
      <w:sz w:val="24"/>
      <w:szCs w:val="22"/>
      <w:lang w:eastAsia="en-US"/>
    </w:rPr>
  </w:style>
  <w:style w:type="paragraph" w:styleId="EndnoteText">
    <w:name w:val="endnote text"/>
    <w:basedOn w:val="Normal"/>
    <w:link w:val="EndnoteTextChar"/>
    <w:semiHidden/>
    <w:unhideWhenUsed/>
    <w:rsid w:val="004805FA"/>
    <w:rPr>
      <w:sz w:val="20"/>
      <w:szCs w:val="20"/>
    </w:rPr>
  </w:style>
  <w:style w:type="character" w:customStyle="1" w:styleId="EndnoteTextChar">
    <w:name w:val="Endnote Text Char"/>
    <w:basedOn w:val="DefaultParagraphFont"/>
    <w:link w:val="EndnoteText"/>
    <w:semiHidden/>
    <w:rsid w:val="004805FA"/>
    <w:rPr>
      <w:rFonts w:ascii="Calibri" w:hAnsi="Calibri" w:cs="Arial"/>
      <w:snapToGrid w:val="0"/>
      <w:lang w:eastAsia="en-US"/>
    </w:rPr>
  </w:style>
  <w:style w:type="character" w:styleId="EndnoteReference">
    <w:name w:val="endnote reference"/>
    <w:basedOn w:val="DefaultParagraphFont"/>
    <w:semiHidden/>
    <w:unhideWhenUsed/>
    <w:rsid w:val="004805FA"/>
    <w:rPr>
      <w:vertAlign w:val="superscript"/>
    </w:rPr>
  </w:style>
  <w:style w:type="table" w:customStyle="1" w:styleId="TableGrid2">
    <w:name w:val="Table Grid2"/>
    <w:basedOn w:val="TableNormal"/>
    <w:next w:val="TableGrid"/>
    <w:uiPriority w:val="39"/>
    <w:rsid w:val="0091088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63330">
      <w:bodyDiv w:val="1"/>
      <w:marLeft w:val="0"/>
      <w:marRight w:val="0"/>
      <w:marTop w:val="0"/>
      <w:marBottom w:val="0"/>
      <w:divBdr>
        <w:top w:val="none" w:sz="0" w:space="0" w:color="auto"/>
        <w:left w:val="none" w:sz="0" w:space="0" w:color="auto"/>
        <w:bottom w:val="none" w:sz="0" w:space="0" w:color="auto"/>
        <w:right w:val="none" w:sz="0" w:space="0" w:color="auto"/>
      </w:divBdr>
      <w:divsChild>
        <w:div w:id="1814442046">
          <w:marLeft w:val="461"/>
          <w:marRight w:val="0"/>
          <w:marTop w:val="0"/>
          <w:marBottom w:val="0"/>
          <w:divBdr>
            <w:top w:val="none" w:sz="0" w:space="0" w:color="auto"/>
            <w:left w:val="none" w:sz="0" w:space="0" w:color="auto"/>
            <w:bottom w:val="none" w:sz="0" w:space="0" w:color="auto"/>
            <w:right w:val="none" w:sz="0" w:space="0" w:color="auto"/>
          </w:divBdr>
        </w:div>
        <w:div w:id="1908104315">
          <w:marLeft w:val="461"/>
          <w:marRight w:val="0"/>
          <w:marTop w:val="0"/>
          <w:marBottom w:val="0"/>
          <w:divBdr>
            <w:top w:val="none" w:sz="0" w:space="0" w:color="auto"/>
            <w:left w:val="none" w:sz="0" w:space="0" w:color="auto"/>
            <w:bottom w:val="none" w:sz="0" w:space="0" w:color="auto"/>
            <w:right w:val="none" w:sz="0" w:space="0" w:color="auto"/>
          </w:divBdr>
        </w:div>
        <w:div w:id="2111005480">
          <w:marLeft w:val="461"/>
          <w:marRight w:val="0"/>
          <w:marTop w:val="0"/>
          <w:marBottom w:val="0"/>
          <w:divBdr>
            <w:top w:val="none" w:sz="0" w:space="0" w:color="auto"/>
            <w:left w:val="none" w:sz="0" w:space="0" w:color="auto"/>
            <w:bottom w:val="none" w:sz="0" w:space="0" w:color="auto"/>
            <w:right w:val="none" w:sz="0" w:space="0" w:color="auto"/>
          </w:divBdr>
        </w:div>
      </w:divsChild>
    </w:div>
    <w:div w:id="104464702">
      <w:bodyDiv w:val="1"/>
      <w:marLeft w:val="0"/>
      <w:marRight w:val="0"/>
      <w:marTop w:val="0"/>
      <w:marBottom w:val="0"/>
      <w:divBdr>
        <w:top w:val="none" w:sz="0" w:space="0" w:color="auto"/>
        <w:left w:val="none" w:sz="0" w:space="0" w:color="auto"/>
        <w:bottom w:val="none" w:sz="0" w:space="0" w:color="auto"/>
        <w:right w:val="none" w:sz="0" w:space="0" w:color="auto"/>
      </w:divBdr>
    </w:div>
    <w:div w:id="387194569">
      <w:bodyDiv w:val="1"/>
      <w:marLeft w:val="0"/>
      <w:marRight w:val="0"/>
      <w:marTop w:val="0"/>
      <w:marBottom w:val="0"/>
      <w:divBdr>
        <w:top w:val="none" w:sz="0" w:space="0" w:color="auto"/>
        <w:left w:val="none" w:sz="0" w:space="0" w:color="auto"/>
        <w:bottom w:val="none" w:sz="0" w:space="0" w:color="auto"/>
        <w:right w:val="none" w:sz="0" w:space="0" w:color="auto"/>
      </w:divBdr>
      <w:divsChild>
        <w:div w:id="1598251489">
          <w:marLeft w:val="547"/>
          <w:marRight w:val="0"/>
          <w:marTop w:val="115"/>
          <w:marBottom w:val="0"/>
          <w:divBdr>
            <w:top w:val="none" w:sz="0" w:space="0" w:color="auto"/>
            <w:left w:val="none" w:sz="0" w:space="0" w:color="auto"/>
            <w:bottom w:val="none" w:sz="0" w:space="0" w:color="auto"/>
            <w:right w:val="none" w:sz="0" w:space="0" w:color="auto"/>
          </w:divBdr>
        </w:div>
        <w:div w:id="883761663">
          <w:marLeft w:val="547"/>
          <w:marRight w:val="0"/>
          <w:marTop w:val="96"/>
          <w:marBottom w:val="0"/>
          <w:divBdr>
            <w:top w:val="none" w:sz="0" w:space="0" w:color="auto"/>
            <w:left w:val="none" w:sz="0" w:space="0" w:color="auto"/>
            <w:bottom w:val="none" w:sz="0" w:space="0" w:color="auto"/>
            <w:right w:val="none" w:sz="0" w:space="0" w:color="auto"/>
          </w:divBdr>
        </w:div>
        <w:div w:id="740905895">
          <w:marLeft w:val="547"/>
          <w:marRight w:val="0"/>
          <w:marTop w:val="115"/>
          <w:marBottom w:val="0"/>
          <w:divBdr>
            <w:top w:val="none" w:sz="0" w:space="0" w:color="auto"/>
            <w:left w:val="none" w:sz="0" w:space="0" w:color="auto"/>
            <w:bottom w:val="none" w:sz="0" w:space="0" w:color="auto"/>
            <w:right w:val="none" w:sz="0" w:space="0" w:color="auto"/>
          </w:divBdr>
        </w:div>
        <w:div w:id="2031834047">
          <w:marLeft w:val="547"/>
          <w:marRight w:val="0"/>
          <w:marTop w:val="115"/>
          <w:marBottom w:val="0"/>
          <w:divBdr>
            <w:top w:val="none" w:sz="0" w:space="0" w:color="auto"/>
            <w:left w:val="none" w:sz="0" w:space="0" w:color="auto"/>
            <w:bottom w:val="none" w:sz="0" w:space="0" w:color="auto"/>
            <w:right w:val="none" w:sz="0" w:space="0" w:color="auto"/>
          </w:divBdr>
        </w:div>
        <w:div w:id="1452703664">
          <w:marLeft w:val="547"/>
          <w:marRight w:val="0"/>
          <w:marTop w:val="115"/>
          <w:marBottom w:val="0"/>
          <w:divBdr>
            <w:top w:val="none" w:sz="0" w:space="0" w:color="auto"/>
            <w:left w:val="none" w:sz="0" w:space="0" w:color="auto"/>
            <w:bottom w:val="none" w:sz="0" w:space="0" w:color="auto"/>
            <w:right w:val="none" w:sz="0" w:space="0" w:color="auto"/>
          </w:divBdr>
        </w:div>
        <w:div w:id="1422529421">
          <w:marLeft w:val="547"/>
          <w:marRight w:val="0"/>
          <w:marTop w:val="115"/>
          <w:marBottom w:val="0"/>
          <w:divBdr>
            <w:top w:val="none" w:sz="0" w:space="0" w:color="auto"/>
            <w:left w:val="none" w:sz="0" w:space="0" w:color="auto"/>
            <w:bottom w:val="none" w:sz="0" w:space="0" w:color="auto"/>
            <w:right w:val="none" w:sz="0" w:space="0" w:color="auto"/>
          </w:divBdr>
        </w:div>
      </w:divsChild>
    </w:div>
    <w:div w:id="570777385">
      <w:bodyDiv w:val="1"/>
      <w:marLeft w:val="0"/>
      <w:marRight w:val="0"/>
      <w:marTop w:val="0"/>
      <w:marBottom w:val="0"/>
      <w:divBdr>
        <w:top w:val="none" w:sz="0" w:space="0" w:color="auto"/>
        <w:left w:val="none" w:sz="0" w:space="0" w:color="auto"/>
        <w:bottom w:val="none" w:sz="0" w:space="0" w:color="auto"/>
        <w:right w:val="none" w:sz="0" w:space="0" w:color="auto"/>
      </w:divBdr>
    </w:div>
    <w:div w:id="652563722">
      <w:bodyDiv w:val="1"/>
      <w:marLeft w:val="0"/>
      <w:marRight w:val="0"/>
      <w:marTop w:val="0"/>
      <w:marBottom w:val="0"/>
      <w:divBdr>
        <w:top w:val="none" w:sz="0" w:space="0" w:color="auto"/>
        <w:left w:val="none" w:sz="0" w:space="0" w:color="auto"/>
        <w:bottom w:val="none" w:sz="0" w:space="0" w:color="auto"/>
        <w:right w:val="none" w:sz="0" w:space="0" w:color="auto"/>
      </w:divBdr>
    </w:div>
    <w:div w:id="734009978">
      <w:bodyDiv w:val="1"/>
      <w:marLeft w:val="0"/>
      <w:marRight w:val="0"/>
      <w:marTop w:val="0"/>
      <w:marBottom w:val="0"/>
      <w:divBdr>
        <w:top w:val="none" w:sz="0" w:space="0" w:color="auto"/>
        <w:left w:val="none" w:sz="0" w:space="0" w:color="auto"/>
        <w:bottom w:val="none" w:sz="0" w:space="0" w:color="auto"/>
        <w:right w:val="none" w:sz="0" w:space="0" w:color="auto"/>
      </w:divBdr>
    </w:div>
    <w:div w:id="992487427">
      <w:bodyDiv w:val="1"/>
      <w:marLeft w:val="0"/>
      <w:marRight w:val="0"/>
      <w:marTop w:val="0"/>
      <w:marBottom w:val="0"/>
      <w:divBdr>
        <w:top w:val="none" w:sz="0" w:space="0" w:color="auto"/>
        <w:left w:val="none" w:sz="0" w:space="0" w:color="auto"/>
        <w:bottom w:val="none" w:sz="0" w:space="0" w:color="auto"/>
        <w:right w:val="none" w:sz="0" w:space="0" w:color="auto"/>
      </w:divBdr>
      <w:divsChild>
        <w:div w:id="1491364049">
          <w:marLeft w:val="547"/>
          <w:marRight w:val="0"/>
          <w:marTop w:val="115"/>
          <w:marBottom w:val="0"/>
          <w:divBdr>
            <w:top w:val="none" w:sz="0" w:space="0" w:color="auto"/>
            <w:left w:val="none" w:sz="0" w:space="0" w:color="auto"/>
            <w:bottom w:val="none" w:sz="0" w:space="0" w:color="auto"/>
            <w:right w:val="none" w:sz="0" w:space="0" w:color="auto"/>
          </w:divBdr>
        </w:div>
      </w:divsChild>
    </w:div>
    <w:div w:id="1017003249">
      <w:bodyDiv w:val="1"/>
      <w:marLeft w:val="0"/>
      <w:marRight w:val="0"/>
      <w:marTop w:val="0"/>
      <w:marBottom w:val="0"/>
      <w:divBdr>
        <w:top w:val="none" w:sz="0" w:space="0" w:color="auto"/>
        <w:left w:val="none" w:sz="0" w:space="0" w:color="auto"/>
        <w:bottom w:val="none" w:sz="0" w:space="0" w:color="auto"/>
        <w:right w:val="none" w:sz="0" w:space="0" w:color="auto"/>
      </w:divBdr>
    </w:div>
    <w:div w:id="1167984842">
      <w:bodyDiv w:val="1"/>
      <w:marLeft w:val="0"/>
      <w:marRight w:val="0"/>
      <w:marTop w:val="0"/>
      <w:marBottom w:val="0"/>
      <w:divBdr>
        <w:top w:val="none" w:sz="0" w:space="0" w:color="auto"/>
        <w:left w:val="none" w:sz="0" w:space="0" w:color="auto"/>
        <w:bottom w:val="none" w:sz="0" w:space="0" w:color="auto"/>
        <w:right w:val="none" w:sz="0" w:space="0" w:color="auto"/>
      </w:divBdr>
      <w:divsChild>
        <w:div w:id="875310497">
          <w:marLeft w:val="547"/>
          <w:marRight w:val="0"/>
          <w:marTop w:val="96"/>
          <w:marBottom w:val="0"/>
          <w:divBdr>
            <w:top w:val="none" w:sz="0" w:space="0" w:color="auto"/>
            <w:left w:val="none" w:sz="0" w:space="0" w:color="auto"/>
            <w:bottom w:val="none" w:sz="0" w:space="0" w:color="auto"/>
            <w:right w:val="none" w:sz="0" w:space="0" w:color="auto"/>
          </w:divBdr>
        </w:div>
        <w:div w:id="1368141221">
          <w:marLeft w:val="1166"/>
          <w:marRight w:val="0"/>
          <w:marTop w:val="77"/>
          <w:marBottom w:val="0"/>
          <w:divBdr>
            <w:top w:val="none" w:sz="0" w:space="0" w:color="auto"/>
            <w:left w:val="none" w:sz="0" w:space="0" w:color="auto"/>
            <w:bottom w:val="none" w:sz="0" w:space="0" w:color="auto"/>
            <w:right w:val="none" w:sz="0" w:space="0" w:color="auto"/>
          </w:divBdr>
        </w:div>
        <w:div w:id="1838183651">
          <w:marLeft w:val="1166"/>
          <w:marRight w:val="0"/>
          <w:marTop w:val="77"/>
          <w:marBottom w:val="0"/>
          <w:divBdr>
            <w:top w:val="none" w:sz="0" w:space="0" w:color="auto"/>
            <w:left w:val="none" w:sz="0" w:space="0" w:color="auto"/>
            <w:bottom w:val="none" w:sz="0" w:space="0" w:color="auto"/>
            <w:right w:val="none" w:sz="0" w:space="0" w:color="auto"/>
          </w:divBdr>
        </w:div>
        <w:div w:id="2113627288">
          <w:marLeft w:val="1166"/>
          <w:marRight w:val="0"/>
          <w:marTop w:val="77"/>
          <w:marBottom w:val="0"/>
          <w:divBdr>
            <w:top w:val="none" w:sz="0" w:space="0" w:color="auto"/>
            <w:left w:val="none" w:sz="0" w:space="0" w:color="auto"/>
            <w:bottom w:val="none" w:sz="0" w:space="0" w:color="auto"/>
            <w:right w:val="none" w:sz="0" w:space="0" w:color="auto"/>
          </w:divBdr>
        </w:div>
      </w:divsChild>
    </w:div>
    <w:div w:id="1400712529">
      <w:bodyDiv w:val="1"/>
      <w:marLeft w:val="0"/>
      <w:marRight w:val="0"/>
      <w:marTop w:val="0"/>
      <w:marBottom w:val="0"/>
      <w:divBdr>
        <w:top w:val="none" w:sz="0" w:space="0" w:color="auto"/>
        <w:left w:val="none" w:sz="0" w:space="0" w:color="auto"/>
        <w:bottom w:val="none" w:sz="0" w:space="0" w:color="auto"/>
        <w:right w:val="none" w:sz="0" w:space="0" w:color="auto"/>
      </w:divBdr>
    </w:div>
    <w:div w:id="140753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2ad3a63-90ad-4a46-a3cb-757f4658e205" origin="userSelected">
  <element uid="ba0343df-3220-4244-9388-1298e2abc028" value=""/>
  <element uid="03e9b10b-a1f9-4a88-9630-476473f62285" value=""/>
  <element uid="7349a702-6462-4442-88eb-c64cd513835c" value=""/>
</sis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92C0-5B85-4278-8A4B-3E1154E1E7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634EC81-22F3-4508-8565-0B8DC41A6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16639</Words>
  <Characters>97274</Characters>
  <Application>Microsoft Office Word</Application>
  <DocSecurity>0</DocSecurity>
  <Lines>810</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*$%CON-*$%GenBus</cp:keywords>
  <dc:description/>
  <cp:lastModifiedBy/>
  <cp:revision>1</cp:revision>
  <dcterms:created xsi:type="dcterms:W3CDTF">2019-06-24T07:10:00Z</dcterms:created>
  <dcterms:modified xsi:type="dcterms:W3CDTF">2019-07-05T02:27:00Z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96ce74f1-5658-431b-b6d1-d30e557d93a4</vt:lpwstr>
  </property>
  <property fmtid="{D5CDD505-2E9C-101B-9397-08002B2CF9AE}" pid="3" name="bjSaver">
    <vt:lpwstr>JyEmVvQelXZWThP4sO4a7KcTD/9x1SFY</vt:lpwstr>
  </property>
  <property fmtid="{D5CDD505-2E9C-101B-9397-08002B2CF9AE}" pid="4" name="bjDocumentLabelXML">
    <vt:lpwstr>&lt;?xml version="1.0" encoding="us-ascii"?&gt;&lt;sisl xmlns:xsi="http://www.w3.org/2001/XMLSchema-instance" xmlns:xsd="http://www.w3.org/2001/XMLSchema" sislVersion="0" policy="82ad3a63-90ad-4a46-a3cb-757f4658e205" origin="userSelected" xmlns="http://www.boldonj</vt:lpwstr>
  </property>
  <property fmtid="{D5CDD505-2E9C-101B-9397-08002B2CF9AE}" pid="5" name="bjDocumentLabelXML-0">
    <vt:lpwstr>ames.com/2008/01/sie/internal/label"&gt;&lt;element uid="ba0343df-3220-4244-9388-1298e2abc028" value="" /&gt;&lt;element uid="03e9b10b-a1f9-4a88-9630-476473f62285" value="" /&gt;&lt;element uid="7349a702-6462-4442-88eb-c64cd513835c" value="" /&gt;&lt;/sisl&gt;</vt:lpwstr>
  </property>
  <property fmtid="{D5CDD505-2E9C-101B-9397-08002B2CF9AE}" pid="6" name="bjDocumentSecurityLabel">
    <vt:lpwstr>Confidential - General Business</vt:lpwstr>
  </property>
</Properties>
</file>