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96C" w:rsidRDefault="007F31F3" w:rsidP="005638A9">
      <w:pPr>
        <w:pStyle w:val="Title"/>
        <w:widowControl/>
        <w:spacing w:before="120" w:after="120"/>
        <w:ind w:left="720" w:hanging="720"/>
        <w:contextualSpacing/>
        <w:jc w:val="left"/>
        <w:rPr>
          <w:rFonts w:asciiTheme="minorHAnsi" w:eastAsiaTheme="majorEastAsia" w:hAnsiTheme="minorHAnsi" w:cstheme="majorBidi"/>
          <w:bCs w:val="0"/>
          <w:snapToGrid/>
          <w:spacing w:val="5"/>
          <w:sz w:val="36"/>
          <w:szCs w:val="36"/>
          <w:lang w:eastAsia="en-AU"/>
        </w:rPr>
      </w:pPr>
      <w:r w:rsidRPr="005638A9">
        <w:rPr>
          <w:rFonts w:asciiTheme="minorHAnsi" w:eastAsiaTheme="majorEastAsia" w:hAnsiTheme="minorHAnsi" w:cstheme="majorBidi"/>
          <w:bCs w:val="0"/>
          <w:snapToGrid/>
          <w:spacing w:val="5"/>
          <w:sz w:val="36"/>
          <w:szCs w:val="36"/>
          <w:lang w:eastAsia="en-AU"/>
        </w:rPr>
        <w:t>7.01</w:t>
      </w:r>
      <w:r w:rsidRPr="005638A9">
        <w:rPr>
          <w:rFonts w:asciiTheme="minorHAnsi" w:eastAsiaTheme="majorEastAsia" w:hAnsiTheme="minorHAnsi" w:cstheme="majorBidi"/>
          <w:bCs w:val="0"/>
          <w:snapToGrid/>
          <w:spacing w:val="5"/>
          <w:sz w:val="36"/>
          <w:szCs w:val="36"/>
          <w:lang w:eastAsia="en-AU"/>
        </w:rPr>
        <w:tab/>
        <w:t>ALIROCUMAB,</w:t>
      </w:r>
    </w:p>
    <w:p w:rsidR="008E296C" w:rsidRDefault="008C6670" w:rsidP="008E296C">
      <w:pPr>
        <w:pStyle w:val="Title"/>
        <w:widowControl/>
        <w:spacing w:before="120" w:after="120"/>
        <w:ind w:left="1440" w:hanging="720"/>
        <w:contextualSpacing/>
        <w:jc w:val="left"/>
        <w:rPr>
          <w:rFonts w:asciiTheme="minorHAnsi" w:eastAsiaTheme="majorEastAsia" w:hAnsiTheme="minorHAnsi" w:cstheme="majorBidi"/>
          <w:bCs w:val="0"/>
          <w:snapToGrid/>
          <w:spacing w:val="5"/>
          <w:sz w:val="36"/>
          <w:szCs w:val="36"/>
          <w:lang w:eastAsia="en-AU"/>
        </w:rPr>
      </w:pPr>
      <w:r w:rsidRPr="005638A9">
        <w:rPr>
          <w:rFonts w:asciiTheme="minorHAnsi" w:eastAsiaTheme="majorEastAsia" w:hAnsiTheme="minorHAnsi" w:cstheme="majorBidi"/>
          <w:bCs w:val="0"/>
          <w:snapToGrid/>
          <w:spacing w:val="5"/>
          <w:sz w:val="36"/>
          <w:szCs w:val="36"/>
          <w:lang w:eastAsia="en-AU"/>
        </w:rPr>
        <w:t>75 mg in 1 mL single dose pre-filled pen</w:t>
      </w:r>
      <w:r w:rsidR="007F31F3" w:rsidRPr="005638A9">
        <w:rPr>
          <w:rFonts w:asciiTheme="minorHAnsi" w:eastAsiaTheme="majorEastAsia" w:hAnsiTheme="minorHAnsi" w:cstheme="majorBidi"/>
          <w:bCs w:val="0"/>
          <w:snapToGrid/>
          <w:spacing w:val="5"/>
          <w:sz w:val="36"/>
          <w:szCs w:val="36"/>
          <w:lang w:eastAsia="en-AU"/>
        </w:rPr>
        <w:t>,</w:t>
      </w:r>
    </w:p>
    <w:p w:rsidR="007F31F3" w:rsidRPr="005638A9" w:rsidRDefault="008E296C" w:rsidP="008E296C">
      <w:pPr>
        <w:pStyle w:val="Title"/>
        <w:widowControl/>
        <w:spacing w:before="120" w:after="120"/>
        <w:ind w:left="1440" w:hanging="720"/>
        <w:contextualSpacing/>
        <w:jc w:val="left"/>
        <w:rPr>
          <w:rFonts w:asciiTheme="minorHAnsi" w:eastAsiaTheme="majorEastAsia" w:hAnsiTheme="minorHAnsi" w:cstheme="majorBidi"/>
          <w:bCs w:val="0"/>
          <w:snapToGrid/>
          <w:spacing w:val="5"/>
          <w:sz w:val="36"/>
          <w:szCs w:val="36"/>
          <w:lang w:eastAsia="en-AU"/>
        </w:rPr>
      </w:pPr>
      <w:r>
        <w:rPr>
          <w:rFonts w:asciiTheme="minorHAnsi" w:eastAsiaTheme="majorEastAsia" w:hAnsiTheme="minorHAnsi" w:cstheme="majorBidi"/>
          <w:bCs w:val="0"/>
          <w:snapToGrid/>
          <w:spacing w:val="5"/>
          <w:sz w:val="36"/>
          <w:szCs w:val="36"/>
          <w:lang w:eastAsia="en-AU"/>
        </w:rPr>
        <w:t xml:space="preserve">150 mg in 1 </w:t>
      </w:r>
      <w:r w:rsidR="008C6670" w:rsidRPr="005638A9">
        <w:rPr>
          <w:rFonts w:asciiTheme="minorHAnsi" w:eastAsiaTheme="majorEastAsia" w:hAnsiTheme="minorHAnsi" w:cstheme="majorBidi"/>
          <w:bCs w:val="0"/>
          <w:snapToGrid/>
          <w:spacing w:val="5"/>
          <w:sz w:val="36"/>
          <w:szCs w:val="36"/>
          <w:lang w:eastAsia="en-AU"/>
        </w:rPr>
        <w:t>mL single dose pre-filled pen</w:t>
      </w:r>
      <w:r w:rsidR="007F31F3" w:rsidRPr="005638A9">
        <w:rPr>
          <w:rFonts w:asciiTheme="minorHAnsi" w:eastAsiaTheme="majorEastAsia" w:hAnsiTheme="minorHAnsi" w:cstheme="majorBidi"/>
          <w:bCs w:val="0"/>
          <w:snapToGrid/>
          <w:spacing w:val="5"/>
          <w:sz w:val="36"/>
          <w:szCs w:val="36"/>
          <w:lang w:eastAsia="en-AU"/>
        </w:rPr>
        <w:t>,</w:t>
      </w:r>
    </w:p>
    <w:p w:rsidR="007F31F3" w:rsidRPr="005638A9" w:rsidRDefault="007F31F3" w:rsidP="008E296C">
      <w:pPr>
        <w:pStyle w:val="Title"/>
        <w:widowControl/>
        <w:spacing w:before="120" w:after="120"/>
        <w:ind w:left="1429" w:hanging="720"/>
        <w:contextualSpacing/>
        <w:jc w:val="left"/>
        <w:rPr>
          <w:rFonts w:asciiTheme="minorHAnsi" w:eastAsiaTheme="majorEastAsia" w:hAnsiTheme="minorHAnsi" w:cstheme="majorBidi"/>
          <w:bCs w:val="0"/>
          <w:snapToGrid/>
          <w:spacing w:val="5"/>
          <w:sz w:val="36"/>
          <w:szCs w:val="36"/>
          <w:lang w:eastAsia="en-AU"/>
        </w:rPr>
      </w:pPr>
      <w:r w:rsidRPr="005638A9">
        <w:rPr>
          <w:rFonts w:asciiTheme="minorHAnsi" w:eastAsiaTheme="majorEastAsia" w:hAnsiTheme="minorHAnsi" w:cstheme="majorBidi"/>
          <w:bCs w:val="0"/>
          <w:snapToGrid/>
          <w:spacing w:val="5"/>
          <w:sz w:val="36"/>
          <w:szCs w:val="36"/>
          <w:lang w:eastAsia="en-AU"/>
        </w:rPr>
        <w:t>Praluent®</w:t>
      </w:r>
      <w:r w:rsidR="008E296C">
        <w:rPr>
          <w:rFonts w:asciiTheme="minorHAnsi" w:eastAsiaTheme="majorEastAsia" w:hAnsiTheme="minorHAnsi" w:cstheme="majorBidi"/>
          <w:bCs w:val="0"/>
          <w:snapToGrid/>
          <w:spacing w:val="5"/>
          <w:sz w:val="36"/>
          <w:szCs w:val="36"/>
          <w:lang w:eastAsia="en-AU"/>
        </w:rPr>
        <w:t xml:space="preserve">, </w:t>
      </w:r>
      <w:r w:rsidRPr="005638A9">
        <w:rPr>
          <w:rFonts w:asciiTheme="minorHAnsi" w:eastAsiaTheme="majorEastAsia" w:hAnsiTheme="minorHAnsi" w:cstheme="majorBidi"/>
          <w:bCs w:val="0"/>
          <w:snapToGrid/>
          <w:spacing w:val="5"/>
          <w:sz w:val="36"/>
          <w:szCs w:val="36"/>
          <w:lang w:eastAsia="en-AU"/>
        </w:rPr>
        <w:t>Sanofi-Aventis</w:t>
      </w:r>
    </w:p>
    <w:p w:rsidR="00433044" w:rsidRPr="006E72A7" w:rsidRDefault="00433044" w:rsidP="00E02557">
      <w:pPr>
        <w:pStyle w:val="BodyText"/>
        <w:widowControl/>
      </w:pPr>
    </w:p>
    <w:p w:rsidR="00B50DB8" w:rsidRPr="006E72A7" w:rsidRDefault="00B50DB8" w:rsidP="008113E6">
      <w:pPr>
        <w:pStyle w:val="Heading1"/>
        <w:keepNext/>
        <w:keepLines/>
        <w:widowControl/>
        <w:numPr>
          <w:ilvl w:val="0"/>
          <w:numId w:val="1"/>
        </w:numPr>
        <w:spacing w:after="120"/>
        <w:ind w:left="709" w:hanging="709"/>
        <w:rPr>
          <w:rFonts w:asciiTheme="minorHAnsi" w:eastAsiaTheme="majorEastAsia" w:hAnsiTheme="minorHAnsi" w:cstheme="majorBidi"/>
          <w:caps w:val="0"/>
          <w:snapToGrid/>
          <w:szCs w:val="28"/>
        </w:rPr>
      </w:pPr>
      <w:bookmarkStart w:id="0" w:name="_Toc536003304"/>
      <w:r w:rsidRPr="006E72A7">
        <w:rPr>
          <w:rFonts w:asciiTheme="minorHAnsi" w:eastAsiaTheme="majorEastAsia" w:hAnsiTheme="minorHAnsi" w:cstheme="majorBidi"/>
          <w:caps w:val="0"/>
          <w:snapToGrid/>
          <w:szCs w:val="28"/>
        </w:rPr>
        <w:t>Pur</w:t>
      </w:r>
      <w:bookmarkStart w:id="1" w:name="_GoBack"/>
      <w:bookmarkEnd w:id="1"/>
      <w:r w:rsidRPr="006E72A7">
        <w:rPr>
          <w:rFonts w:asciiTheme="minorHAnsi" w:eastAsiaTheme="majorEastAsia" w:hAnsiTheme="minorHAnsi" w:cstheme="majorBidi"/>
          <w:caps w:val="0"/>
          <w:snapToGrid/>
          <w:szCs w:val="28"/>
        </w:rPr>
        <w:t>pose of Application</w:t>
      </w:r>
      <w:bookmarkEnd w:id="0"/>
    </w:p>
    <w:p w:rsidR="002C2775" w:rsidRPr="006E72A7" w:rsidRDefault="007F0D0F" w:rsidP="008113E6">
      <w:pPr>
        <w:pStyle w:val="ListParagraph"/>
        <w:widowControl/>
        <w:numPr>
          <w:ilvl w:val="1"/>
          <w:numId w:val="1"/>
        </w:numPr>
        <w:spacing w:after="120"/>
      </w:pPr>
      <w:r w:rsidRPr="006E72A7">
        <w:t xml:space="preserve">The resubmission requested a </w:t>
      </w:r>
      <w:r w:rsidR="00202B3C" w:rsidRPr="006E72A7">
        <w:t xml:space="preserve">Section 85, Authority Required </w:t>
      </w:r>
      <w:r w:rsidR="008B1757" w:rsidRPr="006E72A7">
        <w:t xml:space="preserve">listing for </w:t>
      </w:r>
      <w:r w:rsidR="00202B3C" w:rsidRPr="006E72A7">
        <w:t>alirocumab</w:t>
      </w:r>
      <w:r w:rsidR="008B1757" w:rsidRPr="006E72A7">
        <w:t xml:space="preserve"> for treatment of </w:t>
      </w:r>
      <w:r w:rsidR="00202B3C" w:rsidRPr="006E72A7">
        <w:t>heterozygous familial hypercholesterolaemia</w:t>
      </w:r>
      <w:r w:rsidR="00394DDB" w:rsidRPr="006E72A7">
        <w:t xml:space="preserve"> (he-FH)</w:t>
      </w:r>
      <w:r w:rsidR="00202B3C" w:rsidRPr="006E72A7">
        <w:t xml:space="preserve"> (patients with atherosclerotic disease or very high LDL levels); and non-familial hypercholesterolaemia </w:t>
      </w:r>
      <w:r w:rsidR="00394DDB" w:rsidRPr="006E72A7">
        <w:t xml:space="preserve">(non-FH) </w:t>
      </w:r>
      <w:r w:rsidR="00202B3C" w:rsidRPr="006E72A7">
        <w:t>in patients with a previous acute coronary syndrome</w:t>
      </w:r>
      <w:r w:rsidR="00B154D5" w:rsidRPr="006E72A7">
        <w:t xml:space="preserve"> (ACS)</w:t>
      </w:r>
      <w:r w:rsidR="00202B3C" w:rsidRPr="006E72A7">
        <w:t xml:space="preserve">, diabetes mellitus and elevated LDL levels. </w:t>
      </w:r>
    </w:p>
    <w:p w:rsidR="00C2778B" w:rsidRPr="006E72A7" w:rsidRDefault="00202B3C" w:rsidP="008113E6">
      <w:pPr>
        <w:pStyle w:val="ListParagraph"/>
        <w:widowControl/>
        <w:numPr>
          <w:ilvl w:val="1"/>
          <w:numId w:val="1"/>
        </w:numPr>
        <w:spacing w:after="120"/>
      </w:pPr>
      <w:r w:rsidRPr="006E72A7">
        <w:t xml:space="preserve">The PBAC previously considered alirocumab at the November 2017 meeting for </w:t>
      </w:r>
      <w:r w:rsidR="00394DDB" w:rsidRPr="006E72A7">
        <w:t>he-FH</w:t>
      </w:r>
      <w:r w:rsidRPr="006E72A7">
        <w:t xml:space="preserve"> </w:t>
      </w:r>
      <w:r w:rsidR="00E57559" w:rsidRPr="006E72A7">
        <w:t>in patients with atherosclerotic disease and elevated LDL levels.</w:t>
      </w:r>
    </w:p>
    <w:p w:rsidR="00542CE0" w:rsidRPr="006E72A7" w:rsidRDefault="00E57559" w:rsidP="008113E6">
      <w:pPr>
        <w:pStyle w:val="ListParagraph"/>
        <w:widowControl/>
        <w:numPr>
          <w:ilvl w:val="1"/>
          <w:numId w:val="1"/>
        </w:numPr>
        <w:spacing w:after="120"/>
      </w:pPr>
      <w:r w:rsidRPr="006E72A7">
        <w:t xml:space="preserve">Listing was requested on a cost-minimisation basis versus evolocumab (for </w:t>
      </w:r>
      <w:r w:rsidR="00394DDB" w:rsidRPr="006E72A7">
        <w:t>he-FH</w:t>
      </w:r>
      <w:r w:rsidRPr="006E72A7">
        <w:t xml:space="preserve">) and on a cost-effectiveness basis versus placebo (for </w:t>
      </w:r>
      <w:r w:rsidR="00394DDB" w:rsidRPr="006E72A7">
        <w:t>non-FH</w:t>
      </w:r>
      <w:r w:rsidRPr="006E72A7">
        <w:t xml:space="preserve"> </w:t>
      </w:r>
      <w:r w:rsidR="003855FD" w:rsidRPr="006E72A7">
        <w:t xml:space="preserve">and diabetes mellitus, post </w:t>
      </w:r>
      <w:r w:rsidR="00EE29DB">
        <w:t>ACS</w:t>
      </w:r>
      <w:r w:rsidRPr="006E72A7">
        <w:t xml:space="preserve">). </w:t>
      </w:r>
    </w:p>
    <w:p w:rsidR="00806B1E" w:rsidRDefault="00E57559" w:rsidP="00ED164A">
      <w:pPr>
        <w:keepNext/>
        <w:keepLines/>
      </w:pPr>
      <w:r w:rsidRPr="006E72A7">
        <w:rPr>
          <w:rStyle w:val="CommentReference"/>
        </w:rPr>
        <w:t>Table 1:  Key components of the clinical issues addressed in the resubmission</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s addressed in the resubmission"/>
      </w:tblPr>
      <w:tblGrid>
        <w:gridCol w:w="1465"/>
        <w:gridCol w:w="3633"/>
        <w:gridCol w:w="3963"/>
      </w:tblGrid>
      <w:tr w:rsidR="00E57559" w:rsidRPr="006E72A7" w:rsidTr="009F54BE">
        <w:tc>
          <w:tcPr>
            <w:tcW w:w="1465" w:type="dxa"/>
            <w:vAlign w:val="center"/>
          </w:tcPr>
          <w:p w:rsidR="00E57559" w:rsidRPr="006E72A7" w:rsidRDefault="00E57559" w:rsidP="00B75F73">
            <w:pPr>
              <w:pStyle w:val="Tabletext"/>
              <w:keepNext/>
              <w:keepLines/>
            </w:pPr>
            <w:r w:rsidRPr="006E72A7">
              <w:t>Population</w:t>
            </w:r>
          </w:p>
        </w:tc>
        <w:tc>
          <w:tcPr>
            <w:tcW w:w="3633" w:type="dxa"/>
            <w:vAlign w:val="center"/>
          </w:tcPr>
          <w:p w:rsidR="00E57559" w:rsidRPr="006E72A7" w:rsidRDefault="00E57559" w:rsidP="00B75F73">
            <w:pPr>
              <w:pStyle w:val="Tabletext"/>
              <w:keepNext/>
              <w:keepLines/>
            </w:pPr>
            <w:r w:rsidRPr="006E72A7">
              <w:t xml:space="preserve">Patients with </w:t>
            </w:r>
            <w:r w:rsidR="00394DDB" w:rsidRPr="006E72A7">
              <w:t>he-FH</w:t>
            </w:r>
            <w:r w:rsidRPr="006E72A7">
              <w:t xml:space="preserve"> who are not achieving target LDL levels despite treatment with maximum tolerated dose of a statin or who are statin-intolerant</w:t>
            </w:r>
          </w:p>
        </w:tc>
        <w:tc>
          <w:tcPr>
            <w:tcW w:w="3963" w:type="dxa"/>
          </w:tcPr>
          <w:p w:rsidR="00E57559" w:rsidRPr="006E72A7" w:rsidRDefault="00E57559" w:rsidP="00B75F73">
            <w:pPr>
              <w:pStyle w:val="Tabletext"/>
              <w:keepNext/>
              <w:keepLines/>
            </w:pPr>
            <w:r w:rsidRPr="006E72A7">
              <w:t>Patients with non-familial hypercholesterolaemia with previous</w:t>
            </w:r>
            <w:r w:rsidR="00FB7238">
              <w:t xml:space="preserve"> </w:t>
            </w:r>
            <w:r w:rsidR="00FB7238" w:rsidRPr="00FB7238">
              <w:t>recent</w:t>
            </w:r>
            <w:r w:rsidRPr="00FB7238">
              <w:t xml:space="preserve"> acute coronary syndrome and concomitant</w:t>
            </w:r>
            <w:r w:rsidRPr="006E72A7">
              <w:t xml:space="preserve"> diabetes mellitus who are not achieving target LDL levels despite treatment with a maximum tolerated dose of a statin and ezetimibe, or who are statin-intolerant and treated with ezetimibe</w:t>
            </w:r>
          </w:p>
        </w:tc>
      </w:tr>
      <w:tr w:rsidR="00E57559" w:rsidRPr="006E72A7" w:rsidTr="009F54BE">
        <w:tc>
          <w:tcPr>
            <w:tcW w:w="1465" w:type="dxa"/>
            <w:vAlign w:val="center"/>
          </w:tcPr>
          <w:p w:rsidR="00E57559" w:rsidRPr="006E72A7" w:rsidRDefault="00E57559" w:rsidP="00B75F73">
            <w:pPr>
              <w:pStyle w:val="Tabletext"/>
              <w:keepNext/>
              <w:keepLines/>
            </w:pPr>
            <w:r w:rsidRPr="006E72A7">
              <w:t>Intervention</w:t>
            </w:r>
          </w:p>
        </w:tc>
        <w:tc>
          <w:tcPr>
            <w:tcW w:w="7596" w:type="dxa"/>
            <w:gridSpan w:val="2"/>
            <w:vAlign w:val="center"/>
          </w:tcPr>
          <w:p w:rsidR="00E57559" w:rsidRPr="006E72A7" w:rsidRDefault="00E57559" w:rsidP="00B75F73">
            <w:pPr>
              <w:pStyle w:val="Tabletext"/>
              <w:keepNext/>
              <w:keepLines/>
            </w:pPr>
            <w:r w:rsidRPr="006E72A7">
              <w:t>Alirocumab 75 mg subcutaneous injection fortnightly or 300 mg every 4 weeks, with potential up-titration to 150 mg fortnightly</w:t>
            </w:r>
          </w:p>
        </w:tc>
      </w:tr>
      <w:tr w:rsidR="00E57559" w:rsidRPr="006E72A7" w:rsidTr="009F54BE">
        <w:tc>
          <w:tcPr>
            <w:tcW w:w="1465" w:type="dxa"/>
            <w:vAlign w:val="center"/>
          </w:tcPr>
          <w:p w:rsidR="00E57559" w:rsidRPr="006E72A7" w:rsidRDefault="00E57559" w:rsidP="00B75F73">
            <w:pPr>
              <w:pStyle w:val="Tabletext"/>
              <w:keepNext/>
              <w:keepLines/>
            </w:pPr>
            <w:r w:rsidRPr="006E72A7">
              <w:t>Comparator</w:t>
            </w:r>
          </w:p>
        </w:tc>
        <w:tc>
          <w:tcPr>
            <w:tcW w:w="3633" w:type="dxa"/>
            <w:vAlign w:val="center"/>
          </w:tcPr>
          <w:p w:rsidR="00E57559" w:rsidRPr="006E72A7" w:rsidRDefault="00E57559" w:rsidP="00B75F73">
            <w:pPr>
              <w:pStyle w:val="Tabletext"/>
              <w:keepNext/>
              <w:keepLines/>
            </w:pPr>
            <w:r w:rsidRPr="006E72A7">
              <w:t>Evolocumab subcutaneous injection 140 mg fortnightly or 420 mg once a month</w:t>
            </w:r>
          </w:p>
        </w:tc>
        <w:tc>
          <w:tcPr>
            <w:tcW w:w="3963" w:type="dxa"/>
          </w:tcPr>
          <w:p w:rsidR="00E57559" w:rsidRPr="006E72A7" w:rsidRDefault="00E57559" w:rsidP="00B75F73">
            <w:pPr>
              <w:pStyle w:val="Tabletext"/>
              <w:keepNext/>
              <w:keepLines/>
            </w:pPr>
            <w:r w:rsidRPr="006E72A7">
              <w:t>Placebo</w:t>
            </w:r>
          </w:p>
        </w:tc>
      </w:tr>
      <w:tr w:rsidR="00E57559" w:rsidRPr="006E72A7" w:rsidTr="009F54BE">
        <w:tc>
          <w:tcPr>
            <w:tcW w:w="1465" w:type="dxa"/>
            <w:vAlign w:val="center"/>
          </w:tcPr>
          <w:p w:rsidR="00E57559" w:rsidRPr="006E72A7" w:rsidRDefault="00E57559" w:rsidP="00B75F73">
            <w:pPr>
              <w:pStyle w:val="Tabletext"/>
              <w:keepNext/>
              <w:keepLines/>
            </w:pPr>
            <w:r w:rsidRPr="006E72A7">
              <w:t>Outcomes</w:t>
            </w:r>
          </w:p>
        </w:tc>
        <w:tc>
          <w:tcPr>
            <w:tcW w:w="7596" w:type="dxa"/>
            <w:gridSpan w:val="2"/>
            <w:vAlign w:val="center"/>
          </w:tcPr>
          <w:p w:rsidR="00E57559" w:rsidRPr="006E72A7" w:rsidRDefault="00E57559" w:rsidP="00B75F73">
            <w:pPr>
              <w:pStyle w:val="Tabletext"/>
              <w:keepNext/>
              <w:keepLines/>
            </w:pPr>
            <w:r w:rsidRPr="006E72A7">
              <w:t>Reduction in LDL leading to reduction in cardiovascular events (e.g. cardiovascular death, myocardial infarction, angina) and quality of life</w:t>
            </w:r>
          </w:p>
        </w:tc>
      </w:tr>
      <w:tr w:rsidR="00E57559" w:rsidRPr="006E72A7" w:rsidTr="009F54BE">
        <w:tc>
          <w:tcPr>
            <w:tcW w:w="1465" w:type="dxa"/>
            <w:vAlign w:val="center"/>
          </w:tcPr>
          <w:p w:rsidR="00E57559" w:rsidRPr="006E72A7" w:rsidRDefault="00E57559" w:rsidP="00B75F73">
            <w:pPr>
              <w:pStyle w:val="Tabletext"/>
              <w:keepNext/>
              <w:keepLines/>
            </w:pPr>
            <w:r w:rsidRPr="006E72A7">
              <w:t>Clinical claim</w:t>
            </w:r>
          </w:p>
        </w:tc>
        <w:tc>
          <w:tcPr>
            <w:tcW w:w="3633" w:type="dxa"/>
            <w:vAlign w:val="center"/>
          </w:tcPr>
          <w:p w:rsidR="00E57559" w:rsidRPr="006E72A7" w:rsidRDefault="00E57559" w:rsidP="00B75F73">
            <w:pPr>
              <w:pStyle w:val="Tabletext"/>
              <w:keepNext/>
              <w:keepLines/>
            </w:pPr>
            <w:r w:rsidRPr="006E72A7">
              <w:t>Alirocumab is non-inferior in terms of efficacy and safety compared to evolocumab</w:t>
            </w:r>
          </w:p>
        </w:tc>
        <w:tc>
          <w:tcPr>
            <w:tcW w:w="3963" w:type="dxa"/>
          </w:tcPr>
          <w:p w:rsidR="00E57559" w:rsidRPr="006E72A7" w:rsidRDefault="00E57559" w:rsidP="00B75F73">
            <w:pPr>
              <w:pStyle w:val="Tabletext"/>
              <w:keepNext/>
              <w:keepLines/>
            </w:pPr>
            <w:r w:rsidRPr="006E72A7">
              <w:t xml:space="preserve">Alirocumab is superior in terms of efficacy and non-inferior in terms of safety compared to placebo </w:t>
            </w:r>
          </w:p>
        </w:tc>
      </w:tr>
    </w:tbl>
    <w:p w:rsidR="00E57559" w:rsidRPr="006E72A7" w:rsidRDefault="00E57559" w:rsidP="00B75F73">
      <w:pPr>
        <w:pStyle w:val="TableFooter"/>
        <w:keepNext/>
        <w:keepLines/>
        <w:widowControl/>
      </w:pPr>
      <w:r w:rsidRPr="006E72A7">
        <w:t xml:space="preserve">Source: Table 1.1.1, p2 of the </w:t>
      </w:r>
      <w:r w:rsidR="007F0D0F" w:rsidRPr="006E72A7">
        <w:t>re</w:t>
      </w:r>
      <w:r w:rsidRPr="006E72A7">
        <w:t xml:space="preserve">submission </w:t>
      </w:r>
    </w:p>
    <w:p w:rsidR="00617E12" w:rsidRPr="006E72A7" w:rsidRDefault="00B50DB8" w:rsidP="008113E6">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2" w:name="_Toc536003305"/>
      <w:r w:rsidRPr="006E72A7">
        <w:rPr>
          <w:rFonts w:asciiTheme="minorHAnsi" w:eastAsiaTheme="majorEastAsia" w:hAnsiTheme="minorHAnsi" w:cstheme="majorBidi"/>
          <w:caps w:val="0"/>
          <w:snapToGrid/>
          <w:szCs w:val="28"/>
        </w:rPr>
        <w:t>Requested listing</w:t>
      </w:r>
      <w:bookmarkEnd w:id="2"/>
    </w:p>
    <w:p w:rsidR="006325F1" w:rsidRPr="006E72A7" w:rsidRDefault="006325F1" w:rsidP="006E1482">
      <w:pPr>
        <w:pStyle w:val="ListParagraph"/>
        <w:keepNext/>
        <w:widowControl/>
        <w:numPr>
          <w:ilvl w:val="1"/>
          <w:numId w:val="1"/>
        </w:numPr>
        <w:spacing w:after="120"/>
      </w:pPr>
      <w:r w:rsidRPr="006E72A7">
        <w:t xml:space="preserve">The resubmission requested a listing for </w:t>
      </w:r>
      <w:r w:rsidR="00394DDB" w:rsidRPr="006E72A7">
        <w:t>he-FH</w:t>
      </w:r>
      <w:r w:rsidRPr="006E72A7">
        <w:t xml:space="preserve"> patients with high cardiovascular risk (patients with atherosclerotic disease and/or very high LDL levels). The proposed listing has been amended from the November 2017 submission for </w:t>
      </w:r>
      <w:r w:rsidR="00394DDB" w:rsidRPr="006E72A7">
        <w:t>he-FH</w:t>
      </w:r>
      <w:r w:rsidRPr="006E72A7">
        <w:t xml:space="preserve"> with atherosclerotic disease, to align with the </w:t>
      </w:r>
      <w:r w:rsidR="000B04B8" w:rsidRPr="006E72A7">
        <w:t xml:space="preserve">recommended </w:t>
      </w:r>
      <w:r w:rsidRPr="006E72A7">
        <w:t>PBS listing for evolocumab</w:t>
      </w:r>
      <w:r w:rsidR="000B04B8" w:rsidRPr="006E72A7">
        <w:t xml:space="preserve"> from March 2018</w:t>
      </w:r>
      <w:r w:rsidRPr="006E72A7">
        <w:t xml:space="preserve">. </w:t>
      </w:r>
      <w:r w:rsidR="000B04B8" w:rsidRPr="006E72A7">
        <w:t xml:space="preserve">The extended PBS listing for evolocumab in </w:t>
      </w:r>
      <w:r w:rsidR="00B154D5" w:rsidRPr="006E72A7">
        <w:t xml:space="preserve">familial </w:t>
      </w:r>
      <w:r w:rsidR="000B04B8" w:rsidRPr="006E72A7">
        <w:t xml:space="preserve">heterozygous </w:t>
      </w:r>
      <w:r w:rsidR="000B04B8" w:rsidRPr="006E72A7">
        <w:lastRenderedPageBreak/>
        <w:t>hypercholesterolaemia was effective from 1 November 2018.</w:t>
      </w:r>
      <w:r w:rsidR="00B154D5" w:rsidRPr="006E72A7">
        <w:t xml:space="preserve"> The alirocumab restriction would need to align with this listing.</w:t>
      </w:r>
      <w:r w:rsidR="000B04B8" w:rsidRPr="006E72A7">
        <w:t xml:space="preserve"> </w:t>
      </w:r>
    </w:p>
    <w:p w:rsidR="006325F1" w:rsidRPr="006E72A7" w:rsidRDefault="006325F1" w:rsidP="006E1482">
      <w:pPr>
        <w:pStyle w:val="ListParagraph"/>
        <w:widowControl/>
        <w:numPr>
          <w:ilvl w:val="1"/>
          <w:numId w:val="1"/>
        </w:numPr>
        <w:spacing w:after="120"/>
      </w:pPr>
      <w:r w:rsidRPr="006E72A7">
        <w:t xml:space="preserve">The resubmission also requested a new listing for the treatment of </w:t>
      </w:r>
      <w:r w:rsidR="00394DDB" w:rsidRPr="006E72A7">
        <w:t>non-FH</w:t>
      </w:r>
      <w:r w:rsidRPr="006E72A7">
        <w:t xml:space="preserve"> patients with </w:t>
      </w:r>
      <w:r w:rsidR="00EE29DB">
        <w:t>ACS</w:t>
      </w:r>
      <w:r w:rsidRPr="006E72A7">
        <w:t xml:space="preserve"> and diabetes.</w:t>
      </w:r>
    </w:p>
    <w:p w:rsidR="00D901B4" w:rsidRPr="006E72A7" w:rsidRDefault="00D901B4" w:rsidP="006E1482">
      <w:pPr>
        <w:pStyle w:val="ListParagraph"/>
        <w:widowControl/>
        <w:numPr>
          <w:ilvl w:val="1"/>
          <w:numId w:val="1"/>
        </w:numPr>
        <w:spacing w:after="120"/>
      </w:pPr>
      <w:r w:rsidRPr="006E72A7">
        <w:t xml:space="preserve">The resubmission requested a grandfathering provision for patients currently treated with alirocumab if they previously met the eligibility criteria in the proposed restrictions. </w:t>
      </w:r>
      <w:r w:rsidR="00B17224" w:rsidRPr="006E72A7">
        <w:t>Neither of the proposed grandfathering restrictions have strict definitions of statin intolerance nor require prior ezetimibe treatment</w:t>
      </w:r>
      <w:r w:rsidR="006E72A7">
        <w:t xml:space="preserve">. </w:t>
      </w:r>
    </w:p>
    <w:p w:rsidR="00F76518" w:rsidRPr="006E72A7" w:rsidRDefault="00F76518" w:rsidP="006E1482">
      <w:pPr>
        <w:pStyle w:val="ListParagraph"/>
        <w:keepNext/>
        <w:widowControl/>
        <w:numPr>
          <w:ilvl w:val="1"/>
          <w:numId w:val="1"/>
        </w:numPr>
        <w:spacing w:after="120"/>
      </w:pPr>
      <w:r w:rsidRPr="006E72A7">
        <w:t>Suggestions and additions proposed by the Secretariat to the requested listing clinical criteria for the He-FH indication are added in italics and suggested deletions are crossed out with strikethrough.</w:t>
      </w:r>
      <w:r w:rsidR="00374F9B" w:rsidRPr="006E72A7">
        <w:t xml:space="preserve"> T</w:t>
      </w:r>
      <w:r w:rsidRPr="006E72A7">
        <w:t xml:space="preserve">he Secretariat did not provide suggested changes </w:t>
      </w:r>
      <w:r w:rsidR="001C09A8" w:rsidRPr="006E72A7">
        <w:t>to the non-</w:t>
      </w:r>
      <w:r w:rsidRPr="006E72A7">
        <w:t>FH indication.</w:t>
      </w:r>
    </w:p>
    <w:p w:rsidR="001C09A8" w:rsidRPr="006E72A7" w:rsidRDefault="001C09A8" w:rsidP="001C09A8">
      <w:pPr>
        <w:keepNext/>
        <w:widowControl/>
        <w:rPr>
          <w:b/>
          <w:i/>
        </w:rPr>
      </w:pPr>
      <w:r w:rsidRPr="006E72A7">
        <w:rPr>
          <w:b/>
          <w:i/>
        </w:rPr>
        <w:t>Heterozygous familial hypercholesterolaemia (he-FH)</w:t>
      </w:r>
    </w:p>
    <w:tbl>
      <w:tblPr>
        <w:tblW w:w="5000" w:type="pct"/>
        <w:tblInd w:w="-5" w:type="dxa"/>
        <w:tblLook w:val="0000" w:firstRow="0" w:lastRow="0" w:firstColumn="0" w:lastColumn="0" w:noHBand="0" w:noVBand="0"/>
        <w:tblCaption w:val="Heterozygous familial hypercholesterolaemia (he-FH)"/>
      </w:tblPr>
      <w:tblGrid>
        <w:gridCol w:w="14"/>
        <w:gridCol w:w="2251"/>
        <w:gridCol w:w="924"/>
        <w:gridCol w:w="933"/>
        <w:gridCol w:w="796"/>
        <w:gridCol w:w="1323"/>
        <w:gridCol w:w="1457"/>
        <w:gridCol w:w="1197"/>
        <w:gridCol w:w="132"/>
      </w:tblGrid>
      <w:tr w:rsidR="00A3639A" w:rsidRPr="006E72A7" w:rsidTr="000B5F53">
        <w:trPr>
          <w:gridAfter w:val="1"/>
          <w:wAfter w:w="73" w:type="pct"/>
          <w:trHeight w:val="471"/>
        </w:trPr>
        <w:tc>
          <w:tcPr>
            <w:tcW w:w="1766" w:type="pct"/>
            <w:gridSpan w:val="3"/>
            <w:tcBorders>
              <w:bottom w:val="single" w:sz="4" w:space="0" w:color="auto"/>
            </w:tcBorders>
          </w:tcPr>
          <w:p w:rsidR="00A3639A" w:rsidRPr="006E72A7" w:rsidRDefault="00A3639A" w:rsidP="000B5F53">
            <w:pPr>
              <w:keepNext/>
              <w:widowControl/>
              <w:ind w:left="-108"/>
              <w:rPr>
                <w:rFonts w:ascii="Arial Narrow" w:hAnsi="Arial Narrow"/>
                <w:b/>
                <w:sz w:val="20"/>
                <w:szCs w:val="20"/>
              </w:rPr>
            </w:pPr>
            <w:r w:rsidRPr="006E72A7">
              <w:rPr>
                <w:rFonts w:ascii="Arial Narrow" w:hAnsi="Arial Narrow"/>
                <w:b/>
                <w:sz w:val="20"/>
                <w:szCs w:val="20"/>
              </w:rPr>
              <w:t>Name, Restriction,</w:t>
            </w:r>
          </w:p>
          <w:p w:rsidR="00A3639A" w:rsidRPr="006E72A7" w:rsidRDefault="00A3639A" w:rsidP="000B5F53">
            <w:pPr>
              <w:keepNext/>
              <w:widowControl/>
              <w:ind w:left="-108"/>
              <w:rPr>
                <w:rFonts w:ascii="Arial Narrow" w:hAnsi="Arial Narrow"/>
                <w:b/>
                <w:sz w:val="20"/>
                <w:szCs w:val="20"/>
              </w:rPr>
            </w:pPr>
            <w:r w:rsidRPr="006E72A7">
              <w:rPr>
                <w:rFonts w:ascii="Arial Narrow" w:hAnsi="Arial Narrow"/>
                <w:b/>
                <w:sz w:val="20"/>
                <w:szCs w:val="20"/>
              </w:rPr>
              <w:t>Manner of administration and form</w:t>
            </w:r>
          </w:p>
        </w:tc>
        <w:tc>
          <w:tcPr>
            <w:tcW w:w="517" w:type="pct"/>
            <w:tcBorders>
              <w:bottom w:val="single" w:sz="4" w:space="0" w:color="auto"/>
            </w:tcBorders>
          </w:tcPr>
          <w:p w:rsidR="00A3639A" w:rsidRPr="006E72A7" w:rsidRDefault="00A3639A" w:rsidP="000B5F53">
            <w:pPr>
              <w:keepNext/>
              <w:widowControl/>
              <w:ind w:left="-108"/>
              <w:rPr>
                <w:rFonts w:ascii="Arial Narrow" w:hAnsi="Arial Narrow"/>
                <w:b/>
                <w:sz w:val="20"/>
                <w:szCs w:val="20"/>
              </w:rPr>
            </w:pPr>
            <w:r w:rsidRPr="006E72A7">
              <w:rPr>
                <w:rFonts w:ascii="Arial Narrow" w:hAnsi="Arial Narrow"/>
                <w:b/>
                <w:sz w:val="20"/>
                <w:szCs w:val="20"/>
              </w:rPr>
              <w:t>Max. Qty (pack)</w:t>
            </w:r>
          </w:p>
        </w:tc>
        <w:tc>
          <w:tcPr>
            <w:tcW w:w="441" w:type="pct"/>
            <w:tcBorders>
              <w:bottom w:val="single" w:sz="4" w:space="0" w:color="auto"/>
            </w:tcBorders>
          </w:tcPr>
          <w:p w:rsidR="00A3639A" w:rsidRPr="006E72A7" w:rsidRDefault="00A3639A" w:rsidP="000B5F53">
            <w:pPr>
              <w:keepNext/>
              <w:widowControl/>
              <w:ind w:left="-108"/>
              <w:rPr>
                <w:rFonts w:ascii="Arial Narrow" w:hAnsi="Arial Narrow"/>
                <w:b/>
                <w:sz w:val="20"/>
                <w:szCs w:val="20"/>
              </w:rPr>
            </w:pPr>
            <w:r w:rsidRPr="006E72A7">
              <w:rPr>
                <w:rFonts w:ascii="Arial Narrow" w:hAnsi="Arial Narrow"/>
                <w:b/>
                <w:sz w:val="20"/>
                <w:szCs w:val="20"/>
              </w:rPr>
              <w:t xml:space="preserve">№.of </w:t>
            </w:r>
          </w:p>
          <w:p w:rsidR="00A3639A" w:rsidRPr="006E72A7" w:rsidRDefault="00A3639A" w:rsidP="000B5F53">
            <w:pPr>
              <w:keepNext/>
              <w:widowControl/>
              <w:ind w:left="-108"/>
              <w:rPr>
                <w:rFonts w:ascii="Arial Narrow" w:hAnsi="Arial Narrow"/>
                <w:b/>
                <w:sz w:val="20"/>
                <w:szCs w:val="20"/>
              </w:rPr>
            </w:pPr>
            <w:r w:rsidRPr="006E72A7">
              <w:rPr>
                <w:rFonts w:ascii="Arial Narrow" w:hAnsi="Arial Narrow"/>
                <w:b/>
                <w:sz w:val="20"/>
                <w:szCs w:val="20"/>
              </w:rPr>
              <w:t>Rpts</w:t>
            </w:r>
          </w:p>
        </w:tc>
        <w:tc>
          <w:tcPr>
            <w:tcW w:w="733" w:type="pct"/>
            <w:tcBorders>
              <w:bottom w:val="single" w:sz="4" w:space="0" w:color="auto"/>
            </w:tcBorders>
          </w:tcPr>
          <w:p w:rsidR="00A3639A" w:rsidRPr="006E72A7" w:rsidRDefault="00A3639A" w:rsidP="000B5F53">
            <w:pPr>
              <w:keepNext/>
              <w:widowControl/>
              <w:ind w:left="-108"/>
              <w:rPr>
                <w:rFonts w:ascii="Arial Narrow" w:hAnsi="Arial Narrow"/>
                <w:b/>
                <w:sz w:val="20"/>
                <w:szCs w:val="20"/>
              </w:rPr>
            </w:pPr>
            <w:r w:rsidRPr="006E72A7">
              <w:rPr>
                <w:rFonts w:ascii="Arial Narrow" w:hAnsi="Arial Narrow"/>
                <w:b/>
                <w:sz w:val="20"/>
                <w:szCs w:val="20"/>
              </w:rPr>
              <w:t>Dispensed Price for Max. Qty</w:t>
            </w:r>
          </w:p>
        </w:tc>
        <w:tc>
          <w:tcPr>
            <w:tcW w:w="1470" w:type="pct"/>
            <w:gridSpan w:val="2"/>
            <w:tcBorders>
              <w:bottom w:val="single" w:sz="4" w:space="0" w:color="auto"/>
            </w:tcBorders>
          </w:tcPr>
          <w:p w:rsidR="00A3639A" w:rsidRPr="006E72A7" w:rsidRDefault="00A3639A" w:rsidP="000B5F53">
            <w:pPr>
              <w:keepNext/>
              <w:widowControl/>
              <w:rPr>
                <w:rFonts w:ascii="Arial Narrow" w:hAnsi="Arial Narrow"/>
                <w:b/>
                <w:sz w:val="20"/>
                <w:szCs w:val="20"/>
              </w:rPr>
            </w:pPr>
            <w:r w:rsidRPr="006E72A7">
              <w:rPr>
                <w:rFonts w:ascii="Arial Narrow" w:hAnsi="Arial Narrow"/>
                <w:b/>
                <w:sz w:val="20"/>
                <w:szCs w:val="20"/>
              </w:rPr>
              <w:t>Proprietary Name and Manufacturer</w:t>
            </w:r>
          </w:p>
        </w:tc>
      </w:tr>
      <w:tr w:rsidR="00A3639A" w:rsidRPr="006E72A7" w:rsidTr="000B5F53">
        <w:trPr>
          <w:gridAfter w:val="1"/>
          <w:wAfter w:w="73" w:type="pct"/>
          <w:trHeight w:val="440"/>
        </w:trPr>
        <w:tc>
          <w:tcPr>
            <w:tcW w:w="1766" w:type="pct"/>
            <w:gridSpan w:val="3"/>
          </w:tcPr>
          <w:p w:rsidR="00A3639A" w:rsidRPr="006E72A7" w:rsidRDefault="00A3639A" w:rsidP="000B5F53">
            <w:pPr>
              <w:pStyle w:val="KMC16-Tablecontent"/>
              <w:keepNext/>
              <w:spacing w:before="0" w:after="0" w:line="252" w:lineRule="auto"/>
              <w:ind w:hanging="108"/>
              <w:rPr>
                <w:lang w:val="en-AU"/>
              </w:rPr>
            </w:pPr>
            <w:r w:rsidRPr="006E72A7">
              <w:rPr>
                <w:lang w:val="en-AU"/>
              </w:rPr>
              <w:t>ALIROCUMAB</w:t>
            </w:r>
          </w:p>
          <w:p w:rsidR="00A3639A" w:rsidRPr="006E72A7" w:rsidRDefault="00A3639A" w:rsidP="000B5F53">
            <w:pPr>
              <w:keepNext/>
              <w:widowControl/>
              <w:ind w:left="-108"/>
              <w:rPr>
                <w:rFonts w:ascii="Arial Narrow" w:hAnsi="Arial Narrow"/>
                <w:sz w:val="20"/>
                <w:szCs w:val="20"/>
              </w:rPr>
            </w:pPr>
            <w:r w:rsidRPr="006E72A7">
              <w:rPr>
                <w:rFonts w:ascii="Arial Narrow" w:hAnsi="Arial Narrow"/>
                <w:sz w:val="20"/>
                <w:szCs w:val="20"/>
              </w:rPr>
              <w:t>75mg/mL injection, 2 x 1mL pre-filled pen</w:t>
            </w:r>
          </w:p>
        </w:tc>
        <w:tc>
          <w:tcPr>
            <w:tcW w:w="517" w:type="pct"/>
          </w:tcPr>
          <w:p w:rsidR="00A3639A" w:rsidRPr="006E72A7" w:rsidRDefault="00A3639A" w:rsidP="000B5F53">
            <w:pPr>
              <w:keepNext/>
              <w:widowControl/>
              <w:ind w:left="-108"/>
              <w:rPr>
                <w:rFonts w:ascii="Arial Narrow" w:hAnsi="Arial Narrow"/>
                <w:sz w:val="20"/>
                <w:szCs w:val="20"/>
              </w:rPr>
            </w:pPr>
          </w:p>
          <w:p w:rsidR="00A3639A" w:rsidRPr="006E72A7" w:rsidRDefault="00A3639A" w:rsidP="000B5F53">
            <w:pPr>
              <w:keepNext/>
              <w:widowControl/>
              <w:ind w:left="-108"/>
              <w:rPr>
                <w:rFonts w:ascii="Arial Narrow" w:hAnsi="Arial Narrow"/>
                <w:sz w:val="20"/>
                <w:szCs w:val="20"/>
              </w:rPr>
            </w:pPr>
            <w:r w:rsidRPr="006E72A7">
              <w:rPr>
                <w:rFonts w:ascii="Arial Narrow" w:hAnsi="Arial Narrow"/>
                <w:sz w:val="20"/>
                <w:szCs w:val="20"/>
              </w:rPr>
              <w:t>1</w:t>
            </w:r>
          </w:p>
        </w:tc>
        <w:tc>
          <w:tcPr>
            <w:tcW w:w="441" w:type="pct"/>
          </w:tcPr>
          <w:p w:rsidR="00A3639A" w:rsidRPr="006E72A7" w:rsidRDefault="00A3639A" w:rsidP="000B5F53">
            <w:pPr>
              <w:keepNext/>
              <w:widowControl/>
              <w:ind w:left="-108"/>
              <w:rPr>
                <w:rFonts w:ascii="Arial Narrow" w:hAnsi="Arial Narrow"/>
                <w:sz w:val="20"/>
                <w:szCs w:val="20"/>
              </w:rPr>
            </w:pPr>
          </w:p>
          <w:p w:rsidR="00A3639A" w:rsidRPr="006E72A7" w:rsidRDefault="00A3639A" w:rsidP="000B5F53">
            <w:pPr>
              <w:keepNext/>
              <w:widowControl/>
              <w:ind w:left="-108"/>
              <w:rPr>
                <w:rFonts w:ascii="Arial Narrow" w:hAnsi="Arial Narrow"/>
                <w:sz w:val="20"/>
                <w:szCs w:val="20"/>
              </w:rPr>
            </w:pPr>
            <w:r w:rsidRPr="006E72A7">
              <w:rPr>
                <w:rFonts w:ascii="Arial Narrow" w:hAnsi="Arial Narrow"/>
                <w:sz w:val="20"/>
                <w:szCs w:val="20"/>
              </w:rPr>
              <w:t>5</w:t>
            </w:r>
          </w:p>
        </w:tc>
        <w:tc>
          <w:tcPr>
            <w:tcW w:w="733" w:type="pct"/>
          </w:tcPr>
          <w:p w:rsidR="00A3639A" w:rsidRPr="006E72A7" w:rsidRDefault="00A3639A" w:rsidP="000B5F53">
            <w:pPr>
              <w:keepNext/>
              <w:widowControl/>
              <w:ind w:left="-108"/>
              <w:rPr>
                <w:rFonts w:ascii="Arial Narrow" w:hAnsi="Arial Narrow"/>
                <w:i/>
                <w:sz w:val="20"/>
                <w:szCs w:val="20"/>
              </w:rPr>
            </w:pPr>
          </w:p>
          <w:p w:rsidR="00A3639A" w:rsidRPr="006E72A7" w:rsidRDefault="00A3639A" w:rsidP="000B5F53">
            <w:pPr>
              <w:keepNext/>
              <w:widowControl/>
              <w:ind w:left="-108"/>
              <w:rPr>
                <w:rFonts w:ascii="Arial Narrow" w:hAnsi="Arial Narrow"/>
                <w:sz w:val="20"/>
                <w:szCs w:val="20"/>
                <w:vertAlign w:val="superscript"/>
              </w:rPr>
            </w:pPr>
            <w:r w:rsidRPr="006E72A7">
              <w:rPr>
                <w:rFonts w:ascii="Arial Narrow" w:hAnsi="Arial Narrow"/>
                <w:sz w:val="20"/>
                <w:szCs w:val="20"/>
              </w:rPr>
              <w:t>$</w:t>
            </w:r>
            <w:r w:rsidR="004F3FD6">
              <w:rPr>
                <w:rFonts w:ascii="Arial Narrow" w:hAnsi="Arial Narrow"/>
                <w:noProof/>
                <w:color w:val="000000"/>
                <w:sz w:val="20"/>
                <w:szCs w:val="20"/>
                <w:highlight w:val="black"/>
              </w:rPr>
              <w:t>'''''''''''''''''</w:t>
            </w:r>
          </w:p>
        </w:tc>
        <w:tc>
          <w:tcPr>
            <w:tcW w:w="807" w:type="pct"/>
          </w:tcPr>
          <w:p w:rsidR="00A3639A" w:rsidRPr="006E72A7" w:rsidRDefault="00A3639A" w:rsidP="000B5F53">
            <w:pPr>
              <w:keepNext/>
              <w:widowControl/>
              <w:rPr>
                <w:rFonts w:ascii="Arial Narrow" w:hAnsi="Arial Narrow"/>
                <w:sz w:val="20"/>
                <w:szCs w:val="20"/>
              </w:rPr>
            </w:pPr>
            <w:r w:rsidRPr="006E72A7">
              <w:rPr>
                <w:rFonts w:ascii="Arial Narrow" w:hAnsi="Arial Narrow"/>
                <w:sz w:val="20"/>
                <w:szCs w:val="20"/>
              </w:rPr>
              <w:t>Praluent</w:t>
            </w:r>
          </w:p>
        </w:tc>
        <w:tc>
          <w:tcPr>
            <w:tcW w:w="663" w:type="pct"/>
          </w:tcPr>
          <w:p w:rsidR="00A3639A" w:rsidRPr="006E72A7" w:rsidRDefault="00A3639A" w:rsidP="000B5F53">
            <w:pPr>
              <w:keepNext/>
              <w:widowControl/>
              <w:rPr>
                <w:rFonts w:ascii="Arial Narrow" w:hAnsi="Arial Narrow"/>
                <w:sz w:val="20"/>
                <w:szCs w:val="20"/>
              </w:rPr>
            </w:pPr>
            <w:r w:rsidRPr="006E72A7">
              <w:rPr>
                <w:rFonts w:ascii="Arial Narrow" w:hAnsi="Arial Narrow"/>
                <w:sz w:val="20"/>
                <w:szCs w:val="20"/>
              </w:rPr>
              <w:t>Sanofi-Aventis</w:t>
            </w:r>
          </w:p>
        </w:tc>
      </w:tr>
      <w:tr w:rsidR="00A3639A" w:rsidRPr="006E72A7" w:rsidTr="000B5F53">
        <w:trPr>
          <w:gridAfter w:val="1"/>
          <w:wAfter w:w="73" w:type="pct"/>
          <w:trHeight w:val="440"/>
        </w:trPr>
        <w:tc>
          <w:tcPr>
            <w:tcW w:w="1766" w:type="pct"/>
            <w:gridSpan w:val="3"/>
          </w:tcPr>
          <w:p w:rsidR="00A3639A" w:rsidRPr="006E72A7" w:rsidRDefault="00A3639A" w:rsidP="000B5F53">
            <w:pPr>
              <w:pStyle w:val="KMC16-Tablecontent"/>
              <w:keepNext/>
              <w:spacing w:before="0" w:after="0" w:line="252" w:lineRule="auto"/>
              <w:ind w:hanging="108"/>
              <w:rPr>
                <w:lang w:val="en-AU"/>
              </w:rPr>
            </w:pPr>
            <w:r w:rsidRPr="006E72A7">
              <w:rPr>
                <w:lang w:val="en-AU"/>
              </w:rPr>
              <w:t>ALIROCUMAB</w:t>
            </w:r>
          </w:p>
          <w:p w:rsidR="00A3639A" w:rsidRPr="006E72A7" w:rsidRDefault="00A3639A" w:rsidP="000B5F53">
            <w:pPr>
              <w:keepNext/>
              <w:widowControl/>
              <w:ind w:left="-108"/>
              <w:rPr>
                <w:rFonts w:ascii="Arial Narrow" w:hAnsi="Arial Narrow"/>
                <w:sz w:val="20"/>
                <w:szCs w:val="20"/>
              </w:rPr>
            </w:pPr>
            <w:r w:rsidRPr="006E72A7">
              <w:rPr>
                <w:rFonts w:ascii="Arial Narrow" w:hAnsi="Arial Narrow"/>
                <w:sz w:val="20"/>
                <w:szCs w:val="20"/>
              </w:rPr>
              <w:t>150mg/mL injection, 2 x 1mL pre-filled pen</w:t>
            </w:r>
          </w:p>
        </w:tc>
        <w:tc>
          <w:tcPr>
            <w:tcW w:w="517" w:type="pct"/>
          </w:tcPr>
          <w:p w:rsidR="00A3639A" w:rsidRPr="006E72A7" w:rsidRDefault="00A3639A" w:rsidP="000B5F53">
            <w:pPr>
              <w:keepNext/>
              <w:widowControl/>
              <w:ind w:left="-108"/>
              <w:rPr>
                <w:rFonts w:ascii="Arial Narrow" w:hAnsi="Arial Narrow"/>
                <w:sz w:val="20"/>
                <w:szCs w:val="20"/>
              </w:rPr>
            </w:pPr>
          </w:p>
          <w:p w:rsidR="00A3639A" w:rsidRPr="006E72A7" w:rsidRDefault="00A3639A" w:rsidP="000B5F53">
            <w:pPr>
              <w:keepNext/>
              <w:widowControl/>
              <w:ind w:left="-108"/>
              <w:rPr>
                <w:rFonts w:ascii="Arial Narrow" w:hAnsi="Arial Narrow"/>
                <w:sz w:val="20"/>
                <w:szCs w:val="20"/>
              </w:rPr>
            </w:pPr>
            <w:r w:rsidRPr="006E72A7">
              <w:rPr>
                <w:rFonts w:ascii="Arial Narrow" w:hAnsi="Arial Narrow"/>
                <w:sz w:val="20"/>
                <w:szCs w:val="20"/>
              </w:rPr>
              <w:t>1</w:t>
            </w:r>
          </w:p>
        </w:tc>
        <w:tc>
          <w:tcPr>
            <w:tcW w:w="441" w:type="pct"/>
          </w:tcPr>
          <w:p w:rsidR="00A3639A" w:rsidRPr="006E72A7" w:rsidRDefault="00A3639A" w:rsidP="000B5F53">
            <w:pPr>
              <w:keepNext/>
              <w:widowControl/>
              <w:ind w:left="-108"/>
              <w:rPr>
                <w:rFonts w:ascii="Arial Narrow" w:hAnsi="Arial Narrow"/>
                <w:sz w:val="20"/>
                <w:szCs w:val="20"/>
              </w:rPr>
            </w:pPr>
          </w:p>
          <w:p w:rsidR="00A3639A" w:rsidRPr="006E72A7" w:rsidRDefault="00A3639A" w:rsidP="000B5F53">
            <w:pPr>
              <w:keepNext/>
              <w:widowControl/>
              <w:ind w:left="-108"/>
              <w:rPr>
                <w:rFonts w:ascii="Arial Narrow" w:hAnsi="Arial Narrow"/>
                <w:sz w:val="20"/>
                <w:szCs w:val="20"/>
              </w:rPr>
            </w:pPr>
            <w:r w:rsidRPr="006E72A7">
              <w:rPr>
                <w:rFonts w:ascii="Arial Narrow" w:hAnsi="Arial Narrow"/>
                <w:sz w:val="20"/>
                <w:szCs w:val="20"/>
              </w:rPr>
              <w:t>5</w:t>
            </w:r>
          </w:p>
        </w:tc>
        <w:tc>
          <w:tcPr>
            <w:tcW w:w="733" w:type="pct"/>
          </w:tcPr>
          <w:p w:rsidR="00A3639A" w:rsidRPr="006E72A7" w:rsidRDefault="00A3639A" w:rsidP="000B5F53">
            <w:pPr>
              <w:keepNext/>
              <w:widowControl/>
              <w:ind w:left="-108"/>
              <w:rPr>
                <w:rFonts w:ascii="Arial Narrow" w:hAnsi="Arial Narrow"/>
                <w:i/>
                <w:sz w:val="20"/>
                <w:szCs w:val="20"/>
              </w:rPr>
            </w:pPr>
          </w:p>
          <w:p w:rsidR="00A3639A" w:rsidRPr="006E72A7" w:rsidRDefault="00A3639A" w:rsidP="000B5F53">
            <w:pPr>
              <w:keepNext/>
              <w:widowControl/>
              <w:ind w:left="-108"/>
              <w:rPr>
                <w:rFonts w:ascii="Arial Narrow" w:hAnsi="Arial Narrow"/>
                <w:sz w:val="20"/>
                <w:szCs w:val="20"/>
                <w:vertAlign w:val="superscript"/>
              </w:rPr>
            </w:pPr>
            <w:r w:rsidRPr="006E72A7">
              <w:rPr>
                <w:rFonts w:ascii="Arial Narrow" w:hAnsi="Arial Narrow"/>
                <w:sz w:val="20"/>
                <w:szCs w:val="20"/>
              </w:rPr>
              <w:t>$</w:t>
            </w:r>
            <w:r w:rsidR="004F3FD6">
              <w:rPr>
                <w:rFonts w:ascii="Arial Narrow" w:hAnsi="Arial Narrow"/>
                <w:noProof/>
                <w:color w:val="000000"/>
                <w:sz w:val="20"/>
                <w:szCs w:val="20"/>
                <w:highlight w:val="black"/>
              </w:rPr>
              <w:t>''''''''''''''''</w:t>
            </w:r>
          </w:p>
        </w:tc>
        <w:tc>
          <w:tcPr>
            <w:tcW w:w="807" w:type="pct"/>
          </w:tcPr>
          <w:p w:rsidR="00A3639A" w:rsidRPr="006E72A7" w:rsidRDefault="00A3639A" w:rsidP="000B5F53">
            <w:pPr>
              <w:keepNext/>
              <w:widowControl/>
              <w:rPr>
                <w:rFonts w:ascii="Arial Narrow" w:hAnsi="Arial Narrow"/>
                <w:sz w:val="20"/>
                <w:szCs w:val="20"/>
              </w:rPr>
            </w:pPr>
            <w:r w:rsidRPr="006E72A7">
              <w:rPr>
                <w:rFonts w:ascii="Arial Narrow" w:hAnsi="Arial Narrow"/>
                <w:sz w:val="20"/>
                <w:szCs w:val="20"/>
              </w:rPr>
              <w:t>Praluent</w:t>
            </w:r>
          </w:p>
        </w:tc>
        <w:tc>
          <w:tcPr>
            <w:tcW w:w="663" w:type="pct"/>
          </w:tcPr>
          <w:p w:rsidR="00A3639A" w:rsidRPr="006E72A7" w:rsidRDefault="00A3639A" w:rsidP="000B5F53">
            <w:pPr>
              <w:keepNext/>
              <w:widowControl/>
              <w:rPr>
                <w:rFonts w:ascii="Arial Narrow" w:hAnsi="Arial Narrow"/>
                <w:sz w:val="20"/>
                <w:szCs w:val="20"/>
              </w:rPr>
            </w:pPr>
            <w:r w:rsidRPr="006E72A7">
              <w:rPr>
                <w:rFonts w:ascii="Arial Narrow" w:hAnsi="Arial Narrow"/>
                <w:sz w:val="20"/>
                <w:szCs w:val="20"/>
              </w:rPr>
              <w:t>Sanofi-Aventis</w:t>
            </w:r>
          </w:p>
        </w:tc>
      </w:tr>
      <w:tr w:rsidR="00A3639A" w:rsidRPr="006E72A7" w:rsidTr="000B5F53">
        <w:trPr>
          <w:gridAfter w:val="1"/>
          <w:wAfter w:w="73" w:type="pct"/>
          <w:trHeight w:val="440"/>
        </w:trPr>
        <w:tc>
          <w:tcPr>
            <w:tcW w:w="1766" w:type="pct"/>
            <w:gridSpan w:val="3"/>
          </w:tcPr>
          <w:p w:rsidR="00A3639A" w:rsidRPr="006E72A7" w:rsidRDefault="00A3639A" w:rsidP="000B5F53">
            <w:pPr>
              <w:pStyle w:val="KMC16-Tablecontent"/>
              <w:keepNext/>
              <w:spacing w:before="0" w:after="0" w:line="252" w:lineRule="auto"/>
              <w:ind w:hanging="108"/>
              <w:rPr>
                <w:lang w:val="en-AU"/>
              </w:rPr>
            </w:pPr>
          </w:p>
        </w:tc>
        <w:tc>
          <w:tcPr>
            <w:tcW w:w="517" w:type="pct"/>
          </w:tcPr>
          <w:p w:rsidR="00A3639A" w:rsidRPr="006E72A7" w:rsidRDefault="00A3639A" w:rsidP="000B5F53">
            <w:pPr>
              <w:keepNext/>
              <w:widowControl/>
              <w:ind w:left="-108"/>
              <w:rPr>
                <w:rFonts w:ascii="Arial Narrow" w:hAnsi="Arial Narrow"/>
                <w:sz w:val="20"/>
                <w:szCs w:val="20"/>
              </w:rPr>
            </w:pPr>
          </w:p>
        </w:tc>
        <w:tc>
          <w:tcPr>
            <w:tcW w:w="441" w:type="pct"/>
          </w:tcPr>
          <w:p w:rsidR="00A3639A" w:rsidRPr="006E72A7" w:rsidRDefault="00A3639A" w:rsidP="000B5F53">
            <w:pPr>
              <w:keepNext/>
              <w:widowControl/>
              <w:ind w:left="-108"/>
              <w:rPr>
                <w:rFonts w:ascii="Arial Narrow" w:hAnsi="Arial Narrow"/>
                <w:sz w:val="20"/>
                <w:szCs w:val="20"/>
              </w:rPr>
            </w:pPr>
          </w:p>
        </w:tc>
        <w:tc>
          <w:tcPr>
            <w:tcW w:w="733" w:type="pct"/>
          </w:tcPr>
          <w:p w:rsidR="00A3639A" w:rsidRPr="006E72A7" w:rsidRDefault="00A3639A" w:rsidP="000B5F53">
            <w:pPr>
              <w:keepNext/>
              <w:widowControl/>
              <w:ind w:left="-108"/>
              <w:rPr>
                <w:rFonts w:ascii="Arial Narrow" w:hAnsi="Arial Narrow"/>
                <w:i/>
                <w:sz w:val="20"/>
                <w:szCs w:val="20"/>
              </w:rPr>
            </w:pPr>
          </w:p>
        </w:tc>
        <w:tc>
          <w:tcPr>
            <w:tcW w:w="807" w:type="pct"/>
          </w:tcPr>
          <w:p w:rsidR="00A3639A" w:rsidRPr="006E72A7" w:rsidRDefault="00A3639A" w:rsidP="000B5F53">
            <w:pPr>
              <w:keepNext/>
              <w:widowControl/>
              <w:rPr>
                <w:rFonts w:ascii="Arial Narrow" w:hAnsi="Arial Narrow"/>
                <w:sz w:val="20"/>
                <w:szCs w:val="20"/>
              </w:rPr>
            </w:pPr>
          </w:p>
        </w:tc>
        <w:tc>
          <w:tcPr>
            <w:tcW w:w="663" w:type="pct"/>
          </w:tcPr>
          <w:p w:rsidR="00A3639A" w:rsidRPr="006E72A7" w:rsidRDefault="00A3639A" w:rsidP="000B5F53">
            <w:pPr>
              <w:keepNext/>
              <w:widowControl/>
              <w:rPr>
                <w:rFonts w:ascii="Arial Narrow" w:hAnsi="Arial Narrow"/>
                <w:sz w:val="20"/>
                <w:szCs w:val="20"/>
              </w:rPr>
            </w:pPr>
          </w:p>
        </w:tc>
      </w:tr>
      <w:tr w:rsidR="00A3639A" w:rsidRPr="006E72A7" w:rsidTr="00110317">
        <w:trPr>
          <w:gridBefore w:val="1"/>
          <w:wBefore w:w="7" w:type="pct"/>
          <w:trHeight w:val="360"/>
        </w:trPr>
        <w:tc>
          <w:tcPr>
            <w:tcW w:w="1247" w:type="pct"/>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rPr>
                <w:b/>
                <w:i/>
              </w:rPr>
            </w:pPr>
            <w:r w:rsidRPr="006E72A7">
              <w:rPr>
                <w:b/>
                <w:i/>
              </w:rPr>
              <w:t xml:space="preserve">Category / Program </w:t>
            </w:r>
          </w:p>
        </w:tc>
        <w:tc>
          <w:tcPr>
            <w:tcW w:w="3747" w:type="pct"/>
            <w:gridSpan w:val="7"/>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rPr>
                <w:i/>
              </w:rPr>
            </w:pPr>
            <w:r w:rsidRPr="006E72A7">
              <w:rPr>
                <w:i/>
              </w:rPr>
              <w:t>GENERAL – General Schedule (Code GE)</w:t>
            </w:r>
          </w:p>
        </w:tc>
      </w:tr>
      <w:tr w:rsidR="00A3639A" w:rsidRPr="006E72A7" w:rsidTr="00110317">
        <w:trPr>
          <w:gridBefore w:val="1"/>
          <w:wBefore w:w="7" w:type="pct"/>
          <w:trHeight w:val="360"/>
        </w:trPr>
        <w:tc>
          <w:tcPr>
            <w:tcW w:w="1247" w:type="pct"/>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rPr>
                <w:b/>
              </w:rPr>
            </w:pPr>
            <w:r w:rsidRPr="006E72A7">
              <w:rPr>
                <w:b/>
              </w:rPr>
              <w:t>Prescriber type:</w:t>
            </w:r>
          </w:p>
        </w:tc>
        <w:tc>
          <w:tcPr>
            <w:tcW w:w="3747" w:type="pct"/>
            <w:gridSpan w:val="7"/>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pPr>
            <w:r w:rsidRPr="006E72A7">
              <w:fldChar w:fldCharType="begin">
                <w:ffData>
                  <w:name w:val="Check1"/>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 xml:space="preserve">Dental  </w:t>
            </w:r>
          </w:p>
          <w:p w:rsidR="00A3639A" w:rsidRPr="006E72A7" w:rsidRDefault="00A3639A" w:rsidP="000B5F53">
            <w:pPr>
              <w:pStyle w:val="Tabletext"/>
              <w:keepNext/>
              <w:keepLines/>
              <w:spacing w:before="20" w:after="20"/>
            </w:pPr>
            <w:r w:rsidRPr="006E72A7">
              <w:fldChar w:fldCharType="begin">
                <w:ffData>
                  <w:name w:val=""/>
                  <w:enabled/>
                  <w:calcOnExit w:val="0"/>
                  <w:checkBox>
                    <w:sizeAuto/>
                    <w:default w:val="1"/>
                  </w:checkBox>
                </w:ffData>
              </w:fldChar>
            </w:r>
            <w:r w:rsidRPr="006E72A7">
              <w:instrText xml:space="preserve"> FORMCHECKBOX </w:instrText>
            </w:r>
            <w:r w:rsidR="008E296C">
              <w:fldChar w:fldCharType="separate"/>
            </w:r>
            <w:r w:rsidRPr="006E72A7">
              <w:fldChar w:fldCharType="end"/>
            </w:r>
            <w:r w:rsidRPr="006E72A7">
              <w:t xml:space="preserve">Medical Practitioners </w:t>
            </w:r>
          </w:p>
          <w:p w:rsidR="00A3639A" w:rsidRPr="006E72A7" w:rsidRDefault="00A3639A" w:rsidP="000B5F53">
            <w:pPr>
              <w:pStyle w:val="Tabletext"/>
              <w:keepNext/>
              <w:keepLines/>
              <w:spacing w:before="20" w:after="20"/>
            </w:pPr>
            <w:r w:rsidRPr="006E72A7">
              <w:fldChar w:fldCharType="begin">
                <w:ffData>
                  <w:name w:val="Check3"/>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 xml:space="preserve">Nurse practitioners </w:t>
            </w:r>
          </w:p>
          <w:p w:rsidR="00A3639A" w:rsidRPr="006E72A7" w:rsidRDefault="00A3639A" w:rsidP="000B5F53">
            <w:pPr>
              <w:pStyle w:val="Tabletext"/>
              <w:keepNext/>
              <w:keepLines/>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Optometrists</w:t>
            </w:r>
          </w:p>
          <w:p w:rsidR="00A3639A" w:rsidRPr="006E72A7" w:rsidRDefault="00A3639A" w:rsidP="000B5F53">
            <w:pPr>
              <w:pStyle w:val="Tabletext"/>
              <w:keepNext/>
              <w:keepLines/>
              <w:spacing w:before="20" w:after="20"/>
            </w:pPr>
            <w:r w:rsidRPr="006E72A7">
              <w:fldChar w:fldCharType="begin">
                <w:ffData>
                  <w:name w:val="Check5"/>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Midwives</w:t>
            </w:r>
          </w:p>
        </w:tc>
      </w:tr>
      <w:tr w:rsidR="00A3639A" w:rsidRPr="006E72A7" w:rsidTr="00110317">
        <w:trPr>
          <w:gridBefore w:val="1"/>
          <w:wBefore w:w="7" w:type="pct"/>
          <w:trHeight w:val="70"/>
        </w:trPr>
        <w:tc>
          <w:tcPr>
            <w:tcW w:w="1247" w:type="pct"/>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rPr>
                <w:b/>
                <w:strike/>
              </w:rPr>
            </w:pPr>
            <w:r w:rsidRPr="006E72A7">
              <w:rPr>
                <w:b/>
                <w:strike/>
              </w:rPr>
              <w:t>Episodicity:</w:t>
            </w:r>
          </w:p>
        </w:tc>
        <w:tc>
          <w:tcPr>
            <w:tcW w:w="3747" w:type="pct"/>
            <w:gridSpan w:val="7"/>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rPr>
                <w:strike/>
              </w:rPr>
            </w:pPr>
            <w:r w:rsidRPr="006E72A7">
              <w:rPr>
                <w:strike/>
              </w:rPr>
              <w:t>Chronic</w:t>
            </w:r>
          </w:p>
        </w:tc>
      </w:tr>
      <w:tr w:rsidR="00A3639A" w:rsidRPr="006E72A7" w:rsidTr="00110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trHeight w:val="70"/>
        </w:trPr>
        <w:tc>
          <w:tcPr>
            <w:tcW w:w="1247" w:type="pct"/>
          </w:tcPr>
          <w:p w:rsidR="00A3639A" w:rsidRPr="006E72A7" w:rsidRDefault="00A3639A" w:rsidP="000B5F53">
            <w:pPr>
              <w:pStyle w:val="Tabletext"/>
              <w:keepNext/>
              <w:keepLines/>
              <w:spacing w:before="20" w:after="20"/>
              <w:rPr>
                <w:b/>
                <w:strike/>
              </w:rPr>
            </w:pPr>
            <w:r w:rsidRPr="006E72A7">
              <w:rPr>
                <w:b/>
                <w:strike/>
              </w:rPr>
              <w:t>Condition:</w:t>
            </w:r>
          </w:p>
        </w:tc>
        <w:tc>
          <w:tcPr>
            <w:tcW w:w="3747" w:type="pct"/>
            <w:gridSpan w:val="7"/>
          </w:tcPr>
          <w:p w:rsidR="00A3639A" w:rsidRPr="006E72A7" w:rsidRDefault="00A3639A" w:rsidP="000B5F53">
            <w:pPr>
              <w:pStyle w:val="Tabletext"/>
              <w:keepNext/>
              <w:keepLines/>
              <w:spacing w:before="20" w:after="20"/>
              <w:rPr>
                <w:strike/>
              </w:rPr>
            </w:pPr>
            <w:r w:rsidRPr="006E72A7">
              <w:rPr>
                <w:strike/>
              </w:rPr>
              <w:t>Heterozygous familial hypercholesterolaemia</w:t>
            </w:r>
          </w:p>
        </w:tc>
      </w:tr>
      <w:tr w:rsidR="00A3639A" w:rsidRPr="006E72A7" w:rsidTr="00110317">
        <w:trPr>
          <w:gridBefore w:val="1"/>
          <w:wBefore w:w="7" w:type="pct"/>
          <w:trHeight w:val="70"/>
        </w:trPr>
        <w:tc>
          <w:tcPr>
            <w:tcW w:w="1247" w:type="pct"/>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rPr>
                <w:b/>
              </w:rPr>
            </w:pPr>
            <w:r w:rsidRPr="006E72A7">
              <w:rPr>
                <w:b/>
              </w:rPr>
              <w:t>PBS Indication:</w:t>
            </w:r>
          </w:p>
        </w:tc>
        <w:tc>
          <w:tcPr>
            <w:tcW w:w="3747" w:type="pct"/>
            <w:gridSpan w:val="7"/>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keepNext/>
              <w:keepLines/>
              <w:spacing w:before="20" w:after="20"/>
            </w:pPr>
            <w:r w:rsidRPr="006E72A7">
              <w:rPr>
                <w:strike/>
              </w:rPr>
              <w:t>Heterozygous</w:t>
            </w:r>
            <w:r w:rsidRPr="006E72A7">
              <w:t xml:space="preserve"> </w:t>
            </w:r>
            <w:r w:rsidRPr="006E72A7">
              <w:rPr>
                <w:i/>
              </w:rPr>
              <w:t>F</w:t>
            </w:r>
            <w:r w:rsidRPr="006E72A7">
              <w:t xml:space="preserve">amilial </w:t>
            </w:r>
            <w:r w:rsidRPr="006E72A7">
              <w:rPr>
                <w:i/>
              </w:rPr>
              <w:t>heterozygous</w:t>
            </w:r>
            <w:r w:rsidRPr="006E72A7">
              <w:t xml:space="preserve"> hypercholesterolaemia</w:t>
            </w:r>
          </w:p>
        </w:tc>
      </w:tr>
      <w:tr w:rsidR="00A3639A" w:rsidRPr="006E72A7" w:rsidTr="00110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trHeight w:val="225"/>
        </w:trPr>
        <w:tc>
          <w:tcPr>
            <w:tcW w:w="1247" w:type="pct"/>
          </w:tcPr>
          <w:p w:rsidR="00A3639A" w:rsidRPr="006E72A7" w:rsidRDefault="00A3639A" w:rsidP="000B5F53">
            <w:pPr>
              <w:pStyle w:val="Tabletext"/>
              <w:spacing w:before="20" w:after="20"/>
              <w:rPr>
                <w:b/>
              </w:rPr>
            </w:pPr>
            <w:r w:rsidRPr="006E72A7">
              <w:rPr>
                <w:b/>
              </w:rPr>
              <w:t>Treatment phase:</w:t>
            </w:r>
          </w:p>
        </w:tc>
        <w:tc>
          <w:tcPr>
            <w:tcW w:w="3747" w:type="pct"/>
            <w:gridSpan w:val="7"/>
            <w:shd w:val="clear" w:color="auto" w:fill="auto"/>
          </w:tcPr>
          <w:p w:rsidR="00A3639A" w:rsidRPr="006E72A7" w:rsidRDefault="00A3639A" w:rsidP="000B5F53">
            <w:pPr>
              <w:pStyle w:val="Tabletext"/>
              <w:spacing w:before="20" w:after="20"/>
            </w:pPr>
            <w:r w:rsidRPr="006E72A7">
              <w:t xml:space="preserve">Initial </w:t>
            </w:r>
            <w:r w:rsidRPr="006E72A7">
              <w:rPr>
                <w:strike/>
              </w:rPr>
              <w:t>1</w:t>
            </w:r>
            <w:r w:rsidRPr="006E72A7">
              <w:t xml:space="preserve"> </w:t>
            </w:r>
            <w:r w:rsidRPr="006E72A7">
              <w:rPr>
                <w:i/>
              </w:rPr>
              <w:t>treatment</w:t>
            </w:r>
          </w:p>
        </w:tc>
      </w:tr>
      <w:tr w:rsidR="00A3639A" w:rsidRPr="006E72A7" w:rsidTr="00110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trHeight w:val="360"/>
        </w:trPr>
        <w:tc>
          <w:tcPr>
            <w:tcW w:w="1247" w:type="pct"/>
          </w:tcPr>
          <w:p w:rsidR="00A3639A" w:rsidRPr="006E72A7" w:rsidRDefault="00A3639A" w:rsidP="000B5F53">
            <w:pPr>
              <w:pStyle w:val="Tabletext"/>
              <w:spacing w:before="20" w:after="20"/>
              <w:rPr>
                <w:b/>
              </w:rPr>
            </w:pPr>
            <w:r w:rsidRPr="006E72A7">
              <w:rPr>
                <w:b/>
              </w:rPr>
              <w:t xml:space="preserve">Restriction </w:t>
            </w:r>
            <w:r w:rsidRPr="006E72A7">
              <w:rPr>
                <w:b/>
                <w:i/>
              </w:rPr>
              <w:t>Level / Method:</w:t>
            </w:r>
          </w:p>
        </w:tc>
        <w:tc>
          <w:tcPr>
            <w:tcW w:w="3747" w:type="pct"/>
            <w:gridSpan w:val="7"/>
            <w:shd w:val="clear" w:color="auto" w:fill="auto"/>
          </w:tcPr>
          <w:p w:rsidR="00A3639A" w:rsidRPr="006E72A7" w:rsidRDefault="00A3639A" w:rsidP="000B5F53">
            <w:pPr>
              <w:pStyle w:val="Tabletext"/>
              <w:spacing w:before="20" w:after="20"/>
            </w:pPr>
            <w:r w:rsidRPr="006E72A7">
              <w:fldChar w:fldCharType="begin">
                <w:ffData>
                  <w:name w:val="Check1"/>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Restricted benefit</w:t>
            </w:r>
          </w:p>
          <w:p w:rsidR="00A3639A" w:rsidRPr="006E72A7" w:rsidRDefault="00A3639A" w:rsidP="000B5F53">
            <w:pPr>
              <w:pStyle w:val="Tabletext"/>
              <w:spacing w:before="20" w:after="20"/>
            </w:pPr>
            <w:r w:rsidRPr="006E72A7">
              <w:fldChar w:fldCharType="begin">
                <w:ffData>
                  <w:name w:val=""/>
                  <w:enabled/>
                  <w:calcOnExit w:val="0"/>
                  <w:checkBox>
                    <w:sizeAuto/>
                    <w:default w:val="1"/>
                  </w:checkBox>
                </w:ffData>
              </w:fldChar>
            </w:r>
            <w:r w:rsidRPr="006E72A7">
              <w:instrText xml:space="preserve"> FORMCHECKBOX </w:instrText>
            </w:r>
            <w:r w:rsidR="008E296C">
              <w:fldChar w:fldCharType="separate"/>
            </w:r>
            <w:r w:rsidRPr="006E72A7">
              <w:fldChar w:fldCharType="end"/>
            </w:r>
            <w:r w:rsidRPr="006E72A7">
              <w:t>Authority Required – In Writing</w:t>
            </w:r>
          </w:p>
          <w:p w:rsidR="00A3639A" w:rsidRPr="006E72A7" w:rsidRDefault="00A3639A" w:rsidP="000B5F53">
            <w:pPr>
              <w:pStyle w:val="Tabletext"/>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Authority Required – Telephone</w:t>
            </w:r>
          </w:p>
          <w:p w:rsidR="00A3639A" w:rsidRPr="006E72A7" w:rsidRDefault="00A3639A" w:rsidP="000B5F53">
            <w:pPr>
              <w:pStyle w:val="Tabletext"/>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Authority Required – Emergency</w:t>
            </w:r>
          </w:p>
          <w:p w:rsidR="00A3639A" w:rsidRPr="006E72A7" w:rsidRDefault="00A3639A" w:rsidP="000B5F53">
            <w:pPr>
              <w:pStyle w:val="Tabletext"/>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Authority Required – Electronic</w:t>
            </w:r>
          </w:p>
          <w:p w:rsidR="00A3639A" w:rsidRPr="006E72A7" w:rsidRDefault="00A3639A" w:rsidP="000B5F53">
            <w:pPr>
              <w:pStyle w:val="Tabletext"/>
              <w:spacing w:before="20" w:after="20"/>
            </w:pPr>
            <w:r w:rsidRPr="006E72A7">
              <w:fldChar w:fldCharType="begin">
                <w:ffData>
                  <w:name w:val="Check5"/>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Streamlined</w:t>
            </w:r>
          </w:p>
        </w:tc>
      </w:tr>
      <w:tr w:rsidR="00A3639A" w:rsidRPr="006E72A7" w:rsidTr="00110317">
        <w:trPr>
          <w:gridBefore w:val="1"/>
          <w:wBefore w:w="7" w:type="pct"/>
          <w:trHeight w:val="360"/>
        </w:trPr>
        <w:tc>
          <w:tcPr>
            <w:tcW w:w="1247" w:type="pct"/>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Tabletext"/>
              <w:spacing w:before="20" w:after="20"/>
              <w:rPr>
                <w:b/>
              </w:rPr>
            </w:pPr>
            <w:r w:rsidRPr="006E72A7">
              <w:rPr>
                <w:b/>
              </w:rPr>
              <w:t>Clinical criteria:</w:t>
            </w:r>
          </w:p>
        </w:tc>
        <w:tc>
          <w:tcPr>
            <w:tcW w:w="3747" w:type="pct"/>
            <w:gridSpan w:val="7"/>
            <w:tcBorders>
              <w:top w:val="single" w:sz="4" w:space="0" w:color="auto"/>
              <w:left w:val="single" w:sz="4" w:space="0" w:color="auto"/>
              <w:bottom w:val="single" w:sz="4" w:space="0" w:color="auto"/>
              <w:right w:val="single" w:sz="4" w:space="0" w:color="auto"/>
            </w:tcBorders>
          </w:tcPr>
          <w:p w:rsidR="00A3639A" w:rsidRPr="006E72A7" w:rsidRDefault="00A3639A" w:rsidP="000B5F53">
            <w:pPr>
              <w:pStyle w:val="Default"/>
              <w:rPr>
                <w:rFonts w:ascii="Arial Narrow" w:hAnsi="Arial Narrow"/>
              </w:rPr>
            </w:pPr>
            <w:r w:rsidRPr="006E72A7">
              <w:rPr>
                <w:rFonts w:ascii="Arial Narrow" w:hAnsi="Arial Narrow"/>
                <w:sz w:val="20"/>
                <w:szCs w:val="20"/>
              </w:rPr>
              <w:t xml:space="preserve">The treatment must be in conjunction with dietary therapy and exercise, </w:t>
            </w:r>
            <w:r w:rsidRPr="006E72A7">
              <w:rPr>
                <w:rFonts w:ascii="Arial Narrow" w:hAnsi="Arial Narrow"/>
                <w:b/>
                <w:sz w:val="20"/>
                <w:szCs w:val="20"/>
              </w:rPr>
              <w:t>AND</w:t>
            </w:r>
          </w:p>
          <w:p w:rsidR="00A3639A" w:rsidRPr="006E72A7" w:rsidRDefault="00A3639A" w:rsidP="000B5F53">
            <w:pPr>
              <w:pStyle w:val="Tabletext"/>
              <w:spacing w:before="20" w:after="20"/>
              <w:rPr>
                <w:strike/>
              </w:rPr>
            </w:pPr>
            <w:r w:rsidRPr="006E72A7">
              <w:rPr>
                <w:strike/>
              </w:rPr>
              <w:t xml:space="preserve">The treatment must be in conjunction with other lipid lowering therapy </w:t>
            </w:r>
          </w:p>
          <w:p w:rsidR="00A3639A" w:rsidRPr="006E72A7" w:rsidRDefault="00A3639A" w:rsidP="000B5F53">
            <w:pPr>
              <w:pStyle w:val="Default"/>
              <w:rPr>
                <w:rFonts w:ascii="Arial Narrow" w:hAnsi="Arial Narrow"/>
                <w:strike/>
                <w:sz w:val="20"/>
                <w:szCs w:val="20"/>
              </w:rPr>
            </w:pPr>
            <w:r w:rsidRPr="006E72A7">
              <w:rPr>
                <w:rFonts w:ascii="Arial Narrow" w:hAnsi="Arial Narrow"/>
                <w:strike/>
                <w:sz w:val="20"/>
                <w:szCs w:val="20"/>
              </w:rPr>
              <w:t>AND</w:t>
            </w:r>
          </w:p>
          <w:p w:rsidR="00A3639A" w:rsidRPr="006E72A7" w:rsidRDefault="00A3639A" w:rsidP="000B5F53">
            <w:pPr>
              <w:pStyle w:val="Default"/>
              <w:rPr>
                <w:rFonts w:ascii="Arial Narrow" w:hAnsi="Arial Narrow"/>
                <w:sz w:val="20"/>
                <w:szCs w:val="20"/>
              </w:rPr>
            </w:pPr>
            <w:r w:rsidRPr="006E72A7">
              <w:rPr>
                <w:rFonts w:ascii="Arial Narrow" w:hAnsi="Arial Narrow"/>
                <w:sz w:val="20"/>
                <w:szCs w:val="20"/>
              </w:rPr>
              <w:t xml:space="preserve">The condition must have been confirmed by genetic testing; </w:t>
            </w:r>
            <w:r w:rsidRPr="006E72A7">
              <w:rPr>
                <w:rFonts w:ascii="Arial Narrow" w:hAnsi="Arial Narrow"/>
                <w:b/>
                <w:sz w:val="20"/>
                <w:szCs w:val="20"/>
              </w:rPr>
              <w:t>OR</w:t>
            </w:r>
            <w:r w:rsidRPr="006E72A7">
              <w:rPr>
                <w:rFonts w:ascii="Arial Narrow" w:hAnsi="Arial Narrow"/>
                <w:sz w:val="20"/>
                <w:szCs w:val="20"/>
              </w:rPr>
              <w:t xml:space="preserve"> </w:t>
            </w:r>
          </w:p>
          <w:p w:rsidR="00A3639A" w:rsidRPr="006E72A7" w:rsidRDefault="00A3639A" w:rsidP="000B5F53">
            <w:pPr>
              <w:pStyle w:val="Default"/>
              <w:rPr>
                <w:rFonts w:ascii="Arial Narrow" w:hAnsi="Arial Narrow"/>
              </w:rPr>
            </w:pPr>
            <w:r w:rsidRPr="006E72A7">
              <w:rPr>
                <w:rFonts w:ascii="Arial Narrow" w:hAnsi="Arial Narrow"/>
                <w:sz w:val="20"/>
                <w:szCs w:val="20"/>
              </w:rPr>
              <w:t xml:space="preserve">The condition must have been confirmed by a Dutch Lipid Clinic Network Score of at least 6, </w:t>
            </w:r>
            <w:r w:rsidRPr="006E72A7">
              <w:rPr>
                <w:rFonts w:ascii="Arial Narrow" w:hAnsi="Arial Narrow"/>
                <w:b/>
                <w:sz w:val="20"/>
                <w:szCs w:val="20"/>
              </w:rPr>
              <w:t>AND</w:t>
            </w:r>
          </w:p>
          <w:p w:rsidR="00A3639A" w:rsidRPr="006E72A7" w:rsidRDefault="00A3639A" w:rsidP="000B5F53">
            <w:pPr>
              <w:pStyle w:val="Default"/>
              <w:rPr>
                <w:rFonts w:ascii="Arial Narrow" w:hAnsi="Arial Narrow"/>
                <w:i/>
                <w:sz w:val="20"/>
                <w:szCs w:val="20"/>
              </w:rPr>
            </w:pPr>
            <w:r w:rsidRPr="006E72A7">
              <w:rPr>
                <w:rFonts w:ascii="Arial Narrow" w:hAnsi="Arial Narrow"/>
                <w:sz w:val="20"/>
                <w:szCs w:val="20"/>
              </w:rPr>
              <w:t xml:space="preserve">Patient must have an LDL cholesterol level in excess of </w:t>
            </w:r>
            <w:r w:rsidRPr="006E72A7">
              <w:rPr>
                <w:rFonts w:ascii="Arial Narrow" w:hAnsi="Arial Narrow"/>
                <w:strike/>
                <w:sz w:val="20"/>
                <w:szCs w:val="20"/>
              </w:rPr>
              <w:t>5 millimoles per litre, or</w:t>
            </w:r>
            <w:r w:rsidRPr="006E72A7">
              <w:rPr>
                <w:rFonts w:ascii="Arial Narrow" w:hAnsi="Arial Narrow"/>
                <w:sz w:val="20"/>
                <w:szCs w:val="20"/>
              </w:rPr>
              <w:t xml:space="preserve"> 3.3 millimoles per litre in the presence of </w:t>
            </w:r>
            <w:r w:rsidRPr="006E72A7">
              <w:rPr>
                <w:rFonts w:ascii="Arial Narrow" w:hAnsi="Arial Narrow"/>
                <w:strike/>
                <w:sz w:val="20"/>
                <w:szCs w:val="20"/>
              </w:rPr>
              <w:t>established</w:t>
            </w:r>
            <w:r w:rsidRPr="006E72A7">
              <w:rPr>
                <w:rFonts w:ascii="Arial Narrow" w:hAnsi="Arial Narrow"/>
                <w:sz w:val="20"/>
                <w:szCs w:val="20"/>
              </w:rPr>
              <w:t xml:space="preserve"> </w:t>
            </w:r>
            <w:r w:rsidRPr="006E72A7">
              <w:rPr>
                <w:rFonts w:ascii="Arial Narrow" w:hAnsi="Arial Narrow"/>
                <w:i/>
                <w:sz w:val="20"/>
                <w:szCs w:val="20"/>
              </w:rPr>
              <w:t>symptomatic</w:t>
            </w:r>
            <w:r w:rsidRPr="006E72A7">
              <w:rPr>
                <w:rFonts w:ascii="Arial Narrow" w:hAnsi="Arial Narrow"/>
                <w:sz w:val="20"/>
                <w:szCs w:val="20"/>
              </w:rPr>
              <w:t xml:space="preserve"> atherosclerotic cardiovascular disease; </w:t>
            </w:r>
            <w:r w:rsidRPr="006E72A7">
              <w:rPr>
                <w:rFonts w:ascii="Arial Narrow" w:hAnsi="Arial Narrow"/>
                <w:b/>
                <w:i/>
                <w:sz w:val="20"/>
                <w:szCs w:val="20"/>
              </w:rPr>
              <w:t>OR</w:t>
            </w:r>
            <w:r w:rsidRPr="006E72A7">
              <w:rPr>
                <w:rFonts w:ascii="Arial Narrow" w:hAnsi="Arial Narrow"/>
                <w:i/>
                <w:sz w:val="20"/>
                <w:szCs w:val="20"/>
              </w:rPr>
              <w:t xml:space="preserve"> </w:t>
            </w:r>
          </w:p>
          <w:p w:rsidR="00A3639A" w:rsidRPr="006E72A7" w:rsidRDefault="00A3639A" w:rsidP="000B5F53">
            <w:pPr>
              <w:pStyle w:val="Default"/>
              <w:rPr>
                <w:rFonts w:ascii="Arial Narrow" w:hAnsi="Arial Narrow"/>
                <w:i/>
                <w:sz w:val="20"/>
                <w:szCs w:val="20"/>
              </w:rPr>
            </w:pPr>
            <w:r w:rsidRPr="006E72A7">
              <w:rPr>
                <w:rFonts w:ascii="Arial Narrow" w:hAnsi="Arial Narrow"/>
                <w:i/>
                <w:sz w:val="20"/>
                <w:szCs w:val="20"/>
              </w:rPr>
              <w:t>Patient must have an LDL cholesterol level in excess of 5 millimoles per litre,</w:t>
            </w:r>
            <w:r w:rsidRPr="006E72A7">
              <w:rPr>
                <w:rFonts w:ascii="Arial Narrow" w:hAnsi="Arial Narrow"/>
                <w:bCs/>
                <w:i/>
                <w:sz w:val="20"/>
                <w:szCs w:val="20"/>
              </w:rPr>
              <w:t xml:space="preserve"> </w:t>
            </w:r>
          </w:p>
          <w:p w:rsidR="00A3639A" w:rsidRPr="006E72A7" w:rsidRDefault="00A3639A" w:rsidP="000B5F53">
            <w:pPr>
              <w:pStyle w:val="Tabletext"/>
              <w:spacing w:before="20" w:after="20"/>
              <w:rPr>
                <w:b/>
              </w:rPr>
            </w:pPr>
            <w:r w:rsidRPr="006E72A7">
              <w:rPr>
                <w:strike/>
              </w:rPr>
              <w:lastRenderedPageBreak/>
              <w:t>after at least 3 months of treatment at a maximum tolerated dose of an HMG CoA reductase inhibitor (statin), in conjunction with dietary therapy and exercise; OR</w:t>
            </w:r>
            <w:r w:rsidRPr="006E72A7">
              <w:rPr>
                <w:bCs/>
                <w:i/>
              </w:rPr>
              <w:t xml:space="preserve"> </w:t>
            </w:r>
            <w:r w:rsidRPr="006E72A7">
              <w:rPr>
                <w:b/>
                <w:bCs/>
                <w:i/>
              </w:rPr>
              <w:t>AND</w:t>
            </w:r>
          </w:p>
          <w:p w:rsidR="00A3639A" w:rsidRPr="006E72A7" w:rsidRDefault="00A3639A" w:rsidP="000B5F53">
            <w:pPr>
              <w:pStyle w:val="Default"/>
              <w:rPr>
                <w:rFonts w:ascii="Arial Narrow" w:hAnsi="Arial Narrow"/>
                <w:i/>
                <w:sz w:val="20"/>
                <w:szCs w:val="20"/>
              </w:rPr>
            </w:pPr>
            <w:r w:rsidRPr="006E72A7">
              <w:rPr>
                <w:rFonts w:ascii="Arial Narrow" w:hAnsi="Arial Narrow"/>
                <w:i/>
                <w:sz w:val="20"/>
                <w:szCs w:val="20"/>
              </w:rPr>
              <w:t xml:space="preserve">Patient must have been treated with the maximum recommended dose of atorvastatin or rosuvastatin according to the TGA-approved Product Information for at least 3 months in conjunction with dietary therapy and exercise; </w:t>
            </w:r>
            <w:r w:rsidRPr="006E72A7">
              <w:rPr>
                <w:rFonts w:ascii="Arial Narrow" w:hAnsi="Arial Narrow"/>
                <w:b/>
                <w:i/>
                <w:sz w:val="20"/>
                <w:szCs w:val="20"/>
              </w:rPr>
              <w:t>OR</w:t>
            </w:r>
            <w:r w:rsidRPr="006E72A7">
              <w:rPr>
                <w:rFonts w:ascii="Arial Narrow" w:hAnsi="Arial Narrow"/>
                <w:i/>
                <w:sz w:val="20"/>
                <w:szCs w:val="20"/>
              </w:rPr>
              <w:t xml:space="preserve"> </w:t>
            </w:r>
          </w:p>
          <w:p w:rsidR="00A3639A" w:rsidRPr="006E72A7" w:rsidRDefault="00A3639A" w:rsidP="000B5F53">
            <w:pPr>
              <w:pStyle w:val="Default"/>
              <w:rPr>
                <w:rFonts w:ascii="Arial Narrow" w:hAnsi="Arial Narrow"/>
                <w:i/>
                <w:sz w:val="20"/>
                <w:szCs w:val="20"/>
              </w:rPr>
            </w:pPr>
            <w:r w:rsidRPr="006E72A7">
              <w:rPr>
                <w:rFonts w:ascii="Arial Narrow" w:hAnsi="Arial Narrow"/>
                <w:i/>
                <w:sz w:val="20"/>
                <w:szCs w:val="20"/>
              </w:rPr>
              <w:t xml:space="preserve">Patient must have developed clinically important product-related adverse events necessitating withdrawal of statin treatment to trials of each of atorvastatin and rosuvastatin; </w:t>
            </w:r>
            <w:r w:rsidRPr="006E72A7">
              <w:rPr>
                <w:rFonts w:ascii="Arial Narrow" w:hAnsi="Arial Narrow"/>
                <w:b/>
                <w:i/>
                <w:sz w:val="20"/>
                <w:szCs w:val="20"/>
              </w:rPr>
              <w:t>OR</w:t>
            </w:r>
            <w:r w:rsidRPr="006E72A7">
              <w:rPr>
                <w:rFonts w:ascii="Arial Narrow" w:hAnsi="Arial Narrow"/>
                <w:i/>
                <w:sz w:val="20"/>
                <w:szCs w:val="20"/>
              </w:rPr>
              <w:t xml:space="preserve"> </w:t>
            </w:r>
          </w:p>
          <w:p w:rsidR="00A3639A" w:rsidRPr="006E72A7" w:rsidRDefault="00A3639A" w:rsidP="000B5F53">
            <w:pPr>
              <w:pStyle w:val="Default"/>
              <w:rPr>
                <w:rFonts w:ascii="Arial Narrow" w:hAnsi="Arial Narrow"/>
                <w:i/>
                <w:sz w:val="20"/>
                <w:szCs w:val="20"/>
              </w:rPr>
            </w:pPr>
            <w:r w:rsidRPr="006E72A7">
              <w:rPr>
                <w:rFonts w:ascii="Arial Narrow" w:hAnsi="Arial Narrow"/>
                <w:i/>
                <w:sz w:val="20"/>
                <w:szCs w:val="20"/>
              </w:rPr>
              <w:t>Patient must be contraindicated to treatment with a HMG CoA reductase inhibitor (statin) as defined in the TGA-approved Product Information,</w:t>
            </w:r>
            <w:r w:rsidRPr="006E72A7">
              <w:rPr>
                <w:rFonts w:ascii="Arial Narrow" w:hAnsi="Arial Narrow"/>
                <w:b/>
                <w:i/>
                <w:sz w:val="20"/>
                <w:szCs w:val="20"/>
              </w:rPr>
              <w:t xml:space="preserve"> </w:t>
            </w:r>
            <w:r w:rsidRPr="006E72A7">
              <w:rPr>
                <w:rFonts w:ascii="Arial Narrow" w:hAnsi="Arial Narrow"/>
                <w:b/>
                <w:bCs/>
                <w:i/>
                <w:sz w:val="20"/>
                <w:szCs w:val="20"/>
              </w:rPr>
              <w:t>AND</w:t>
            </w:r>
            <w:r w:rsidRPr="006E72A7">
              <w:rPr>
                <w:rFonts w:ascii="Arial Narrow" w:hAnsi="Arial Narrow"/>
                <w:bCs/>
                <w:i/>
                <w:sz w:val="20"/>
                <w:szCs w:val="20"/>
              </w:rPr>
              <w:t xml:space="preserve"> </w:t>
            </w:r>
          </w:p>
          <w:p w:rsidR="00A3639A" w:rsidRPr="006E72A7" w:rsidRDefault="00A3639A" w:rsidP="000B5F53">
            <w:pPr>
              <w:pStyle w:val="Default"/>
              <w:rPr>
                <w:rFonts w:ascii="Arial Narrow" w:hAnsi="Arial Narrow"/>
                <w:i/>
                <w:sz w:val="20"/>
                <w:szCs w:val="20"/>
              </w:rPr>
            </w:pPr>
            <w:r w:rsidRPr="006E72A7">
              <w:rPr>
                <w:rFonts w:ascii="Arial Narrow" w:hAnsi="Arial Narrow"/>
                <w:i/>
                <w:sz w:val="20"/>
                <w:szCs w:val="20"/>
              </w:rPr>
              <w:t xml:space="preserve">Patient must have been treated with ezetimibe for at least 3 months in conjunction with dietary therapy and exercise. </w:t>
            </w:r>
          </w:p>
          <w:p w:rsidR="00A3639A" w:rsidRPr="006E72A7" w:rsidRDefault="00A3639A" w:rsidP="000B5F53">
            <w:pPr>
              <w:pStyle w:val="Tabletext"/>
              <w:spacing w:before="20" w:after="20"/>
            </w:pPr>
          </w:p>
          <w:p w:rsidR="00A3639A" w:rsidRPr="006E72A7" w:rsidRDefault="00A3639A" w:rsidP="000B5F53">
            <w:pPr>
              <w:pStyle w:val="Tabletext"/>
              <w:spacing w:before="20" w:after="20"/>
              <w:rPr>
                <w:strike/>
              </w:rPr>
            </w:pPr>
            <w:r w:rsidRPr="006E72A7">
              <w:rPr>
                <w:strike/>
              </w:rPr>
              <w:t>Patient must have an LDL cholesterol level in excess of 5 millimoles per litre, or 3.3 millimoles per litre in the presence of established atherosclerotic cardiovascular disease, after having developed a clinically important product-related adverse event after a trial of treatment with at least 2 different HMG CoA reductase inhibitors (statins) necessitating a withdrawal of statin treatment; OR</w:t>
            </w:r>
          </w:p>
          <w:p w:rsidR="00A3639A" w:rsidRPr="006E72A7" w:rsidRDefault="00A3639A" w:rsidP="000B5F53">
            <w:pPr>
              <w:pStyle w:val="Default"/>
              <w:rPr>
                <w:rFonts w:ascii="Arial Narrow" w:hAnsi="Arial Narrow"/>
                <w:strike/>
                <w:sz w:val="20"/>
                <w:szCs w:val="20"/>
              </w:rPr>
            </w:pPr>
            <w:r w:rsidRPr="006E72A7">
              <w:rPr>
                <w:rFonts w:ascii="Arial Narrow" w:hAnsi="Arial Narrow"/>
                <w:strike/>
                <w:sz w:val="20"/>
                <w:szCs w:val="20"/>
              </w:rPr>
              <w:t>Patient must have an LDL cholesterol level in excess of 5 millimoles per litre, or 3.3 millimoles per litre in the presence of established atherosclerotic cardiovascular disease, and must be one in whom treatment with an HMG CoA reductase inhibitor (statin) is contraindicated.</w:t>
            </w:r>
          </w:p>
        </w:tc>
      </w:tr>
    </w:tbl>
    <w:p w:rsidR="006325F1" w:rsidRPr="006E72A7" w:rsidRDefault="006325F1" w:rsidP="00E02557">
      <w:pPr>
        <w:pStyle w:val="TableHeader"/>
        <w:widowControl/>
        <w:rPr>
          <w:rFonts w:ascii="Arial Narrow" w:hAnsi="Arial Narrow"/>
        </w:rPr>
      </w:pPr>
    </w:p>
    <w:tbl>
      <w:tblPr>
        <w:tblW w:w="9022" w:type="dxa"/>
        <w:tblBorders>
          <w:top w:val="single" w:sz="4" w:space="0" w:color="auto"/>
          <w:bottom w:val="single" w:sz="4" w:space="0" w:color="auto"/>
          <w:insideH w:val="single" w:sz="4" w:space="0" w:color="auto"/>
        </w:tblBorders>
        <w:tblLook w:val="04A0" w:firstRow="1" w:lastRow="0" w:firstColumn="1" w:lastColumn="0" w:noHBand="0" w:noVBand="1"/>
        <w:tblCaption w:val="Heterozygous familial hypercholesterolaemia (he-FH)"/>
      </w:tblPr>
      <w:tblGrid>
        <w:gridCol w:w="2269"/>
        <w:gridCol w:w="6662"/>
        <w:gridCol w:w="91"/>
      </w:tblGrid>
      <w:tr w:rsidR="001C09A8" w:rsidRPr="006E72A7" w:rsidTr="000B5F53">
        <w:trPr>
          <w:gridAfter w:val="1"/>
          <w:wAfter w:w="91" w:type="dxa"/>
        </w:trPr>
        <w:tc>
          <w:tcPr>
            <w:tcW w:w="8931" w:type="dxa"/>
            <w:gridSpan w:val="2"/>
            <w:tcBorders>
              <w:top w:val="nil"/>
            </w:tcBorders>
            <w:shd w:val="clear" w:color="auto" w:fill="auto"/>
          </w:tcPr>
          <w:p w:rsidR="001C09A8" w:rsidRPr="006E72A7" w:rsidRDefault="001C09A8" w:rsidP="00E02557">
            <w:pPr>
              <w:pStyle w:val="Tabletext"/>
              <w:rPr>
                <w:i/>
              </w:rPr>
            </w:pPr>
            <w:r w:rsidRPr="006E72A7">
              <w:rPr>
                <w:b/>
                <w:i/>
              </w:rPr>
              <w:t>Non-Familial hypercholesterolaemia (non-FH) with acute coronary syndrome (ACS) and diabetes</w:t>
            </w:r>
          </w:p>
        </w:tc>
      </w:tr>
      <w:tr w:rsidR="00EB6045" w:rsidRPr="006E72A7" w:rsidTr="001C09A8">
        <w:tblPrEx>
          <w:tblBorders>
            <w:top w:val="none" w:sz="0" w:space="0" w:color="auto"/>
            <w:bottom w:val="none" w:sz="0" w:space="0" w:color="auto"/>
            <w:insideH w:val="none" w:sz="0" w:space="0" w:color="auto"/>
          </w:tblBorders>
          <w:tblLook w:val="0000" w:firstRow="0" w:lastRow="0" w:firstColumn="0" w:lastColumn="0" w:noHBand="0" w:noVBand="0"/>
        </w:tblPrEx>
        <w:trPr>
          <w:trHeight w:val="87"/>
        </w:trPr>
        <w:tc>
          <w:tcPr>
            <w:tcW w:w="2269" w:type="dxa"/>
            <w:tcBorders>
              <w:top w:val="single" w:sz="4" w:space="0" w:color="auto"/>
              <w:left w:val="single" w:sz="4" w:space="0" w:color="auto"/>
              <w:bottom w:val="single" w:sz="4" w:space="0" w:color="auto"/>
              <w:right w:val="single" w:sz="4" w:space="0" w:color="auto"/>
            </w:tcBorders>
            <w:vAlign w:val="center"/>
          </w:tcPr>
          <w:p w:rsidR="00EB6045" w:rsidRPr="006E72A7" w:rsidRDefault="00EB6045" w:rsidP="00E02557">
            <w:pPr>
              <w:pStyle w:val="Tabletext"/>
              <w:spacing w:before="20" w:after="20"/>
              <w:rPr>
                <w:szCs w:val="20"/>
              </w:rPr>
            </w:pPr>
            <w:r w:rsidRPr="006E72A7">
              <w:rPr>
                <w:szCs w:val="20"/>
              </w:rPr>
              <w:t>Category/Program</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EB6045" w:rsidRPr="006E72A7" w:rsidRDefault="00EB6045" w:rsidP="00E02557">
            <w:pPr>
              <w:pStyle w:val="TableText0"/>
              <w:spacing w:before="0" w:after="0"/>
              <w:rPr>
                <w:szCs w:val="20"/>
              </w:rPr>
            </w:pPr>
            <w:r w:rsidRPr="006E72A7">
              <w:rPr>
                <w:szCs w:val="20"/>
              </w:rPr>
              <w:t>General Schedule</w:t>
            </w:r>
          </w:p>
        </w:tc>
      </w:tr>
      <w:tr w:rsidR="006325F1" w:rsidRPr="006E72A7" w:rsidTr="001C09A8">
        <w:tblPrEx>
          <w:tblBorders>
            <w:top w:val="none" w:sz="0" w:space="0" w:color="auto"/>
            <w:bottom w:val="none" w:sz="0" w:space="0" w:color="auto"/>
            <w:insideH w:val="none" w:sz="0" w:space="0" w:color="auto"/>
          </w:tblBorders>
          <w:tblLook w:val="0000" w:firstRow="0" w:lastRow="0" w:firstColumn="0" w:lastColumn="0" w:noHBand="0" w:noVBand="0"/>
        </w:tblPrEx>
        <w:trPr>
          <w:trHeight w:val="197"/>
        </w:trPr>
        <w:tc>
          <w:tcPr>
            <w:tcW w:w="2269" w:type="dxa"/>
            <w:tcBorders>
              <w:top w:val="single" w:sz="4" w:space="0" w:color="auto"/>
              <w:left w:val="single" w:sz="4" w:space="0" w:color="auto"/>
              <w:bottom w:val="single" w:sz="4" w:space="0" w:color="auto"/>
              <w:right w:val="single" w:sz="4" w:space="0" w:color="auto"/>
            </w:tcBorders>
            <w:vAlign w:val="center"/>
          </w:tcPr>
          <w:p w:rsidR="006325F1" w:rsidRPr="006E72A7" w:rsidRDefault="006325F1" w:rsidP="00E02557">
            <w:pPr>
              <w:pStyle w:val="Tabletext"/>
              <w:rPr>
                <w:szCs w:val="20"/>
              </w:rPr>
            </w:pPr>
            <w:r w:rsidRPr="006E72A7">
              <w:rPr>
                <w:szCs w:val="20"/>
              </w:rPr>
              <w:t>PBS Indication</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6325F1" w:rsidRPr="006E72A7" w:rsidRDefault="006325F1" w:rsidP="00E02557">
            <w:pPr>
              <w:pStyle w:val="TableText0"/>
              <w:spacing w:before="0" w:after="0"/>
              <w:rPr>
                <w:szCs w:val="20"/>
              </w:rPr>
            </w:pPr>
            <w:r w:rsidRPr="006E72A7">
              <w:rPr>
                <w:szCs w:val="20"/>
              </w:rPr>
              <w:t>Hypercholesterolaemia</w:t>
            </w:r>
          </w:p>
        </w:tc>
      </w:tr>
      <w:tr w:rsidR="006325F1" w:rsidRPr="006E72A7" w:rsidTr="001C09A8">
        <w:tblPrEx>
          <w:tblBorders>
            <w:top w:val="none" w:sz="0" w:space="0" w:color="auto"/>
            <w:bottom w:val="none" w:sz="0" w:space="0" w:color="auto"/>
            <w:insideH w:val="none" w:sz="0" w:space="0" w:color="auto"/>
          </w:tblBorders>
          <w:tblLook w:val="0000" w:firstRow="0" w:lastRow="0" w:firstColumn="0" w:lastColumn="0" w:noHBand="0" w:noVBand="0"/>
        </w:tblPrEx>
        <w:trPr>
          <w:trHeight w:val="133"/>
        </w:trPr>
        <w:tc>
          <w:tcPr>
            <w:tcW w:w="2269" w:type="dxa"/>
            <w:tcBorders>
              <w:top w:val="single" w:sz="4" w:space="0" w:color="auto"/>
              <w:left w:val="single" w:sz="4" w:space="0" w:color="auto"/>
              <w:bottom w:val="single" w:sz="4" w:space="0" w:color="auto"/>
              <w:right w:val="single" w:sz="4" w:space="0" w:color="auto"/>
            </w:tcBorders>
          </w:tcPr>
          <w:p w:rsidR="006325F1" w:rsidRPr="006E72A7" w:rsidRDefault="006325F1" w:rsidP="00E02557">
            <w:pPr>
              <w:pStyle w:val="Tabletext"/>
              <w:rPr>
                <w:szCs w:val="20"/>
              </w:rPr>
            </w:pPr>
            <w:r w:rsidRPr="006E72A7">
              <w:rPr>
                <w:szCs w:val="20"/>
              </w:rPr>
              <w:t>Restriction</w:t>
            </w:r>
          </w:p>
        </w:tc>
        <w:tc>
          <w:tcPr>
            <w:tcW w:w="6753" w:type="dxa"/>
            <w:gridSpan w:val="2"/>
            <w:tcBorders>
              <w:top w:val="single" w:sz="4" w:space="0" w:color="auto"/>
              <w:left w:val="single" w:sz="4" w:space="0" w:color="auto"/>
              <w:bottom w:val="single" w:sz="4" w:space="0" w:color="auto"/>
              <w:right w:val="single" w:sz="4" w:space="0" w:color="auto"/>
            </w:tcBorders>
            <w:shd w:val="clear" w:color="auto" w:fill="auto"/>
          </w:tcPr>
          <w:p w:rsidR="006325F1" w:rsidRPr="006E72A7" w:rsidRDefault="00EB6045" w:rsidP="00E02557">
            <w:pPr>
              <w:pStyle w:val="TableText0"/>
              <w:spacing w:before="0" w:after="0"/>
              <w:rPr>
                <w:szCs w:val="20"/>
              </w:rPr>
            </w:pPr>
            <w:r w:rsidRPr="006E72A7">
              <w:rPr>
                <w:szCs w:val="20"/>
              </w:rPr>
              <w:t>Authority Required – In Writing</w:t>
            </w:r>
          </w:p>
        </w:tc>
      </w:tr>
      <w:tr w:rsidR="006325F1" w:rsidRPr="006E72A7" w:rsidTr="001C09A8">
        <w:tblPrEx>
          <w:tblBorders>
            <w:top w:val="none" w:sz="0" w:space="0" w:color="auto"/>
            <w:bottom w:val="none" w:sz="0" w:space="0" w:color="auto"/>
            <w:insideH w:val="none" w:sz="0" w:space="0" w:color="auto"/>
          </w:tblBorders>
          <w:tblLook w:val="0000" w:firstRow="0" w:lastRow="0" w:firstColumn="0" w:lastColumn="0" w:noHBand="0" w:noVBand="0"/>
        </w:tblPrEx>
        <w:trPr>
          <w:trHeight w:val="360"/>
        </w:trPr>
        <w:tc>
          <w:tcPr>
            <w:tcW w:w="2269" w:type="dxa"/>
            <w:tcBorders>
              <w:top w:val="single" w:sz="4" w:space="0" w:color="auto"/>
              <w:left w:val="single" w:sz="4" w:space="0" w:color="auto"/>
              <w:bottom w:val="single" w:sz="4" w:space="0" w:color="auto"/>
              <w:right w:val="single" w:sz="4" w:space="0" w:color="auto"/>
            </w:tcBorders>
          </w:tcPr>
          <w:p w:rsidR="006325F1" w:rsidRPr="006E72A7" w:rsidRDefault="006325F1" w:rsidP="00E02557">
            <w:pPr>
              <w:pStyle w:val="Tabletext"/>
              <w:rPr>
                <w:szCs w:val="20"/>
              </w:rPr>
            </w:pPr>
            <w:r w:rsidRPr="006E72A7">
              <w:rPr>
                <w:szCs w:val="20"/>
              </w:rPr>
              <w:t>Clinical criteria</w:t>
            </w:r>
          </w:p>
          <w:p w:rsidR="006325F1" w:rsidRPr="006E72A7" w:rsidRDefault="006325F1" w:rsidP="00E02557">
            <w:pPr>
              <w:pStyle w:val="Tabletext"/>
              <w:spacing w:before="20" w:after="20"/>
              <w:rPr>
                <w:szCs w:val="20"/>
              </w:rPr>
            </w:pPr>
          </w:p>
        </w:tc>
        <w:tc>
          <w:tcPr>
            <w:tcW w:w="6753" w:type="dxa"/>
            <w:gridSpan w:val="2"/>
            <w:tcBorders>
              <w:top w:val="single" w:sz="4" w:space="0" w:color="auto"/>
              <w:left w:val="single" w:sz="4" w:space="0" w:color="auto"/>
              <w:bottom w:val="single" w:sz="4" w:space="0" w:color="auto"/>
              <w:right w:val="single" w:sz="4" w:space="0" w:color="auto"/>
            </w:tcBorders>
          </w:tcPr>
          <w:p w:rsidR="006325F1" w:rsidRPr="006E72A7" w:rsidRDefault="006325F1" w:rsidP="00DD4DF0">
            <w:pPr>
              <w:pStyle w:val="Tabletext"/>
              <w:numPr>
                <w:ilvl w:val="0"/>
                <w:numId w:val="3"/>
              </w:numPr>
              <w:ind w:left="0"/>
              <w:rPr>
                <w:rFonts w:eastAsiaTheme="minorHAnsi" w:cstheme="minorBidi"/>
                <w:szCs w:val="20"/>
              </w:rPr>
            </w:pPr>
            <w:r w:rsidRPr="006E72A7">
              <w:rPr>
                <w:rFonts w:eastAsiaTheme="minorHAnsi" w:cstheme="minorBidi"/>
                <w:szCs w:val="20"/>
              </w:rPr>
              <w:t>The treatment must be in conjunction with dietary therapy and exercise</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AND</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The treatment must be in conjunction with other lipid lowering therapy</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AND</w:t>
            </w:r>
          </w:p>
          <w:p w:rsidR="006325F1" w:rsidRPr="006E72A7" w:rsidRDefault="006325F1" w:rsidP="00E02557">
            <w:pPr>
              <w:pStyle w:val="TableText0"/>
              <w:spacing w:before="0" w:after="0"/>
              <w:rPr>
                <w:szCs w:val="20"/>
              </w:rPr>
            </w:pPr>
          </w:p>
          <w:p w:rsidR="006325F1" w:rsidRPr="009D1B73" w:rsidRDefault="006325F1" w:rsidP="00E02557">
            <w:pPr>
              <w:pStyle w:val="TableText0"/>
              <w:spacing w:before="0" w:after="0"/>
              <w:rPr>
                <w:szCs w:val="20"/>
              </w:rPr>
            </w:pPr>
            <w:r w:rsidRPr="009D1B73">
              <w:rPr>
                <w:szCs w:val="20"/>
              </w:rPr>
              <w:t>Patient must have been hospitalised for an acute myocardial infarction; OR</w:t>
            </w:r>
          </w:p>
          <w:p w:rsidR="006325F1" w:rsidRPr="006E72A7" w:rsidRDefault="006325F1" w:rsidP="00E02557">
            <w:pPr>
              <w:pStyle w:val="TableText0"/>
              <w:spacing w:before="0" w:after="0"/>
              <w:rPr>
                <w:szCs w:val="20"/>
              </w:rPr>
            </w:pPr>
            <w:r w:rsidRPr="009D1B73">
              <w:rPr>
                <w:szCs w:val="20"/>
              </w:rPr>
              <w:t>Patient must have been hospitalised for unstable angina</w:t>
            </w:r>
            <w:r w:rsidRPr="006E72A7">
              <w:rPr>
                <w:szCs w:val="20"/>
              </w:rPr>
              <w:t xml:space="preserve"> </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AND</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Patient must have diabetes mellitus</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AND</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Patient must have an LDL cholesterol level in excess of 2.59 millimoles per litre after at least 3 months of treatment at a maximum tolerated dose of an HMG CoA reductase inhibitor (statin) plus ezetimibe, in conjunction with dietary therapy and exercise; OR</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Patient must have an LDL cholesterol level in excess of 2.59 millimoles per litre after at least 3 months of treatment with ezetimibe, and have developed a clinically important product-related adverse event after a trial of treatment with at least 2 different HMG CoA reductase inhibitors (statins) necessitating a withdrawal of statin treatment; OR</w:t>
            </w:r>
          </w:p>
          <w:p w:rsidR="006325F1" w:rsidRPr="006E72A7" w:rsidRDefault="006325F1" w:rsidP="00E02557">
            <w:pPr>
              <w:pStyle w:val="TableText0"/>
              <w:spacing w:before="0" w:after="0"/>
              <w:rPr>
                <w:szCs w:val="20"/>
              </w:rPr>
            </w:pPr>
          </w:p>
          <w:p w:rsidR="006325F1" w:rsidRPr="006E72A7" w:rsidRDefault="006325F1" w:rsidP="00E02557">
            <w:pPr>
              <w:pStyle w:val="TableText0"/>
              <w:spacing w:before="0" w:after="0"/>
              <w:rPr>
                <w:szCs w:val="20"/>
              </w:rPr>
            </w:pPr>
            <w:r w:rsidRPr="006E72A7">
              <w:rPr>
                <w:szCs w:val="20"/>
              </w:rPr>
              <w:t>Patient must have an LDL cholesterol level in excess of 2.59 millimoles per litre after at least 3 months of treatment with ezetimibe, and must be one in whom treatment with an HMG CoA reductase inhibitor (statin) is contraindicated.</w:t>
            </w:r>
          </w:p>
        </w:tc>
      </w:tr>
    </w:tbl>
    <w:p w:rsidR="00591957" w:rsidRPr="006E72A7" w:rsidRDefault="00DA32E6" w:rsidP="005D43BF">
      <w:pPr>
        <w:pStyle w:val="ListParagraph"/>
        <w:widowControl/>
        <w:numPr>
          <w:ilvl w:val="1"/>
          <w:numId w:val="1"/>
        </w:numPr>
        <w:spacing w:before="120" w:after="120"/>
      </w:pPr>
      <w:r w:rsidRPr="006E72A7">
        <w:lastRenderedPageBreak/>
        <w:t xml:space="preserve">The resubmission proposed a special pricing arrangement consisting of a </w:t>
      </w:r>
      <w:r w:rsidR="004F3FD6">
        <w:rPr>
          <w:noProof/>
          <w:color w:val="000000"/>
          <w:highlight w:val="black"/>
        </w:rPr>
        <w:t>''''''''''</w:t>
      </w:r>
      <w:r w:rsidRPr="006E72A7">
        <w:t xml:space="preserve">% rebate on government expenditure. This is a larger rebate than previously proposed for </w:t>
      </w:r>
      <w:r w:rsidR="00394DDB" w:rsidRPr="006E72A7">
        <w:t>he-FH</w:t>
      </w:r>
      <w:r w:rsidRPr="006E72A7">
        <w:t xml:space="preserve"> with clinical atherosclerotic cardiovascular disease (</w:t>
      </w:r>
      <w:r w:rsidR="004F3FD6">
        <w:rPr>
          <w:noProof/>
          <w:color w:val="000000"/>
          <w:highlight w:val="black"/>
        </w:rPr>
        <w:t>'''''''''''</w:t>
      </w:r>
      <w:r w:rsidRPr="006E72A7">
        <w:t>% rebate from previous published price of $</w:t>
      </w:r>
      <w:r w:rsidR="004F3FD6">
        <w:rPr>
          <w:noProof/>
          <w:color w:val="000000"/>
          <w:highlight w:val="black"/>
        </w:rPr>
        <w:t>''''''''''''''</w:t>
      </w:r>
      <w:r w:rsidRPr="006E72A7">
        <w:t>, November 2017 submission).</w:t>
      </w:r>
    </w:p>
    <w:p w:rsidR="00DA32E6" w:rsidRPr="006E72A7" w:rsidRDefault="00DA32E6" w:rsidP="005D43BF">
      <w:pPr>
        <w:pStyle w:val="ListParagraph"/>
        <w:widowControl/>
        <w:numPr>
          <w:ilvl w:val="1"/>
          <w:numId w:val="1"/>
        </w:numPr>
        <w:spacing w:before="120" w:after="120"/>
      </w:pPr>
      <w:r w:rsidRPr="006E72A7">
        <w:t>The resubmission proposed flat pricing between the dose strengths. This pricing structure remains unchanged from the November 2017 submission, however, no additional justification in terms of dose equivalence was provided in the resubmission.</w:t>
      </w:r>
    </w:p>
    <w:p w:rsidR="00DA32E6" w:rsidRPr="006E72A7" w:rsidRDefault="00DA32E6" w:rsidP="005D43BF">
      <w:pPr>
        <w:pStyle w:val="ListParagraph"/>
        <w:widowControl/>
        <w:numPr>
          <w:ilvl w:val="1"/>
          <w:numId w:val="1"/>
        </w:numPr>
        <w:spacing w:before="120" w:after="120"/>
        <w:rPr>
          <w:szCs w:val="24"/>
        </w:rPr>
      </w:pPr>
      <w:r w:rsidRPr="006E72A7">
        <w:t xml:space="preserve">The recommended starting dose in the product information is either 75 mg fortnightly or 300 mg every 4 weeks. Under the proposed listing, it is possible to administer the starting dose using either preparation (i.e. the 75 mg or 150 mg). </w:t>
      </w:r>
      <w:r w:rsidR="00C51399" w:rsidRPr="006E72A7">
        <w:rPr>
          <w:szCs w:val="24"/>
        </w:rPr>
        <w:t>If additional LDL reduction is required, the dosage may be adjusted to the maximum dosage of 150 mg once every 2 weeks.</w:t>
      </w:r>
    </w:p>
    <w:p w:rsidR="00591957" w:rsidRPr="006E72A7" w:rsidRDefault="00EB6045" w:rsidP="005D43BF">
      <w:pPr>
        <w:pStyle w:val="ListParagraph"/>
        <w:widowControl/>
        <w:numPr>
          <w:ilvl w:val="1"/>
          <w:numId w:val="1"/>
        </w:numPr>
        <w:spacing w:before="120" w:after="120"/>
      </w:pPr>
      <w:r w:rsidRPr="006E72A7">
        <w:t xml:space="preserve">The full restrictions also include treatment criteria identifying patients with statin intolerance. This was defined as a trial of at least 2 statins at the maximum tolerated dose and documented clinically important treatment-related adverse events, which was consistent with the current evolocumab restriction for familial disease. </w:t>
      </w:r>
    </w:p>
    <w:p w:rsidR="00DA32E6" w:rsidRPr="006E72A7" w:rsidRDefault="00DA32E6" w:rsidP="005D43BF">
      <w:pPr>
        <w:pStyle w:val="ListParagraph"/>
        <w:widowControl/>
        <w:numPr>
          <w:ilvl w:val="1"/>
          <w:numId w:val="1"/>
        </w:numPr>
        <w:spacing w:before="120" w:after="120"/>
      </w:pPr>
      <w:r w:rsidRPr="006E72A7">
        <w:t xml:space="preserve">The requested restriction narrows the eligible population to a small subset of patients with higher overall cardiovascular risk (i.e. </w:t>
      </w:r>
      <w:r w:rsidR="00394DDB" w:rsidRPr="006E72A7">
        <w:t>he-FH</w:t>
      </w:r>
      <w:r w:rsidRPr="006E72A7">
        <w:t xml:space="preserve"> </w:t>
      </w:r>
      <w:r w:rsidR="00404390">
        <w:t>with lipid levels that are inadequately controlled and/or atherosclerotic cardiovascular disease</w:t>
      </w:r>
      <w:r w:rsidRPr="006E72A7">
        <w:t xml:space="preserve">; or </w:t>
      </w:r>
      <w:r w:rsidR="00394DDB" w:rsidRPr="006E72A7">
        <w:t>non-FH</w:t>
      </w:r>
      <w:r w:rsidRPr="006E72A7">
        <w:t xml:space="preserve"> with </w:t>
      </w:r>
      <w:r w:rsidR="00166A66" w:rsidRPr="006E72A7">
        <w:t xml:space="preserve">prior </w:t>
      </w:r>
      <w:r w:rsidR="00EE29DB">
        <w:t>ACS</w:t>
      </w:r>
      <w:r w:rsidR="00166A66" w:rsidRPr="006E72A7">
        <w:t xml:space="preserve"> AND diabetes</w:t>
      </w:r>
      <w:r w:rsidRPr="006E72A7">
        <w:t xml:space="preserve">) compared with the TGA approved indication which covers a broader hypercholesterolaemia population (i.e. </w:t>
      </w:r>
      <w:r w:rsidR="00EE29DB">
        <w:t>he-FH</w:t>
      </w:r>
      <w:r w:rsidRPr="006E72A7">
        <w:t xml:space="preserve"> OR non-familial clinical atherosclerotic cardiovascular disease).</w:t>
      </w:r>
    </w:p>
    <w:p w:rsidR="00DA32E6" w:rsidRPr="006E72A7" w:rsidRDefault="00166A66" w:rsidP="005D43BF">
      <w:pPr>
        <w:pStyle w:val="ListParagraph"/>
        <w:widowControl/>
        <w:numPr>
          <w:ilvl w:val="1"/>
          <w:numId w:val="1"/>
        </w:numPr>
        <w:spacing w:before="120" w:after="120"/>
      </w:pPr>
      <w:r w:rsidRPr="006E72A7">
        <w:t>There is potential for alirocumab to be used outside the approved TGA indication in patients with homozygous familial hypercholesterolaemia as the clinical criterion</w:t>
      </w:r>
      <w:r w:rsidR="007F0D0F" w:rsidRPr="006E72A7">
        <w:t xml:space="preserve"> of a Dutch Lipid Clinic Network Score of at least 6</w:t>
      </w:r>
      <w:r w:rsidRPr="006E72A7">
        <w:t xml:space="preserve"> does not differentiate between homozygous and heterozygous disease. There are ongoing trials for alirocumab 150 mg fortnightly only in adults and children/adolescents with homozygous familial hypercholesterolaemia (ODYSSEY HoFH expected completion January 2019; NCT03510715, expected completion June 2020).</w:t>
      </w:r>
      <w:r w:rsidR="00C51399" w:rsidRPr="006E72A7">
        <w:t xml:space="preserve"> The ESC </w:t>
      </w:r>
      <w:r w:rsidR="00A26449" w:rsidRPr="006E72A7">
        <w:t xml:space="preserve">considered there would not be significant prescriber confusion and the </w:t>
      </w:r>
      <w:r w:rsidR="00EC2763" w:rsidRPr="006E72A7">
        <w:t xml:space="preserve">risk of </w:t>
      </w:r>
      <w:r w:rsidR="00C51399" w:rsidRPr="006E72A7">
        <w:t xml:space="preserve">use in homozygous </w:t>
      </w:r>
      <w:r w:rsidR="00B642FB" w:rsidRPr="006E72A7">
        <w:t>patients</w:t>
      </w:r>
      <w:r w:rsidR="00C51399" w:rsidRPr="006E72A7">
        <w:t xml:space="preserve"> </w:t>
      </w:r>
      <w:r w:rsidR="00A26449" w:rsidRPr="006E72A7">
        <w:t>was</w:t>
      </w:r>
      <w:r w:rsidR="00C51399" w:rsidRPr="006E72A7">
        <w:t xml:space="preserve"> small, given the </w:t>
      </w:r>
      <w:r w:rsidR="00EC2763" w:rsidRPr="006E72A7">
        <w:t>low patient numbers and the PBS indication specifying ‘heterozygous’ patients.</w:t>
      </w:r>
    </w:p>
    <w:p w:rsidR="004E43B2" w:rsidRPr="006E72A7" w:rsidRDefault="00166A66" w:rsidP="005D43BF">
      <w:pPr>
        <w:pStyle w:val="ListParagraph"/>
        <w:widowControl/>
        <w:numPr>
          <w:ilvl w:val="1"/>
          <w:numId w:val="1"/>
        </w:numPr>
        <w:spacing w:before="120" w:after="120"/>
      </w:pPr>
      <w:r w:rsidRPr="006E72A7">
        <w:t xml:space="preserve">The resubmission </w:t>
      </w:r>
      <w:r w:rsidR="00404390">
        <w:t>used the subset</w:t>
      </w:r>
      <w:r w:rsidRPr="006E72A7">
        <w:t xml:space="preserve"> of </w:t>
      </w:r>
      <w:r w:rsidR="00394DDB" w:rsidRPr="006E72A7">
        <w:t>non-FH</w:t>
      </w:r>
      <w:r w:rsidRPr="006E72A7">
        <w:t xml:space="preserve"> patients with previous ACS and diabetes </w:t>
      </w:r>
      <w:r w:rsidR="00404390">
        <w:t xml:space="preserve">as the subpopulation at higher risk of cardiovascular events, without providing adequate justification for this subgroup, </w:t>
      </w:r>
      <w:r w:rsidRPr="006E72A7">
        <w:t>given there are other subpopulations who are also at high risk of cardiovascular events. The current PBS listing for ezetimibe identifies other subgroups with high cardiovascular risk including patients with cerebrovascular disease, Aboriginal and Torres Strait Islanders with diabetes and patients with a family history of coronary heart disease.</w:t>
      </w:r>
      <w:r w:rsidR="00095421" w:rsidRPr="006E72A7">
        <w:t xml:space="preserve"> </w:t>
      </w:r>
      <w:r w:rsidR="002B6863">
        <w:t xml:space="preserve">The resubmission did not consider these other subgroups.  </w:t>
      </w:r>
      <w:r w:rsidR="00095421" w:rsidRPr="006E72A7">
        <w:t>Th</w:t>
      </w:r>
      <w:r w:rsidR="00710C10" w:rsidRPr="006E72A7">
        <w:t>e ESC considered the proposed listing</w:t>
      </w:r>
      <w:r w:rsidR="00095421" w:rsidRPr="006E72A7">
        <w:t xml:space="preserve"> for this population to be complex and advised that </w:t>
      </w:r>
      <w:r w:rsidR="00ED7EEA" w:rsidRPr="006E72A7">
        <w:t xml:space="preserve">the </w:t>
      </w:r>
      <w:r w:rsidR="00A26449" w:rsidRPr="006E72A7">
        <w:t>PB</w:t>
      </w:r>
      <w:r w:rsidR="00ED7EEA" w:rsidRPr="006E72A7">
        <w:t>A</w:t>
      </w:r>
      <w:r w:rsidR="00A26449" w:rsidRPr="006E72A7">
        <w:t xml:space="preserve">C consider whether other higher </w:t>
      </w:r>
      <w:r w:rsidR="00A26449" w:rsidRPr="006E72A7">
        <w:lastRenderedPageBreak/>
        <w:t xml:space="preserve">risk categories would better define the optimal population for intervention </w:t>
      </w:r>
      <w:r w:rsidR="00EC2763" w:rsidRPr="006E72A7">
        <w:t>across the PSCK9-inhibitor class of drugs</w:t>
      </w:r>
      <w:r w:rsidR="006E72A7">
        <w:t xml:space="preserve">. </w:t>
      </w:r>
    </w:p>
    <w:p w:rsidR="00166A66" w:rsidRPr="006E72A7" w:rsidRDefault="00717D85" w:rsidP="005D43BF">
      <w:pPr>
        <w:pStyle w:val="ListParagraph"/>
        <w:widowControl/>
        <w:numPr>
          <w:ilvl w:val="1"/>
          <w:numId w:val="1"/>
        </w:numPr>
        <w:spacing w:before="120" w:after="120"/>
      </w:pPr>
      <w:r w:rsidRPr="006E72A7">
        <w:t xml:space="preserve">The proposed LDL thresholds </w:t>
      </w:r>
      <w:r w:rsidR="00554B3F" w:rsidRPr="006E72A7">
        <w:t>for familial (</w:t>
      </w:r>
      <w:r w:rsidR="00554B3F" w:rsidRPr="006E72A7">
        <w:rPr>
          <w:rFonts w:cs="Calibri"/>
        </w:rPr>
        <w:t xml:space="preserve">≤ </w:t>
      </w:r>
      <w:r w:rsidR="00554B3F" w:rsidRPr="006E72A7">
        <w:t xml:space="preserve">3.3 or </w:t>
      </w:r>
      <w:r w:rsidR="00554B3F" w:rsidRPr="006E72A7">
        <w:rPr>
          <w:rFonts w:cs="Calibri"/>
        </w:rPr>
        <w:t xml:space="preserve">≤ 5 mmol/L; same as the current listing for evolocumab) and non-familial disease (&lt;2.6 mmol/L) </w:t>
      </w:r>
      <w:r w:rsidRPr="006E72A7">
        <w:t xml:space="preserve">are inconsistent with key trial evidence which generally used </w:t>
      </w:r>
      <w:r w:rsidR="003855FD" w:rsidRPr="006E72A7">
        <w:t>lower</w:t>
      </w:r>
      <w:r w:rsidRPr="006E72A7">
        <w:t xml:space="preserve"> LDL thresholds (the ODYSSEY OUTCOMES trial specified a qualifying LDL threshold of ≥1.8 mmol/L for patients with a recent </w:t>
      </w:r>
      <w:r w:rsidR="00EE29DB">
        <w:t>ACS</w:t>
      </w:r>
      <w:r w:rsidRPr="006E72A7">
        <w:t xml:space="preserve">). Current treatment guidelines </w:t>
      </w:r>
      <w:r w:rsidRPr="00DF157E">
        <w:t>typically suggest more aggressive treatment targets for patients with atherosclerotic disease (</w:t>
      </w:r>
      <w:r w:rsidR="00B1552E" w:rsidRPr="00DF157E">
        <w:t xml:space="preserve">e.g. </w:t>
      </w:r>
      <w:r w:rsidRPr="00DF157E">
        <w:t xml:space="preserve">LDL &lt; 1.8 mmol/L) and patients with familial hypercholesterolaemia </w:t>
      </w:r>
      <w:r w:rsidR="00484518" w:rsidRPr="00DF157E">
        <w:t>without atherosclerotic</w:t>
      </w:r>
      <w:r w:rsidR="00484518" w:rsidRPr="006E72A7">
        <w:t xml:space="preserve"> disease </w:t>
      </w:r>
      <w:r w:rsidRPr="006E72A7">
        <w:t>(LDL &lt; 2.6 mmol/L).</w:t>
      </w:r>
      <w:r w:rsidR="007F2DBF" w:rsidRPr="006E72A7">
        <w:t xml:space="preserve"> The ESC noted a potential gap exists for individuals who fail to achieve target LDL on a maximum tolerated dose statin</w:t>
      </w:r>
      <w:r w:rsidR="00ED7EEA" w:rsidRPr="006E72A7">
        <w:t xml:space="preserve"> and trial </w:t>
      </w:r>
      <w:r w:rsidR="00CF06C3" w:rsidRPr="006E72A7">
        <w:t>o</w:t>
      </w:r>
      <w:r w:rsidR="00ED7EEA" w:rsidRPr="006E72A7">
        <w:t>f</w:t>
      </w:r>
      <w:r w:rsidR="00CF06C3" w:rsidRPr="006E72A7">
        <w:t xml:space="preserve"> ezetim</w:t>
      </w:r>
      <w:r w:rsidR="00484518" w:rsidRPr="006E72A7">
        <w:t>i</w:t>
      </w:r>
      <w:r w:rsidR="00CF06C3" w:rsidRPr="006E72A7">
        <w:t>be</w:t>
      </w:r>
      <w:r w:rsidR="007F2DBF" w:rsidRPr="006E72A7">
        <w:t>, but who are not elig</w:t>
      </w:r>
      <w:r w:rsidR="00D775CB" w:rsidRPr="006E72A7">
        <w:t>i</w:t>
      </w:r>
      <w:r w:rsidR="007F2DBF" w:rsidRPr="006E72A7">
        <w:t xml:space="preserve">ble for alirocumab. </w:t>
      </w:r>
      <w:r w:rsidR="00484518" w:rsidRPr="006E72A7">
        <w:t>The ESC</w:t>
      </w:r>
      <w:r w:rsidR="00EC2763" w:rsidRPr="006E72A7">
        <w:t xml:space="preserve"> further noted that the chosen LDL thr</w:t>
      </w:r>
      <w:r w:rsidR="00CF06C3" w:rsidRPr="006E72A7">
        <w:t>e</w:t>
      </w:r>
      <w:r w:rsidR="00EC2763" w:rsidRPr="006E72A7">
        <w:t xml:space="preserve">sholds were defined based on </w:t>
      </w:r>
      <w:r w:rsidR="00484518" w:rsidRPr="006E72A7">
        <w:t xml:space="preserve">prior PBAC decisions (in regard to evolocumab in the ho-FH and he-FH populations) and </w:t>
      </w:r>
      <w:r w:rsidR="00EC2763" w:rsidRPr="006E72A7">
        <w:t xml:space="preserve">potential cost-effectiveness </w:t>
      </w:r>
      <w:r w:rsidR="00D775CB" w:rsidRPr="006E72A7">
        <w:t>and were not</w:t>
      </w:r>
      <w:r w:rsidR="00EC2763" w:rsidRPr="006E72A7">
        <w:t xml:space="preserve"> </w:t>
      </w:r>
      <w:r w:rsidR="00484518" w:rsidRPr="006E72A7">
        <w:t xml:space="preserve">guideline </w:t>
      </w:r>
      <w:r w:rsidR="00EC2763" w:rsidRPr="006E72A7">
        <w:t>driven.</w:t>
      </w:r>
    </w:p>
    <w:p w:rsidR="00DD4DF0" w:rsidRPr="006E72A7" w:rsidRDefault="00717D85" w:rsidP="005D43BF">
      <w:pPr>
        <w:pStyle w:val="ListParagraph"/>
        <w:widowControl/>
        <w:numPr>
          <w:ilvl w:val="1"/>
          <w:numId w:val="1"/>
        </w:numPr>
        <w:spacing w:before="120" w:after="120"/>
      </w:pPr>
      <w:r w:rsidRPr="006E72A7">
        <w:t xml:space="preserve">There are multiple differences between the PCSK9 inhibitors in terms of TGA approved indications, </w:t>
      </w:r>
      <w:r w:rsidR="00B404B0" w:rsidRPr="006E72A7">
        <w:t xml:space="preserve">and </w:t>
      </w:r>
      <w:r w:rsidRPr="006E72A7">
        <w:t xml:space="preserve">PBS requested restrictions that may be confusing to prescribers. </w:t>
      </w:r>
      <w:r w:rsidR="00EC2763" w:rsidRPr="006E72A7">
        <w:t>The ESC advised the t</w:t>
      </w:r>
      <w:r w:rsidRPr="006E72A7">
        <w:t>erminology used between the PCSK9 inhibitor restrictions should be consistent</w:t>
      </w:r>
      <w:r w:rsidR="00484518" w:rsidRPr="006E72A7">
        <w:t xml:space="preserve"> and that there was consistency in the restrictions between the PCSK9 inhibitors</w:t>
      </w:r>
      <w:r w:rsidR="00F97FC8">
        <w:t xml:space="preserve"> for the same indications</w:t>
      </w:r>
      <w:r w:rsidRPr="006E72A7">
        <w:t>.</w:t>
      </w:r>
      <w:r w:rsidR="00A719EE" w:rsidRPr="006E72A7">
        <w:t xml:space="preserve"> </w:t>
      </w:r>
    </w:p>
    <w:p w:rsidR="00DD4DF0" w:rsidRPr="006E72A7" w:rsidRDefault="00DD4DF0" w:rsidP="005D43BF">
      <w:pPr>
        <w:pStyle w:val="ListParagraph"/>
        <w:widowControl/>
        <w:spacing w:before="120" w:after="120"/>
        <w:rPr>
          <w:i/>
        </w:rPr>
      </w:pPr>
      <w:r w:rsidRPr="006E72A7">
        <w:rPr>
          <w:i/>
        </w:rPr>
        <w:t>For more detail on PBAC’s view, see section 7 PBAC outcome.</w:t>
      </w:r>
    </w:p>
    <w:p w:rsidR="00B50DB8" w:rsidRPr="006E72A7" w:rsidRDefault="00B50DB8" w:rsidP="005D43BF">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3" w:name="_Toc536003306"/>
      <w:r w:rsidRPr="006E72A7">
        <w:rPr>
          <w:rFonts w:asciiTheme="minorHAnsi" w:eastAsiaTheme="majorEastAsia" w:hAnsiTheme="minorHAnsi" w:cstheme="majorBidi"/>
          <w:caps w:val="0"/>
          <w:snapToGrid/>
          <w:szCs w:val="28"/>
        </w:rPr>
        <w:t>Background</w:t>
      </w:r>
      <w:bookmarkEnd w:id="3"/>
    </w:p>
    <w:p w:rsidR="00B60939" w:rsidRPr="006E72A7" w:rsidRDefault="00591957" w:rsidP="005D43BF">
      <w:pPr>
        <w:pStyle w:val="Heading2"/>
        <w:widowControl/>
        <w:spacing w:before="120" w:after="120"/>
      </w:pPr>
      <w:bookmarkStart w:id="4" w:name="_Toc536003307"/>
      <w:r w:rsidRPr="006E72A7">
        <w:t>Registration status</w:t>
      </w:r>
      <w:bookmarkEnd w:id="4"/>
    </w:p>
    <w:p w:rsidR="00364A8F" w:rsidRPr="006E72A7" w:rsidRDefault="00364A8F" w:rsidP="005D43BF">
      <w:pPr>
        <w:pStyle w:val="ListParagraph"/>
        <w:widowControl/>
        <w:numPr>
          <w:ilvl w:val="1"/>
          <w:numId w:val="1"/>
        </w:numPr>
        <w:spacing w:before="120" w:after="120"/>
      </w:pPr>
      <w:r w:rsidRPr="006E72A7">
        <w:t>Alirocumab was approved by the TGA on 17 May 2016 for the following indication:</w:t>
      </w:r>
    </w:p>
    <w:p w:rsidR="00364A8F" w:rsidRPr="006E72A7" w:rsidRDefault="00364A8F" w:rsidP="005D43BF">
      <w:pPr>
        <w:pStyle w:val="ListParagraph"/>
        <w:widowControl/>
        <w:spacing w:before="120" w:after="120"/>
      </w:pPr>
      <w:r w:rsidRPr="006E72A7">
        <w:t xml:space="preserve">As an adjunct to diet and exercise, in adults with one or more of: </w:t>
      </w:r>
      <w:r w:rsidR="00394DDB" w:rsidRPr="006E72A7">
        <w:t>he-FH</w:t>
      </w:r>
      <w:r w:rsidRPr="006E72A7">
        <w:t>, clinical atherosclerotic cardiovascular disease or hypercholesterolaemia with high or very high cardiovascular risk.</w:t>
      </w:r>
    </w:p>
    <w:p w:rsidR="00364A8F" w:rsidRPr="006E72A7" w:rsidRDefault="00364A8F" w:rsidP="005D43BF">
      <w:pPr>
        <w:pStyle w:val="ListParagraph"/>
        <w:widowControl/>
        <w:numPr>
          <w:ilvl w:val="0"/>
          <w:numId w:val="3"/>
        </w:numPr>
        <w:spacing w:before="120" w:after="120"/>
        <w:ind w:left="1134" w:hanging="425"/>
      </w:pPr>
      <w:r w:rsidRPr="006E72A7">
        <w:t>In combination with a statin, or statin with other lipid-lowering therapies in patients unable to reach LDL goals with a maximum tolerated dose of statin or,</w:t>
      </w:r>
    </w:p>
    <w:p w:rsidR="00A70B6D" w:rsidRPr="006E72A7" w:rsidRDefault="00364A8F" w:rsidP="005D43BF">
      <w:pPr>
        <w:pStyle w:val="ListParagraph"/>
        <w:widowControl/>
        <w:numPr>
          <w:ilvl w:val="0"/>
          <w:numId w:val="3"/>
        </w:numPr>
        <w:spacing w:before="120" w:after="120"/>
        <w:ind w:left="1134" w:hanging="425"/>
      </w:pPr>
      <w:r w:rsidRPr="006E72A7">
        <w:t>In combination with other lipid-lowering therapies in patients who are statin-intolerant or contraindicated who are unable to reach LDL goals.</w:t>
      </w:r>
    </w:p>
    <w:p w:rsidR="00364A8F" w:rsidRPr="006E72A7" w:rsidRDefault="00364A8F" w:rsidP="005D43BF">
      <w:pPr>
        <w:pStyle w:val="ListParagraph"/>
        <w:widowControl/>
        <w:spacing w:before="120" w:after="120"/>
      </w:pPr>
      <w:r w:rsidRPr="006E72A7">
        <w:t>The TGA indication notes that the effect of alirocumab on cardiovascular morbidity and mortality has not yet been determined.</w:t>
      </w:r>
    </w:p>
    <w:p w:rsidR="006F3A25" w:rsidRPr="006F3A25" w:rsidRDefault="00364A8F" w:rsidP="005D43BF">
      <w:pPr>
        <w:pStyle w:val="ListParagraph"/>
        <w:widowControl/>
        <w:numPr>
          <w:ilvl w:val="1"/>
          <w:numId w:val="1"/>
        </w:numPr>
        <w:spacing w:before="120" w:after="120"/>
      </w:pPr>
      <w:r w:rsidRPr="006F3A25">
        <w:t xml:space="preserve">The sponsor </w:t>
      </w:r>
      <w:r w:rsidR="00183FA4" w:rsidRPr="006F3A25">
        <w:t>was also</w:t>
      </w:r>
      <w:r w:rsidRPr="006F3A25">
        <w:t xml:space="preserve"> seeking a revision of the TGA indication to include a broader population</w:t>
      </w:r>
      <w:r w:rsidR="00183FA4" w:rsidRPr="006F3A25">
        <w:t xml:space="preserve"> at the time of this submission</w:t>
      </w:r>
      <w:r w:rsidRPr="006F3A25">
        <w:t xml:space="preserve">. </w:t>
      </w:r>
      <w:r w:rsidR="004F3FD6">
        <w:rPr>
          <w:noProof/>
          <w:color w:val="000000"/>
          <w:highlight w:val="black"/>
        </w:rPr>
        <w:t>''''''' '''''''''''''''''''''''''' '''''''''''' '''''''' ''''''' '''''''''''''''''' '''''''''''''' '''''''''''''''' ''''''' ''''''''''''''' ''''''''''''''''' '''' ''''''''''''' '''''''''''''' ''''''''' '''''''''''''' '''''''' ''''''''''''' '''''''''''''''''''''''''''' ''''''' '''' ''''''''''' ''''''' '''' ''''''''''''''''''''''''' '''' '''''''''''''''' '''''''' '''''' '''''''''''''''''''''''''''''''''''''''''''''''''' ''''' ''''''''''''' '''''''' ''''''''''''''''''''' ''''''''''''''''' ''' '''' '''''''''''''''</w:t>
      </w:r>
    </w:p>
    <w:p w:rsidR="006F3A25" w:rsidRPr="004F3FD6" w:rsidRDefault="004F3FD6" w:rsidP="005D43BF">
      <w:pPr>
        <w:pStyle w:val="ListParagraph"/>
        <w:widowControl/>
        <w:spacing w:before="120" w:after="120"/>
        <w:rPr>
          <w:highlight w:val="black"/>
          <w:u w:val="single"/>
        </w:rPr>
      </w:pPr>
      <w:r>
        <w:rPr>
          <w:noProof/>
          <w:color w:val="000000"/>
          <w:highlight w:val="black"/>
          <w:u w:val="single"/>
        </w:rPr>
        <w:t>'''''''''''''' ''''''''''''''''''''''''''''''''''''''''''''' ''''''' ''''''''''' '''''''''''''''''''''''''</w:t>
      </w:r>
    </w:p>
    <w:p w:rsidR="006F3A25" w:rsidRPr="004F3FD6" w:rsidRDefault="004F3FD6" w:rsidP="005D43BF">
      <w:pPr>
        <w:pStyle w:val="ListParagraph"/>
        <w:widowControl/>
        <w:spacing w:before="120" w:after="120"/>
        <w:rPr>
          <w:highlight w:val="black"/>
        </w:rPr>
      </w:pPr>
      <w:r>
        <w:rPr>
          <w:noProof/>
          <w:color w:val="000000"/>
          <w:highlight w:val="black"/>
        </w:rPr>
        <w:lastRenderedPageBreak/>
        <w:t>''''' ''''' ''''''''''''''' '''' '''''''' ''''''' ''''''''''''''' ''''' '''''''''''''' '''''''' '''' ''''''''''' ''''''''' ''''''''''''''''''''''''' '''''''''''''' ''''' '''''''''''''''' '''' ''''''''''' ''''''''''''''''''''''''''''</w:t>
      </w:r>
    </w:p>
    <w:p w:rsidR="006F3A25" w:rsidRPr="004F3FD6" w:rsidRDefault="004F3FD6" w:rsidP="005D43BF">
      <w:pPr>
        <w:widowControl/>
        <w:spacing w:before="120" w:after="120"/>
        <w:ind w:left="144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F3A25" w:rsidRPr="004F3FD6" w:rsidRDefault="004F3FD6" w:rsidP="005D43BF">
      <w:pPr>
        <w:widowControl/>
        <w:spacing w:before="120" w:after="120"/>
        <w:ind w:left="144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F3A25" w:rsidRPr="006F3A25" w:rsidRDefault="006F3A25" w:rsidP="005D43BF">
      <w:pPr>
        <w:pStyle w:val="ListParagraph"/>
        <w:widowControl/>
        <w:spacing w:before="120" w:after="120"/>
        <w:ind w:left="1440"/>
        <w:rPr>
          <w:sz w:val="16"/>
        </w:rPr>
      </w:pPr>
    </w:p>
    <w:p w:rsidR="006F3A25" w:rsidRPr="004F3FD6" w:rsidRDefault="004F3FD6" w:rsidP="005D43BF">
      <w:pPr>
        <w:pStyle w:val="ListParagraph"/>
        <w:widowControl/>
        <w:spacing w:before="120" w:after="120"/>
        <w:rPr>
          <w:highlight w:val="black"/>
          <w:u w:val="single"/>
        </w:rPr>
      </w:pPr>
      <w:r>
        <w:rPr>
          <w:noProof/>
          <w:color w:val="000000"/>
          <w:highlight w:val="black"/>
          <w:u w:val="single"/>
        </w:rPr>
        <w:t>''''''''''''''''''' '''' '''''''''''''''''''''''''' '''''''''''''</w:t>
      </w:r>
    </w:p>
    <w:p w:rsidR="006F3A25" w:rsidRPr="004F3FD6" w:rsidRDefault="004F3FD6" w:rsidP="005D43BF">
      <w:pPr>
        <w:widowControl/>
        <w:spacing w:before="120" w:after="120"/>
        <w:ind w:left="1434" w:hanging="35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F3A25" w:rsidRPr="004F3FD6" w:rsidRDefault="004F3FD6" w:rsidP="005D43BF">
      <w:pPr>
        <w:widowControl/>
        <w:spacing w:before="120" w:after="120"/>
        <w:ind w:left="1434" w:hanging="35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6F3A25" w:rsidRPr="004F3FD6" w:rsidRDefault="004F3FD6" w:rsidP="005D43BF">
      <w:pPr>
        <w:widowControl/>
        <w:spacing w:before="120" w:after="120"/>
        <w:ind w:left="1434" w:hanging="35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364A8F" w:rsidRPr="004F3FD6" w:rsidRDefault="004F3FD6" w:rsidP="005D43BF">
      <w:pPr>
        <w:pStyle w:val="ListParagraph"/>
        <w:widowControl/>
        <w:numPr>
          <w:ilvl w:val="1"/>
          <w:numId w:val="1"/>
        </w:numPr>
        <w:spacing w:before="120" w:after="120"/>
        <w:rPr>
          <w:highlight w:val="black"/>
        </w:rPr>
      </w:pPr>
      <w:r>
        <w:rPr>
          <w:noProof/>
          <w:color w:val="000000"/>
          <w:highlight w:val="black"/>
        </w:rPr>
        <w:t>''''''''''' '''''''''''''''' ''''''''''''''''''''''' '''''''' ''''''''''''''''' ''''' '''''' '''''''''''''''''' '''''''''''''''' '''''''''' '''''''' '''''''''''' ''''' ''''' '''''''' '''''''''' ''''' '''''''''' ''''''' ''''''''''''''''''''' ''''''''' '''''''''''''''''' ''''''' ''''''''''''''''' ''''''''''''''' '''''''' ''''''''''''''''' '''' ''''' '''''''''''''''''''''' ''''' '''''' ''''''''' '''' ''''''''''''''''''' ''''''''''''</w:t>
      </w:r>
      <w:r w:rsidR="006F3A25" w:rsidRPr="004F3FD6">
        <w:rPr>
          <w:highlight w:val="black"/>
        </w:rPr>
        <w:t xml:space="preserve"> </w:t>
      </w:r>
    </w:p>
    <w:p w:rsidR="00B033E5" w:rsidRPr="006E72A7" w:rsidRDefault="00B033E5" w:rsidP="005D43BF">
      <w:pPr>
        <w:pStyle w:val="Heading2"/>
        <w:widowControl/>
        <w:spacing w:before="120" w:after="120"/>
      </w:pPr>
      <w:bookmarkStart w:id="5" w:name="_Toc536003308"/>
      <w:r w:rsidRPr="006E72A7">
        <w:t>Previous PBAC consideration</w:t>
      </w:r>
      <w:bookmarkEnd w:id="5"/>
    </w:p>
    <w:p w:rsidR="00DD4DF0" w:rsidRPr="006E72A7" w:rsidRDefault="00364A8F" w:rsidP="005D43BF">
      <w:pPr>
        <w:pStyle w:val="ListParagraph"/>
        <w:widowControl/>
        <w:numPr>
          <w:ilvl w:val="1"/>
          <w:numId w:val="1"/>
        </w:numPr>
        <w:spacing w:before="120" w:after="120"/>
      </w:pPr>
      <w:r w:rsidRPr="006E72A7">
        <w:t xml:space="preserve">The outstanding matters of concerns from the previous November 2017 PBAC meeting </w:t>
      </w:r>
      <w:r w:rsidR="000D6949" w:rsidRPr="006E72A7">
        <w:t xml:space="preserve">(for </w:t>
      </w:r>
      <w:r w:rsidR="00394DDB" w:rsidRPr="006E72A7">
        <w:t>he-FH</w:t>
      </w:r>
      <w:r w:rsidR="000D6949" w:rsidRPr="006E72A7">
        <w:t xml:space="preserve">) </w:t>
      </w:r>
      <w:r w:rsidRPr="006E72A7">
        <w:t>are summarised in the table below.</w:t>
      </w:r>
    </w:p>
    <w:p w:rsidR="00DD4DF0" w:rsidRPr="006E72A7" w:rsidRDefault="00DD4DF0" w:rsidP="005D43BF">
      <w:pPr>
        <w:pStyle w:val="ListParagraph"/>
        <w:widowControl/>
        <w:spacing w:before="120" w:after="120"/>
        <w:rPr>
          <w:i/>
        </w:rPr>
      </w:pPr>
      <w:r w:rsidRPr="006E72A7">
        <w:rPr>
          <w:i/>
        </w:rPr>
        <w:t>For more detail on PBAC’s view, see section 7 PBAC outcome.</w:t>
      </w:r>
    </w:p>
    <w:p w:rsidR="00364A8F" w:rsidRPr="006E72A7" w:rsidRDefault="00364A8F" w:rsidP="00E02557">
      <w:pPr>
        <w:keepNext/>
        <w:widowControl/>
        <w:rPr>
          <w:rStyle w:val="CommentReference"/>
        </w:rPr>
      </w:pPr>
      <w:r w:rsidRPr="006E72A7">
        <w:rPr>
          <w:rStyle w:val="CommentReference"/>
        </w:rPr>
        <w:lastRenderedPageBreak/>
        <w:t>Table 2:  Summary of outstanding matters of concern</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utstanding matters of concern"/>
      </w:tblPr>
      <w:tblGrid>
        <w:gridCol w:w="4650"/>
        <w:gridCol w:w="4344"/>
      </w:tblGrid>
      <w:tr w:rsidR="00364A8F" w:rsidRPr="006E72A7" w:rsidTr="00B75F73">
        <w:trPr>
          <w:cantSplit/>
          <w:tblHeader/>
        </w:trPr>
        <w:tc>
          <w:tcPr>
            <w:tcW w:w="4650" w:type="dxa"/>
            <w:vAlign w:val="center"/>
          </w:tcPr>
          <w:p w:rsidR="00364A8F" w:rsidRPr="006E72A7" w:rsidRDefault="00364A8F" w:rsidP="00E02557">
            <w:pPr>
              <w:pStyle w:val="Tabletext"/>
              <w:jc w:val="center"/>
              <w:rPr>
                <w:b/>
                <w:highlight w:val="cyan"/>
              </w:rPr>
            </w:pPr>
            <w:r w:rsidRPr="006E72A7">
              <w:rPr>
                <w:b/>
              </w:rPr>
              <w:t>Matter of concern</w:t>
            </w:r>
          </w:p>
        </w:tc>
        <w:tc>
          <w:tcPr>
            <w:tcW w:w="4344" w:type="dxa"/>
            <w:vAlign w:val="center"/>
          </w:tcPr>
          <w:p w:rsidR="00364A8F" w:rsidRPr="006E72A7" w:rsidRDefault="00364A8F" w:rsidP="00E02557">
            <w:pPr>
              <w:pStyle w:val="Tabletext"/>
              <w:jc w:val="center"/>
              <w:rPr>
                <w:b/>
                <w:highlight w:val="cyan"/>
              </w:rPr>
            </w:pPr>
            <w:r w:rsidRPr="006E72A7">
              <w:rPr>
                <w:b/>
              </w:rPr>
              <w:t>How the resubmission addresses it</w:t>
            </w:r>
          </w:p>
        </w:tc>
      </w:tr>
      <w:tr w:rsidR="00364A8F" w:rsidRPr="006E72A7" w:rsidTr="00B75F73">
        <w:trPr>
          <w:cantSplit/>
        </w:trPr>
        <w:tc>
          <w:tcPr>
            <w:tcW w:w="4650" w:type="dxa"/>
            <w:vAlign w:val="center"/>
          </w:tcPr>
          <w:p w:rsidR="00364A8F" w:rsidRPr="006E72A7" w:rsidRDefault="00F30C09" w:rsidP="00E02557">
            <w:pPr>
              <w:pStyle w:val="Tabletext"/>
            </w:pPr>
            <w:r w:rsidRPr="006E72A7">
              <w:t>The PBAC did not recommend alirocumab for patients with familial hypercholesterolaemia (FH) and clinical atherosclerotic cardiovascular disease (ASCVD) on the basis of a very high and uncertain incremental cost effectiveness ratio and uncertainty around the size of the patient popu</w:t>
            </w:r>
            <w:r w:rsidR="000D6949" w:rsidRPr="006E72A7">
              <w:t>lation and financial estimates [7.1 November 2017 PSD]</w:t>
            </w:r>
          </w:p>
        </w:tc>
        <w:tc>
          <w:tcPr>
            <w:tcW w:w="4344" w:type="dxa"/>
            <w:vAlign w:val="center"/>
          </w:tcPr>
          <w:p w:rsidR="00364A8F" w:rsidRPr="006E72A7" w:rsidRDefault="000D6949" w:rsidP="00E02557">
            <w:pPr>
              <w:pStyle w:val="Tabletext"/>
              <w:rPr>
                <w:szCs w:val="20"/>
              </w:rPr>
            </w:pPr>
            <w:r w:rsidRPr="006E72A7">
              <w:rPr>
                <w:szCs w:val="20"/>
              </w:rPr>
              <w:t>The resubmission proposed a reduction in the effective price of alirocumab from $</w:t>
            </w:r>
            <w:r w:rsidR="004F3FD6">
              <w:rPr>
                <w:noProof/>
                <w:color w:val="000000"/>
                <w:szCs w:val="20"/>
                <w:highlight w:val="black"/>
              </w:rPr>
              <w:t>''''''''''''''''</w:t>
            </w:r>
            <w:r w:rsidRPr="006E72A7">
              <w:rPr>
                <w:szCs w:val="20"/>
              </w:rPr>
              <w:t xml:space="preserve"> (based on a </w:t>
            </w:r>
            <w:r w:rsidR="004F3FD6">
              <w:rPr>
                <w:noProof/>
                <w:color w:val="000000"/>
                <w:szCs w:val="20"/>
                <w:highlight w:val="black"/>
              </w:rPr>
              <w:t>''''''''''''''</w:t>
            </w:r>
            <w:r w:rsidRPr="006E72A7">
              <w:rPr>
                <w:szCs w:val="20"/>
              </w:rPr>
              <w:t>% rebate from the November 2017 published price $</w:t>
            </w:r>
            <w:r w:rsidR="004F3FD6">
              <w:rPr>
                <w:noProof/>
                <w:color w:val="000000"/>
                <w:szCs w:val="20"/>
                <w:highlight w:val="black"/>
              </w:rPr>
              <w:t>'''''''''''''''''</w:t>
            </w:r>
            <w:r w:rsidRPr="006E72A7">
              <w:rPr>
                <w:szCs w:val="20"/>
              </w:rPr>
              <w:t>) to $</w:t>
            </w:r>
            <w:r w:rsidR="004F3FD6">
              <w:rPr>
                <w:noProof/>
                <w:color w:val="000000"/>
                <w:szCs w:val="20"/>
                <w:highlight w:val="black"/>
              </w:rPr>
              <w:t>''''''''''''''''''</w:t>
            </w:r>
            <w:r w:rsidRPr="006E72A7">
              <w:rPr>
                <w:szCs w:val="20"/>
              </w:rPr>
              <w:t xml:space="preserve"> (based on a </w:t>
            </w:r>
            <w:r w:rsidR="004F3FD6">
              <w:rPr>
                <w:noProof/>
                <w:color w:val="000000"/>
                <w:szCs w:val="20"/>
                <w:highlight w:val="black"/>
              </w:rPr>
              <w:t>''''''''''''</w:t>
            </w:r>
            <w:r w:rsidRPr="006E72A7">
              <w:rPr>
                <w:szCs w:val="20"/>
              </w:rPr>
              <w:t>% rebate from the published price $</w:t>
            </w:r>
            <w:r w:rsidR="004F3FD6">
              <w:rPr>
                <w:noProof/>
                <w:color w:val="000000"/>
                <w:szCs w:val="20"/>
                <w:highlight w:val="black"/>
              </w:rPr>
              <w:t>''''''''''''''''</w:t>
            </w:r>
            <w:r w:rsidRPr="006E72A7">
              <w:rPr>
                <w:szCs w:val="20"/>
              </w:rPr>
              <w:t>).</w:t>
            </w:r>
          </w:p>
          <w:p w:rsidR="0058144F" w:rsidRPr="006E72A7" w:rsidRDefault="0058144F" w:rsidP="00E02557">
            <w:pPr>
              <w:pStyle w:val="Tabletext"/>
              <w:rPr>
                <w:szCs w:val="20"/>
              </w:rPr>
            </w:pPr>
          </w:p>
          <w:p w:rsidR="0058144F" w:rsidRPr="006E72A7" w:rsidRDefault="0058144F" w:rsidP="00E02557">
            <w:pPr>
              <w:pStyle w:val="Tabletext"/>
              <w:rPr>
                <w:szCs w:val="20"/>
                <w:highlight w:val="cyan"/>
              </w:rPr>
            </w:pPr>
            <w:r w:rsidRPr="006E72A7">
              <w:rPr>
                <w:szCs w:val="20"/>
              </w:rPr>
              <w:t>The resubmission conducted a cost-minimisation analysis versus evolocumab</w:t>
            </w:r>
            <w:r w:rsidR="006A333C" w:rsidRPr="006E72A7">
              <w:rPr>
                <w:szCs w:val="20"/>
              </w:rPr>
              <w:t xml:space="preserve"> for FH</w:t>
            </w:r>
            <w:r w:rsidRPr="006E72A7">
              <w:rPr>
                <w:szCs w:val="20"/>
              </w:rPr>
              <w:t xml:space="preserve">. </w:t>
            </w:r>
          </w:p>
        </w:tc>
      </w:tr>
      <w:tr w:rsidR="00EA1558" w:rsidRPr="006E72A7" w:rsidTr="00B75F73">
        <w:trPr>
          <w:cantSplit/>
        </w:trPr>
        <w:tc>
          <w:tcPr>
            <w:tcW w:w="4650" w:type="dxa"/>
            <w:vAlign w:val="center"/>
          </w:tcPr>
          <w:p w:rsidR="00EA1558" w:rsidRPr="006E72A7" w:rsidRDefault="00EA1558" w:rsidP="00E02557">
            <w:pPr>
              <w:pStyle w:val="Tabletext"/>
            </w:pPr>
            <w:r w:rsidRPr="006E72A7">
              <w:t>There is a high unmet clinical need for additional effective therapy for patients with FH and ASCVD. The optimal dosing and up titration of statins remains a major QUM issue [7.2 November 2017 PSD]</w:t>
            </w:r>
          </w:p>
        </w:tc>
        <w:tc>
          <w:tcPr>
            <w:tcW w:w="4344" w:type="dxa"/>
            <w:vMerge w:val="restart"/>
            <w:vAlign w:val="center"/>
          </w:tcPr>
          <w:p w:rsidR="00EA1558" w:rsidRPr="006E72A7" w:rsidRDefault="00EA1558" w:rsidP="00E02557">
            <w:pPr>
              <w:pStyle w:val="Tabletext"/>
            </w:pPr>
            <w:r w:rsidRPr="006E72A7">
              <w:t xml:space="preserve">The resubmission has revised the requested restriction </w:t>
            </w:r>
            <w:r w:rsidR="00F900A6" w:rsidRPr="006E72A7">
              <w:t xml:space="preserve">for FH </w:t>
            </w:r>
            <w:r w:rsidRPr="006E72A7">
              <w:t>to align with the current listing for evolocumab (updated LDL qualifying thresholds, diagnostic criteria, statin intolerance and use of alirocumab as monotherapy).</w:t>
            </w:r>
          </w:p>
          <w:p w:rsidR="00F900A6" w:rsidRPr="006E72A7" w:rsidRDefault="00F900A6" w:rsidP="00E02557">
            <w:pPr>
              <w:pStyle w:val="Tabletext"/>
              <w:rPr>
                <w:highlight w:val="cyan"/>
              </w:rPr>
            </w:pPr>
            <w:r w:rsidRPr="006E72A7">
              <w:t xml:space="preserve">The requested listing for non-FH </w:t>
            </w:r>
            <w:r w:rsidR="00EC114C" w:rsidRPr="006E72A7">
              <w:t>patients</w:t>
            </w:r>
            <w:r w:rsidRPr="006E72A7">
              <w:t xml:space="preserve"> was for </w:t>
            </w:r>
            <w:r w:rsidR="00EC114C" w:rsidRPr="006E72A7">
              <w:t>patients</w:t>
            </w:r>
            <w:r w:rsidRPr="006E72A7">
              <w:t xml:space="preserve"> with ACS and diabetes. In the July 2018 rejection of </w:t>
            </w:r>
            <w:r w:rsidR="00EC114C" w:rsidRPr="006E72A7">
              <w:t>evolocumab</w:t>
            </w:r>
            <w:r w:rsidRPr="006E72A7">
              <w:t xml:space="preserve"> in non-FH, the ESC noted high risk subgroups (e.g. those with more recent MI, multiple prior MIs and residual multi-vessel coronary artery disease) identified in a published analysis of the FOURIER trial (Sabatine, 2018) as likely to receive a greater benefit from treatment with evolocumab [2.7 July 2018 PSD, evolocumab].</w:t>
            </w:r>
            <w:r w:rsidR="006020D6" w:rsidRPr="006E72A7">
              <w:t xml:space="preserve"> Also, </w:t>
            </w:r>
            <w:r w:rsidR="00ED099F" w:rsidRPr="006E72A7">
              <w:t xml:space="preserve">the </w:t>
            </w:r>
            <w:r w:rsidR="006020D6" w:rsidRPr="006E72A7">
              <w:t>current PBS listing for ezetimibe identifies other subgroups with high cardiovascular risk including patients with cerebrovascular disease, Aboriginal and Torres Strait Islanders with diabetes and patients with a family history of coronary heart disease.</w:t>
            </w:r>
          </w:p>
        </w:tc>
      </w:tr>
      <w:tr w:rsidR="00EA1558" w:rsidRPr="006E72A7" w:rsidTr="00B75F73">
        <w:trPr>
          <w:cantSplit/>
        </w:trPr>
        <w:tc>
          <w:tcPr>
            <w:tcW w:w="4650" w:type="dxa"/>
            <w:vAlign w:val="center"/>
          </w:tcPr>
          <w:p w:rsidR="00EA1558" w:rsidRPr="006E72A7" w:rsidRDefault="00EA1558" w:rsidP="00E02557">
            <w:pPr>
              <w:pStyle w:val="Tabletext"/>
            </w:pPr>
            <w:r w:rsidRPr="006E72A7">
              <w:t>The proposed Authority Required (written) restriction was complex as there are multiple considerations required to define a potentially cost-effective population. Key issues include diagnostic criteria, LDL qualifying thresholds, definition of atherosclerotic disease, definition of statin intolerance and use of alirocumab as monotherapy [7.3 November 2017 PSD]</w:t>
            </w:r>
          </w:p>
        </w:tc>
        <w:tc>
          <w:tcPr>
            <w:tcW w:w="4344" w:type="dxa"/>
            <w:vMerge/>
            <w:vAlign w:val="center"/>
          </w:tcPr>
          <w:p w:rsidR="00EA1558" w:rsidRPr="006E72A7" w:rsidRDefault="00EA1558" w:rsidP="00E02557">
            <w:pPr>
              <w:pStyle w:val="Tabletext"/>
              <w:rPr>
                <w:highlight w:val="cyan"/>
              </w:rPr>
            </w:pPr>
          </w:p>
        </w:tc>
      </w:tr>
      <w:tr w:rsidR="00364A8F" w:rsidRPr="006E72A7" w:rsidTr="00B75F73">
        <w:trPr>
          <w:cantSplit/>
        </w:trPr>
        <w:tc>
          <w:tcPr>
            <w:tcW w:w="4650" w:type="dxa"/>
            <w:vAlign w:val="center"/>
          </w:tcPr>
          <w:p w:rsidR="00364A8F" w:rsidRPr="006E72A7" w:rsidRDefault="000D6949" w:rsidP="00E02557">
            <w:pPr>
              <w:pStyle w:val="Tabletext"/>
            </w:pPr>
            <w:r w:rsidRPr="006E72A7">
              <w:t>The nominated comparator</w:t>
            </w:r>
            <w:r w:rsidR="0058144F" w:rsidRPr="006E72A7">
              <w:t>s of ezetimibe and placebo were</w:t>
            </w:r>
            <w:r w:rsidRPr="006E72A7">
              <w:t xml:space="preserve"> appropriate. The PBAC also considered a secondary comparison with evolocumab as a near market compara</w:t>
            </w:r>
            <w:r w:rsidR="0058144F" w:rsidRPr="006E72A7">
              <w:t>tor would have been informative [7.4 November 2017 PSD]</w:t>
            </w:r>
          </w:p>
        </w:tc>
        <w:tc>
          <w:tcPr>
            <w:tcW w:w="4344" w:type="dxa"/>
            <w:vAlign w:val="center"/>
          </w:tcPr>
          <w:p w:rsidR="007858BC" w:rsidRPr="006E72A7" w:rsidRDefault="00EA1558" w:rsidP="00E02557">
            <w:pPr>
              <w:pStyle w:val="Tabletext"/>
            </w:pPr>
            <w:r w:rsidRPr="006E72A7">
              <w:t>The resubmission proposed evolocumab as the main comparator</w:t>
            </w:r>
            <w:r w:rsidR="007858BC" w:rsidRPr="006E72A7">
              <w:t xml:space="preserve"> for FH</w:t>
            </w:r>
            <w:r w:rsidRPr="006E72A7">
              <w:t>.</w:t>
            </w:r>
          </w:p>
          <w:p w:rsidR="00364A8F" w:rsidRPr="006E72A7" w:rsidRDefault="007858BC" w:rsidP="00F41CA1">
            <w:pPr>
              <w:pStyle w:val="Tabletext"/>
            </w:pPr>
            <w:r w:rsidRPr="006E72A7">
              <w:t xml:space="preserve">The </w:t>
            </w:r>
            <w:r w:rsidR="00554B3F" w:rsidRPr="006E72A7">
              <w:t>resubmission</w:t>
            </w:r>
            <w:r w:rsidRPr="006E72A7">
              <w:t xml:space="preserve"> nominated </w:t>
            </w:r>
            <w:r w:rsidR="00EC114C" w:rsidRPr="006E72A7">
              <w:t>placebo as</w:t>
            </w:r>
            <w:r w:rsidR="00554B3F" w:rsidRPr="006E72A7">
              <w:t xml:space="preserve"> the</w:t>
            </w:r>
            <w:r w:rsidRPr="006E72A7">
              <w:t xml:space="preserve"> main comparator for non-FH.</w:t>
            </w:r>
            <w:r w:rsidR="00EA1558" w:rsidRPr="006E72A7">
              <w:t xml:space="preserve"> </w:t>
            </w:r>
            <w:r w:rsidR="00B404B0" w:rsidRPr="006E72A7">
              <w:t>An ITC against evolocumab was</w:t>
            </w:r>
            <w:r w:rsidR="00F41CA1" w:rsidRPr="006E72A7">
              <w:t xml:space="preserve"> </w:t>
            </w:r>
            <w:r w:rsidR="00B404B0" w:rsidRPr="006E72A7">
              <w:t>performed.</w:t>
            </w:r>
          </w:p>
        </w:tc>
      </w:tr>
      <w:tr w:rsidR="0058144F" w:rsidRPr="006E72A7" w:rsidTr="00B75F73">
        <w:trPr>
          <w:cantSplit/>
        </w:trPr>
        <w:tc>
          <w:tcPr>
            <w:tcW w:w="4650" w:type="dxa"/>
            <w:vAlign w:val="center"/>
          </w:tcPr>
          <w:p w:rsidR="0058144F" w:rsidRPr="006E72A7" w:rsidRDefault="0058144F" w:rsidP="00E02557">
            <w:pPr>
              <w:pStyle w:val="Tabletext"/>
            </w:pPr>
            <w:r w:rsidRPr="006E72A7">
              <w:t>The key clinical trial evidence based</w:t>
            </w:r>
            <w:r w:rsidR="00692B3B" w:rsidRPr="006E72A7">
              <w:t xml:space="preserve"> on</w:t>
            </w:r>
            <w:r w:rsidRPr="006E72A7">
              <w:t xml:space="preserve"> lipid trials comparing alirocumab with placebo or </w:t>
            </w:r>
            <w:r w:rsidR="00EC114C" w:rsidRPr="006E72A7">
              <w:t>ezetimibe</w:t>
            </w:r>
            <w:r w:rsidRPr="006E72A7">
              <w:t xml:space="preserve"> provided robust data to support superior efficacy of alirocumab based on this surrogate, but no direct evidence for cardiovascular outcomes. The PBAC noted subgroup analyses suggested potential treatment effect modifiers (particularly by up-titration status), although no consistent treatment effect modification was seen [7.5 November 2017 PSD]</w:t>
            </w:r>
          </w:p>
        </w:tc>
        <w:tc>
          <w:tcPr>
            <w:tcW w:w="4344" w:type="dxa"/>
            <w:vMerge w:val="restart"/>
            <w:vAlign w:val="center"/>
          </w:tcPr>
          <w:p w:rsidR="0058144F" w:rsidRPr="006E72A7" w:rsidRDefault="0058144F" w:rsidP="00E02557">
            <w:pPr>
              <w:pStyle w:val="Tabletext"/>
            </w:pPr>
            <w:r w:rsidRPr="006E72A7">
              <w:t>The resubmission presented cardiovascular outcome data with alirocumab versus placebo from the ODYSSEY OUTCOMES trial.</w:t>
            </w:r>
          </w:p>
          <w:p w:rsidR="0058144F" w:rsidRPr="006E72A7" w:rsidRDefault="0058144F" w:rsidP="00E02557">
            <w:pPr>
              <w:pStyle w:val="Tabletext"/>
            </w:pPr>
          </w:p>
          <w:p w:rsidR="0058144F" w:rsidRPr="006E72A7" w:rsidRDefault="0058144F" w:rsidP="00E02557">
            <w:pPr>
              <w:pStyle w:val="Tabletext"/>
              <w:rPr>
                <w:highlight w:val="cyan"/>
              </w:rPr>
            </w:pPr>
            <w:r w:rsidRPr="006E72A7">
              <w:t xml:space="preserve">The resubmission presented an indirect comparison of alirocumab and evolocumab based on the ODYSSEY OUTCOMES and FOURIER trials. Supportive analyses were presented based on an indirect comparison of lipid trials of alirocumab and evolocumab in familial hypercholesterolaemia populations. </w:t>
            </w:r>
          </w:p>
        </w:tc>
      </w:tr>
      <w:tr w:rsidR="0058144F" w:rsidRPr="006E72A7" w:rsidTr="00B75F73">
        <w:trPr>
          <w:cantSplit/>
        </w:trPr>
        <w:tc>
          <w:tcPr>
            <w:tcW w:w="4650" w:type="dxa"/>
            <w:vAlign w:val="center"/>
          </w:tcPr>
          <w:p w:rsidR="0058144F" w:rsidRPr="006E72A7" w:rsidRDefault="00EA1558" w:rsidP="00E02557">
            <w:pPr>
              <w:pStyle w:val="Tabletext"/>
            </w:pPr>
            <w:r w:rsidRPr="006E72A7">
              <w:t>T</w:t>
            </w:r>
            <w:r w:rsidR="0058144F" w:rsidRPr="006E72A7">
              <w:t>he ODYSSEY OUTCOMES trial is a large (n=18</w:t>
            </w:r>
            <w:r w:rsidRPr="006E72A7">
              <w:t>,600) cardiovascular outcomes trial</w:t>
            </w:r>
            <w:r w:rsidR="0058144F" w:rsidRPr="006E72A7">
              <w:t xml:space="preserve"> in hypercholesterolaemia </w:t>
            </w:r>
            <w:r w:rsidRPr="006E72A7">
              <w:t xml:space="preserve">patients </w:t>
            </w:r>
            <w:r w:rsidR="0058144F" w:rsidRPr="006E72A7">
              <w:t>who have recently experienced acute coronary syndrome and are on background statin therapy. The results of this trial would provide additional clarity about the extent of cardiovascular benefit relative to their higher cost for this potentially widely used new therapy. The PBAC further considered an indirect comparison of alirocumab and evolocumab would be informative and could be performed using the ODYSSEY OUTCOMES and FOURIER trials [7.6 November 2017 PSD]</w:t>
            </w:r>
          </w:p>
        </w:tc>
        <w:tc>
          <w:tcPr>
            <w:tcW w:w="4344" w:type="dxa"/>
            <w:vMerge/>
            <w:vAlign w:val="center"/>
          </w:tcPr>
          <w:p w:rsidR="0058144F" w:rsidRPr="006E72A7" w:rsidRDefault="0058144F" w:rsidP="00E02557">
            <w:pPr>
              <w:pStyle w:val="Tabletext"/>
            </w:pPr>
          </w:p>
        </w:tc>
      </w:tr>
      <w:tr w:rsidR="0058144F" w:rsidRPr="006E72A7" w:rsidTr="00B75F73">
        <w:trPr>
          <w:cantSplit/>
        </w:trPr>
        <w:tc>
          <w:tcPr>
            <w:tcW w:w="4650" w:type="dxa"/>
            <w:vAlign w:val="center"/>
          </w:tcPr>
          <w:p w:rsidR="0058144F" w:rsidRPr="006E72A7" w:rsidRDefault="0058144F" w:rsidP="00E02557">
            <w:pPr>
              <w:pStyle w:val="Tabletext"/>
            </w:pPr>
            <w:r w:rsidRPr="006E72A7">
              <w:lastRenderedPageBreak/>
              <w:t xml:space="preserve">The PBAC noted there are limited safety data beyond 18 months for alirocumab. Longer-term safety results are expected from the ODYSSEY OLE open-label extension study </w:t>
            </w:r>
            <w:r w:rsidR="00EA1558" w:rsidRPr="006E72A7">
              <w:t xml:space="preserve">and the ODYSSEY OUTCOMES trial </w:t>
            </w:r>
            <w:r w:rsidRPr="006E72A7">
              <w:t>[7.7 November 2017 PSD]</w:t>
            </w:r>
          </w:p>
        </w:tc>
        <w:tc>
          <w:tcPr>
            <w:tcW w:w="4344" w:type="dxa"/>
            <w:vAlign w:val="center"/>
          </w:tcPr>
          <w:p w:rsidR="0058144F" w:rsidRPr="006E72A7" w:rsidRDefault="00EA1558" w:rsidP="00E02557">
            <w:pPr>
              <w:pStyle w:val="Tabletext"/>
              <w:rPr>
                <w:highlight w:val="cyan"/>
              </w:rPr>
            </w:pPr>
            <w:r w:rsidRPr="006E72A7">
              <w:t xml:space="preserve">The resubmission presented safety data from the ODYSSEY OLE extension study and the ODYSSEY OUTCOMES trial. </w:t>
            </w:r>
          </w:p>
        </w:tc>
      </w:tr>
      <w:tr w:rsidR="0058144F" w:rsidRPr="006E72A7" w:rsidTr="00B75F73">
        <w:trPr>
          <w:cantSplit/>
        </w:trPr>
        <w:tc>
          <w:tcPr>
            <w:tcW w:w="4650" w:type="dxa"/>
            <w:vAlign w:val="center"/>
          </w:tcPr>
          <w:p w:rsidR="0058144F" w:rsidRPr="006E72A7" w:rsidRDefault="0058144F" w:rsidP="00E02557">
            <w:pPr>
              <w:pStyle w:val="Tabletext"/>
            </w:pPr>
            <w:r w:rsidRPr="006E72A7">
              <w:t>The PBAC noted the difficulties in estimating the eligible HeFH population and uptake as outlined by the DUSC and considered revised financial estimates would be required that take into account the issues raised from DUSC. The PBAC also considered a risk-share arrangement would be required that incorporates a cap on financial estimates to account for potential use in the non-FH population [7.9 November 2017 PSD]</w:t>
            </w:r>
          </w:p>
        </w:tc>
        <w:tc>
          <w:tcPr>
            <w:tcW w:w="4344" w:type="dxa"/>
            <w:vAlign w:val="center"/>
          </w:tcPr>
          <w:p w:rsidR="0058144F" w:rsidRPr="006E72A7" w:rsidRDefault="00EA1558" w:rsidP="00E02557">
            <w:pPr>
              <w:pStyle w:val="Tabletext"/>
              <w:rPr>
                <w:highlight w:val="cyan"/>
              </w:rPr>
            </w:pPr>
            <w:r w:rsidRPr="006E72A7">
              <w:t xml:space="preserve">The resubmission presented revised financial estimates using an epidemiology approach and new sources of data. The resubmission proposed a risk-share arrangement to address concerns around leakage (no details were provided). </w:t>
            </w:r>
          </w:p>
        </w:tc>
      </w:tr>
    </w:tbl>
    <w:p w:rsidR="00506C7D" w:rsidRPr="00110317" w:rsidRDefault="00467D69" w:rsidP="00E02557">
      <w:pPr>
        <w:pStyle w:val="TableFooter"/>
        <w:widowControl/>
      </w:pPr>
      <w:r w:rsidRPr="00110317">
        <w:t>Source: Table 1.1.5, pp23-24; Table 3.2.1, p185; Table 4.1.1, p218</w:t>
      </w:r>
      <w:r w:rsidR="00364A8F" w:rsidRPr="00110317">
        <w:t xml:space="preserve"> of the resubmission</w:t>
      </w:r>
      <w:r w:rsidR="00110317" w:rsidRPr="00110317">
        <w:t xml:space="preserve">; </w:t>
      </w:r>
      <w:r w:rsidR="00506C7D" w:rsidRPr="00110317">
        <w:t>Abbreviations: LDL, low density lipoprotein; QUM, quality use of medicines</w:t>
      </w:r>
    </w:p>
    <w:p w:rsidR="00B50DB8" w:rsidRPr="006E72A7" w:rsidRDefault="00203181" w:rsidP="0038592E">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6" w:name="_Toc536003309"/>
      <w:r w:rsidRPr="006E72A7">
        <w:rPr>
          <w:rFonts w:asciiTheme="minorHAnsi" w:eastAsiaTheme="majorEastAsia" w:hAnsiTheme="minorHAnsi" w:cstheme="majorBidi"/>
          <w:caps w:val="0"/>
          <w:snapToGrid/>
          <w:szCs w:val="28"/>
        </w:rPr>
        <w:t xml:space="preserve">Population and </w:t>
      </w:r>
      <w:r w:rsidR="008E0D3C" w:rsidRPr="006E72A7">
        <w:rPr>
          <w:rFonts w:asciiTheme="minorHAnsi" w:eastAsiaTheme="majorEastAsia" w:hAnsiTheme="minorHAnsi" w:cstheme="majorBidi"/>
          <w:caps w:val="0"/>
          <w:snapToGrid/>
          <w:szCs w:val="28"/>
        </w:rPr>
        <w:t>d</w:t>
      </w:r>
      <w:r w:rsidRPr="006E72A7">
        <w:rPr>
          <w:rFonts w:asciiTheme="minorHAnsi" w:eastAsiaTheme="majorEastAsia" w:hAnsiTheme="minorHAnsi" w:cstheme="majorBidi"/>
          <w:caps w:val="0"/>
          <w:snapToGrid/>
          <w:szCs w:val="28"/>
        </w:rPr>
        <w:t>isease</w:t>
      </w:r>
      <w:bookmarkEnd w:id="6"/>
    </w:p>
    <w:p w:rsidR="00875C56" w:rsidRPr="006E72A7" w:rsidRDefault="00875C56" w:rsidP="0038592E">
      <w:pPr>
        <w:pStyle w:val="ListParagraph"/>
        <w:widowControl/>
        <w:numPr>
          <w:ilvl w:val="1"/>
          <w:numId w:val="1"/>
        </w:numPr>
        <w:spacing w:before="120" w:after="120"/>
      </w:pPr>
      <w:r w:rsidRPr="006E72A7">
        <w:t>Hypercholesterolaemia is a condition characterised by elevated serum cholesterol levels and is associated with the development of atherosclerosis and an increased incidence of angina, myocardial infarction, stroke, coronary artery disease and peripheral vascular disease.</w:t>
      </w:r>
    </w:p>
    <w:p w:rsidR="00E55BB5" w:rsidRPr="006E72A7" w:rsidRDefault="00875C56" w:rsidP="0038592E">
      <w:pPr>
        <w:pStyle w:val="ListParagraph"/>
        <w:widowControl/>
        <w:numPr>
          <w:ilvl w:val="1"/>
          <w:numId w:val="1"/>
        </w:numPr>
        <w:spacing w:before="120" w:after="120"/>
      </w:pPr>
      <w:r w:rsidRPr="006E72A7">
        <w:t xml:space="preserve">The target population in the resubmission is the subset of hypercholesterolaemia patients with high risk of cardiovascular events due to </w:t>
      </w:r>
      <w:r w:rsidR="00394DDB" w:rsidRPr="006E72A7">
        <w:t>he-FH</w:t>
      </w:r>
      <w:r w:rsidRPr="006E72A7">
        <w:t xml:space="preserve"> with very high LDL levels OR </w:t>
      </w:r>
      <w:r w:rsidR="00394DDB" w:rsidRPr="006E72A7">
        <w:t>non-FH</w:t>
      </w:r>
      <w:r w:rsidRPr="006E72A7">
        <w:t xml:space="preserve"> with prior </w:t>
      </w:r>
      <w:r w:rsidR="00EE29DB">
        <w:t>ACS</w:t>
      </w:r>
      <w:r w:rsidRPr="006E72A7">
        <w:t xml:space="preserve"> and concomitant diabetes.</w:t>
      </w:r>
    </w:p>
    <w:p w:rsidR="00875C56" w:rsidRPr="006E72A7" w:rsidRDefault="00875C56" w:rsidP="0038592E">
      <w:pPr>
        <w:pStyle w:val="ListParagraph"/>
        <w:widowControl/>
        <w:numPr>
          <w:ilvl w:val="1"/>
          <w:numId w:val="1"/>
        </w:numPr>
        <w:spacing w:before="120" w:after="120"/>
      </w:pPr>
      <w:r w:rsidRPr="006E72A7">
        <w:t>The resubmission claimed that alirocumab would replace evolocumab</w:t>
      </w:r>
      <w:r w:rsidR="00EE2D06" w:rsidRPr="006E72A7">
        <w:t xml:space="preserve"> in the he-FH population</w:t>
      </w:r>
      <w:r w:rsidR="00F4787B" w:rsidRPr="006E72A7">
        <w:t>,</w:t>
      </w:r>
      <w:r w:rsidRPr="006E72A7">
        <w:t xml:space="preserve"> </w:t>
      </w:r>
      <w:r w:rsidR="00F4787B" w:rsidRPr="006E72A7">
        <w:t xml:space="preserve">or be used </w:t>
      </w:r>
      <w:r w:rsidRPr="006E72A7">
        <w:t xml:space="preserve">in addition to </w:t>
      </w:r>
      <w:r w:rsidR="00F4787B" w:rsidRPr="006E72A7">
        <w:t xml:space="preserve">statins and/or non-statin therapies. </w:t>
      </w:r>
    </w:p>
    <w:p w:rsidR="00F4787B" w:rsidRPr="006E72A7" w:rsidRDefault="00F4787B" w:rsidP="0038592E">
      <w:pPr>
        <w:pStyle w:val="ListParagraph"/>
        <w:widowControl/>
        <w:numPr>
          <w:ilvl w:val="1"/>
          <w:numId w:val="1"/>
        </w:numPr>
        <w:spacing w:before="120" w:after="120"/>
      </w:pPr>
      <w:r w:rsidRPr="006E72A7">
        <w:t>The positioning of alirocumab as a third-line treatment option in addition to a statin and ezetimibe was consistent with the recently published American College of Cardiology/American Heart Association Task Force 2018 Guideline on the Management of Blood Cholesterol.</w:t>
      </w:r>
    </w:p>
    <w:p w:rsidR="00DD4DF0" w:rsidRPr="006E72A7" w:rsidRDefault="00F4787B" w:rsidP="0038592E">
      <w:pPr>
        <w:pStyle w:val="ListParagraph"/>
        <w:widowControl/>
        <w:numPr>
          <w:ilvl w:val="1"/>
          <w:numId w:val="1"/>
        </w:numPr>
        <w:spacing w:before="120" w:after="120"/>
      </w:pPr>
      <w:r w:rsidRPr="006E72A7">
        <w:t>There were inconsistencies in LDL targets in the proposed algorithm at each line of therapy ranging from &lt;1.8 mmol/L to &lt;5 mmol/L. Therapeutic targets in more recently published guidelines are substantially lower than the LDL criteria outlined in the requested restriction. As a consequence, there is likely to be a substantial pool of patients who are not achieving target LDL levels with existing therapies but who would not be eligible for PBS-subsidised treatment with alirocumab.</w:t>
      </w:r>
    </w:p>
    <w:p w:rsidR="00DD4DF0" w:rsidRPr="006E72A7" w:rsidRDefault="00DD4DF0" w:rsidP="0038592E">
      <w:pPr>
        <w:pStyle w:val="ListParagraph"/>
        <w:widowControl/>
        <w:spacing w:before="120" w:after="120"/>
        <w:rPr>
          <w:i/>
        </w:rPr>
      </w:pPr>
      <w:r w:rsidRPr="006E72A7">
        <w:rPr>
          <w:i/>
        </w:rPr>
        <w:t>For more detail on PBAC’s view, see section 7 PBAC outcome.</w:t>
      </w:r>
    </w:p>
    <w:p w:rsidR="00B50DB8" w:rsidRPr="006E72A7" w:rsidRDefault="00B50DB8" w:rsidP="0038592E">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7" w:name="_Toc536003310"/>
      <w:r w:rsidRPr="006E72A7">
        <w:rPr>
          <w:rFonts w:asciiTheme="minorHAnsi" w:eastAsiaTheme="majorEastAsia" w:hAnsiTheme="minorHAnsi" w:cstheme="majorBidi"/>
          <w:caps w:val="0"/>
          <w:snapToGrid/>
          <w:szCs w:val="28"/>
        </w:rPr>
        <w:t>Comparator</w:t>
      </w:r>
      <w:bookmarkEnd w:id="7"/>
    </w:p>
    <w:p w:rsidR="002C2775" w:rsidRPr="006E72A7" w:rsidRDefault="0091161F" w:rsidP="0038592E">
      <w:pPr>
        <w:pStyle w:val="ListParagraph"/>
        <w:widowControl/>
        <w:numPr>
          <w:ilvl w:val="1"/>
          <w:numId w:val="1"/>
        </w:numPr>
        <w:spacing w:before="120" w:after="120"/>
      </w:pPr>
      <w:r w:rsidRPr="006E72A7">
        <w:t xml:space="preserve">The resubmission nominated evolocumab as the main comparator in patients with </w:t>
      </w:r>
      <w:r w:rsidR="00394DDB" w:rsidRPr="006E72A7">
        <w:t>he-FH</w:t>
      </w:r>
      <w:r w:rsidRPr="006E72A7">
        <w:t xml:space="preserve">. </w:t>
      </w:r>
      <w:r w:rsidR="00B35FA8" w:rsidRPr="006E72A7">
        <w:t xml:space="preserve">The ESC </w:t>
      </w:r>
      <w:r w:rsidR="00111EA2" w:rsidRPr="006E72A7">
        <w:t xml:space="preserve">considered evolocumab to be </w:t>
      </w:r>
      <w:r w:rsidR="004A3455" w:rsidRPr="006E72A7">
        <w:t xml:space="preserve">the </w:t>
      </w:r>
      <w:r w:rsidR="00111EA2" w:rsidRPr="006E72A7">
        <w:t>appropriate</w:t>
      </w:r>
      <w:r w:rsidR="00CF06C3" w:rsidRPr="006E72A7">
        <w:t xml:space="preserve"> main comparator for this population</w:t>
      </w:r>
      <w:r w:rsidR="00C90C1F">
        <w:t>.</w:t>
      </w:r>
    </w:p>
    <w:p w:rsidR="003D3FBF" w:rsidRPr="006E72A7" w:rsidRDefault="0091161F" w:rsidP="0038592E">
      <w:pPr>
        <w:pStyle w:val="ListParagraph"/>
        <w:widowControl/>
        <w:numPr>
          <w:ilvl w:val="1"/>
          <w:numId w:val="1"/>
        </w:numPr>
        <w:spacing w:before="120" w:after="120"/>
      </w:pPr>
      <w:r w:rsidRPr="006E72A7">
        <w:t xml:space="preserve">The resubmission nominated placebo as the main comparator in patients with </w:t>
      </w:r>
      <w:r w:rsidR="00394DDB" w:rsidRPr="006E72A7">
        <w:t>non-FH</w:t>
      </w:r>
      <w:r w:rsidRPr="006E72A7">
        <w:t xml:space="preserve"> with </w:t>
      </w:r>
      <w:r w:rsidRPr="00FB7238">
        <w:t>previous</w:t>
      </w:r>
      <w:r w:rsidR="00FB7238" w:rsidRPr="00FB7238">
        <w:t xml:space="preserve"> recent</w:t>
      </w:r>
      <w:r w:rsidRPr="00FB7238">
        <w:t xml:space="preserve"> </w:t>
      </w:r>
      <w:r w:rsidR="00EE29DB" w:rsidRPr="00FB7238">
        <w:t>ACS</w:t>
      </w:r>
      <w:r w:rsidRPr="006E72A7">
        <w:t xml:space="preserve"> and concomitant diabetes.</w:t>
      </w:r>
      <w:r w:rsidR="00B35FA8" w:rsidRPr="006E72A7">
        <w:t xml:space="preserve"> The ESC considered this </w:t>
      </w:r>
      <w:r w:rsidR="00B35FA8" w:rsidRPr="006E72A7">
        <w:lastRenderedPageBreak/>
        <w:t>comparator to be reasonable.</w:t>
      </w:r>
      <w:r w:rsidRPr="006E72A7">
        <w:t xml:space="preserve"> The resubmission claimed that patients in this high risk subgroup who are on multiple existing therapies (e.g. statin + ezetimibe + other lipid lowering therapy) and who are unable to achieve target LDL levels have no other treatment options</w:t>
      </w:r>
      <w:r w:rsidR="006E72A7">
        <w:t xml:space="preserve">. </w:t>
      </w:r>
      <w:r w:rsidRPr="006E72A7">
        <w:t>For the non-familial population, the PBAC previously</w:t>
      </w:r>
      <w:r w:rsidR="00626543" w:rsidRPr="006E72A7">
        <w:t xml:space="preserve"> considered that treatment with evolocumab must be in conjunction with the maximum tolerated dose of a statin and ezetimibe unless contraindicated (para 2.3, evolocumab </w:t>
      </w:r>
      <w:r w:rsidR="00296E8D">
        <w:t>Public Summary Document (</w:t>
      </w:r>
      <w:r w:rsidR="00626543" w:rsidRPr="006E72A7">
        <w:t>PSD</w:t>
      </w:r>
      <w:r w:rsidR="00296E8D">
        <w:t>)</w:t>
      </w:r>
      <w:r w:rsidR="00626543" w:rsidRPr="006E72A7">
        <w:t xml:space="preserve"> July 2018)</w:t>
      </w:r>
      <w:r w:rsidR="006E72A7">
        <w:t xml:space="preserve">. </w:t>
      </w:r>
      <w:r w:rsidRPr="006E72A7">
        <w:t xml:space="preserve"> </w:t>
      </w:r>
    </w:p>
    <w:p w:rsidR="00DD4DF0" w:rsidRPr="00DD29CE" w:rsidRDefault="0091161F" w:rsidP="0038592E">
      <w:pPr>
        <w:pStyle w:val="ListParagraph"/>
        <w:widowControl/>
        <w:numPr>
          <w:ilvl w:val="1"/>
          <w:numId w:val="1"/>
        </w:numPr>
        <w:spacing w:before="120" w:after="120"/>
      </w:pPr>
      <w:r w:rsidRPr="006E72A7">
        <w:t xml:space="preserve">The resubmission did not consider evolocumab as a potential near market comparator, arguing that evolocumab was not previously considered by the PBAC for </w:t>
      </w:r>
      <w:r w:rsidR="00394DDB" w:rsidRPr="006E72A7">
        <w:t>non-FH</w:t>
      </w:r>
      <w:r w:rsidRPr="006E72A7">
        <w:t xml:space="preserve"> in the subset with previous </w:t>
      </w:r>
      <w:r w:rsidR="00EE29DB">
        <w:t>ACS</w:t>
      </w:r>
      <w:r w:rsidRPr="006E72A7">
        <w:t xml:space="preserve"> and diabetes. </w:t>
      </w:r>
      <w:r w:rsidR="001D1646" w:rsidRPr="006E72A7">
        <w:t>The Commentary considered e</w:t>
      </w:r>
      <w:r w:rsidRPr="006E72A7">
        <w:t xml:space="preserve">volocumab should be considered a near market comparator given the PBAC has previously considered evolocumab for the </w:t>
      </w:r>
      <w:r w:rsidR="00394DDB" w:rsidRPr="006E72A7">
        <w:t>non-FH</w:t>
      </w:r>
      <w:r w:rsidRPr="006E72A7">
        <w:t xml:space="preserve"> population with atherosclerotic cardiovascular disease (evolocumab November 2017 and July 2018 PSDs), which has </w:t>
      </w:r>
      <w:r w:rsidR="005767E8">
        <w:t>substantial overlapping</w:t>
      </w:r>
      <w:r w:rsidR="005767E8" w:rsidRPr="006E72A7">
        <w:t xml:space="preserve"> </w:t>
      </w:r>
      <w:r w:rsidRPr="006E72A7">
        <w:t>indications with the proposed target population for alirocumab.</w:t>
      </w:r>
      <w:r w:rsidR="00111EA2" w:rsidRPr="006E72A7">
        <w:t xml:space="preserve"> The ESC agreed with the </w:t>
      </w:r>
      <w:r w:rsidR="00B642FB" w:rsidRPr="006E72A7">
        <w:t>Commentary</w:t>
      </w:r>
      <w:r w:rsidR="00111EA2" w:rsidRPr="006E72A7">
        <w:t xml:space="preserve"> and advised that </w:t>
      </w:r>
      <w:r w:rsidR="00F61A89" w:rsidRPr="006E72A7">
        <w:t xml:space="preserve">the </w:t>
      </w:r>
      <w:r w:rsidR="00754014" w:rsidRPr="006E72A7">
        <w:t>indirect treatment comparison (</w:t>
      </w:r>
      <w:r w:rsidR="00F61A89" w:rsidRPr="006E72A7">
        <w:t>ITC</w:t>
      </w:r>
      <w:r w:rsidR="00754014" w:rsidRPr="006E72A7">
        <w:t>)</w:t>
      </w:r>
      <w:r w:rsidR="00F61A89" w:rsidRPr="006E72A7">
        <w:t xml:space="preserve"> of the CV outcomes trials, in pati</w:t>
      </w:r>
      <w:r w:rsidR="000237B8" w:rsidRPr="006E72A7">
        <w:t>e</w:t>
      </w:r>
      <w:r w:rsidR="00F61A89" w:rsidRPr="006E72A7">
        <w:t xml:space="preserve">nts with </w:t>
      </w:r>
      <w:r w:rsidR="00394DDB" w:rsidRPr="006E72A7">
        <w:t>non-FH</w:t>
      </w:r>
      <w:r w:rsidR="00F61A89" w:rsidRPr="006E72A7">
        <w:t>,</w:t>
      </w:r>
      <w:r w:rsidR="00111EA2" w:rsidRPr="006E72A7">
        <w:t xml:space="preserve"> </w:t>
      </w:r>
      <w:r w:rsidR="00F61A89" w:rsidRPr="006E72A7">
        <w:t xml:space="preserve">was </w:t>
      </w:r>
      <w:r w:rsidR="00F61A89" w:rsidRPr="00DD29CE">
        <w:t>informative</w:t>
      </w:r>
      <w:r w:rsidR="006E72A7" w:rsidRPr="00DD29CE">
        <w:t xml:space="preserve">. </w:t>
      </w:r>
      <w:r w:rsidRPr="00DD29CE">
        <w:t xml:space="preserve"> </w:t>
      </w:r>
    </w:p>
    <w:p w:rsidR="00DD4DF0" w:rsidRPr="00DD29CE" w:rsidRDefault="00DD4DF0" w:rsidP="0038592E">
      <w:pPr>
        <w:pStyle w:val="ListParagraph"/>
        <w:widowControl/>
        <w:spacing w:before="120" w:after="120"/>
        <w:rPr>
          <w:i/>
        </w:rPr>
      </w:pPr>
      <w:r w:rsidRPr="00DD29CE">
        <w:rPr>
          <w:i/>
        </w:rPr>
        <w:t>For more detail on PBAC’s view, see section 7 PBAC outcome.</w:t>
      </w:r>
    </w:p>
    <w:p w:rsidR="00B50DB8" w:rsidRPr="00DD29CE" w:rsidRDefault="00BD6CF3" w:rsidP="0038592E">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bookmarkStart w:id="8" w:name="_Toc536003311"/>
      <w:r w:rsidRPr="00DD29CE">
        <w:rPr>
          <w:rFonts w:asciiTheme="minorHAnsi" w:eastAsiaTheme="majorEastAsia" w:hAnsiTheme="minorHAnsi" w:cstheme="majorBidi"/>
          <w:caps w:val="0"/>
          <w:snapToGrid/>
          <w:szCs w:val="28"/>
        </w:rPr>
        <w:t>C</w:t>
      </w:r>
      <w:r w:rsidR="00B50DB8" w:rsidRPr="00DD29CE">
        <w:rPr>
          <w:rFonts w:asciiTheme="minorHAnsi" w:eastAsiaTheme="majorEastAsia" w:hAnsiTheme="minorHAnsi" w:cstheme="majorBidi"/>
          <w:caps w:val="0"/>
          <w:snapToGrid/>
          <w:szCs w:val="28"/>
        </w:rPr>
        <w:t>onsideration of the evidence</w:t>
      </w:r>
      <w:bookmarkEnd w:id="8"/>
    </w:p>
    <w:p w:rsidR="00DD4DF0" w:rsidRPr="006E72A7" w:rsidRDefault="00DD4DF0" w:rsidP="0038592E">
      <w:pPr>
        <w:pStyle w:val="Heading2"/>
        <w:keepNext/>
        <w:widowControl/>
        <w:spacing w:before="120" w:after="120"/>
      </w:pPr>
      <w:bookmarkStart w:id="9" w:name="_Toc535849232"/>
      <w:bookmarkStart w:id="10" w:name="_Toc536003312"/>
      <w:r w:rsidRPr="006E72A7">
        <w:t>Sponsor hearing</w:t>
      </w:r>
    </w:p>
    <w:p w:rsidR="00DD4DF0" w:rsidRPr="006E72A7" w:rsidRDefault="00DD4DF0" w:rsidP="0038592E">
      <w:pPr>
        <w:pStyle w:val="ListParagraph"/>
        <w:widowControl/>
        <w:numPr>
          <w:ilvl w:val="1"/>
          <w:numId w:val="1"/>
        </w:numPr>
        <w:spacing w:before="120" w:after="120"/>
      </w:pPr>
      <w:r w:rsidRPr="006E72A7">
        <w:t xml:space="preserve">There was no hearing for this item. </w:t>
      </w:r>
    </w:p>
    <w:p w:rsidR="00DD4DF0" w:rsidRPr="006E72A7" w:rsidRDefault="00DD4DF0" w:rsidP="0038592E">
      <w:pPr>
        <w:pStyle w:val="Heading2"/>
        <w:keepNext/>
        <w:widowControl/>
        <w:spacing w:before="120" w:after="120"/>
      </w:pPr>
      <w:r w:rsidRPr="006E72A7">
        <w:t>Consumer comments</w:t>
      </w:r>
    </w:p>
    <w:bookmarkEnd w:id="9"/>
    <w:p w:rsidR="00DD4DF0" w:rsidRPr="006E72A7" w:rsidRDefault="00DF7A1E" w:rsidP="0038592E">
      <w:pPr>
        <w:numPr>
          <w:ilvl w:val="1"/>
          <w:numId w:val="1"/>
        </w:numPr>
        <w:spacing w:before="120" w:after="120"/>
        <w:rPr>
          <w:rFonts w:asciiTheme="minorHAnsi" w:hAnsiTheme="minorHAnsi"/>
          <w:bCs/>
        </w:rPr>
      </w:pPr>
      <w:r w:rsidRPr="006E72A7">
        <w:rPr>
          <w:rFonts w:asciiTheme="minorHAnsi" w:hAnsiTheme="minorHAnsi"/>
          <w:bCs/>
        </w:rPr>
        <w:t xml:space="preserve">The PBAC noted and welcomed the input from individuals (6) and organisations (1) via the Consumer Comments facility on the PBS website. The comments described the benefits of treatment with alirocumab, including the strong conviction that PCSK9 </w:t>
      </w:r>
      <w:r w:rsidR="008F150E" w:rsidRPr="006E72A7">
        <w:rPr>
          <w:rFonts w:asciiTheme="minorHAnsi" w:hAnsiTheme="minorHAnsi"/>
          <w:bCs/>
        </w:rPr>
        <w:t>inhibitors</w:t>
      </w:r>
      <w:r w:rsidRPr="006E72A7">
        <w:rPr>
          <w:rFonts w:asciiTheme="minorHAnsi" w:hAnsiTheme="minorHAnsi"/>
          <w:bCs/>
        </w:rPr>
        <w:t xml:space="preserve"> will be able to </w:t>
      </w:r>
      <w:r w:rsidR="00B51A36" w:rsidRPr="006E72A7">
        <w:rPr>
          <w:rFonts w:asciiTheme="minorHAnsi" w:hAnsiTheme="minorHAnsi"/>
          <w:bCs/>
        </w:rPr>
        <w:t>greatly reduce the risk of cardiovascular events</w:t>
      </w:r>
      <w:r w:rsidRPr="006E72A7">
        <w:rPr>
          <w:rFonts w:asciiTheme="minorHAnsi" w:hAnsiTheme="minorHAnsi"/>
          <w:bCs/>
        </w:rPr>
        <w:t xml:space="preserve"> </w:t>
      </w:r>
      <w:r w:rsidR="00EE2D06" w:rsidRPr="006E72A7">
        <w:rPr>
          <w:rFonts w:asciiTheme="minorHAnsi" w:hAnsiTheme="minorHAnsi"/>
          <w:bCs/>
        </w:rPr>
        <w:t>for</w:t>
      </w:r>
      <w:r w:rsidRPr="006E72A7">
        <w:rPr>
          <w:rFonts w:asciiTheme="minorHAnsi" w:hAnsiTheme="minorHAnsi"/>
          <w:bCs/>
        </w:rPr>
        <w:t xml:space="preserve"> patients with familial hypercholesterolaemia</w:t>
      </w:r>
      <w:r w:rsidR="00B51A36" w:rsidRPr="006E72A7">
        <w:rPr>
          <w:rFonts w:asciiTheme="minorHAnsi" w:hAnsiTheme="minorHAnsi"/>
          <w:bCs/>
        </w:rPr>
        <w:t xml:space="preserve"> through achieving target lipid levels</w:t>
      </w:r>
      <w:r w:rsidRPr="006E72A7">
        <w:rPr>
          <w:rFonts w:asciiTheme="minorHAnsi" w:hAnsiTheme="minorHAnsi"/>
          <w:bCs/>
        </w:rPr>
        <w:t xml:space="preserve">. </w:t>
      </w:r>
      <w:r w:rsidR="00EE2D06" w:rsidRPr="006E72A7">
        <w:rPr>
          <w:rFonts w:asciiTheme="minorHAnsi" w:hAnsiTheme="minorHAnsi"/>
          <w:bCs/>
        </w:rPr>
        <w:t xml:space="preserve">The Familial Hypercholesterolaemia Family Support Group of Western Australia (FHSG) also </w:t>
      </w:r>
      <w:r w:rsidR="008F150E" w:rsidRPr="006E72A7">
        <w:rPr>
          <w:rFonts w:asciiTheme="minorHAnsi" w:hAnsiTheme="minorHAnsi"/>
          <w:bCs/>
        </w:rPr>
        <w:t>emphasised</w:t>
      </w:r>
      <w:r w:rsidR="00EE2D06" w:rsidRPr="006E72A7">
        <w:rPr>
          <w:rFonts w:asciiTheme="minorHAnsi" w:hAnsiTheme="minorHAnsi"/>
          <w:bCs/>
        </w:rPr>
        <w:t xml:space="preserve"> the high need for PCSK9 inhibitors as a treatment alternative for patients who are statin intolerant.</w:t>
      </w:r>
    </w:p>
    <w:p w:rsidR="00B60939" w:rsidRPr="006E72A7" w:rsidRDefault="00B60939" w:rsidP="0038592E">
      <w:pPr>
        <w:pStyle w:val="Heading2"/>
        <w:widowControl/>
        <w:spacing w:before="120" w:after="120"/>
      </w:pPr>
      <w:r w:rsidRPr="006E72A7">
        <w:t>Clinical trials</w:t>
      </w:r>
      <w:bookmarkEnd w:id="10"/>
    </w:p>
    <w:p w:rsidR="007C6DBF" w:rsidRPr="006E72A7" w:rsidRDefault="007C6DBF" w:rsidP="0038592E">
      <w:pPr>
        <w:pStyle w:val="ListParagraph"/>
        <w:widowControl/>
        <w:numPr>
          <w:ilvl w:val="1"/>
          <w:numId w:val="1"/>
        </w:numPr>
        <w:spacing w:before="120" w:after="120"/>
      </w:pPr>
      <w:r w:rsidRPr="006E72A7">
        <w:t>The resubmission was based on a series of comparisons of alirocumab and nominated comparators. These analyses have not previously been considered by the PBAC:</w:t>
      </w:r>
    </w:p>
    <w:p w:rsidR="007C6DBF" w:rsidRPr="006E72A7" w:rsidRDefault="007C6DBF" w:rsidP="0038592E">
      <w:pPr>
        <w:pStyle w:val="ListParagraph"/>
        <w:widowControl/>
        <w:numPr>
          <w:ilvl w:val="0"/>
          <w:numId w:val="8"/>
        </w:numPr>
        <w:spacing w:before="120" w:after="120"/>
      </w:pPr>
      <w:r w:rsidRPr="006E72A7">
        <w:t xml:space="preserve">Indirect comparison of cardiovascular outcomes with alirocumab versus evolocumab in predominantly </w:t>
      </w:r>
      <w:r w:rsidR="00394DDB" w:rsidRPr="006E72A7">
        <w:t>non-FH</w:t>
      </w:r>
      <w:r w:rsidRPr="006E72A7">
        <w:t xml:space="preserve"> populations with high cardiovascular risk (ODYSSEY OUTCOMES, FOURIER).</w:t>
      </w:r>
    </w:p>
    <w:p w:rsidR="007C6DBF" w:rsidRPr="006E72A7" w:rsidRDefault="007C6DBF" w:rsidP="0038592E">
      <w:pPr>
        <w:pStyle w:val="ListParagraph"/>
        <w:widowControl/>
        <w:numPr>
          <w:ilvl w:val="0"/>
          <w:numId w:val="8"/>
        </w:numPr>
        <w:spacing w:before="120" w:after="120"/>
      </w:pPr>
      <w:r w:rsidRPr="006E72A7">
        <w:t>Post-hoc subgroup analyses of cardiovascular outcomes with alirocumab versus placebo in patients with diabetes and LDL ≥2.6 mmol/L (ODYSSEY OUTCOMES).</w:t>
      </w:r>
    </w:p>
    <w:p w:rsidR="00862502" w:rsidRPr="006E72A7" w:rsidRDefault="007C6DBF" w:rsidP="0038592E">
      <w:pPr>
        <w:pStyle w:val="ListParagraph"/>
        <w:widowControl/>
        <w:numPr>
          <w:ilvl w:val="0"/>
          <w:numId w:val="8"/>
        </w:numPr>
        <w:spacing w:before="120" w:after="120"/>
        <w:ind w:left="1434" w:hanging="357"/>
      </w:pPr>
      <w:r w:rsidRPr="006E72A7">
        <w:lastRenderedPageBreak/>
        <w:t xml:space="preserve">Supportive analyses based on an indirect comparison of lipid outcomes with alirocumab versus evolocumab in </w:t>
      </w:r>
      <w:r w:rsidR="00394DDB" w:rsidRPr="006E72A7">
        <w:t>he-FH</w:t>
      </w:r>
      <w:r w:rsidRPr="006E72A7">
        <w:t xml:space="preserve"> populations (FH I, FH II, RUTHERFORD I, RUTHERFORD II). The resubmission did not adequately justify the exclusion of the ESCAPE, HIGH FH and Stein 2012 trials of alirocumab in heterozygous familial populations which include dosing regimens requested for reimbursement (previously considered by the PBAC in the November 2017 submission). These trials were included in alternative analyses during the evaluation. </w:t>
      </w:r>
    </w:p>
    <w:p w:rsidR="00EF0D0E" w:rsidRDefault="00A73134" w:rsidP="0038592E">
      <w:pPr>
        <w:pStyle w:val="ListParagraph"/>
        <w:widowControl/>
        <w:numPr>
          <w:ilvl w:val="1"/>
          <w:numId w:val="1"/>
        </w:numPr>
        <w:spacing w:before="120" w:after="120"/>
        <w:rPr>
          <w:rFonts w:cs="Calibri"/>
          <w:snapToGrid/>
          <w:szCs w:val="24"/>
          <w:lang w:eastAsia="en-AU"/>
        </w:rPr>
      </w:pPr>
      <w:r w:rsidRPr="006E72A7">
        <w:rPr>
          <w:rFonts w:cs="Calibri"/>
          <w:snapToGrid/>
          <w:szCs w:val="24"/>
          <w:lang w:eastAsia="en-AU"/>
        </w:rPr>
        <w:t xml:space="preserve">Details of the </w:t>
      </w:r>
      <w:r w:rsidR="007C6DBF" w:rsidRPr="006E72A7">
        <w:rPr>
          <w:rFonts w:cs="Calibri"/>
          <w:snapToGrid/>
          <w:szCs w:val="24"/>
          <w:lang w:eastAsia="en-AU"/>
        </w:rPr>
        <w:t>included trials</w:t>
      </w:r>
      <w:r w:rsidRPr="006E72A7">
        <w:rPr>
          <w:rFonts w:cs="Calibri"/>
          <w:snapToGrid/>
          <w:szCs w:val="24"/>
          <w:lang w:eastAsia="en-AU"/>
        </w:rPr>
        <w:t xml:space="preserve"> are provided in the table bel</w:t>
      </w:r>
      <w:r w:rsidR="007C6DBF" w:rsidRPr="006E72A7">
        <w:rPr>
          <w:rFonts w:cs="Calibri"/>
          <w:snapToGrid/>
          <w:szCs w:val="24"/>
          <w:lang w:eastAsia="en-AU"/>
        </w:rPr>
        <w:t xml:space="preserve">ow. </w:t>
      </w:r>
    </w:p>
    <w:p w:rsidR="00862502" w:rsidRPr="00EF0D0E" w:rsidRDefault="00EF0D0E" w:rsidP="00EF0D0E">
      <w:pPr>
        <w:widowControl/>
        <w:jc w:val="left"/>
        <w:rPr>
          <w:rFonts w:cs="Calibri"/>
          <w:snapToGrid/>
          <w:szCs w:val="24"/>
          <w:lang w:eastAsia="en-AU"/>
        </w:rPr>
      </w:pPr>
      <w:r>
        <w:rPr>
          <w:rFonts w:cs="Calibri"/>
          <w:snapToGrid/>
          <w:szCs w:val="24"/>
          <w:lang w:eastAsia="en-AU"/>
        </w:rPr>
        <w:br w:type="page"/>
      </w:r>
    </w:p>
    <w:p w:rsidR="008E0D3C" w:rsidRPr="006E72A7" w:rsidRDefault="007C6DBF" w:rsidP="00E02557">
      <w:pPr>
        <w:widowControl/>
        <w:rPr>
          <w:rStyle w:val="CommentReference"/>
        </w:rPr>
      </w:pPr>
      <w:r w:rsidRPr="006E72A7">
        <w:rPr>
          <w:rStyle w:val="CommentReference"/>
        </w:rPr>
        <w:lastRenderedPageBreak/>
        <w:t>Table 3</w:t>
      </w:r>
      <w:r w:rsidR="008E0D3C" w:rsidRPr="006E72A7">
        <w:rPr>
          <w:rStyle w:val="CommentReference"/>
        </w:rPr>
        <w:t xml:space="preserve">:  Trials and associated reports </w:t>
      </w:r>
      <w:r w:rsidRPr="006E72A7">
        <w:rPr>
          <w:rStyle w:val="CommentReference"/>
        </w:rPr>
        <w:t>of included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of included trials"/>
      </w:tblPr>
      <w:tblGrid>
        <w:gridCol w:w="1272"/>
        <w:gridCol w:w="5673"/>
        <w:gridCol w:w="2072"/>
      </w:tblGrid>
      <w:tr w:rsidR="007C6DBF" w:rsidRPr="006E72A7" w:rsidTr="00E02557">
        <w:trPr>
          <w:cantSplit/>
          <w:tblHeader/>
        </w:trPr>
        <w:tc>
          <w:tcPr>
            <w:tcW w:w="705" w:type="pct"/>
          </w:tcPr>
          <w:p w:rsidR="007C6DBF" w:rsidRPr="006E72A7" w:rsidRDefault="007C6DBF" w:rsidP="00E02557">
            <w:pPr>
              <w:widowControl/>
              <w:jc w:val="left"/>
              <w:rPr>
                <w:rFonts w:ascii="Arial Narrow" w:eastAsiaTheme="minorHAnsi" w:hAnsi="Arial Narrow" w:cstheme="minorBidi"/>
                <w:b/>
                <w:snapToGrid/>
                <w:sz w:val="20"/>
              </w:rPr>
            </w:pPr>
            <w:r w:rsidRPr="006E72A7">
              <w:rPr>
                <w:rFonts w:ascii="Arial Narrow" w:eastAsiaTheme="minorHAnsi" w:hAnsi="Arial Narrow" w:cstheme="minorBidi"/>
                <w:b/>
                <w:snapToGrid/>
                <w:sz w:val="20"/>
              </w:rPr>
              <w:t>Trial ID</w:t>
            </w:r>
          </w:p>
        </w:tc>
        <w:tc>
          <w:tcPr>
            <w:tcW w:w="3146" w:type="pct"/>
          </w:tcPr>
          <w:p w:rsidR="007C6DBF" w:rsidRPr="006E72A7" w:rsidRDefault="007C6DBF" w:rsidP="00E02557">
            <w:pPr>
              <w:widowControl/>
              <w:jc w:val="left"/>
              <w:rPr>
                <w:rFonts w:ascii="Arial Narrow" w:eastAsiaTheme="minorHAnsi" w:hAnsi="Arial Narrow" w:cstheme="minorBidi"/>
                <w:b/>
                <w:snapToGrid/>
                <w:sz w:val="20"/>
              </w:rPr>
            </w:pPr>
            <w:r w:rsidRPr="006E72A7">
              <w:rPr>
                <w:rFonts w:ascii="Arial Narrow" w:eastAsiaTheme="minorHAnsi" w:hAnsi="Arial Narrow" w:cstheme="minorBidi"/>
                <w:b/>
                <w:snapToGrid/>
                <w:sz w:val="20"/>
              </w:rPr>
              <w:t>Protocol title/ Publication title</w:t>
            </w:r>
          </w:p>
        </w:tc>
        <w:tc>
          <w:tcPr>
            <w:tcW w:w="1149" w:type="pct"/>
          </w:tcPr>
          <w:p w:rsidR="007C6DBF" w:rsidRPr="006E72A7" w:rsidRDefault="007C6DBF" w:rsidP="00E02557">
            <w:pPr>
              <w:widowControl/>
              <w:jc w:val="left"/>
              <w:rPr>
                <w:rFonts w:ascii="Arial Narrow" w:eastAsiaTheme="minorHAnsi" w:hAnsi="Arial Narrow" w:cstheme="minorBidi"/>
                <w:b/>
                <w:snapToGrid/>
                <w:sz w:val="20"/>
              </w:rPr>
            </w:pPr>
            <w:r w:rsidRPr="006E72A7">
              <w:rPr>
                <w:rFonts w:ascii="Arial Narrow" w:eastAsiaTheme="minorHAnsi" w:hAnsi="Arial Narrow" w:cstheme="minorBidi"/>
                <w:b/>
                <w:snapToGrid/>
                <w:sz w:val="20"/>
              </w:rPr>
              <w:t>Publication citation</w:t>
            </w:r>
          </w:p>
        </w:tc>
      </w:tr>
      <w:tr w:rsidR="007C6DBF" w:rsidRPr="006E72A7" w:rsidTr="00E02557">
        <w:trPr>
          <w:cantSplit/>
        </w:trPr>
        <w:tc>
          <w:tcPr>
            <w:tcW w:w="5000" w:type="pct"/>
            <w:gridSpan w:val="3"/>
          </w:tcPr>
          <w:p w:rsidR="007C6DBF" w:rsidRPr="006E72A7" w:rsidRDefault="007C6DBF" w:rsidP="00E02557">
            <w:pPr>
              <w:widowControl/>
              <w:jc w:val="left"/>
              <w:rPr>
                <w:rFonts w:ascii="Arial Narrow" w:eastAsiaTheme="minorHAnsi" w:hAnsi="Arial Narrow" w:cstheme="minorBidi"/>
                <w:b/>
                <w:snapToGrid/>
                <w:sz w:val="20"/>
              </w:rPr>
            </w:pPr>
            <w:r w:rsidRPr="006E72A7">
              <w:rPr>
                <w:rFonts w:ascii="Arial Narrow" w:eastAsiaTheme="minorHAnsi" w:hAnsi="Arial Narrow" w:cstheme="minorBidi"/>
                <w:b/>
                <w:snapToGrid/>
                <w:sz w:val="20"/>
              </w:rPr>
              <w:t>Alirocumab clinical trials</w:t>
            </w:r>
          </w:p>
        </w:tc>
      </w:tr>
      <w:tr w:rsidR="007C6DBF" w:rsidRPr="006E72A7" w:rsidTr="00E02557">
        <w:trPr>
          <w:cantSplit/>
        </w:trPr>
        <w:tc>
          <w:tcPr>
            <w:tcW w:w="705" w:type="pct"/>
            <w:vAlign w:val="center"/>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ESCAPE</w:t>
            </w:r>
          </w:p>
        </w:tc>
        <w:tc>
          <w:tcPr>
            <w:tcW w:w="3146" w:type="pct"/>
          </w:tcPr>
          <w:p w:rsidR="007C6DBF" w:rsidRPr="006E72A7" w:rsidRDefault="007C6DBF" w:rsidP="00E02557">
            <w:pPr>
              <w:widowControl/>
              <w:tabs>
                <w:tab w:val="left" w:pos="1608"/>
              </w:tabs>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Moriarty PM, Parhofer KG, Babirak SP et al (2016). Alirocumab in patients with heterozygous familial hypercholesterolaemia undergoing lipoprotein apheresis: the ODYSSEY ESCAPE trial.</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European Heart Journal, 37: 3588-3595</w:t>
            </w:r>
          </w:p>
        </w:tc>
      </w:tr>
      <w:tr w:rsidR="007C6DBF" w:rsidRPr="006E72A7" w:rsidTr="00E02557">
        <w:trPr>
          <w:cantSplit/>
        </w:trPr>
        <w:tc>
          <w:tcPr>
            <w:tcW w:w="705" w:type="pct"/>
            <w:vMerge w:val="restart"/>
            <w:vAlign w:val="center"/>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FH I</w:t>
            </w:r>
          </w:p>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(EFC12492)</w:t>
            </w: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 xml:space="preserve">Sanofi Clinical Study Report (2014). A Randomized, Double-Blind, Placebo-Controlled, Parallel Group Study to Evaluate the Efficacy and Safety of alirocumab in Patients With Heterozygous Familial Hypercholesterolemia Not Adequately Controlled With Their Lipid-Modifying Therapy. </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Internal study report</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i/>
                <w:snapToGrid/>
                <w:sz w:val="20"/>
              </w:rPr>
            </w:pP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 xml:space="preserve">Kastelein JJP, Ginsberg HN, Langslet G et al (2015). ODYSSEY FH I and FH II: 78 week results with alirocumab treatment in 735 patients with heterozygous familial hypercholesterolaemia. </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European Heart Journal, 13(43):2996-3003</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i/>
                <w:snapToGrid/>
                <w:sz w:val="20"/>
              </w:rPr>
            </w:pP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 xml:space="preserve">Kastelein JJP, Robinson JG, Farnier M et al (2014). Efficacy and safety of alirocumab in patients with heterozygous familial hypercholesterolemia not adequately controlled with current lipid-lowering therapy: Design and rationale of the ODYSSEY FH studies. </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Cardiovascular Drugs and Therapy, 28(3):281-289</w:t>
            </w:r>
          </w:p>
        </w:tc>
      </w:tr>
      <w:tr w:rsidR="007C6DBF" w:rsidRPr="006E72A7" w:rsidTr="00E02557">
        <w:trPr>
          <w:cantSplit/>
        </w:trPr>
        <w:tc>
          <w:tcPr>
            <w:tcW w:w="705" w:type="pct"/>
            <w:vMerge w:val="restart"/>
            <w:vAlign w:val="center"/>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FH II</w:t>
            </w:r>
          </w:p>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(CL1112)</w:t>
            </w: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Sanofi Clinical Study Report (2014). A Randomized, Double-Blind, Placebo-Controlled, Parallel-Group Study to Evaluate the Efficacy and Safety of Alirocumab in Patients with Heterozygous Familial Hypercholesterolemia Not Adequately Controlled with Their Lipid Modifying Therapy.</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Internal study report</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i/>
                <w:snapToGrid/>
                <w:sz w:val="20"/>
              </w:rPr>
            </w:pP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 xml:space="preserve">Kastelein JJP, Ginsberg HN, Langslet G et al (2015). ODYSSEY FH I and FH II: 78 week results with alirocumab treatment in 735 patients with heterozygous familial hypercholesterolaemia. </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European Heart Journal, 13(43):2996-3003</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i/>
                <w:snapToGrid/>
                <w:sz w:val="20"/>
              </w:rPr>
            </w:pP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 xml:space="preserve">Kastelein JJP, Robinson JG, Farnier M et al (2014). Efficacy and safety of alirocumab in patients with heterozygous familial hypercholesterolemia not adequately controlled with current lipid-lowering therapy: Design and rationale of the ODYSSEY FH studies. </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Cardiovascular Drugs and Therapy, 28(3):281-289</w:t>
            </w:r>
          </w:p>
        </w:tc>
      </w:tr>
      <w:tr w:rsidR="007C6DBF" w:rsidRPr="006E72A7" w:rsidTr="00E02557">
        <w:trPr>
          <w:cantSplit/>
        </w:trPr>
        <w:tc>
          <w:tcPr>
            <w:tcW w:w="705" w:type="pct"/>
            <w:vMerge w:val="restart"/>
            <w:vAlign w:val="center"/>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HIGH FH</w:t>
            </w:r>
          </w:p>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(EFC12732)</w:t>
            </w: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Sanofi Clinical Study Report (2014). A Randomized, Double-Blind, Placebo-Controlled, Parallel Group Study to Evaluate the Efficacy and Safety of alirocumab in Patients With Heterozygous Familial Hypercholesterolemia and LDL-C higher or equal to 160 mg/dL With Their Lipid-Modifying Therapy.</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Internal study report</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i/>
                <w:snapToGrid/>
                <w:sz w:val="20"/>
              </w:rPr>
            </w:pP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Ginsberg HN, Rader DJ, Raal FJ et al (2016). Efficacy and Safety of Alirocumab in Patients with Heterozygous Familial Hypercholesterolemia and LDL-C of 160 mg/dl or Higher.</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Cardiovascular Drugs and Therapy, 30:473–483</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snapToGrid/>
                <w:sz w:val="20"/>
              </w:rPr>
            </w:pPr>
          </w:p>
        </w:tc>
        <w:tc>
          <w:tcPr>
            <w:tcW w:w="3146"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Kastelein JJP, Robinson JG, Farnier M et al (2014). Efficacy and safety of alirocumab in patients with heterozygous familial hypercholesterolemia not adequately controlled with current lipid-lowering therapy: Design and rationale of the ODYSSEY FH studies.</w:t>
            </w:r>
          </w:p>
        </w:tc>
        <w:tc>
          <w:tcPr>
            <w:tcW w:w="1149" w:type="pct"/>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Cardiovascular Drugs and Therapy, 28(3):281-289</w:t>
            </w:r>
          </w:p>
        </w:tc>
      </w:tr>
      <w:tr w:rsidR="007C6DBF" w:rsidRPr="006E72A7" w:rsidTr="00E02557">
        <w:trPr>
          <w:cantSplit/>
        </w:trPr>
        <w:tc>
          <w:tcPr>
            <w:tcW w:w="705" w:type="pct"/>
            <w:vMerge w:val="restart"/>
            <w:vAlign w:val="center"/>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ODYSSEY OUTCOMES</w:t>
            </w:r>
          </w:p>
        </w:tc>
        <w:tc>
          <w:tcPr>
            <w:tcW w:w="3146" w:type="pct"/>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Sanofi Clinical Study Report (2018). A Randomized, Double-Blind, Placebo-Controlled, Parallel-Group Study to Evaluate the Effect of SAR236553/REGN727 on the Occurrence of Cardiovascular Events in Patients Who Have Recently Experienced an Acute Coronary Syndrome.</w:t>
            </w:r>
          </w:p>
        </w:tc>
        <w:tc>
          <w:tcPr>
            <w:tcW w:w="1149" w:type="pct"/>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Internal study report</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snapToGrid/>
                <w:sz w:val="20"/>
              </w:rPr>
            </w:pPr>
          </w:p>
        </w:tc>
        <w:tc>
          <w:tcPr>
            <w:tcW w:w="3146" w:type="pct"/>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 xml:space="preserve">Schwartz GG, Bessac L, Berdan LG et al (2014). Effect of alirocumab, a monoclonal antibody to PCSK9, on long-term cardiovascular outcomes following acute coronary syndromes: rationale and design of the ODYSSEY outcomes trial. </w:t>
            </w:r>
          </w:p>
        </w:tc>
        <w:tc>
          <w:tcPr>
            <w:tcW w:w="1149" w:type="pct"/>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American Heart Journal, 168(5):682-9</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snapToGrid/>
                <w:sz w:val="20"/>
              </w:rPr>
            </w:pPr>
          </w:p>
        </w:tc>
        <w:tc>
          <w:tcPr>
            <w:tcW w:w="3146" w:type="pct"/>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Schwartz GG, Steg PG, Szarek M et al (2018). Alirocumab and Cardiovascular Outcomes after Acute Coronary Syndrome.</w:t>
            </w:r>
          </w:p>
        </w:tc>
        <w:tc>
          <w:tcPr>
            <w:tcW w:w="1149" w:type="pct"/>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New England Journal of Medicine (early online publication), DOI: 10.1056/NEJMoa1801174</w:t>
            </w:r>
          </w:p>
        </w:tc>
      </w:tr>
      <w:tr w:rsidR="007C6DBF" w:rsidRPr="006E72A7" w:rsidTr="00E02557">
        <w:trPr>
          <w:cantSplit/>
        </w:trPr>
        <w:tc>
          <w:tcPr>
            <w:tcW w:w="705" w:type="pct"/>
            <w:vAlign w:val="center"/>
          </w:tcPr>
          <w:p w:rsidR="007C6DBF" w:rsidRPr="006E72A7" w:rsidRDefault="007C6DBF" w:rsidP="00E02557">
            <w:pPr>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Stein 2012 (CL1003)</w:t>
            </w:r>
          </w:p>
        </w:tc>
        <w:tc>
          <w:tcPr>
            <w:tcW w:w="3146" w:type="pct"/>
          </w:tcPr>
          <w:p w:rsidR="007C6DBF" w:rsidRPr="006E72A7" w:rsidRDefault="007C6DBF" w:rsidP="00E02557">
            <w:pPr>
              <w:keepNext/>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Stein EA et al (2012). Effect of a monoclonal antibody to PCSK9, REGN727/SAR236553, to reduce low-density lipoprotein cholesterol in patients with heterozygous familial hypercholesterolaemia on stable statin dose with or without ezetimibe therapy: a phase 2 randomised controlled trial.</w:t>
            </w:r>
          </w:p>
        </w:tc>
        <w:tc>
          <w:tcPr>
            <w:tcW w:w="1149" w:type="pct"/>
          </w:tcPr>
          <w:p w:rsidR="007C6DBF" w:rsidRPr="006E72A7" w:rsidRDefault="007C6DBF" w:rsidP="00E02557">
            <w:pPr>
              <w:keepNext/>
              <w:widowControl/>
              <w:jc w:val="left"/>
              <w:rPr>
                <w:rFonts w:ascii="Arial Narrow" w:eastAsiaTheme="minorHAnsi" w:hAnsi="Arial Narrow" w:cstheme="minorBidi"/>
                <w:i/>
                <w:snapToGrid/>
                <w:sz w:val="20"/>
              </w:rPr>
            </w:pPr>
            <w:r w:rsidRPr="006E72A7">
              <w:rPr>
                <w:rFonts w:ascii="Arial Narrow" w:eastAsiaTheme="minorHAnsi" w:hAnsi="Arial Narrow" w:cstheme="minorBidi"/>
                <w:i/>
                <w:snapToGrid/>
                <w:sz w:val="20"/>
              </w:rPr>
              <w:t>Lancet, 380:29-36</w:t>
            </w:r>
          </w:p>
        </w:tc>
      </w:tr>
      <w:tr w:rsidR="007C6DBF" w:rsidRPr="006E72A7" w:rsidTr="00E02557">
        <w:trPr>
          <w:cantSplit/>
        </w:trPr>
        <w:tc>
          <w:tcPr>
            <w:tcW w:w="5000" w:type="pct"/>
            <w:gridSpan w:val="3"/>
            <w:vAlign w:val="center"/>
          </w:tcPr>
          <w:p w:rsidR="007C6DBF" w:rsidRPr="006E72A7" w:rsidRDefault="007C6DBF" w:rsidP="00E02557">
            <w:pPr>
              <w:keepNext/>
              <w:widowControl/>
              <w:jc w:val="left"/>
              <w:rPr>
                <w:rFonts w:ascii="Arial Narrow" w:eastAsiaTheme="minorHAnsi" w:hAnsi="Arial Narrow" w:cstheme="minorBidi"/>
                <w:b/>
                <w:snapToGrid/>
                <w:sz w:val="20"/>
              </w:rPr>
            </w:pPr>
            <w:r w:rsidRPr="006E72A7">
              <w:rPr>
                <w:rFonts w:ascii="Arial Narrow" w:eastAsiaTheme="minorHAnsi" w:hAnsi="Arial Narrow" w:cstheme="minorBidi"/>
                <w:b/>
                <w:snapToGrid/>
                <w:sz w:val="20"/>
              </w:rPr>
              <w:lastRenderedPageBreak/>
              <w:t>Evolocumab clinical trials</w:t>
            </w:r>
          </w:p>
        </w:tc>
      </w:tr>
      <w:tr w:rsidR="007C6DBF" w:rsidRPr="006E72A7" w:rsidTr="00E02557">
        <w:trPr>
          <w:cantSplit/>
        </w:trPr>
        <w:tc>
          <w:tcPr>
            <w:tcW w:w="705" w:type="pct"/>
            <w:vMerge w:val="restart"/>
            <w:vAlign w:val="center"/>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 xml:space="preserve">FOURIER </w:t>
            </w:r>
          </w:p>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(20110118)</w:t>
            </w:r>
          </w:p>
        </w:tc>
        <w:tc>
          <w:tcPr>
            <w:tcW w:w="3146"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Sabatine MS et al (2015). Rationale and design of the Further cardiovascular Outcomes Research with PCSK9 Inhibition in subjects with Elevated Risk trial.</w:t>
            </w:r>
          </w:p>
        </w:tc>
        <w:tc>
          <w:tcPr>
            <w:tcW w:w="1149"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American Heart Journal 173: 94-101</w:t>
            </w:r>
          </w:p>
        </w:tc>
      </w:tr>
      <w:tr w:rsidR="007C6DBF" w:rsidRPr="006E72A7" w:rsidTr="00E02557">
        <w:trPr>
          <w:cantSplit/>
        </w:trPr>
        <w:tc>
          <w:tcPr>
            <w:tcW w:w="705" w:type="pct"/>
            <w:vMerge/>
            <w:vAlign w:val="center"/>
          </w:tcPr>
          <w:p w:rsidR="007C6DBF" w:rsidRPr="006E72A7" w:rsidRDefault="007C6DBF" w:rsidP="00E02557">
            <w:pPr>
              <w:widowControl/>
              <w:jc w:val="left"/>
              <w:rPr>
                <w:rFonts w:ascii="Arial Narrow" w:eastAsiaTheme="minorHAnsi" w:hAnsi="Arial Narrow" w:cstheme="minorBidi"/>
                <w:snapToGrid/>
                <w:sz w:val="20"/>
              </w:rPr>
            </w:pPr>
          </w:p>
        </w:tc>
        <w:tc>
          <w:tcPr>
            <w:tcW w:w="3146"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Sabatine MS et al (2017). Evolocumab and Clinical Outcomes in Patients with Cardiovascular Disease</w:t>
            </w:r>
          </w:p>
        </w:tc>
        <w:tc>
          <w:tcPr>
            <w:tcW w:w="1149"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New England Journal of Medicine, 376: 1713-1722</w:t>
            </w:r>
          </w:p>
        </w:tc>
      </w:tr>
      <w:tr w:rsidR="007C6DBF" w:rsidRPr="006E72A7" w:rsidTr="00E02557">
        <w:trPr>
          <w:cantSplit/>
        </w:trPr>
        <w:tc>
          <w:tcPr>
            <w:tcW w:w="705" w:type="pct"/>
            <w:vAlign w:val="center"/>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 xml:space="preserve">RUTHERFORD-1 </w:t>
            </w:r>
          </w:p>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(20090158)</w:t>
            </w:r>
          </w:p>
        </w:tc>
        <w:tc>
          <w:tcPr>
            <w:tcW w:w="3146"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Raal F et al (2012). Low-density lipoprotein cholesterol-lowering effects of AMG 145, a monoclonal antibody to proprotein convertase subtilisin/kexin type 9 serine protease in patients with heterozygous familial hypercholesterolaemia: The reduction of LDL-C with PCSK9 inhibition in heterozygous familial hypercholesterolaemia disorder (RUTHERFORD) randomized trial</w:t>
            </w:r>
          </w:p>
        </w:tc>
        <w:tc>
          <w:tcPr>
            <w:tcW w:w="1149"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Circulation, 126: 2408–2417</w:t>
            </w:r>
          </w:p>
        </w:tc>
      </w:tr>
      <w:tr w:rsidR="007C6DBF" w:rsidRPr="006E72A7" w:rsidTr="00E02557">
        <w:trPr>
          <w:cantSplit/>
        </w:trPr>
        <w:tc>
          <w:tcPr>
            <w:tcW w:w="705" w:type="pct"/>
            <w:vAlign w:val="center"/>
          </w:tcPr>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 xml:space="preserve">RUTHERFORD-2 </w:t>
            </w:r>
          </w:p>
          <w:p w:rsidR="007C6DBF" w:rsidRPr="006E72A7" w:rsidRDefault="007C6DBF" w:rsidP="00E02557">
            <w:pPr>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(20110117)</w:t>
            </w:r>
          </w:p>
        </w:tc>
        <w:tc>
          <w:tcPr>
            <w:tcW w:w="3146"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Raal F et al (2015). PCSK9 inhibition with evolocumab (AMG 145) in heterozygous familial hypercholesterolaemia (RUTHERFORD-2): a randomised, double-blind, placebo-controlled trial.</w:t>
            </w:r>
          </w:p>
        </w:tc>
        <w:tc>
          <w:tcPr>
            <w:tcW w:w="1149" w:type="pct"/>
          </w:tcPr>
          <w:p w:rsidR="007C6DBF" w:rsidRPr="006E72A7" w:rsidRDefault="007C6DBF" w:rsidP="00E02557">
            <w:pPr>
              <w:keepNext/>
              <w:widowControl/>
              <w:jc w:val="left"/>
              <w:rPr>
                <w:rFonts w:ascii="Arial Narrow" w:eastAsiaTheme="minorHAnsi" w:hAnsi="Arial Narrow" w:cstheme="minorBidi"/>
                <w:snapToGrid/>
                <w:sz w:val="20"/>
              </w:rPr>
            </w:pPr>
            <w:r w:rsidRPr="006E72A7">
              <w:rPr>
                <w:rFonts w:ascii="Arial Narrow" w:eastAsiaTheme="minorHAnsi" w:hAnsi="Arial Narrow" w:cstheme="minorBidi"/>
                <w:snapToGrid/>
                <w:sz w:val="20"/>
              </w:rPr>
              <w:t>Lancet 9965: 331–340</w:t>
            </w:r>
          </w:p>
        </w:tc>
      </w:tr>
    </w:tbl>
    <w:p w:rsidR="007C6DBF" w:rsidRPr="006E72A7" w:rsidRDefault="007C6DBF" w:rsidP="00E02557">
      <w:pPr>
        <w:pStyle w:val="TableFooter"/>
        <w:widowControl/>
      </w:pPr>
      <w:r w:rsidRPr="006E72A7">
        <w:t>Source: Table 2.2.3, pp69-71 of the resubmission, clinical trial reports and publications</w:t>
      </w:r>
    </w:p>
    <w:p w:rsidR="007C6DBF" w:rsidRPr="006E72A7" w:rsidRDefault="007C6DBF" w:rsidP="00E02557">
      <w:pPr>
        <w:pStyle w:val="TableFooter"/>
        <w:widowControl/>
        <w:rPr>
          <w:i/>
        </w:rPr>
      </w:pPr>
      <w:r w:rsidRPr="006E72A7">
        <w:rPr>
          <w:i/>
        </w:rPr>
        <w:t>Studies in italics were identified but not presented in the resubmission</w:t>
      </w:r>
    </w:p>
    <w:p w:rsidR="00862502" w:rsidRPr="006E72A7" w:rsidRDefault="00862502" w:rsidP="00E02557">
      <w:pPr>
        <w:widowControl/>
      </w:pPr>
    </w:p>
    <w:p w:rsidR="007F1017" w:rsidRPr="006E72A7" w:rsidRDefault="008F120A" w:rsidP="00DD4DF0">
      <w:pPr>
        <w:pStyle w:val="ListParagraph"/>
        <w:widowControl/>
        <w:numPr>
          <w:ilvl w:val="1"/>
          <w:numId w:val="1"/>
        </w:numPr>
      </w:pPr>
      <w:r w:rsidRPr="006E72A7">
        <w:t xml:space="preserve">The key features of the </w:t>
      </w:r>
      <w:r w:rsidR="007C6DBF" w:rsidRPr="006E72A7">
        <w:t>included trials</w:t>
      </w:r>
      <w:r w:rsidRPr="006E72A7">
        <w:t xml:space="preserve"> are summarised in the table below</w:t>
      </w:r>
      <w:r w:rsidR="006E72A7">
        <w:t xml:space="preserve">. </w:t>
      </w:r>
    </w:p>
    <w:p w:rsidR="00BE4EBE" w:rsidRPr="006E72A7" w:rsidRDefault="00BE4EBE">
      <w:pPr>
        <w:widowControl/>
        <w:jc w:val="left"/>
        <w:rPr>
          <w:rStyle w:val="CommentReference"/>
        </w:rPr>
      </w:pPr>
      <w:r w:rsidRPr="006E72A7">
        <w:rPr>
          <w:rStyle w:val="CommentReference"/>
        </w:rPr>
        <w:br w:type="page"/>
      </w:r>
    </w:p>
    <w:p w:rsidR="007F1017" w:rsidRPr="006E72A7" w:rsidRDefault="007C6DBF" w:rsidP="00E02557">
      <w:pPr>
        <w:widowControl/>
        <w:rPr>
          <w:rStyle w:val="CommentReference"/>
        </w:rPr>
      </w:pPr>
      <w:r w:rsidRPr="006E72A7">
        <w:rPr>
          <w:rStyle w:val="CommentReference"/>
        </w:rPr>
        <w:lastRenderedPageBreak/>
        <w:t>Table 4</w:t>
      </w:r>
      <w:r w:rsidR="007F1017" w:rsidRPr="006E72A7">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379"/>
        <w:gridCol w:w="660"/>
        <w:gridCol w:w="1367"/>
        <w:gridCol w:w="846"/>
        <w:gridCol w:w="1735"/>
        <w:gridCol w:w="1567"/>
        <w:gridCol w:w="1463"/>
      </w:tblGrid>
      <w:tr w:rsidR="00B41614" w:rsidRPr="006E72A7" w:rsidTr="005B0CC6">
        <w:tc>
          <w:tcPr>
            <w:tcW w:w="765" w:type="pct"/>
            <w:shd w:val="clear" w:color="auto" w:fill="auto"/>
            <w:vAlign w:val="center"/>
          </w:tcPr>
          <w:p w:rsidR="007F1017" w:rsidRPr="006E72A7" w:rsidRDefault="007F1017" w:rsidP="00E02557">
            <w:pPr>
              <w:pStyle w:val="Tabletext"/>
              <w:rPr>
                <w:b/>
              </w:rPr>
            </w:pPr>
            <w:r w:rsidRPr="006E72A7">
              <w:rPr>
                <w:b/>
              </w:rPr>
              <w:t>Trial</w:t>
            </w:r>
          </w:p>
        </w:tc>
        <w:tc>
          <w:tcPr>
            <w:tcW w:w="366" w:type="pct"/>
            <w:shd w:val="clear" w:color="auto" w:fill="auto"/>
            <w:vAlign w:val="center"/>
          </w:tcPr>
          <w:p w:rsidR="007F1017" w:rsidRPr="006E72A7" w:rsidRDefault="007F1017" w:rsidP="00E02557">
            <w:pPr>
              <w:pStyle w:val="Tabletext"/>
              <w:jc w:val="center"/>
              <w:rPr>
                <w:b/>
              </w:rPr>
            </w:pPr>
            <w:r w:rsidRPr="006E72A7">
              <w:rPr>
                <w:b/>
              </w:rPr>
              <w:t>N</w:t>
            </w:r>
          </w:p>
        </w:tc>
        <w:tc>
          <w:tcPr>
            <w:tcW w:w="758" w:type="pct"/>
            <w:shd w:val="clear" w:color="auto" w:fill="auto"/>
            <w:vAlign w:val="center"/>
          </w:tcPr>
          <w:p w:rsidR="007F1017" w:rsidRPr="006E72A7" w:rsidRDefault="007F1017" w:rsidP="00E02557">
            <w:pPr>
              <w:pStyle w:val="Tabletext"/>
              <w:jc w:val="center"/>
              <w:rPr>
                <w:b/>
              </w:rPr>
            </w:pPr>
            <w:r w:rsidRPr="006E72A7">
              <w:rPr>
                <w:b/>
              </w:rPr>
              <w:t>Design/duration</w:t>
            </w:r>
          </w:p>
        </w:tc>
        <w:tc>
          <w:tcPr>
            <w:tcW w:w="469" w:type="pct"/>
            <w:shd w:val="clear" w:color="auto" w:fill="auto"/>
            <w:vAlign w:val="center"/>
          </w:tcPr>
          <w:p w:rsidR="007F1017" w:rsidRPr="006E72A7" w:rsidRDefault="007F1017" w:rsidP="00E02557">
            <w:pPr>
              <w:pStyle w:val="Tabletext"/>
              <w:jc w:val="center"/>
              <w:rPr>
                <w:b/>
              </w:rPr>
            </w:pPr>
            <w:r w:rsidRPr="006E72A7">
              <w:rPr>
                <w:b/>
              </w:rPr>
              <w:t>Risk of bias</w:t>
            </w:r>
          </w:p>
        </w:tc>
        <w:tc>
          <w:tcPr>
            <w:tcW w:w="962" w:type="pct"/>
            <w:shd w:val="clear" w:color="auto" w:fill="auto"/>
            <w:vAlign w:val="center"/>
          </w:tcPr>
          <w:p w:rsidR="007F1017" w:rsidRPr="006E72A7" w:rsidRDefault="007F1017" w:rsidP="00E02557">
            <w:pPr>
              <w:pStyle w:val="Tabletext"/>
              <w:jc w:val="center"/>
              <w:rPr>
                <w:b/>
              </w:rPr>
            </w:pPr>
            <w:r w:rsidRPr="006E72A7">
              <w:rPr>
                <w:b/>
              </w:rPr>
              <w:t>Patient population</w:t>
            </w:r>
          </w:p>
        </w:tc>
        <w:tc>
          <w:tcPr>
            <w:tcW w:w="869" w:type="pct"/>
            <w:shd w:val="clear" w:color="auto" w:fill="auto"/>
            <w:vAlign w:val="center"/>
          </w:tcPr>
          <w:p w:rsidR="007F1017" w:rsidRPr="006E72A7" w:rsidRDefault="00153B45" w:rsidP="00E02557">
            <w:pPr>
              <w:pStyle w:val="Tabletext"/>
              <w:jc w:val="center"/>
              <w:rPr>
                <w:b/>
              </w:rPr>
            </w:pPr>
            <w:r w:rsidRPr="006E72A7">
              <w:rPr>
                <w:b/>
              </w:rPr>
              <w:t>Outcomes</w:t>
            </w:r>
          </w:p>
        </w:tc>
        <w:tc>
          <w:tcPr>
            <w:tcW w:w="811" w:type="pct"/>
            <w:shd w:val="clear" w:color="auto" w:fill="auto"/>
            <w:vAlign w:val="center"/>
          </w:tcPr>
          <w:p w:rsidR="007F1017" w:rsidRPr="006E72A7" w:rsidRDefault="007F1017" w:rsidP="00E02557">
            <w:pPr>
              <w:pStyle w:val="Tabletext"/>
              <w:jc w:val="center"/>
              <w:rPr>
                <w:b/>
              </w:rPr>
            </w:pPr>
            <w:r w:rsidRPr="006E72A7">
              <w:rPr>
                <w:b/>
              </w:rPr>
              <w:t>Use in modelled evaluation</w:t>
            </w:r>
          </w:p>
        </w:tc>
      </w:tr>
      <w:tr w:rsidR="007F1017" w:rsidRPr="006E72A7" w:rsidTr="00B41614">
        <w:tc>
          <w:tcPr>
            <w:tcW w:w="5000" w:type="pct"/>
            <w:gridSpan w:val="7"/>
            <w:shd w:val="clear" w:color="auto" w:fill="auto"/>
            <w:vAlign w:val="center"/>
          </w:tcPr>
          <w:p w:rsidR="007F1017" w:rsidRPr="006E72A7" w:rsidRDefault="007C6DBF" w:rsidP="00E02557">
            <w:pPr>
              <w:pStyle w:val="Tabletext"/>
              <w:rPr>
                <w:b/>
              </w:rPr>
            </w:pPr>
            <w:r w:rsidRPr="006E72A7">
              <w:rPr>
                <w:b/>
              </w:rPr>
              <w:t>Alirocumab trials</w:t>
            </w:r>
          </w:p>
        </w:tc>
      </w:tr>
      <w:tr w:rsidR="00B41614" w:rsidRPr="006E72A7" w:rsidTr="005B0CC6">
        <w:tc>
          <w:tcPr>
            <w:tcW w:w="765" w:type="pct"/>
            <w:shd w:val="clear" w:color="auto" w:fill="auto"/>
            <w:vAlign w:val="center"/>
          </w:tcPr>
          <w:p w:rsidR="007F1017" w:rsidRPr="006E72A7" w:rsidRDefault="007C6DBF" w:rsidP="00E02557">
            <w:pPr>
              <w:pStyle w:val="Tabletext"/>
            </w:pPr>
            <w:r w:rsidRPr="006E72A7">
              <w:t>ESCAPE</w:t>
            </w:r>
          </w:p>
        </w:tc>
        <w:tc>
          <w:tcPr>
            <w:tcW w:w="366" w:type="pct"/>
            <w:shd w:val="clear" w:color="auto" w:fill="auto"/>
            <w:vAlign w:val="center"/>
          </w:tcPr>
          <w:p w:rsidR="007F1017" w:rsidRPr="006E72A7" w:rsidRDefault="005B0CC6" w:rsidP="00E02557">
            <w:pPr>
              <w:pStyle w:val="Tabletext"/>
              <w:jc w:val="center"/>
            </w:pPr>
            <w:r w:rsidRPr="006E72A7">
              <w:t>62</w:t>
            </w:r>
          </w:p>
        </w:tc>
        <w:tc>
          <w:tcPr>
            <w:tcW w:w="758" w:type="pct"/>
            <w:shd w:val="clear" w:color="auto" w:fill="auto"/>
            <w:vAlign w:val="center"/>
          </w:tcPr>
          <w:p w:rsidR="005B0CC6" w:rsidRPr="006E72A7" w:rsidRDefault="00356788" w:rsidP="00E02557">
            <w:pPr>
              <w:pStyle w:val="Tabletext"/>
              <w:jc w:val="center"/>
            </w:pPr>
            <w:r w:rsidRPr="006E72A7">
              <w:t>MC, R, DB, PC</w:t>
            </w:r>
          </w:p>
          <w:p w:rsidR="007F1017" w:rsidRPr="006E72A7" w:rsidRDefault="005B0CC6" w:rsidP="00E02557">
            <w:pPr>
              <w:pStyle w:val="Tabletext"/>
              <w:jc w:val="center"/>
            </w:pPr>
            <w:r w:rsidRPr="006E72A7">
              <w:t>18 weeks</w:t>
            </w:r>
          </w:p>
        </w:tc>
        <w:tc>
          <w:tcPr>
            <w:tcW w:w="469" w:type="pct"/>
            <w:shd w:val="clear" w:color="auto" w:fill="auto"/>
            <w:vAlign w:val="center"/>
          </w:tcPr>
          <w:p w:rsidR="007F1017" w:rsidRPr="006E72A7" w:rsidRDefault="005B0CC6" w:rsidP="00E02557">
            <w:pPr>
              <w:pStyle w:val="Tabletext"/>
              <w:jc w:val="center"/>
            </w:pPr>
            <w:r w:rsidRPr="006E72A7">
              <w:t>Low</w:t>
            </w:r>
          </w:p>
        </w:tc>
        <w:tc>
          <w:tcPr>
            <w:tcW w:w="962" w:type="pct"/>
            <w:shd w:val="clear" w:color="auto" w:fill="auto"/>
            <w:vAlign w:val="center"/>
          </w:tcPr>
          <w:p w:rsidR="007F1017" w:rsidRPr="006E72A7" w:rsidRDefault="005B0CC6" w:rsidP="00E02557">
            <w:pPr>
              <w:pStyle w:val="Tabletext"/>
              <w:jc w:val="center"/>
            </w:pPr>
            <w:r w:rsidRPr="006E72A7">
              <w:t>HeFH undergoing LDL apheresis</w:t>
            </w:r>
          </w:p>
        </w:tc>
        <w:tc>
          <w:tcPr>
            <w:tcW w:w="869" w:type="pct"/>
            <w:shd w:val="clear" w:color="auto" w:fill="auto"/>
            <w:vAlign w:val="center"/>
          </w:tcPr>
          <w:p w:rsidR="007F1017" w:rsidRPr="006E72A7" w:rsidRDefault="005B0CC6" w:rsidP="00E02557">
            <w:pPr>
              <w:pStyle w:val="Tabletext"/>
              <w:jc w:val="center"/>
            </w:pPr>
            <w:r w:rsidRPr="006E72A7">
              <w:t>Rate of apheresis treatments</w:t>
            </w:r>
          </w:p>
        </w:tc>
        <w:tc>
          <w:tcPr>
            <w:tcW w:w="811" w:type="pct"/>
            <w:shd w:val="clear" w:color="auto" w:fill="auto"/>
            <w:vAlign w:val="center"/>
          </w:tcPr>
          <w:p w:rsidR="007F1017" w:rsidRPr="006E72A7" w:rsidRDefault="005B0CC6" w:rsidP="00E02557">
            <w:pPr>
              <w:pStyle w:val="Tabletext"/>
              <w:jc w:val="center"/>
            </w:pPr>
            <w:r w:rsidRPr="006E72A7">
              <w:t>Not used</w:t>
            </w:r>
          </w:p>
        </w:tc>
      </w:tr>
      <w:tr w:rsidR="00B41614" w:rsidRPr="006E72A7" w:rsidTr="005B0CC6">
        <w:tc>
          <w:tcPr>
            <w:tcW w:w="765" w:type="pct"/>
            <w:shd w:val="clear" w:color="auto" w:fill="auto"/>
            <w:vAlign w:val="center"/>
          </w:tcPr>
          <w:p w:rsidR="007F1017" w:rsidRPr="006E72A7" w:rsidRDefault="007C6DBF" w:rsidP="00E02557">
            <w:pPr>
              <w:pStyle w:val="Tabletext"/>
            </w:pPr>
            <w:r w:rsidRPr="006E72A7">
              <w:t>FH I</w:t>
            </w:r>
          </w:p>
        </w:tc>
        <w:tc>
          <w:tcPr>
            <w:tcW w:w="366" w:type="pct"/>
            <w:shd w:val="clear" w:color="auto" w:fill="auto"/>
            <w:vAlign w:val="center"/>
          </w:tcPr>
          <w:p w:rsidR="007F1017" w:rsidRPr="006E72A7" w:rsidRDefault="005B0CC6" w:rsidP="00E02557">
            <w:pPr>
              <w:pStyle w:val="Tabletext"/>
              <w:jc w:val="center"/>
            </w:pPr>
            <w:r w:rsidRPr="006E72A7">
              <w:t>486</w:t>
            </w:r>
          </w:p>
        </w:tc>
        <w:tc>
          <w:tcPr>
            <w:tcW w:w="758" w:type="pct"/>
            <w:shd w:val="clear" w:color="auto" w:fill="auto"/>
            <w:vAlign w:val="center"/>
          </w:tcPr>
          <w:p w:rsidR="005B0CC6" w:rsidRPr="006E72A7" w:rsidRDefault="00356788" w:rsidP="00E02557">
            <w:pPr>
              <w:pStyle w:val="Tabletext"/>
              <w:jc w:val="center"/>
            </w:pPr>
            <w:r w:rsidRPr="006E72A7">
              <w:t>MC, R, DB, PC</w:t>
            </w:r>
          </w:p>
          <w:p w:rsidR="007F1017" w:rsidRPr="006E72A7" w:rsidRDefault="005B0CC6" w:rsidP="00E02557">
            <w:pPr>
              <w:pStyle w:val="Tabletext"/>
              <w:jc w:val="center"/>
            </w:pPr>
            <w:r w:rsidRPr="006E72A7">
              <w:t>78 weeks</w:t>
            </w:r>
          </w:p>
        </w:tc>
        <w:tc>
          <w:tcPr>
            <w:tcW w:w="469" w:type="pct"/>
            <w:shd w:val="clear" w:color="auto" w:fill="auto"/>
            <w:vAlign w:val="center"/>
          </w:tcPr>
          <w:p w:rsidR="007F1017" w:rsidRPr="006E72A7" w:rsidRDefault="005B0CC6" w:rsidP="00E02557">
            <w:pPr>
              <w:pStyle w:val="Tabletext"/>
              <w:jc w:val="center"/>
            </w:pPr>
            <w:r w:rsidRPr="006E72A7">
              <w:t>Low</w:t>
            </w:r>
          </w:p>
        </w:tc>
        <w:tc>
          <w:tcPr>
            <w:tcW w:w="962" w:type="pct"/>
            <w:shd w:val="clear" w:color="auto" w:fill="auto"/>
            <w:vAlign w:val="center"/>
          </w:tcPr>
          <w:p w:rsidR="007F1017" w:rsidRPr="006E72A7" w:rsidRDefault="005B0CC6" w:rsidP="00E02557">
            <w:pPr>
              <w:pStyle w:val="Tabletext"/>
              <w:jc w:val="center"/>
            </w:pPr>
            <w:r w:rsidRPr="006E72A7">
              <w:t>HeFH</w:t>
            </w:r>
          </w:p>
        </w:tc>
        <w:tc>
          <w:tcPr>
            <w:tcW w:w="869" w:type="pct"/>
            <w:shd w:val="clear" w:color="auto" w:fill="auto"/>
            <w:vAlign w:val="center"/>
          </w:tcPr>
          <w:p w:rsidR="007F1017" w:rsidRPr="006E72A7" w:rsidRDefault="005B0CC6" w:rsidP="00E02557">
            <w:pPr>
              <w:pStyle w:val="Tabletext"/>
              <w:jc w:val="center"/>
            </w:pPr>
            <w:r w:rsidRPr="006E72A7">
              <w:t>Change in LDL levels</w:t>
            </w:r>
          </w:p>
        </w:tc>
        <w:tc>
          <w:tcPr>
            <w:tcW w:w="811" w:type="pct"/>
            <w:shd w:val="clear" w:color="auto" w:fill="auto"/>
            <w:vAlign w:val="center"/>
          </w:tcPr>
          <w:p w:rsidR="007F1017" w:rsidRPr="006E72A7" w:rsidRDefault="005B0CC6" w:rsidP="00E02557">
            <w:pPr>
              <w:pStyle w:val="Tabletext"/>
              <w:jc w:val="center"/>
            </w:pPr>
            <w:r w:rsidRPr="006E72A7">
              <w:t>Not used</w:t>
            </w:r>
          </w:p>
        </w:tc>
      </w:tr>
      <w:tr w:rsidR="00B41614" w:rsidRPr="006E72A7" w:rsidTr="005B0CC6">
        <w:tc>
          <w:tcPr>
            <w:tcW w:w="765" w:type="pct"/>
            <w:shd w:val="clear" w:color="auto" w:fill="auto"/>
            <w:vAlign w:val="center"/>
          </w:tcPr>
          <w:p w:rsidR="007F1017" w:rsidRPr="006E72A7" w:rsidRDefault="007C6DBF" w:rsidP="00E02557">
            <w:pPr>
              <w:pStyle w:val="Tabletext"/>
            </w:pPr>
            <w:r w:rsidRPr="006E72A7">
              <w:t>FH II</w:t>
            </w:r>
          </w:p>
        </w:tc>
        <w:tc>
          <w:tcPr>
            <w:tcW w:w="366" w:type="pct"/>
            <w:shd w:val="clear" w:color="auto" w:fill="auto"/>
            <w:vAlign w:val="center"/>
          </w:tcPr>
          <w:p w:rsidR="007F1017" w:rsidRPr="006E72A7" w:rsidRDefault="005B0CC6" w:rsidP="00E02557">
            <w:pPr>
              <w:pStyle w:val="Tabletext"/>
              <w:jc w:val="center"/>
            </w:pPr>
            <w:r w:rsidRPr="006E72A7">
              <w:t>249</w:t>
            </w:r>
          </w:p>
        </w:tc>
        <w:tc>
          <w:tcPr>
            <w:tcW w:w="758" w:type="pct"/>
            <w:shd w:val="clear" w:color="auto" w:fill="auto"/>
            <w:vAlign w:val="center"/>
          </w:tcPr>
          <w:p w:rsidR="005B0CC6" w:rsidRPr="006E72A7" w:rsidRDefault="00356788" w:rsidP="00E02557">
            <w:pPr>
              <w:widowControl/>
              <w:jc w:val="center"/>
              <w:rPr>
                <w:rFonts w:ascii="Arial Narrow" w:eastAsia="Calibri" w:hAnsi="Arial Narrow"/>
                <w:snapToGrid/>
                <w:sz w:val="20"/>
              </w:rPr>
            </w:pPr>
            <w:r w:rsidRPr="006E72A7">
              <w:rPr>
                <w:rFonts w:ascii="Arial Narrow" w:eastAsia="Calibri" w:hAnsi="Arial Narrow"/>
                <w:snapToGrid/>
                <w:sz w:val="20"/>
              </w:rPr>
              <w:t>MC, R, DB, PC</w:t>
            </w:r>
          </w:p>
          <w:p w:rsidR="007F1017" w:rsidRPr="006E72A7" w:rsidRDefault="005B0CC6" w:rsidP="00E02557">
            <w:pPr>
              <w:pStyle w:val="Tabletext"/>
              <w:jc w:val="center"/>
            </w:pPr>
            <w:r w:rsidRPr="006E72A7">
              <w:rPr>
                <w:rFonts w:eastAsia="Calibri" w:cs="Arial"/>
              </w:rPr>
              <w:t>78 weeks</w:t>
            </w:r>
          </w:p>
        </w:tc>
        <w:tc>
          <w:tcPr>
            <w:tcW w:w="469" w:type="pct"/>
            <w:shd w:val="clear" w:color="auto" w:fill="auto"/>
            <w:vAlign w:val="center"/>
          </w:tcPr>
          <w:p w:rsidR="007F1017" w:rsidRPr="006E72A7" w:rsidRDefault="005B0CC6" w:rsidP="00E02557">
            <w:pPr>
              <w:pStyle w:val="Tabletext"/>
              <w:jc w:val="center"/>
            </w:pPr>
            <w:r w:rsidRPr="006E72A7">
              <w:t>Low</w:t>
            </w:r>
          </w:p>
        </w:tc>
        <w:tc>
          <w:tcPr>
            <w:tcW w:w="962" w:type="pct"/>
            <w:shd w:val="clear" w:color="auto" w:fill="auto"/>
            <w:vAlign w:val="center"/>
          </w:tcPr>
          <w:p w:rsidR="007F1017" w:rsidRPr="006E72A7" w:rsidRDefault="005B0CC6" w:rsidP="00E02557">
            <w:pPr>
              <w:pStyle w:val="Tabletext"/>
              <w:jc w:val="center"/>
            </w:pPr>
            <w:r w:rsidRPr="006E72A7">
              <w:t>HeFH</w:t>
            </w:r>
          </w:p>
        </w:tc>
        <w:tc>
          <w:tcPr>
            <w:tcW w:w="869" w:type="pct"/>
            <w:shd w:val="clear" w:color="auto" w:fill="auto"/>
            <w:vAlign w:val="center"/>
          </w:tcPr>
          <w:p w:rsidR="007F1017" w:rsidRPr="006E72A7" w:rsidRDefault="005B0CC6" w:rsidP="00E02557">
            <w:pPr>
              <w:pStyle w:val="Tabletext"/>
              <w:jc w:val="center"/>
            </w:pPr>
            <w:r w:rsidRPr="006E72A7">
              <w:t>Change in LDL levels</w:t>
            </w:r>
          </w:p>
        </w:tc>
        <w:tc>
          <w:tcPr>
            <w:tcW w:w="811" w:type="pct"/>
            <w:shd w:val="clear" w:color="auto" w:fill="auto"/>
            <w:vAlign w:val="center"/>
          </w:tcPr>
          <w:p w:rsidR="007F1017" w:rsidRPr="006E72A7" w:rsidRDefault="005B0CC6" w:rsidP="00E02557">
            <w:pPr>
              <w:pStyle w:val="Tabletext"/>
              <w:jc w:val="center"/>
            </w:pPr>
            <w:r w:rsidRPr="006E72A7">
              <w:t>Not used</w:t>
            </w:r>
          </w:p>
        </w:tc>
      </w:tr>
      <w:tr w:rsidR="007C6DBF" w:rsidRPr="006E72A7" w:rsidTr="005B0CC6">
        <w:tc>
          <w:tcPr>
            <w:tcW w:w="765" w:type="pct"/>
            <w:shd w:val="clear" w:color="auto" w:fill="auto"/>
            <w:vAlign w:val="center"/>
          </w:tcPr>
          <w:p w:rsidR="007C6DBF" w:rsidRPr="006E72A7" w:rsidRDefault="007C6DBF" w:rsidP="00E02557">
            <w:pPr>
              <w:pStyle w:val="Tabletext"/>
            </w:pPr>
            <w:r w:rsidRPr="006E72A7">
              <w:t>HIGH FH</w:t>
            </w:r>
          </w:p>
        </w:tc>
        <w:tc>
          <w:tcPr>
            <w:tcW w:w="366" w:type="pct"/>
            <w:shd w:val="clear" w:color="auto" w:fill="auto"/>
            <w:vAlign w:val="center"/>
          </w:tcPr>
          <w:p w:rsidR="007C6DBF" w:rsidRPr="006E72A7" w:rsidRDefault="005B0CC6" w:rsidP="00E02557">
            <w:pPr>
              <w:pStyle w:val="Tabletext"/>
              <w:jc w:val="center"/>
            </w:pPr>
            <w:r w:rsidRPr="006E72A7">
              <w:t>107</w:t>
            </w:r>
          </w:p>
        </w:tc>
        <w:tc>
          <w:tcPr>
            <w:tcW w:w="758" w:type="pct"/>
            <w:shd w:val="clear" w:color="auto" w:fill="auto"/>
            <w:vAlign w:val="center"/>
          </w:tcPr>
          <w:p w:rsidR="005B0CC6" w:rsidRPr="006E72A7" w:rsidRDefault="00356788" w:rsidP="00E02557">
            <w:pPr>
              <w:pStyle w:val="Tabletext"/>
              <w:jc w:val="center"/>
            </w:pPr>
            <w:r w:rsidRPr="006E72A7">
              <w:t>MC, R, DB, PC</w:t>
            </w:r>
          </w:p>
          <w:p w:rsidR="007C6DBF" w:rsidRPr="006E72A7" w:rsidRDefault="005B0CC6" w:rsidP="00E02557">
            <w:pPr>
              <w:pStyle w:val="Tabletext"/>
              <w:jc w:val="center"/>
            </w:pPr>
            <w:r w:rsidRPr="006E72A7">
              <w:t>78 weeks</w:t>
            </w:r>
          </w:p>
        </w:tc>
        <w:tc>
          <w:tcPr>
            <w:tcW w:w="469" w:type="pct"/>
            <w:shd w:val="clear" w:color="auto" w:fill="auto"/>
            <w:vAlign w:val="center"/>
          </w:tcPr>
          <w:p w:rsidR="007C6DBF" w:rsidRPr="006E72A7" w:rsidRDefault="005B0CC6" w:rsidP="00E02557">
            <w:pPr>
              <w:pStyle w:val="Tabletext"/>
              <w:jc w:val="center"/>
            </w:pPr>
            <w:r w:rsidRPr="006E72A7">
              <w:t>Unclear</w:t>
            </w:r>
          </w:p>
        </w:tc>
        <w:tc>
          <w:tcPr>
            <w:tcW w:w="962" w:type="pct"/>
            <w:shd w:val="clear" w:color="auto" w:fill="auto"/>
            <w:vAlign w:val="center"/>
          </w:tcPr>
          <w:p w:rsidR="007C6DBF" w:rsidRPr="006E72A7" w:rsidRDefault="005B0CC6" w:rsidP="00E02557">
            <w:pPr>
              <w:pStyle w:val="Tabletext"/>
              <w:jc w:val="center"/>
            </w:pPr>
            <w:r w:rsidRPr="006E72A7">
              <w:t>HeFH with high LDL levels</w:t>
            </w:r>
          </w:p>
        </w:tc>
        <w:tc>
          <w:tcPr>
            <w:tcW w:w="869" w:type="pct"/>
            <w:shd w:val="clear" w:color="auto" w:fill="auto"/>
            <w:vAlign w:val="center"/>
          </w:tcPr>
          <w:p w:rsidR="007C6DBF" w:rsidRPr="006E72A7" w:rsidRDefault="005B0CC6" w:rsidP="00E02557">
            <w:pPr>
              <w:pStyle w:val="Tabletext"/>
              <w:jc w:val="center"/>
            </w:pPr>
            <w:r w:rsidRPr="006E72A7">
              <w:t>Change in LDL levels</w:t>
            </w:r>
          </w:p>
        </w:tc>
        <w:tc>
          <w:tcPr>
            <w:tcW w:w="811" w:type="pct"/>
            <w:shd w:val="clear" w:color="auto" w:fill="auto"/>
            <w:vAlign w:val="center"/>
          </w:tcPr>
          <w:p w:rsidR="007C6DBF" w:rsidRPr="006E72A7" w:rsidRDefault="005B0CC6" w:rsidP="00E02557">
            <w:pPr>
              <w:pStyle w:val="Tabletext"/>
              <w:jc w:val="center"/>
            </w:pPr>
            <w:r w:rsidRPr="006E72A7">
              <w:t>Not used</w:t>
            </w:r>
          </w:p>
        </w:tc>
      </w:tr>
      <w:tr w:rsidR="007C6DBF" w:rsidRPr="006E72A7" w:rsidTr="005B0CC6">
        <w:tc>
          <w:tcPr>
            <w:tcW w:w="765" w:type="pct"/>
            <w:shd w:val="clear" w:color="auto" w:fill="auto"/>
            <w:vAlign w:val="center"/>
          </w:tcPr>
          <w:p w:rsidR="007C6DBF" w:rsidRPr="006E72A7" w:rsidRDefault="007C6DBF" w:rsidP="00E02557">
            <w:pPr>
              <w:pStyle w:val="Tabletext"/>
            </w:pPr>
            <w:r w:rsidRPr="006E72A7">
              <w:t>ODYSSEY OUTCOMES</w:t>
            </w:r>
          </w:p>
        </w:tc>
        <w:tc>
          <w:tcPr>
            <w:tcW w:w="366" w:type="pct"/>
            <w:shd w:val="clear" w:color="auto" w:fill="auto"/>
            <w:vAlign w:val="center"/>
          </w:tcPr>
          <w:p w:rsidR="007C6DBF" w:rsidRPr="006E72A7" w:rsidRDefault="005B0CC6" w:rsidP="00E02557">
            <w:pPr>
              <w:pStyle w:val="Tabletext"/>
              <w:jc w:val="center"/>
            </w:pPr>
            <w:r w:rsidRPr="006E72A7">
              <w:t>18,924</w:t>
            </w:r>
          </w:p>
        </w:tc>
        <w:tc>
          <w:tcPr>
            <w:tcW w:w="758" w:type="pct"/>
            <w:shd w:val="clear" w:color="auto" w:fill="auto"/>
            <w:vAlign w:val="center"/>
          </w:tcPr>
          <w:p w:rsidR="007C6DBF" w:rsidRPr="006E72A7" w:rsidRDefault="005B0CC6" w:rsidP="00E02557">
            <w:pPr>
              <w:pStyle w:val="Tabletext"/>
              <w:jc w:val="center"/>
            </w:pPr>
            <w:r w:rsidRPr="006E72A7">
              <w:t>MC, R, DB, PC</w:t>
            </w:r>
          </w:p>
          <w:p w:rsidR="005B0CC6" w:rsidRPr="006E72A7" w:rsidRDefault="005B0CC6" w:rsidP="00E02557">
            <w:pPr>
              <w:pStyle w:val="Tabletext"/>
              <w:jc w:val="center"/>
            </w:pPr>
            <w:r w:rsidRPr="006E72A7">
              <w:t>Median follow-up of 2.8 years</w:t>
            </w:r>
          </w:p>
        </w:tc>
        <w:tc>
          <w:tcPr>
            <w:tcW w:w="469" w:type="pct"/>
            <w:shd w:val="clear" w:color="auto" w:fill="auto"/>
            <w:vAlign w:val="center"/>
          </w:tcPr>
          <w:p w:rsidR="007C6DBF" w:rsidRPr="006E72A7" w:rsidRDefault="005B0CC6" w:rsidP="00E02557">
            <w:pPr>
              <w:pStyle w:val="Tabletext"/>
              <w:jc w:val="center"/>
            </w:pPr>
            <w:r w:rsidRPr="006E72A7">
              <w:t>Low</w:t>
            </w:r>
          </w:p>
        </w:tc>
        <w:tc>
          <w:tcPr>
            <w:tcW w:w="962" w:type="pct"/>
            <w:shd w:val="clear" w:color="auto" w:fill="auto"/>
            <w:vAlign w:val="center"/>
          </w:tcPr>
          <w:p w:rsidR="007C6DBF" w:rsidRPr="006E72A7" w:rsidRDefault="005B0CC6" w:rsidP="00E02557">
            <w:pPr>
              <w:pStyle w:val="Tabletext"/>
              <w:jc w:val="center"/>
            </w:pPr>
            <w:r w:rsidRPr="006E72A7">
              <w:t>Hypercholesterolaemia with recent ACS event</w:t>
            </w:r>
          </w:p>
        </w:tc>
        <w:tc>
          <w:tcPr>
            <w:tcW w:w="869" w:type="pct"/>
            <w:shd w:val="clear" w:color="auto" w:fill="auto"/>
            <w:vAlign w:val="center"/>
          </w:tcPr>
          <w:p w:rsidR="007C6DBF" w:rsidRPr="006E72A7" w:rsidRDefault="005B0CC6" w:rsidP="00E02557">
            <w:pPr>
              <w:pStyle w:val="Tabletext"/>
              <w:jc w:val="center"/>
            </w:pPr>
            <w:r w:rsidRPr="006E72A7">
              <w:t>Cardiovascular events, lipid parameters</w:t>
            </w:r>
          </w:p>
        </w:tc>
        <w:tc>
          <w:tcPr>
            <w:tcW w:w="811" w:type="pct"/>
            <w:shd w:val="clear" w:color="auto" w:fill="auto"/>
            <w:vAlign w:val="center"/>
          </w:tcPr>
          <w:p w:rsidR="007C6DBF" w:rsidRPr="006E72A7" w:rsidRDefault="005B0CC6" w:rsidP="00E02557">
            <w:pPr>
              <w:pStyle w:val="Tabletext"/>
              <w:jc w:val="center"/>
            </w:pPr>
            <w:r w:rsidRPr="006E72A7">
              <w:t>Used</w:t>
            </w:r>
          </w:p>
        </w:tc>
      </w:tr>
      <w:tr w:rsidR="007C6DBF" w:rsidRPr="006E72A7" w:rsidTr="005B0CC6">
        <w:tc>
          <w:tcPr>
            <w:tcW w:w="765" w:type="pct"/>
            <w:shd w:val="clear" w:color="auto" w:fill="auto"/>
            <w:vAlign w:val="center"/>
          </w:tcPr>
          <w:p w:rsidR="007C6DBF" w:rsidRPr="006E72A7" w:rsidRDefault="007C6DBF" w:rsidP="00E02557">
            <w:pPr>
              <w:pStyle w:val="Tabletext"/>
            </w:pPr>
            <w:r w:rsidRPr="006E72A7">
              <w:t>Stein 2012</w:t>
            </w:r>
          </w:p>
        </w:tc>
        <w:tc>
          <w:tcPr>
            <w:tcW w:w="366" w:type="pct"/>
            <w:shd w:val="clear" w:color="auto" w:fill="auto"/>
            <w:vAlign w:val="center"/>
          </w:tcPr>
          <w:p w:rsidR="007C6DBF" w:rsidRPr="006E72A7" w:rsidRDefault="005B0CC6" w:rsidP="00E02557">
            <w:pPr>
              <w:pStyle w:val="Tabletext"/>
              <w:jc w:val="center"/>
            </w:pPr>
            <w:r w:rsidRPr="006E72A7">
              <w:t>77</w:t>
            </w:r>
          </w:p>
        </w:tc>
        <w:tc>
          <w:tcPr>
            <w:tcW w:w="758" w:type="pct"/>
            <w:shd w:val="clear" w:color="auto" w:fill="auto"/>
            <w:vAlign w:val="center"/>
          </w:tcPr>
          <w:p w:rsidR="005B0CC6" w:rsidRPr="006E72A7" w:rsidRDefault="005B0CC6" w:rsidP="00E02557">
            <w:pPr>
              <w:pStyle w:val="Tabletext"/>
              <w:jc w:val="center"/>
            </w:pPr>
            <w:r w:rsidRPr="006E72A7">
              <w:t>MC, R, DB</w:t>
            </w:r>
            <w:r w:rsidR="00356788" w:rsidRPr="006E72A7">
              <w:t>, PC</w:t>
            </w:r>
          </w:p>
          <w:p w:rsidR="005B0CC6" w:rsidRPr="006E72A7" w:rsidRDefault="005B0CC6" w:rsidP="00E02557">
            <w:pPr>
              <w:pStyle w:val="Tabletext"/>
              <w:jc w:val="center"/>
            </w:pPr>
            <w:r w:rsidRPr="006E72A7">
              <w:t>5 treatment arms</w:t>
            </w:r>
          </w:p>
          <w:p w:rsidR="007C6DBF" w:rsidRPr="006E72A7" w:rsidRDefault="005B0CC6" w:rsidP="00E02557">
            <w:pPr>
              <w:pStyle w:val="Tabletext"/>
              <w:jc w:val="center"/>
            </w:pPr>
            <w:r w:rsidRPr="006E72A7">
              <w:t>12 weeks</w:t>
            </w:r>
          </w:p>
        </w:tc>
        <w:tc>
          <w:tcPr>
            <w:tcW w:w="469" w:type="pct"/>
            <w:shd w:val="clear" w:color="auto" w:fill="auto"/>
            <w:vAlign w:val="center"/>
          </w:tcPr>
          <w:p w:rsidR="007C6DBF" w:rsidRPr="006E72A7" w:rsidRDefault="005B0CC6" w:rsidP="00E02557">
            <w:pPr>
              <w:pStyle w:val="Tabletext"/>
              <w:jc w:val="center"/>
            </w:pPr>
            <w:r w:rsidRPr="006E72A7">
              <w:t>Low</w:t>
            </w:r>
          </w:p>
        </w:tc>
        <w:tc>
          <w:tcPr>
            <w:tcW w:w="962" w:type="pct"/>
            <w:shd w:val="clear" w:color="auto" w:fill="auto"/>
            <w:vAlign w:val="center"/>
          </w:tcPr>
          <w:p w:rsidR="007C6DBF" w:rsidRPr="006E72A7" w:rsidRDefault="005B0CC6" w:rsidP="00E02557">
            <w:pPr>
              <w:pStyle w:val="Tabletext"/>
              <w:jc w:val="center"/>
            </w:pPr>
            <w:r w:rsidRPr="006E72A7">
              <w:t>HeFH</w:t>
            </w:r>
          </w:p>
        </w:tc>
        <w:tc>
          <w:tcPr>
            <w:tcW w:w="869" w:type="pct"/>
            <w:shd w:val="clear" w:color="auto" w:fill="auto"/>
            <w:vAlign w:val="center"/>
          </w:tcPr>
          <w:p w:rsidR="007C6DBF" w:rsidRPr="006E72A7" w:rsidRDefault="005B0CC6" w:rsidP="00E02557">
            <w:pPr>
              <w:pStyle w:val="Tabletext"/>
              <w:jc w:val="center"/>
            </w:pPr>
            <w:r w:rsidRPr="006E72A7">
              <w:t>Change in LDL levels</w:t>
            </w:r>
          </w:p>
        </w:tc>
        <w:tc>
          <w:tcPr>
            <w:tcW w:w="811" w:type="pct"/>
            <w:shd w:val="clear" w:color="auto" w:fill="auto"/>
            <w:vAlign w:val="center"/>
          </w:tcPr>
          <w:p w:rsidR="007C6DBF" w:rsidRPr="006E72A7" w:rsidRDefault="005B0CC6" w:rsidP="00E02557">
            <w:pPr>
              <w:pStyle w:val="Tabletext"/>
              <w:jc w:val="center"/>
            </w:pPr>
            <w:r w:rsidRPr="006E72A7">
              <w:t>Not used</w:t>
            </w:r>
          </w:p>
        </w:tc>
      </w:tr>
      <w:tr w:rsidR="007C6DBF" w:rsidRPr="006E72A7" w:rsidTr="007C6DBF">
        <w:tc>
          <w:tcPr>
            <w:tcW w:w="5000" w:type="pct"/>
            <w:gridSpan w:val="7"/>
            <w:shd w:val="clear" w:color="auto" w:fill="auto"/>
            <w:vAlign w:val="center"/>
          </w:tcPr>
          <w:p w:rsidR="007C6DBF" w:rsidRPr="006E72A7" w:rsidRDefault="007C6DBF" w:rsidP="00E02557">
            <w:pPr>
              <w:pStyle w:val="Tabletext"/>
              <w:rPr>
                <w:b/>
              </w:rPr>
            </w:pPr>
            <w:r w:rsidRPr="006E72A7">
              <w:rPr>
                <w:b/>
              </w:rPr>
              <w:t>Evolocumab trials</w:t>
            </w:r>
          </w:p>
        </w:tc>
      </w:tr>
      <w:tr w:rsidR="007C6DBF" w:rsidRPr="006E72A7" w:rsidTr="005B0CC6">
        <w:tc>
          <w:tcPr>
            <w:tcW w:w="765" w:type="pct"/>
            <w:shd w:val="clear" w:color="auto" w:fill="auto"/>
            <w:vAlign w:val="center"/>
          </w:tcPr>
          <w:p w:rsidR="007C6DBF" w:rsidRPr="006E72A7" w:rsidRDefault="007C6DBF" w:rsidP="00E02557">
            <w:pPr>
              <w:pStyle w:val="Tabletext"/>
            </w:pPr>
            <w:r w:rsidRPr="006E72A7">
              <w:t>FOURIER</w:t>
            </w:r>
          </w:p>
        </w:tc>
        <w:tc>
          <w:tcPr>
            <w:tcW w:w="366" w:type="pct"/>
            <w:shd w:val="clear" w:color="auto" w:fill="auto"/>
            <w:vAlign w:val="center"/>
          </w:tcPr>
          <w:p w:rsidR="007C6DBF" w:rsidRPr="006E72A7" w:rsidRDefault="005B0CC6" w:rsidP="00E02557">
            <w:pPr>
              <w:pStyle w:val="Tabletext"/>
              <w:jc w:val="center"/>
            </w:pPr>
            <w:r w:rsidRPr="006E72A7">
              <w:t>27,564</w:t>
            </w:r>
          </w:p>
        </w:tc>
        <w:tc>
          <w:tcPr>
            <w:tcW w:w="758" w:type="pct"/>
            <w:shd w:val="clear" w:color="auto" w:fill="auto"/>
            <w:vAlign w:val="center"/>
          </w:tcPr>
          <w:p w:rsidR="005B0CC6" w:rsidRPr="006E72A7" w:rsidRDefault="005B0CC6" w:rsidP="00E02557">
            <w:pPr>
              <w:pStyle w:val="Tabletext"/>
              <w:jc w:val="center"/>
            </w:pPr>
            <w:r w:rsidRPr="006E72A7">
              <w:t>MC, R, DB, PC</w:t>
            </w:r>
          </w:p>
          <w:p w:rsidR="007C6DBF" w:rsidRPr="006E72A7" w:rsidRDefault="005B0CC6" w:rsidP="00E02557">
            <w:pPr>
              <w:pStyle w:val="Tabletext"/>
              <w:jc w:val="center"/>
            </w:pPr>
            <w:r w:rsidRPr="006E72A7">
              <w:t>Approximately 2 year duration</w:t>
            </w:r>
          </w:p>
        </w:tc>
        <w:tc>
          <w:tcPr>
            <w:tcW w:w="469" w:type="pct"/>
            <w:shd w:val="clear" w:color="auto" w:fill="auto"/>
            <w:vAlign w:val="center"/>
          </w:tcPr>
          <w:p w:rsidR="007C6DBF" w:rsidRPr="006E72A7" w:rsidRDefault="005B0CC6" w:rsidP="00E02557">
            <w:pPr>
              <w:pStyle w:val="Tabletext"/>
              <w:jc w:val="center"/>
            </w:pPr>
            <w:r w:rsidRPr="006E72A7">
              <w:t>Low</w:t>
            </w:r>
          </w:p>
        </w:tc>
        <w:tc>
          <w:tcPr>
            <w:tcW w:w="962" w:type="pct"/>
            <w:shd w:val="clear" w:color="auto" w:fill="auto"/>
            <w:vAlign w:val="center"/>
          </w:tcPr>
          <w:p w:rsidR="007C6DBF" w:rsidRPr="006E72A7" w:rsidRDefault="005B0CC6" w:rsidP="00E02557">
            <w:pPr>
              <w:pStyle w:val="Tabletext"/>
              <w:jc w:val="center"/>
            </w:pPr>
            <w:r w:rsidRPr="006E72A7">
              <w:t>Hypercholesterolaemia with atherosclerotic disease</w:t>
            </w:r>
          </w:p>
        </w:tc>
        <w:tc>
          <w:tcPr>
            <w:tcW w:w="869" w:type="pct"/>
            <w:shd w:val="clear" w:color="auto" w:fill="auto"/>
            <w:vAlign w:val="center"/>
          </w:tcPr>
          <w:p w:rsidR="007C6DBF" w:rsidRPr="006E72A7" w:rsidRDefault="005B0CC6" w:rsidP="00E02557">
            <w:pPr>
              <w:pStyle w:val="Tabletext"/>
              <w:jc w:val="center"/>
            </w:pPr>
            <w:r w:rsidRPr="006E72A7">
              <w:t>Cardiovascular events, lipid parameters</w:t>
            </w:r>
          </w:p>
        </w:tc>
        <w:tc>
          <w:tcPr>
            <w:tcW w:w="811" w:type="pct"/>
            <w:shd w:val="clear" w:color="auto" w:fill="auto"/>
            <w:vAlign w:val="center"/>
          </w:tcPr>
          <w:p w:rsidR="007C6DBF" w:rsidRPr="006E72A7" w:rsidRDefault="005B0CC6" w:rsidP="00E02557">
            <w:pPr>
              <w:pStyle w:val="Tabletext"/>
              <w:jc w:val="center"/>
            </w:pPr>
            <w:r w:rsidRPr="006E72A7">
              <w:t>Not used</w:t>
            </w:r>
          </w:p>
        </w:tc>
      </w:tr>
      <w:tr w:rsidR="007C6DBF" w:rsidRPr="006E72A7" w:rsidTr="005B0CC6">
        <w:tc>
          <w:tcPr>
            <w:tcW w:w="765" w:type="pct"/>
            <w:shd w:val="clear" w:color="auto" w:fill="auto"/>
            <w:vAlign w:val="center"/>
          </w:tcPr>
          <w:p w:rsidR="007C6DBF" w:rsidRPr="006E72A7" w:rsidRDefault="007C6DBF" w:rsidP="00E02557">
            <w:pPr>
              <w:pStyle w:val="Tabletext"/>
            </w:pPr>
            <w:r w:rsidRPr="006E72A7">
              <w:t>RUTHERFORD-1</w:t>
            </w:r>
          </w:p>
        </w:tc>
        <w:tc>
          <w:tcPr>
            <w:tcW w:w="366" w:type="pct"/>
            <w:shd w:val="clear" w:color="auto" w:fill="auto"/>
            <w:vAlign w:val="center"/>
          </w:tcPr>
          <w:p w:rsidR="007C6DBF" w:rsidRPr="006E72A7" w:rsidRDefault="005B0CC6" w:rsidP="00E02557">
            <w:pPr>
              <w:pStyle w:val="Tabletext"/>
              <w:jc w:val="center"/>
            </w:pPr>
            <w:r w:rsidRPr="006E72A7">
              <w:t>167</w:t>
            </w:r>
          </w:p>
        </w:tc>
        <w:tc>
          <w:tcPr>
            <w:tcW w:w="758" w:type="pct"/>
            <w:shd w:val="clear" w:color="auto" w:fill="auto"/>
            <w:vAlign w:val="center"/>
          </w:tcPr>
          <w:p w:rsidR="007C6DBF" w:rsidRPr="006E72A7" w:rsidRDefault="005B0CC6" w:rsidP="00E02557">
            <w:pPr>
              <w:pStyle w:val="Tabletext"/>
              <w:jc w:val="center"/>
            </w:pPr>
            <w:r w:rsidRPr="006E72A7">
              <w:t>MC, R, DB, PC</w:t>
            </w:r>
          </w:p>
          <w:p w:rsidR="005B0CC6" w:rsidRPr="006E72A7" w:rsidRDefault="005B0CC6" w:rsidP="00E02557">
            <w:pPr>
              <w:pStyle w:val="Tabletext"/>
              <w:jc w:val="center"/>
            </w:pPr>
            <w:r w:rsidRPr="006E72A7">
              <w:t>12 weeks</w:t>
            </w:r>
          </w:p>
        </w:tc>
        <w:tc>
          <w:tcPr>
            <w:tcW w:w="469" w:type="pct"/>
            <w:shd w:val="clear" w:color="auto" w:fill="auto"/>
            <w:vAlign w:val="center"/>
          </w:tcPr>
          <w:p w:rsidR="007C6DBF" w:rsidRPr="006E72A7" w:rsidRDefault="005B0CC6" w:rsidP="00E02557">
            <w:pPr>
              <w:pStyle w:val="Tabletext"/>
              <w:jc w:val="center"/>
            </w:pPr>
            <w:r w:rsidRPr="006E72A7">
              <w:t>Low</w:t>
            </w:r>
          </w:p>
        </w:tc>
        <w:tc>
          <w:tcPr>
            <w:tcW w:w="962" w:type="pct"/>
            <w:shd w:val="clear" w:color="auto" w:fill="auto"/>
            <w:vAlign w:val="center"/>
          </w:tcPr>
          <w:p w:rsidR="007C6DBF" w:rsidRPr="006E72A7" w:rsidRDefault="005B0CC6" w:rsidP="00E02557">
            <w:pPr>
              <w:pStyle w:val="Tabletext"/>
              <w:jc w:val="center"/>
            </w:pPr>
            <w:r w:rsidRPr="006E72A7">
              <w:t>HeFH</w:t>
            </w:r>
          </w:p>
        </w:tc>
        <w:tc>
          <w:tcPr>
            <w:tcW w:w="869" w:type="pct"/>
            <w:shd w:val="clear" w:color="auto" w:fill="auto"/>
            <w:vAlign w:val="center"/>
          </w:tcPr>
          <w:p w:rsidR="007C6DBF" w:rsidRPr="006E72A7" w:rsidRDefault="005B0CC6" w:rsidP="00E02557">
            <w:pPr>
              <w:pStyle w:val="Tabletext"/>
              <w:jc w:val="center"/>
            </w:pPr>
            <w:r w:rsidRPr="006E72A7">
              <w:t>Change in LDL levels</w:t>
            </w:r>
          </w:p>
        </w:tc>
        <w:tc>
          <w:tcPr>
            <w:tcW w:w="811" w:type="pct"/>
            <w:shd w:val="clear" w:color="auto" w:fill="auto"/>
            <w:vAlign w:val="center"/>
          </w:tcPr>
          <w:p w:rsidR="007C6DBF" w:rsidRPr="006E72A7" w:rsidRDefault="005B0CC6" w:rsidP="00E02557">
            <w:pPr>
              <w:pStyle w:val="Tabletext"/>
              <w:jc w:val="center"/>
            </w:pPr>
            <w:r w:rsidRPr="006E72A7">
              <w:t>Not used</w:t>
            </w:r>
          </w:p>
        </w:tc>
      </w:tr>
      <w:tr w:rsidR="007C6DBF" w:rsidRPr="006E72A7" w:rsidTr="005B0CC6">
        <w:tc>
          <w:tcPr>
            <w:tcW w:w="765" w:type="pct"/>
            <w:shd w:val="clear" w:color="auto" w:fill="auto"/>
            <w:vAlign w:val="center"/>
          </w:tcPr>
          <w:p w:rsidR="007C6DBF" w:rsidRPr="006E72A7" w:rsidRDefault="007C6DBF" w:rsidP="00E02557">
            <w:pPr>
              <w:pStyle w:val="Tabletext"/>
            </w:pPr>
            <w:r w:rsidRPr="006E72A7">
              <w:t>RUTHERFORD-2</w:t>
            </w:r>
          </w:p>
        </w:tc>
        <w:tc>
          <w:tcPr>
            <w:tcW w:w="366" w:type="pct"/>
            <w:shd w:val="clear" w:color="auto" w:fill="auto"/>
            <w:vAlign w:val="center"/>
          </w:tcPr>
          <w:p w:rsidR="007C6DBF" w:rsidRPr="006E72A7" w:rsidRDefault="005B0CC6" w:rsidP="00E02557">
            <w:pPr>
              <w:pStyle w:val="Tabletext"/>
              <w:jc w:val="center"/>
            </w:pPr>
            <w:r w:rsidRPr="006E72A7">
              <w:t>329</w:t>
            </w:r>
          </w:p>
        </w:tc>
        <w:tc>
          <w:tcPr>
            <w:tcW w:w="758" w:type="pct"/>
            <w:shd w:val="clear" w:color="auto" w:fill="auto"/>
            <w:vAlign w:val="center"/>
          </w:tcPr>
          <w:p w:rsidR="005B0CC6" w:rsidRPr="006E72A7" w:rsidRDefault="005B0CC6" w:rsidP="00E02557">
            <w:pPr>
              <w:pStyle w:val="Tabletext"/>
              <w:jc w:val="center"/>
            </w:pPr>
            <w:r w:rsidRPr="006E72A7">
              <w:t>MC, R, DB, PC</w:t>
            </w:r>
          </w:p>
          <w:p w:rsidR="007C6DBF" w:rsidRPr="006E72A7" w:rsidRDefault="005B0CC6" w:rsidP="00E02557">
            <w:pPr>
              <w:pStyle w:val="Tabletext"/>
              <w:jc w:val="center"/>
            </w:pPr>
            <w:r w:rsidRPr="006E72A7">
              <w:t>12 weeks</w:t>
            </w:r>
          </w:p>
        </w:tc>
        <w:tc>
          <w:tcPr>
            <w:tcW w:w="469" w:type="pct"/>
            <w:shd w:val="clear" w:color="auto" w:fill="auto"/>
            <w:vAlign w:val="center"/>
          </w:tcPr>
          <w:p w:rsidR="007C6DBF" w:rsidRPr="006E72A7" w:rsidRDefault="005B0CC6" w:rsidP="00E02557">
            <w:pPr>
              <w:pStyle w:val="Tabletext"/>
              <w:jc w:val="center"/>
            </w:pPr>
            <w:r w:rsidRPr="006E72A7">
              <w:t>Low</w:t>
            </w:r>
          </w:p>
        </w:tc>
        <w:tc>
          <w:tcPr>
            <w:tcW w:w="962" w:type="pct"/>
            <w:shd w:val="clear" w:color="auto" w:fill="auto"/>
            <w:vAlign w:val="center"/>
          </w:tcPr>
          <w:p w:rsidR="007C6DBF" w:rsidRPr="006E72A7" w:rsidRDefault="005B0CC6" w:rsidP="00E02557">
            <w:pPr>
              <w:pStyle w:val="Tabletext"/>
              <w:jc w:val="center"/>
            </w:pPr>
            <w:r w:rsidRPr="006E72A7">
              <w:t>HeFH</w:t>
            </w:r>
          </w:p>
        </w:tc>
        <w:tc>
          <w:tcPr>
            <w:tcW w:w="869" w:type="pct"/>
            <w:shd w:val="clear" w:color="auto" w:fill="auto"/>
            <w:vAlign w:val="center"/>
          </w:tcPr>
          <w:p w:rsidR="007C6DBF" w:rsidRPr="006E72A7" w:rsidRDefault="005B0CC6" w:rsidP="00E02557">
            <w:pPr>
              <w:pStyle w:val="Tabletext"/>
              <w:jc w:val="center"/>
            </w:pPr>
            <w:r w:rsidRPr="006E72A7">
              <w:t>Change in LDL levels</w:t>
            </w:r>
          </w:p>
        </w:tc>
        <w:tc>
          <w:tcPr>
            <w:tcW w:w="811" w:type="pct"/>
            <w:shd w:val="clear" w:color="auto" w:fill="auto"/>
            <w:vAlign w:val="center"/>
          </w:tcPr>
          <w:p w:rsidR="007C6DBF" w:rsidRPr="006E72A7" w:rsidRDefault="005B0CC6" w:rsidP="00E02557">
            <w:pPr>
              <w:pStyle w:val="Tabletext"/>
              <w:jc w:val="center"/>
            </w:pPr>
            <w:r w:rsidRPr="006E72A7">
              <w:t>Not used</w:t>
            </w:r>
          </w:p>
        </w:tc>
      </w:tr>
    </w:tbl>
    <w:p w:rsidR="00B95886" w:rsidRPr="006E72A7" w:rsidRDefault="00B95886" w:rsidP="00E02557">
      <w:pPr>
        <w:pStyle w:val="TableFooter"/>
        <w:widowControl/>
      </w:pPr>
      <w:r w:rsidRPr="006E72A7">
        <w:t xml:space="preserve">Source: Compiled during the evaluation using pp78-93 of the resubmission, clinical trial reports and trial publications </w:t>
      </w:r>
    </w:p>
    <w:p w:rsidR="005B0CC6" w:rsidRPr="006E72A7" w:rsidRDefault="005B0CC6" w:rsidP="00E02557">
      <w:pPr>
        <w:pStyle w:val="TableFooter"/>
        <w:widowControl/>
      </w:pPr>
      <w:r w:rsidRPr="006E72A7">
        <w:t>Abbreviations: ACS, acute coronary syndrome; DB, double blind; LDL, low density lipoprotein cholesterol; MC, multi-centre; PC, placebo-controlled; R, randomised.</w:t>
      </w:r>
    </w:p>
    <w:p w:rsidR="007F1017" w:rsidRPr="006E72A7" w:rsidRDefault="00DF20C5" w:rsidP="00DF20C5">
      <w:pPr>
        <w:widowControl/>
        <w:tabs>
          <w:tab w:val="left" w:pos="2580"/>
        </w:tabs>
      </w:pPr>
      <w:r w:rsidRPr="006E72A7">
        <w:tab/>
      </w:r>
    </w:p>
    <w:p w:rsidR="00B60939" w:rsidRPr="006E72A7" w:rsidRDefault="00B60939" w:rsidP="00E02557">
      <w:pPr>
        <w:pStyle w:val="Heading2"/>
        <w:widowControl/>
      </w:pPr>
      <w:bookmarkStart w:id="11" w:name="_Toc536003313"/>
      <w:r w:rsidRPr="006E72A7">
        <w:t>Comparative effectiveness</w:t>
      </w:r>
      <w:bookmarkEnd w:id="11"/>
    </w:p>
    <w:p w:rsidR="00DA3167" w:rsidRPr="006E72A7" w:rsidRDefault="00B95886" w:rsidP="00DD4DF0">
      <w:pPr>
        <w:pStyle w:val="ListParagraph"/>
        <w:widowControl/>
        <w:numPr>
          <w:ilvl w:val="1"/>
          <w:numId w:val="1"/>
        </w:numPr>
      </w:pPr>
      <w:r w:rsidRPr="006E72A7">
        <w:rPr>
          <w:rFonts w:cs="Calibri"/>
          <w:snapToGrid/>
          <w:szCs w:val="24"/>
          <w:lang w:eastAsia="en-AU"/>
        </w:rPr>
        <w:t xml:space="preserve">Key cardiovascular outcomes reported in the ODYSSEY OUTCOMES trial are </w:t>
      </w:r>
      <w:r w:rsidR="008D4953" w:rsidRPr="006E72A7">
        <w:rPr>
          <w:rFonts w:cs="Calibri"/>
          <w:snapToGrid/>
          <w:szCs w:val="24"/>
          <w:lang w:eastAsia="en-AU"/>
        </w:rPr>
        <w:t>summaris</w:t>
      </w:r>
      <w:r w:rsidRPr="006E72A7">
        <w:rPr>
          <w:rFonts w:cs="Calibri"/>
          <w:snapToGrid/>
          <w:szCs w:val="24"/>
          <w:lang w:eastAsia="en-AU"/>
        </w:rPr>
        <w:t>ed in the table below.</w:t>
      </w:r>
    </w:p>
    <w:p w:rsidR="00BE4EBE" w:rsidRPr="006E72A7" w:rsidRDefault="00BE4EBE">
      <w:pPr>
        <w:widowControl/>
        <w:jc w:val="left"/>
        <w:rPr>
          <w:rFonts w:ascii="Arial Narrow" w:eastAsiaTheme="minorHAnsi" w:hAnsi="Arial Narrow" w:cstheme="minorBidi"/>
          <w:b/>
          <w:snapToGrid/>
          <w:sz w:val="20"/>
        </w:rPr>
      </w:pPr>
      <w:r w:rsidRPr="006E72A7">
        <w:br w:type="page"/>
      </w:r>
    </w:p>
    <w:p w:rsidR="00B95886" w:rsidRPr="006E72A7" w:rsidRDefault="00B95886" w:rsidP="00E02557">
      <w:pPr>
        <w:pStyle w:val="TableHeading0"/>
        <w:spacing w:after="0"/>
      </w:pPr>
      <w:r w:rsidRPr="006E72A7">
        <w:lastRenderedPageBreak/>
        <w:t xml:space="preserve">Table 5: Key cardiovascular time to event analyses reported in the ODYSSEY OUTCOMES trial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ey cardiovascular time to event analyses reported in the ODYSSEY OUTCOMES trial "/>
      </w:tblPr>
      <w:tblGrid>
        <w:gridCol w:w="3494"/>
        <w:gridCol w:w="1248"/>
        <w:gridCol w:w="1343"/>
        <w:gridCol w:w="1483"/>
        <w:gridCol w:w="1388"/>
      </w:tblGrid>
      <w:tr w:rsidR="00B95886" w:rsidRPr="006E72A7" w:rsidTr="00B649CE">
        <w:trPr>
          <w:tblHeader/>
        </w:trPr>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rPr>
                <w:b/>
              </w:rPr>
            </w:pPr>
            <w:r w:rsidRPr="006E72A7">
              <w:rPr>
                <w:b/>
              </w:rPr>
              <w:t xml:space="preserve">Outcome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Alirocumab</w:t>
            </w:r>
          </w:p>
          <w:p w:rsidR="00B95886" w:rsidRPr="006E72A7" w:rsidRDefault="00B95886" w:rsidP="00E02557">
            <w:pPr>
              <w:pStyle w:val="TableText0"/>
              <w:keepNext w:val="0"/>
              <w:spacing w:before="0" w:after="0"/>
              <w:jc w:val="center"/>
              <w:rPr>
                <w:b/>
              </w:rPr>
            </w:pPr>
            <w:r w:rsidRPr="006E72A7">
              <w:rPr>
                <w:b/>
              </w:rPr>
              <w:t>N = 9462</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Placebo</w:t>
            </w:r>
          </w:p>
          <w:p w:rsidR="00B95886" w:rsidRPr="006E72A7" w:rsidRDefault="00B95886" w:rsidP="00E02557">
            <w:pPr>
              <w:pStyle w:val="TableText0"/>
              <w:keepNext w:val="0"/>
              <w:spacing w:before="0" w:after="0"/>
              <w:jc w:val="center"/>
              <w:rPr>
                <w:b/>
              </w:rPr>
            </w:pPr>
            <w:r w:rsidRPr="006E72A7">
              <w:rPr>
                <w:b/>
              </w:rPr>
              <w:t>N = 9462</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 xml:space="preserve">Hazard ratio </w:t>
            </w:r>
          </w:p>
          <w:p w:rsidR="00B95886" w:rsidRPr="006E72A7" w:rsidRDefault="00B95886" w:rsidP="00E02557">
            <w:pPr>
              <w:pStyle w:val="TableText0"/>
              <w:keepNext w:val="0"/>
              <w:spacing w:before="0" w:after="0"/>
              <w:jc w:val="center"/>
              <w:rPr>
                <w:b/>
              </w:rPr>
            </w:pPr>
            <w:r w:rsidRPr="006E72A7">
              <w:rPr>
                <w:b/>
              </w:rPr>
              <w:t>(95% CI)</w:t>
            </w:r>
          </w:p>
        </w:tc>
        <w:tc>
          <w:tcPr>
            <w:tcW w:w="1388" w:type="dxa"/>
            <w:tcBorders>
              <w:top w:val="single" w:sz="4" w:space="0" w:color="auto"/>
              <w:left w:val="single" w:sz="4" w:space="0" w:color="auto"/>
              <w:bottom w:val="single" w:sz="4" w:space="0" w:color="auto"/>
              <w:right w:val="single" w:sz="4" w:space="0" w:color="auto"/>
            </w:tcBorders>
          </w:tcPr>
          <w:p w:rsidR="00B95886" w:rsidRPr="006E72A7" w:rsidRDefault="00B95886" w:rsidP="00E02557">
            <w:pPr>
              <w:pStyle w:val="TableText0"/>
              <w:keepNext w:val="0"/>
              <w:spacing w:before="0" w:after="0"/>
              <w:jc w:val="center"/>
              <w:rPr>
                <w:b/>
              </w:rPr>
            </w:pPr>
            <w:r w:rsidRPr="006E72A7">
              <w:rPr>
                <w:b/>
              </w:rPr>
              <w:t xml:space="preserve">Hierarchical </w:t>
            </w:r>
          </w:p>
          <w:p w:rsidR="00B95886" w:rsidRPr="006E72A7" w:rsidRDefault="00B95886" w:rsidP="00E02557">
            <w:pPr>
              <w:pStyle w:val="TableText0"/>
              <w:keepNext w:val="0"/>
              <w:spacing w:before="0" w:after="0"/>
              <w:jc w:val="center"/>
              <w:rPr>
                <w:b/>
              </w:rPr>
            </w:pPr>
            <w:r w:rsidRPr="006E72A7">
              <w:rPr>
                <w:b/>
              </w:rPr>
              <w:t>P-value</w:t>
            </w:r>
          </w:p>
        </w:tc>
      </w:tr>
      <w:tr w:rsidR="00B95886" w:rsidRPr="006E72A7" w:rsidTr="00B649CE">
        <w:tc>
          <w:tcPr>
            <w:tcW w:w="8956" w:type="dxa"/>
            <w:gridSpan w:val="5"/>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rPr>
                <w:b/>
              </w:rPr>
            </w:pPr>
            <w:r w:rsidRPr="006E72A7">
              <w:rPr>
                <w:b/>
              </w:rPr>
              <w:t>Composite outcomes (first event only)</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spacing w:before="0" w:after="0"/>
            </w:pPr>
            <w:r w:rsidRPr="006E72A7">
              <w:t>Time to coronary death, non-fatal myocardial infarction, fatal or non-fatal ischaemic stroke, or unstable angina requiring hospitalisation [primary outcome]</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903 (9.5%)</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1052 (11.1%)</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0.85 (0.78, 0.93)</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&lt;0.001</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coronary death, non-fatal myocardial infarction, unstable angina requiring hospitalisation, or ischaemia-driven coronary revascularisation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1199 (12.7%)</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1349 (14.3%)</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0.88 (0.81, 0.95)</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0.001</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Time to coronary death and non-fatal myocardial infarction</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793 (8.4%)</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899 (9.5%)</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0.88 (0.80, 0.96)</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0.006</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cardiovascular death, non-fatal myocardial infarction, non-fatal ischaemic stroke, unstable angina requiring hospitalisation, or ischaemia-driven coronary revascularisation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1301 (13.7%)</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1474 (15.6%)</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0.87 (0.81, 0.94)</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&lt;0.001</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death from any cause, non-fatal myocardial infarction, or non-fatal ischaemic stroke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973 (10.3%)</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1126 (11.9%)</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0.86 (0.79, 0.93)</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b/>
              </w:rPr>
            </w:pPr>
            <w:r w:rsidRPr="006E72A7">
              <w:rPr>
                <w:b/>
              </w:rPr>
              <w:t>&lt;0.001</w:t>
            </w:r>
          </w:p>
        </w:tc>
      </w:tr>
      <w:tr w:rsidR="00B95886" w:rsidRPr="006E72A7" w:rsidTr="00B649CE">
        <w:tc>
          <w:tcPr>
            <w:tcW w:w="8956" w:type="dxa"/>
            <w:gridSpan w:val="5"/>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rPr>
                <w:b/>
              </w:rPr>
            </w:pPr>
            <w:r w:rsidRPr="006E72A7">
              <w:rPr>
                <w:b/>
              </w:rPr>
              <w:t>Individual outcomes</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coronary death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205 (2.2%)</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222 (2.3%)</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0.92 (0.76, 1.11)</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vertAlign w:val="superscript"/>
              </w:rPr>
            </w:pPr>
            <w:r w:rsidRPr="006E72A7">
              <w:t>0.38</w:t>
            </w:r>
            <w:r w:rsidRPr="006E72A7">
              <w:rPr>
                <w:vertAlign w:val="superscript"/>
              </w:rPr>
              <w:t>a</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cardiovascular death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240 (2.5%)</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271 (2.9%)</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0.88 (0.74, 1.05)</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rPr>
                <w:vertAlign w:val="superscript"/>
              </w:rPr>
            </w:pPr>
            <w:r w:rsidRPr="006E72A7">
              <w:rPr>
                <w:vertAlign w:val="superscript"/>
              </w:rPr>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death from any cause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334 (3.5%)</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 xml:space="preserve">392 (4.1%) </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0.85 (0.73, 0.98)</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non-fatal myocardial infarction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626 (6.6%)</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722 (7.6%)</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0.86 (0.77, 0.96)</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Time to fatal or non-fatal myocardial infarction</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646 (6.8%)</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756 (8.0%)</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0.85 (0.76, 0.94)</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Time to fatal or non-fatal ischaemic stroke</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111 (1.2%)</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152 (1.6%)</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0.73 (0.57, 0.93)</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Time to unstable angina requiring hospitalisation</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37 (0.4%)</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60 (0.6%)</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0.61 (0.41, 0.92)</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 xml:space="preserve">Time to ischaemia-driven coronary revascularisation </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731 (7.7%)</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828 (8.8%)</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0.88 (0.79, 0.97)</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r w:rsidR="00B95886" w:rsidRPr="006E72A7" w:rsidTr="00B649CE">
        <w:tc>
          <w:tcPr>
            <w:tcW w:w="3494"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pPr>
            <w:r w:rsidRPr="006E72A7">
              <w:t>Time to hospitalisation for congestive heart failure</w:t>
            </w:r>
          </w:p>
        </w:tc>
        <w:tc>
          <w:tcPr>
            <w:tcW w:w="124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176 (1.9%)</w:t>
            </w:r>
          </w:p>
        </w:tc>
        <w:tc>
          <w:tcPr>
            <w:tcW w:w="134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179 (1.9%)</w:t>
            </w:r>
          </w:p>
        </w:tc>
        <w:tc>
          <w:tcPr>
            <w:tcW w:w="1483"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0.98 (0.79, 1.20)</w:t>
            </w:r>
          </w:p>
        </w:tc>
        <w:tc>
          <w:tcPr>
            <w:tcW w:w="1388" w:type="dxa"/>
            <w:tcBorders>
              <w:top w:val="single" w:sz="4" w:space="0" w:color="auto"/>
              <w:left w:val="single" w:sz="4" w:space="0" w:color="auto"/>
              <w:bottom w:val="single" w:sz="4" w:space="0" w:color="auto"/>
              <w:right w:val="single" w:sz="4" w:space="0" w:color="auto"/>
            </w:tcBorders>
            <w:vAlign w:val="center"/>
          </w:tcPr>
          <w:p w:rsidR="00B95886" w:rsidRPr="006E72A7" w:rsidRDefault="00B95886" w:rsidP="00E02557">
            <w:pPr>
              <w:pStyle w:val="TableText0"/>
              <w:keepNext w:val="0"/>
              <w:spacing w:before="0" w:after="0"/>
              <w:jc w:val="center"/>
            </w:pPr>
            <w:r w:rsidRPr="006E72A7">
              <w:t>-</w:t>
            </w:r>
          </w:p>
        </w:tc>
      </w:tr>
    </w:tbl>
    <w:p w:rsidR="00B95886" w:rsidRPr="006E72A7" w:rsidRDefault="00B95886" w:rsidP="00E02557">
      <w:pPr>
        <w:pStyle w:val="TableFooter"/>
        <w:widowControl/>
      </w:pPr>
      <w:r w:rsidRPr="006E72A7">
        <w:t>Source: Table 2.5.1, p99 and Table 2.5.4, p102 of the resubmission; Table 16.2.6.2.13.1 of the clinical trial report and Table 2, p7 of the Schwartz et al (2018) trial publication</w:t>
      </w:r>
    </w:p>
    <w:p w:rsidR="00B95886" w:rsidRPr="006E72A7" w:rsidRDefault="00B95886" w:rsidP="00E02557">
      <w:pPr>
        <w:pStyle w:val="TableFooter"/>
        <w:widowControl/>
      </w:pPr>
      <w:r w:rsidRPr="006E72A7">
        <w:t>Abbreviation: CI, confidence interval</w:t>
      </w:r>
    </w:p>
    <w:p w:rsidR="00B95886" w:rsidRPr="006E72A7" w:rsidRDefault="00B95886" w:rsidP="00E02557">
      <w:pPr>
        <w:pStyle w:val="TableFooter"/>
        <w:widowControl/>
      </w:pPr>
      <w:r w:rsidRPr="006E72A7">
        <w:rPr>
          <w:vertAlign w:val="superscript"/>
        </w:rPr>
        <w:t>a</w:t>
      </w:r>
      <w:r w:rsidRPr="006E72A7">
        <w:t xml:space="preserve"> The hierarchical analysis was stopped after the first non-significant p-value was observed. </w:t>
      </w:r>
    </w:p>
    <w:p w:rsidR="00B95886" w:rsidRPr="006E72A7" w:rsidRDefault="00B95886" w:rsidP="00E02557">
      <w:pPr>
        <w:pStyle w:val="TableFooter"/>
        <w:widowControl/>
      </w:pPr>
      <w:r w:rsidRPr="006E72A7">
        <w:t>Results in bold were statistically significant</w:t>
      </w:r>
    </w:p>
    <w:p w:rsidR="00247925" w:rsidRPr="006E72A7" w:rsidRDefault="00B95886" w:rsidP="00DD046C">
      <w:pPr>
        <w:pStyle w:val="ListParagraph"/>
        <w:widowControl/>
        <w:numPr>
          <w:ilvl w:val="1"/>
          <w:numId w:val="1"/>
        </w:numPr>
        <w:spacing w:before="120" w:after="120"/>
        <w:rPr>
          <w:rFonts w:cs="Calibri"/>
          <w:snapToGrid/>
          <w:szCs w:val="24"/>
          <w:lang w:eastAsia="en-AU"/>
        </w:rPr>
      </w:pPr>
      <w:r w:rsidRPr="006E72A7">
        <w:rPr>
          <w:rFonts w:cs="Calibri"/>
          <w:snapToGrid/>
          <w:szCs w:val="24"/>
          <w:lang w:eastAsia="en-AU"/>
        </w:rPr>
        <w:t xml:space="preserve">Treatment with alirocumab was associated with a decreased risk of death from any cause, myocardial infarction, fatal or non-fatal ischaemic stroke, hospitalised unstable angina and ischaemia-driven coronary </w:t>
      </w:r>
      <w:r w:rsidR="00A66CEB" w:rsidRPr="006E72A7">
        <w:rPr>
          <w:rFonts w:cs="Calibri"/>
          <w:snapToGrid/>
          <w:szCs w:val="24"/>
          <w:lang w:eastAsia="en-AU"/>
        </w:rPr>
        <w:t xml:space="preserve">revascularisation </w:t>
      </w:r>
      <w:r w:rsidRPr="006E72A7">
        <w:rPr>
          <w:rFonts w:cs="Calibri"/>
          <w:snapToGrid/>
          <w:szCs w:val="24"/>
          <w:lang w:eastAsia="en-AU"/>
        </w:rPr>
        <w:t>compared to placebo. These results should be interpreted with caution given the hierarchical testing was stopped after a non-statistically significant result for time to coronary death and confidence intervals were not adjusted for multiplicity.</w:t>
      </w:r>
    </w:p>
    <w:p w:rsidR="00760C4E" w:rsidRPr="006E72A7" w:rsidRDefault="00B95886" w:rsidP="00DD046C">
      <w:pPr>
        <w:pStyle w:val="ListParagraph"/>
        <w:widowControl/>
        <w:numPr>
          <w:ilvl w:val="1"/>
          <w:numId w:val="1"/>
        </w:numPr>
        <w:spacing w:before="120" w:after="120"/>
      </w:pPr>
      <w:r w:rsidRPr="006E72A7">
        <w:t>There was no apparent difference in coronary death, cardiovascular death and hospitalised congestive heart failure between treatment arms.</w:t>
      </w:r>
    </w:p>
    <w:p w:rsidR="000C14D6" w:rsidRPr="006E72A7" w:rsidRDefault="000C14D6" w:rsidP="00DD046C">
      <w:pPr>
        <w:pStyle w:val="ListParagraph"/>
        <w:widowControl/>
        <w:numPr>
          <w:ilvl w:val="1"/>
          <w:numId w:val="1"/>
        </w:numPr>
        <w:spacing w:before="120" w:after="120"/>
      </w:pPr>
      <w:r w:rsidRPr="006E72A7">
        <w:t>The results of the ODYSSEY OUTCOMES trial were broadly consistent with the results from the FOURIER trial</w:t>
      </w:r>
      <w:r w:rsidR="004A3455" w:rsidRPr="006E72A7">
        <w:t>, which recruited stable patients without a recent ACS</w:t>
      </w:r>
      <w:r w:rsidR="00F41CA1" w:rsidRPr="006E72A7">
        <w:t xml:space="preserve"> event</w:t>
      </w:r>
      <w:r w:rsidRPr="006E72A7">
        <w:t xml:space="preserve">. In both trials, treatment with PCSK9 inhibitors was associated with decreased risks of </w:t>
      </w:r>
      <w:r w:rsidRPr="006E72A7">
        <w:lastRenderedPageBreak/>
        <w:t>myocardial infarction, stroke and coronary revascularisation compared to placebo; and neither trial showed an apparent difference in cardiovascular death between treatment arms.</w:t>
      </w:r>
    </w:p>
    <w:p w:rsidR="00B95886" w:rsidRPr="006E72A7" w:rsidRDefault="00B95886" w:rsidP="00DD046C">
      <w:pPr>
        <w:pStyle w:val="ListParagraph"/>
        <w:widowControl/>
        <w:numPr>
          <w:ilvl w:val="1"/>
          <w:numId w:val="1"/>
        </w:numPr>
        <w:spacing w:before="120" w:after="120"/>
      </w:pPr>
      <w:r w:rsidRPr="006E72A7">
        <w:t>Figure 1 presents an analysis of time to coronary death, non-fatal myocardial infarction, fatal or non-fatal ischaemic stroke, or unstable angina requiring hospitalisation by time intervals for the whole trial population.</w:t>
      </w:r>
    </w:p>
    <w:p w:rsidR="00B95886" w:rsidRPr="006E72A7" w:rsidRDefault="00B95886" w:rsidP="00E02557">
      <w:pPr>
        <w:pStyle w:val="TableHeading0"/>
        <w:spacing w:after="0"/>
        <w:jc w:val="both"/>
      </w:pPr>
      <w:r w:rsidRPr="006E72A7">
        <w:t>Figure 1: Rate of cardiovascular events per 100 patient-years by time intervals in ODYSSEY OUTCOMES</w:t>
      </w:r>
    </w:p>
    <w:p w:rsidR="00B95886" w:rsidRPr="006E72A7" w:rsidRDefault="004F3FD6" w:rsidP="00E02557">
      <w:pPr>
        <w:widowControl/>
      </w:pPr>
      <w:r>
        <w:rPr>
          <w:noProof/>
          <w:snapToGrid/>
          <w:lang w:eastAsia="en-AU"/>
        </w:rPr>
        <w:drawing>
          <wp:inline distT="0" distB="0" distL="0" distR="0">
            <wp:extent cx="4381500" cy="3446780"/>
            <wp:effectExtent l="0" t="0" r="0" b="1270"/>
            <wp:docPr id="1" name="Picture 1" title="Rate of cardiovascular events per 100 patient-years by time intervals in ODYSSEY OUTCOM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81500" cy="3446780"/>
                    </a:xfrm>
                    <a:prstGeom prst="rect">
                      <a:avLst/>
                    </a:prstGeom>
                  </pic:spPr>
                </pic:pic>
              </a:graphicData>
            </a:graphic>
          </wp:inline>
        </w:drawing>
      </w:r>
    </w:p>
    <w:p w:rsidR="00B95886" w:rsidRPr="006E72A7" w:rsidRDefault="00B95886" w:rsidP="00E02557">
      <w:pPr>
        <w:pStyle w:val="TableFooter"/>
        <w:widowControl/>
      </w:pPr>
      <w:r w:rsidRPr="006E72A7">
        <w:t>Source: Figure 16.2.6.1.2.2 (section 16.2.6) of the clinical trial report</w:t>
      </w:r>
    </w:p>
    <w:p w:rsidR="00FE70C3" w:rsidRPr="006E72A7" w:rsidRDefault="00B95886"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results suggest that alirocumab is associated with a decrease in the rate of cardiovascular events compared with placebo. The curves indicate divergence by 6 months with peak difference at approximately 18 months and convergence towards the end of the trial.</w:t>
      </w:r>
      <w:r w:rsidR="00C150E1" w:rsidRPr="006E72A7">
        <w:rPr>
          <w:rStyle w:val="CommentReference"/>
          <w:rFonts w:ascii="Calibri" w:hAnsi="Calibri"/>
          <w:b w:val="0"/>
          <w:sz w:val="24"/>
          <w:szCs w:val="22"/>
        </w:rPr>
        <w:t xml:space="preserve"> The Pre-Sub-Committee response (PSCR) argued the convergence in the rate of cardiovascular events between arms in the ODYSSEY OUTCOMES trial should be interpreted with caution given the relatively small number of patients contributing to the data at 4 years</w:t>
      </w:r>
      <w:r w:rsidR="002C2143" w:rsidRPr="006E72A7">
        <w:rPr>
          <w:rStyle w:val="CommentReference"/>
          <w:rFonts w:ascii="Calibri" w:hAnsi="Calibri"/>
          <w:b w:val="0"/>
          <w:sz w:val="24"/>
          <w:szCs w:val="22"/>
        </w:rPr>
        <w:t xml:space="preserve"> (6.8% of the total cohort). The ESC </w:t>
      </w:r>
      <w:r w:rsidR="000237B8" w:rsidRPr="006E72A7">
        <w:rPr>
          <w:rStyle w:val="CommentReference"/>
          <w:rFonts w:ascii="Calibri" w:hAnsi="Calibri"/>
          <w:b w:val="0"/>
          <w:sz w:val="24"/>
          <w:szCs w:val="22"/>
        </w:rPr>
        <w:t>noted the uncertainty with the data at 4 years</w:t>
      </w:r>
      <w:r w:rsidR="002C2143" w:rsidRPr="006E72A7">
        <w:rPr>
          <w:rStyle w:val="CommentReference"/>
          <w:rFonts w:ascii="Calibri" w:hAnsi="Calibri"/>
          <w:b w:val="0"/>
          <w:sz w:val="24"/>
          <w:szCs w:val="22"/>
        </w:rPr>
        <w:t xml:space="preserve">, however </w:t>
      </w:r>
      <w:r w:rsidR="000237B8" w:rsidRPr="006E72A7">
        <w:rPr>
          <w:rStyle w:val="CommentReference"/>
          <w:rFonts w:ascii="Calibri" w:hAnsi="Calibri"/>
          <w:b w:val="0"/>
          <w:sz w:val="24"/>
          <w:szCs w:val="22"/>
        </w:rPr>
        <w:t xml:space="preserve">also noted </w:t>
      </w:r>
      <w:r w:rsidR="002C2143" w:rsidRPr="006E72A7">
        <w:rPr>
          <w:rStyle w:val="CommentReference"/>
          <w:rFonts w:ascii="Calibri" w:hAnsi="Calibri"/>
          <w:b w:val="0"/>
          <w:sz w:val="24"/>
          <w:szCs w:val="22"/>
        </w:rPr>
        <w:t>the curves started to</w:t>
      </w:r>
      <w:r w:rsidR="002C2143" w:rsidRPr="006E72A7">
        <w:rPr>
          <w:rStyle w:val="CommentReference"/>
          <w:rFonts w:ascii="Calibri" w:hAnsi="Calibri"/>
          <w:b w:val="0"/>
          <w:i/>
          <w:sz w:val="24"/>
          <w:szCs w:val="22"/>
        </w:rPr>
        <w:t xml:space="preserve"> </w:t>
      </w:r>
      <w:r w:rsidR="002C2143" w:rsidRPr="006E72A7">
        <w:rPr>
          <w:rStyle w:val="CommentReference"/>
          <w:rFonts w:ascii="Calibri" w:hAnsi="Calibri"/>
          <w:b w:val="0"/>
          <w:sz w:val="24"/>
          <w:szCs w:val="22"/>
        </w:rPr>
        <w:t xml:space="preserve">converge </w:t>
      </w:r>
      <w:r w:rsidR="000237B8" w:rsidRPr="006E72A7">
        <w:rPr>
          <w:rStyle w:val="CommentReference"/>
          <w:rFonts w:ascii="Calibri" w:hAnsi="Calibri"/>
          <w:b w:val="0"/>
          <w:sz w:val="24"/>
          <w:szCs w:val="22"/>
        </w:rPr>
        <w:t>from</w:t>
      </w:r>
      <w:r w:rsidR="002C2143" w:rsidRPr="006E72A7">
        <w:rPr>
          <w:rStyle w:val="CommentReference"/>
          <w:rFonts w:ascii="Calibri" w:hAnsi="Calibri"/>
          <w:b w:val="0"/>
          <w:sz w:val="24"/>
          <w:szCs w:val="22"/>
        </w:rPr>
        <w:t xml:space="preserve"> 18 months </w:t>
      </w:r>
      <w:r w:rsidR="000237B8" w:rsidRPr="006E72A7">
        <w:rPr>
          <w:rStyle w:val="CommentReference"/>
          <w:rFonts w:ascii="Calibri" w:hAnsi="Calibri"/>
          <w:b w:val="0"/>
          <w:sz w:val="24"/>
          <w:szCs w:val="22"/>
        </w:rPr>
        <w:t xml:space="preserve">and </w:t>
      </w:r>
      <w:r w:rsidR="002C2143" w:rsidRPr="006E72A7">
        <w:rPr>
          <w:rStyle w:val="CommentReference"/>
          <w:rFonts w:ascii="Calibri" w:hAnsi="Calibri"/>
          <w:b w:val="0"/>
          <w:sz w:val="24"/>
          <w:szCs w:val="22"/>
        </w:rPr>
        <w:t>a relatively large number of patients remain</w:t>
      </w:r>
      <w:r w:rsidR="000237B8" w:rsidRPr="006E72A7">
        <w:rPr>
          <w:rStyle w:val="CommentReference"/>
          <w:rFonts w:ascii="Calibri" w:hAnsi="Calibri"/>
          <w:b w:val="0"/>
          <w:sz w:val="24"/>
          <w:szCs w:val="22"/>
        </w:rPr>
        <w:t>ed</w:t>
      </w:r>
      <w:r w:rsidR="002C2143" w:rsidRPr="006E72A7">
        <w:rPr>
          <w:rStyle w:val="CommentReference"/>
          <w:rFonts w:ascii="Calibri" w:hAnsi="Calibri"/>
          <w:b w:val="0"/>
          <w:sz w:val="24"/>
          <w:szCs w:val="22"/>
        </w:rPr>
        <w:t xml:space="preserve"> at risk between 2–3 years. A similar pattern</w:t>
      </w:r>
      <w:r w:rsidR="000237B8" w:rsidRPr="006E72A7">
        <w:rPr>
          <w:rStyle w:val="CommentReference"/>
          <w:rFonts w:ascii="Calibri" w:hAnsi="Calibri"/>
          <w:b w:val="0"/>
          <w:sz w:val="24"/>
          <w:szCs w:val="22"/>
        </w:rPr>
        <w:t xml:space="preserve"> of convergence was</w:t>
      </w:r>
      <w:r w:rsidR="002C2143" w:rsidRPr="006E72A7">
        <w:rPr>
          <w:rStyle w:val="CommentReference"/>
          <w:rFonts w:ascii="Calibri" w:hAnsi="Calibri"/>
          <w:b w:val="0"/>
          <w:sz w:val="24"/>
          <w:szCs w:val="22"/>
        </w:rPr>
        <w:t xml:space="preserve"> also seen with LDL reduction.</w:t>
      </w:r>
      <w:r w:rsidR="00264720" w:rsidRPr="006E72A7">
        <w:t xml:space="preserve"> The ESC felt that this </w:t>
      </w:r>
      <w:r w:rsidR="007B091F">
        <w:t>may not have been</w:t>
      </w:r>
      <w:r w:rsidR="00264720" w:rsidRPr="006E72A7">
        <w:t xml:space="preserve"> adequately explained by down titration of alirocumab therapy to maintain an LDL-c range nor by the fewer numbers of patients followed up to 4 years</w:t>
      </w:r>
      <w:r w:rsidR="006E72A7">
        <w:t xml:space="preserve">. </w:t>
      </w:r>
    </w:p>
    <w:p w:rsidR="00EC16D7" w:rsidRPr="006E72A7" w:rsidRDefault="00EC16D7"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A separate analysis by time interval indicate</w:t>
      </w:r>
      <w:r w:rsidR="008701A9" w:rsidRPr="006E72A7">
        <w:rPr>
          <w:rStyle w:val="CommentReference"/>
          <w:rFonts w:ascii="Calibri" w:hAnsi="Calibri"/>
          <w:b w:val="0"/>
          <w:sz w:val="24"/>
          <w:szCs w:val="22"/>
        </w:rPr>
        <w:t>d</w:t>
      </w:r>
      <w:r w:rsidRPr="006E72A7">
        <w:rPr>
          <w:rStyle w:val="CommentReference"/>
          <w:rFonts w:ascii="Calibri" w:hAnsi="Calibri"/>
          <w:b w:val="0"/>
          <w:sz w:val="24"/>
          <w:szCs w:val="22"/>
        </w:rPr>
        <w:t xml:space="preserve"> no apparent difference in cardiovascular events with alirocumab treatment in the first year (HR 0.94, 95% CI 0.83, 1.08). There was a relative decrease in cardiovascular events in the alirocumab arm compared with </w:t>
      </w:r>
      <w:r w:rsidRPr="006E72A7">
        <w:rPr>
          <w:rStyle w:val="CommentReference"/>
          <w:rFonts w:ascii="Calibri" w:hAnsi="Calibri"/>
          <w:b w:val="0"/>
          <w:sz w:val="24"/>
          <w:szCs w:val="22"/>
        </w:rPr>
        <w:lastRenderedPageBreak/>
        <w:t>the placebo arm in subsequent years (HR 0.77, 95% CI 0.69, 0.87). This analysis indicat</w:t>
      </w:r>
      <w:r w:rsidR="00506C7D" w:rsidRPr="006E72A7">
        <w:rPr>
          <w:rStyle w:val="CommentReference"/>
          <w:rFonts w:ascii="Calibri" w:hAnsi="Calibri"/>
          <w:b w:val="0"/>
          <w:sz w:val="24"/>
          <w:szCs w:val="22"/>
        </w:rPr>
        <w:t>es that there may be a time</w:t>
      </w:r>
      <w:r w:rsidRPr="006E72A7">
        <w:rPr>
          <w:rStyle w:val="CommentReference"/>
          <w:rFonts w:ascii="Calibri" w:hAnsi="Calibri"/>
          <w:b w:val="0"/>
          <w:sz w:val="24"/>
          <w:szCs w:val="22"/>
        </w:rPr>
        <w:t xml:space="preserve"> lag between the initiation of alirocumab therapy and the accrual of cardiovascular benefits which is consistent with the landmark analysis for the FOURIER trial.</w:t>
      </w:r>
    </w:p>
    <w:p w:rsidR="000C14D6" w:rsidRPr="006E72A7" w:rsidRDefault="00EC16D7"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 xml:space="preserve">LDL results from the ODYSSEY OUTCOMES trial suggest </w:t>
      </w:r>
      <w:r w:rsidR="00EC114C" w:rsidRPr="006E72A7">
        <w:rPr>
          <w:rStyle w:val="CommentReference"/>
          <w:rFonts w:ascii="Calibri" w:hAnsi="Calibri"/>
          <w:b w:val="0"/>
          <w:sz w:val="24"/>
          <w:szCs w:val="22"/>
        </w:rPr>
        <w:t>attenuation</w:t>
      </w:r>
      <w:r w:rsidRPr="006E72A7">
        <w:rPr>
          <w:rStyle w:val="CommentReference"/>
          <w:rFonts w:ascii="Calibri" w:hAnsi="Calibri"/>
          <w:b w:val="0"/>
          <w:sz w:val="24"/>
          <w:szCs w:val="22"/>
        </w:rPr>
        <w:t xml:space="preserve"> in LDL reduction over time associated with alirocumab versus placebo with 60.1%</w:t>
      </w:r>
      <w:r w:rsidR="001D1646" w:rsidRPr="006E72A7">
        <w:rPr>
          <w:rStyle w:val="CommentReference"/>
          <w:rFonts w:ascii="Calibri" w:hAnsi="Calibri"/>
          <w:b w:val="0"/>
          <w:sz w:val="24"/>
          <w:szCs w:val="22"/>
        </w:rPr>
        <w:t xml:space="preserve"> change from baseline</w:t>
      </w:r>
      <w:r w:rsidRPr="006E72A7">
        <w:rPr>
          <w:rStyle w:val="CommentReference"/>
          <w:rFonts w:ascii="Calibri" w:hAnsi="Calibri"/>
          <w:b w:val="0"/>
          <w:sz w:val="24"/>
          <w:szCs w:val="22"/>
        </w:rPr>
        <w:t xml:space="preserve"> observed at Month 4, which decreased over time to 53.7% at Month 12 </w:t>
      </w:r>
      <w:r w:rsidR="00CF643C" w:rsidRPr="006E72A7">
        <w:rPr>
          <w:rStyle w:val="CommentReference"/>
          <w:rFonts w:ascii="Calibri" w:hAnsi="Calibri"/>
          <w:b w:val="0"/>
          <w:sz w:val="24"/>
          <w:szCs w:val="22"/>
        </w:rPr>
        <w:t xml:space="preserve">and </w:t>
      </w:r>
      <w:r w:rsidRPr="006E72A7">
        <w:rPr>
          <w:rStyle w:val="CommentReference"/>
          <w:rFonts w:ascii="Calibri" w:hAnsi="Calibri"/>
          <w:b w:val="0"/>
          <w:sz w:val="24"/>
          <w:szCs w:val="22"/>
        </w:rPr>
        <w:t xml:space="preserve">to </w:t>
      </w:r>
      <w:r w:rsidR="00527E1A" w:rsidRPr="006E72A7">
        <w:rPr>
          <w:rStyle w:val="CommentReference"/>
          <w:rFonts w:ascii="Calibri" w:hAnsi="Calibri"/>
          <w:b w:val="0"/>
          <w:sz w:val="24"/>
          <w:szCs w:val="22"/>
        </w:rPr>
        <w:t>39.9%</w:t>
      </w:r>
      <w:r w:rsidRPr="006E72A7">
        <w:rPr>
          <w:rStyle w:val="CommentReference"/>
          <w:rFonts w:ascii="Calibri" w:hAnsi="Calibri"/>
          <w:b w:val="0"/>
          <w:sz w:val="24"/>
          <w:szCs w:val="22"/>
        </w:rPr>
        <w:t xml:space="preserve"> at Month 48. </w:t>
      </w:r>
      <w:r w:rsidR="000C14D6" w:rsidRPr="006E72A7">
        <w:rPr>
          <w:rStyle w:val="CommentReference"/>
          <w:rFonts w:ascii="Calibri" w:hAnsi="Calibri"/>
          <w:b w:val="0"/>
          <w:sz w:val="24"/>
          <w:szCs w:val="22"/>
        </w:rPr>
        <w:t xml:space="preserve">In the FOURIER trial, treatment with evolocumab was associated with a 59% relative decrease in LDL levels compared to placebo, which was sustained over </w:t>
      </w:r>
      <w:r w:rsidR="00527E1A" w:rsidRPr="006E72A7">
        <w:rPr>
          <w:rStyle w:val="CommentReference"/>
          <w:rFonts w:ascii="Calibri" w:hAnsi="Calibri"/>
          <w:b w:val="0"/>
          <w:sz w:val="24"/>
          <w:szCs w:val="22"/>
        </w:rPr>
        <w:t>approximately 3 years</w:t>
      </w:r>
      <w:r w:rsidR="000C14D6" w:rsidRPr="006E72A7">
        <w:rPr>
          <w:rStyle w:val="CommentReference"/>
          <w:rFonts w:ascii="Calibri" w:hAnsi="Calibri"/>
          <w:b w:val="0"/>
          <w:sz w:val="24"/>
          <w:szCs w:val="22"/>
        </w:rPr>
        <w:t xml:space="preserve">. </w:t>
      </w:r>
    </w:p>
    <w:p w:rsidR="00EC16D7" w:rsidRPr="006E72A7" w:rsidRDefault="00EC16D7"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 xml:space="preserve">The resubmission claimed that </w:t>
      </w:r>
      <w:r w:rsidR="000C14D6" w:rsidRPr="006E72A7">
        <w:rPr>
          <w:rStyle w:val="CommentReference"/>
          <w:rFonts w:ascii="Calibri" w:hAnsi="Calibri"/>
          <w:b w:val="0"/>
          <w:sz w:val="24"/>
          <w:szCs w:val="22"/>
        </w:rPr>
        <w:t xml:space="preserve">the attenuation in LDL reduction </w:t>
      </w:r>
      <w:r w:rsidRPr="006E72A7">
        <w:rPr>
          <w:rStyle w:val="CommentReference"/>
          <w:rFonts w:ascii="Calibri" w:hAnsi="Calibri"/>
          <w:b w:val="0"/>
          <w:sz w:val="24"/>
          <w:szCs w:val="22"/>
        </w:rPr>
        <w:t>may be due to the dosing algorithm that allowed for down-titrations and/or switching to placebo and the use of LDL targets (between 0.78 to 1.29 mmol/L) which w</w:t>
      </w:r>
      <w:r w:rsidR="00CF643C" w:rsidRPr="006E72A7">
        <w:rPr>
          <w:rStyle w:val="CommentReference"/>
          <w:rFonts w:ascii="Calibri" w:hAnsi="Calibri"/>
          <w:b w:val="0"/>
          <w:sz w:val="24"/>
          <w:szCs w:val="22"/>
        </w:rPr>
        <w:t>as</w:t>
      </w:r>
      <w:r w:rsidRPr="006E72A7">
        <w:rPr>
          <w:rStyle w:val="CommentReference"/>
          <w:rFonts w:ascii="Calibri" w:hAnsi="Calibri"/>
          <w:b w:val="0"/>
          <w:sz w:val="24"/>
          <w:szCs w:val="22"/>
        </w:rPr>
        <w:t xml:space="preserve"> different to previous trials of alirocumab with lipid outcomes.</w:t>
      </w:r>
      <w:r w:rsidR="000C14D6" w:rsidRPr="006E72A7">
        <w:rPr>
          <w:rStyle w:val="CommentReference"/>
          <w:rFonts w:ascii="Calibri" w:hAnsi="Calibri"/>
          <w:b w:val="0"/>
          <w:sz w:val="24"/>
          <w:szCs w:val="22"/>
        </w:rPr>
        <w:t xml:space="preserve"> </w:t>
      </w:r>
      <w:r w:rsidR="004A3455" w:rsidRPr="006E72A7">
        <w:t xml:space="preserve">The PSCR indicated that there were 805/9,451 patients (8.5%) treated with alirocumab 150 mg fortnightly who had their dose down-titrated to 75 mg fortnightly, and 730 patients (7.7%) patients treated with alirocumab 75 mg fortnightly who were switched to placebo. </w:t>
      </w:r>
      <w:r w:rsidR="004A3455" w:rsidRPr="006E72A7">
        <w:rPr>
          <w:rStyle w:val="CommentReference"/>
          <w:rFonts w:ascii="Calibri" w:hAnsi="Calibri"/>
          <w:b w:val="0"/>
          <w:sz w:val="24"/>
          <w:szCs w:val="22"/>
        </w:rPr>
        <w:t>T</w:t>
      </w:r>
      <w:r w:rsidR="000C14D6" w:rsidRPr="006E72A7">
        <w:rPr>
          <w:rStyle w:val="CommentReference"/>
          <w:rFonts w:ascii="Calibri" w:hAnsi="Calibri"/>
          <w:b w:val="0"/>
          <w:sz w:val="24"/>
          <w:szCs w:val="22"/>
        </w:rPr>
        <w:t>he ODYSSEY OUTCOMES trial did not report LDL reductions by titration status.</w:t>
      </w:r>
      <w:r w:rsidR="005D4D85" w:rsidRPr="006E72A7">
        <w:rPr>
          <w:rStyle w:val="CommentReference"/>
          <w:rFonts w:ascii="Calibri" w:hAnsi="Calibri"/>
          <w:b w:val="0"/>
          <w:sz w:val="24"/>
          <w:szCs w:val="22"/>
        </w:rPr>
        <w:t xml:space="preserve"> </w:t>
      </w:r>
    </w:p>
    <w:p w:rsidR="000C14D6" w:rsidRPr="006E72A7" w:rsidRDefault="00EC16D7"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PBAC previously noted that there w</w:t>
      </w:r>
      <w:r w:rsidR="0082030D" w:rsidRPr="006E72A7">
        <w:rPr>
          <w:rStyle w:val="CommentReference"/>
          <w:rFonts w:ascii="Calibri" w:hAnsi="Calibri"/>
          <w:b w:val="0"/>
          <w:sz w:val="24"/>
          <w:szCs w:val="22"/>
        </w:rPr>
        <w:t>as an approximate 20% difference in LDL reduction observed</w:t>
      </w:r>
      <w:r w:rsidR="00B918D2" w:rsidRPr="006E72A7">
        <w:rPr>
          <w:rStyle w:val="CommentReference"/>
          <w:rFonts w:ascii="Calibri" w:hAnsi="Calibri"/>
          <w:b w:val="0"/>
          <w:sz w:val="24"/>
          <w:szCs w:val="22"/>
        </w:rPr>
        <w:t xml:space="preserve"> in subgroup analyses of</w:t>
      </w:r>
      <w:r w:rsidRPr="006E72A7">
        <w:rPr>
          <w:rStyle w:val="CommentReference"/>
          <w:rFonts w:ascii="Calibri" w:hAnsi="Calibri"/>
          <w:b w:val="0"/>
          <w:sz w:val="24"/>
          <w:szCs w:val="22"/>
        </w:rPr>
        <w:t xml:space="preserve"> patients receiving al</w:t>
      </w:r>
      <w:r w:rsidR="0082030D" w:rsidRPr="006E72A7">
        <w:rPr>
          <w:rStyle w:val="CommentReference"/>
          <w:rFonts w:ascii="Calibri" w:hAnsi="Calibri"/>
          <w:b w:val="0"/>
          <w:sz w:val="24"/>
          <w:szCs w:val="22"/>
        </w:rPr>
        <w:t xml:space="preserve">irocumab who were up-titrated compared to those with no titration (para 7.5, alirocumab November 2017 PSD). </w:t>
      </w:r>
      <w:r w:rsidR="000C14D6" w:rsidRPr="006E72A7">
        <w:rPr>
          <w:rStyle w:val="CommentReference"/>
          <w:rFonts w:ascii="Calibri" w:hAnsi="Calibri"/>
          <w:b w:val="0"/>
          <w:sz w:val="24"/>
          <w:szCs w:val="22"/>
        </w:rPr>
        <w:t>D</w:t>
      </w:r>
      <w:r w:rsidR="0082030D" w:rsidRPr="006E72A7">
        <w:rPr>
          <w:rStyle w:val="CommentReference"/>
          <w:rFonts w:ascii="Calibri" w:hAnsi="Calibri"/>
          <w:b w:val="0"/>
          <w:sz w:val="24"/>
          <w:szCs w:val="22"/>
        </w:rPr>
        <w:t xml:space="preserve">ata from </w:t>
      </w:r>
      <w:r w:rsidR="000C14D6" w:rsidRPr="006E72A7">
        <w:rPr>
          <w:rStyle w:val="CommentReference"/>
          <w:rFonts w:ascii="Calibri" w:hAnsi="Calibri"/>
          <w:b w:val="0"/>
          <w:sz w:val="24"/>
          <w:szCs w:val="22"/>
        </w:rPr>
        <w:t xml:space="preserve">an exploratory analysis of </w:t>
      </w:r>
      <w:r w:rsidR="0082030D" w:rsidRPr="006E72A7">
        <w:rPr>
          <w:rStyle w:val="CommentReference"/>
          <w:rFonts w:ascii="Calibri" w:hAnsi="Calibri"/>
          <w:b w:val="0"/>
          <w:sz w:val="24"/>
          <w:szCs w:val="22"/>
        </w:rPr>
        <w:t xml:space="preserve">the </w:t>
      </w:r>
      <w:r w:rsidR="00F27E60" w:rsidRPr="006E72A7">
        <w:rPr>
          <w:rStyle w:val="CommentReference"/>
          <w:rFonts w:ascii="Calibri" w:hAnsi="Calibri"/>
          <w:b w:val="0"/>
          <w:sz w:val="24"/>
          <w:szCs w:val="22"/>
        </w:rPr>
        <w:t>open label extension (</w:t>
      </w:r>
      <w:r w:rsidR="0082030D" w:rsidRPr="006E72A7">
        <w:rPr>
          <w:rStyle w:val="CommentReference"/>
          <w:rFonts w:ascii="Calibri" w:hAnsi="Calibri"/>
          <w:b w:val="0"/>
          <w:sz w:val="24"/>
          <w:szCs w:val="22"/>
        </w:rPr>
        <w:t>OLE</w:t>
      </w:r>
      <w:r w:rsidR="00F27E60" w:rsidRPr="006E72A7">
        <w:rPr>
          <w:rStyle w:val="CommentReference"/>
          <w:rFonts w:ascii="Calibri" w:hAnsi="Calibri"/>
          <w:b w:val="0"/>
          <w:sz w:val="24"/>
          <w:szCs w:val="22"/>
        </w:rPr>
        <w:t>)</w:t>
      </w:r>
      <w:r w:rsidR="0082030D" w:rsidRPr="006E72A7">
        <w:rPr>
          <w:rStyle w:val="CommentReference"/>
          <w:rFonts w:ascii="Calibri" w:hAnsi="Calibri"/>
          <w:b w:val="0"/>
          <w:sz w:val="24"/>
          <w:szCs w:val="22"/>
        </w:rPr>
        <w:t xml:space="preserve"> study suggest a similar difference in LDL reduction</w:t>
      </w:r>
      <w:r w:rsidR="000C14D6" w:rsidRPr="006E72A7">
        <w:rPr>
          <w:rStyle w:val="CommentReference"/>
          <w:rFonts w:ascii="Calibri" w:hAnsi="Calibri"/>
          <w:b w:val="0"/>
          <w:sz w:val="24"/>
          <w:szCs w:val="22"/>
        </w:rPr>
        <w:t xml:space="preserve"> due to alirocumab titration</w:t>
      </w:r>
      <w:r w:rsidR="006E72A7">
        <w:rPr>
          <w:rStyle w:val="CommentReference"/>
          <w:rFonts w:ascii="Calibri" w:hAnsi="Calibri"/>
          <w:b w:val="0"/>
          <w:sz w:val="24"/>
          <w:szCs w:val="22"/>
        </w:rPr>
        <w:t xml:space="preserve">. </w:t>
      </w:r>
    </w:p>
    <w:p w:rsidR="00774902" w:rsidRPr="006E72A7" w:rsidRDefault="00774902"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Overall, the magnitude of cardiovascular risk reduction associated with alirocumab is likely to differ depending on baseline cardiovascular risk and LDL levels. The PBAC previously considered the strength of association between LDL levels and cardiovascular outcomes to be robust and consistent with the extensive body of evidence, however, stated that the results from the ODYSSEY OUTCOMES trial would also be informative (para 6.49, alirocumab PSD November 2017).</w:t>
      </w:r>
    </w:p>
    <w:p w:rsidR="00774902" w:rsidRPr="006E72A7" w:rsidRDefault="00774902"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 xml:space="preserve">Results from the ODYSSEY OUTCOMES trial report suggest a 25% reduction in cardiovascular risk per 1 mmol/L decrease in LDL with alirocumab treatment (HR 0.75, 95% CI 0.72, 0.78). </w:t>
      </w:r>
      <w:r w:rsidR="00DE7116" w:rsidRPr="006E72A7">
        <w:rPr>
          <w:rStyle w:val="CommentReference"/>
          <w:rFonts w:ascii="Calibri" w:hAnsi="Calibri"/>
          <w:b w:val="0"/>
          <w:sz w:val="24"/>
          <w:szCs w:val="22"/>
        </w:rPr>
        <w:t>The trial report noted that this was consistent with Cholesterol Treatment Trialists’ Collaboration (CTTC) meta-analysis that suggested a 22% risk reduction per 1 mmol/L decrease in LDL. The results were also broadly consistent with landmark analyses from the FOURIER trial suggesting relative risk reductions in major coronary events per 1 mmol/L reduction in LDL (Year 1: HR 0.87, 95% CI 0.79, 0.97; Year 2: HR 0.80, 95% CI 0.71, 0.90; reported in Sabatine 2017)</w:t>
      </w:r>
      <w:r w:rsidR="006E72A7">
        <w:rPr>
          <w:rStyle w:val="CommentReference"/>
          <w:rFonts w:ascii="Calibri" w:hAnsi="Calibri"/>
          <w:b w:val="0"/>
          <w:sz w:val="24"/>
          <w:szCs w:val="22"/>
        </w:rPr>
        <w:t xml:space="preserve">. </w:t>
      </w:r>
    </w:p>
    <w:p w:rsidR="00121654" w:rsidRPr="006E72A7" w:rsidRDefault="00121654" w:rsidP="00DD046C">
      <w:pPr>
        <w:widowControl/>
        <w:spacing w:before="120" w:after="120"/>
        <w:rPr>
          <w:rStyle w:val="CommentReference"/>
          <w:rFonts w:ascii="Calibri" w:hAnsi="Calibri"/>
          <w:i/>
          <w:sz w:val="24"/>
          <w:szCs w:val="22"/>
        </w:rPr>
      </w:pPr>
      <w:r w:rsidRPr="006E72A7">
        <w:rPr>
          <w:rStyle w:val="CommentReference"/>
          <w:rFonts w:ascii="Calibri" w:hAnsi="Calibri"/>
          <w:i/>
          <w:sz w:val="24"/>
          <w:szCs w:val="22"/>
        </w:rPr>
        <w:t>Subgroup analyses</w:t>
      </w:r>
    </w:p>
    <w:p w:rsidR="0031047D" w:rsidRPr="006E72A7" w:rsidRDefault="00B649CE" w:rsidP="00DD046C">
      <w:pPr>
        <w:pStyle w:val="ListParagraph"/>
        <w:widowControl/>
        <w:numPr>
          <w:ilvl w:val="1"/>
          <w:numId w:val="1"/>
        </w:numPr>
        <w:spacing w:before="120" w:after="120"/>
      </w:pPr>
      <w:r w:rsidRPr="006E72A7">
        <w:rPr>
          <w:rStyle w:val="CommentReference"/>
          <w:rFonts w:ascii="Calibri" w:hAnsi="Calibri"/>
          <w:b w:val="0"/>
          <w:sz w:val="24"/>
          <w:szCs w:val="22"/>
        </w:rPr>
        <w:t xml:space="preserve">The resubmission conducted post-hoc analyses of the combined subgroup with diabetes and LDL </w:t>
      </w:r>
      <w:r w:rsidRPr="006E72A7">
        <w:rPr>
          <w:rStyle w:val="CommentReference"/>
          <w:rFonts w:ascii="Calibri" w:hAnsi="Calibri" w:cs="Calibri"/>
          <w:b w:val="0"/>
          <w:sz w:val="24"/>
          <w:szCs w:val="22"/>
        </w:rPr>
        <w:t>≥</w:t>
      </w:r>
      <w:r w:rsidRPr="006E72A7">
        <w:rPr>
          <w:rStyle w:val="CommentReference"/>
          <w:rFonts w:ascii="Calibri" w:hAnsi="Calibri"/>
          <w:b w:val="0"/>
          <w:sz w:val="24"/>
          <w:szCs w:val="22"/>
        </w:rPr>
        <w:t xml:space="preserve">2.6 mmol/L for the primary composite outcome and for </w:t>
      </w:r>
      <w:r w:rsidR="000229FA" w:rsidRPr="006E72A7">
        <w:rPr>
          <w:rStyle w:val="CommentReference"/>
          <w:rFonts w:ascii="Calibri" w:hAnsi="Calibri"/>
          <w:b w:val="0"/>
          <w:sz w:val="24"/>
          <w:szCs w:val="22"/>
        </w:rPr>
        <w:t>MACE</w:t>
      </w:r>
      <w:r w:rsidRPr="006E72A7">
        <w:rPr>
          <w:rStyle w:val="CommentReference"/>
          <w:rFonts w:ascii="Calibri" w:hAnsi="Calibri"/>
          <w:b w:val="0"/>
          <w:sz w:val="24"/>
          <w:szCs w:val="22"/>
        </w:rPr>
        <w:t xml:space="preserve"> without stroke from the ODYSSEY OUTCOMES trial summarised in the table below.</w:t>
      </w:r>
      <w:r w:rsidR="000229FA" w:rsidRPr="006E72A7">
        <w:rPr>
          <w:rStyle w:val="CommentReference"/>
          <w:rFonts w:ascii="Calibri" w:hAnsi="Calibri"/>
          <w:b w:val="0"/>
          <w:sz w:val="24"/>
          <w:szCs w:val="22"/>
        </w:rPr>
        <w:t xml:space="preserve"> </w:t>
      </w:r>
      <w:r w:rsidR="000229FA" w:rsidRPr="006E72A7">
        <w:lastRenderedPageBreak/>
        <w:t xml:space="preserve">The resubmission did not adequately justify the use of a </w:t>
      </w:r>
      <w:r w:rsidR="007F0D0F" w:rsidRPr="006E72A7">
        <w:t>post-hoc</w:t>
      </w:r>
      <w:r w:rsidR="000229FA" w:rsidRPr="006E72A7">
        <w:t xml:space="preserve"> composite outcome of MACE without stroke (defined as coronary death, fatal or non-fatal myocardial infarction or unstable angina requiring hospitalisation) in the economic model.</w:t>
      </w:r>
      <w:r w:rsidR="00786E90">
        <w:t xml:space="preserve"> The PBAC noted that the HR for ischaemic stroke reduction was, in fact, better than the overall HR for the MACE definition that was used in the model.</w:t>
      </w:r>
    </w:p>
    <w:p w:rsidR="00B649CE" w:rsidRPr="006E72A7" w:rsidRDefault="00B649CE" w:rsidP="00E02557">
      <w:pPr>
        <w:pStyle w:val="TableHeading0"/>
        <w:spacing w:after="0"/>
        <w:jc w:val="both"/>
      </w:pPr>
      <w:r w:rsidRPr="006E72A7">
        <w:t xml:space="preserve">Table 6: Subgroup analyses results of diabetes and LDL </w:t>
      </w:r>
      <w:r w:rsidRPr="006E72A7">
        <w:rPr>
          <w:rFonts w:cs="Calibri"/>
        </w:rPr>
        <w:t>≥</w:t>
      </w:r>
      <w:r w:rsidRPr="006E72A7">
        <w:t xml:space="preserve">2.6 mmol/L from the </w:t>
      </w:r>
      <w:r w:rsidR="00610973" w:rsidRPr="006E72A7">
        <w:t xml:space="preserve">recent ACS population of the </w:t>
      </w:r>
      <w:r w:rsidRPr="006E72A7">
        <w:t>ODYSSEY OUTCOMES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group analyses results of diabetes and LDL ≥2.6 mmol/L from the recent ACS population of the ODYSSEY OUTCOMES trial"/>
      </w:tblPr>
      <w:tblGrid>
        <w:gridCol w:w="3046"/>
        <w:gridCol w:w="1436"/>
        <w:gridCol w:w="1436"/>
        <w:gridCol w:w="1691"/>
        <w:gridCol w:w="1408"/>
      </w:tblGrid>
      <w:tr w:rsidR="00B649CE" w:rsidRPr="006E72A7" w:rsidTr="00B649CE">
        <w:trPr>
          <w:tblHeader/>
        </w:trPr>
        <w:tc>
          <w:tcPr>
            <w:tcW w:w="304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rPr>
                <w:b/>
              </w:rPr>
            </w:pPr>
            <w:r w:rsidRPr="006E72A7">
              <w:rPr>
                <w:b/>
              </w:rPr>
              <w:t xml:space="preserve">Outcome </w:t>
            </w:r>
          </w:p>
        </w:tc>
        <w:tc>
          <w:tcPr>
            <w:tcW w:w="143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rPr>
                <w:b/>
              </w:rPr>
            </w:pPr>
            <w:r w:rsidRPr="006E72A7">
              <w:rPr>
                <w:b/>
              </w:rPr>
              <w:t>Alirocumab</w:t>
            </w:r>
          </w:p>
        </w:tc>
        <w:tc>
          <w:tcPr>
            <w:tcW w:w="143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rPr>
                <w:b/>
              </w:rPr>
            </w:pPr>
            <w:r w:rsidRPr="006E72A7">
              <w:rPr>
                <w:b/>
              </w:rPr>
              <w:t>Placebo</w:t>
            </w:r>
          </w:p>
        </w:tc>
        <w:tc>
          <w:tcPr>
            <w:tcW w:w="1691"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rPr>
                <w:b/>
              </w:rPr>
            </w:pPr>
            <w:r w:rsidRPr="006E72A7">
              <w:rPr>
                <w:b/>
              </w:rPr>
              <w:t xml:space="preserve">Hazard ratio </w:t>
            </w:r>
            <w:r w:rsidRPr="006E72A7">
              <w:rPr>
                <w:b/>
              </w:rPr>
              <w:br/>
              <w:t>(95% CI)</w:t>
            </w:r>
          </w:p>
        </w:tc>
        <w:tc>
          <w:tcPr>
            <w:tcW w:w="1408"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rPr>
                <w:b/>
              </w:rPr>
            </w:pPr>
            <w:r w:rsidRPr="006E72A7">
              <w:rPr>
                <w:b/>
              </w:rPr>
              <w:t xml:space="preserve">Interaction </w:t>
            </w:r>
          </w:p>
          <w:p w:rsidR="00B649CE" w:rsidRPr="006E72A7" w:rsidRDefault="00B649CE" w:rsidP="00E02557">
            <w:pPr>
              <w:pStyle w:val="TableText0"/>
              <w:keepNext w:val="0"/>
              <w:spacing w:before="0" w:after="0"/>
              <w:jc w:val="center"/>
              <w:rPr>
                <w:b/>
              </w:rPr>
            </w:pPr>
            <w:r w:rsidRPr="006E72A7">
              <w:rPr>
                <w:b/>
              </w:rPr>
              <w:t>p-value</w:t>
            </w:r>
          </w:p>
        </w:tc>
      </w:tr>
      <w:tr w:rsidR="00B649CE" w:rsidRPr="006E72A7" w:rsidTr="00B649CE">
        <w:tc>
          <w:tcPr>
            <w:tcW w:w="9017" w:type="dxa"/>
            <w:gridSpan w:val="5"/>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rPr>
                <w:b/>
              </w:rPr>
            </w:pPr>
            <w:r w:rsidRPr="006E72A7">
              <w:rPr>
                <w:b/>
              </w:rPr>
              <w:t>Time to coronary death, non-fatal myocardial infarction, fatal or non-fatal ischaemic stroke, or unstable angina requiring hospitalisation</w:t>
            </w:r>
            <w:r w:rsidR="00F40D48" w:rsidRPr="006E72A7">
              <w:rPr>
                <w:b/>
              </w:rPr>
              <w:t xml:space="preserve"> [primary outcome]</w:t>
            </w:r>
          </w:p>
        </w:tc>
      </w:tr>
      <w:tr w:rsidR="00B649CE"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spacing w:before="0" w:after="0"/>
            </w:pPr>
            <w:r w:rsidRPr="006E72A7">
              <w:t>Overall (N = 18,924)</w:t>
            </w:r>
          </w:p>
        </w:tc>
        <w:tc>
          <w:tcPr>
            <w:tcW w:w="143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pPr>
            <w:r w:rsidRPr="006E72A7">
              <w:t>903 (9.5%)</w:t>
            </w:r>
          </w:p>
        </w:tc>
        <w:tc>
          <w:tcPr>
            <w:tcW w:w="143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pPr>
            <w:r w:rsidRPr="006E72A7">
              <w:t>1052 (11.1%)</w:t>
            </w:r>
          </w:p>
        </w:tc>
        <w:tc>
          <w:tcPr>
            <w:tcW w:w="1691"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pPr>
            <w:r w:rsidRPr="006E72A7">
              <w:t>0.85 (0.78, 0.93)</w:t>
            </w:r>
          </w:p>
        </w:tc>
        <w:tc>
          <w:tcPr>
            <w:tcW w:w="1408"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jc w:val="center"/>
            </w:pPr>
            <w:r w:rsidRPr="006E72A7">
              <w:t>-</w:t>
            </w:r>
          </w:p>
        </w:tc>
      </w:tr>
      <w:tr w:rsidR="00B649CE"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B649CE" w:rsidRPr="006E72A7" w:rsidRDefault="00B649CE" w:rsidP="00E02557">
            <w:pPr>
              <w:pStyle w:val="TableText0"/>
              <w:keepNext w:val="0"/>
              <w:spacing w:before="0" w:after="0"/>
            </w:pPr>
            <w:r w:rsidRPr="006E72A7">
              <w:t xml:space="preserve">Diabetes and LDL ≥2.6 mmol/L </w:t>
            </w:r>
          </w:p>
          <w:p w:rsidR="00B649CE" w:rsidRPr="006E72A7" w:rsidRDefault="00B649CE" w:rsidP="00E02557">
            <w:pPr>
              <w:pStyle w:val="TableText0"/>
              <w:keepNext w:val="0"/>
              <w:spacing w:before="0" w:after="0"/>
            </w:pPr>
            <w:r w:rsidRPr="006E72A7">
              <w:t xml:space="preserve">(N = </w:t>
            </w:r>
            <w:r w:rsidR="004F3FD6">
              <w:rPr>
                <w:noProof/>
                <w:color w:val="000000"/>
                <w:highlight w:val="black"/>
              </w:rPr>
              <w:t>'''''''''''''</w:t>
            </w:r>
            <w:r w:rsidRPr="006E72A7">
              <w:t>)</w:t>
            </w:r>
          </w:p>
        </w:tc>
        <w:tc>
          <w:tcPr>
            <w:tcW w:w="1436" w:type="dxa"/>
            <w:tcBorders>
              <w:top w:val="single" w:sz="4" w:space="0" w:color="auto"/>
              <w:left w:val="single" w:sz="4" w:space="0" w:color="auto"/>
              <w:bottom w:val="single" w:sz="4" w:space="0" w:color="auto"/>
              <w:right w:val="single" w:sz="4" w:space="0" w:color="auto"/>
            </w:tcBorders>
            <w:vAlign w:val="center"/>
          </w:tcPr>
          <w:p w:rsidR="00B649CE" w:rsidRPr="006E72A7" w:rsidRDefault="004F3FD6" w:rsidP="00E02557">
            <w:pPr>
              <w:pStyle w:val="TableText0"/>
              <w:keepNext w:val="0"/>
              <w:spacing w:before="0" w:after="0"/>
              <w:jc w:val="center"/>
            </w:pPr>
            <w:r>
              <w:rPr>
                <w:noProof/>
                <w:color w:val="000000"/>
                <w:highlight w:val="black"/>
              </w:rPr>
              <w:t>'''''''''</w:t>
            </w:r>
            <w:r w:rsidR="00B649CE" w:rsidRPr="006E72A7">
              <w:t xml:space="preserve"> (</w:t>
            </w:r>
            <w:r>
              <w:rPr>
                <w:noProof/>
                <w:color w:val="000000"/>
                <w:highlight w:val="black"/>
              </w:rPr>
              <w:t>''''''''''</w:t>
            </w:r>
            <w:r w:rsidR="00B649CE" w:rsidRPr="006E72A7">
              <w:t>%)</w:t>
            </w:r>
          </w:p>
        </w:tc>
        <w:tc>
          <w:tcPr>
            <w:tcW w:w="1436" w:type="dxa"/>
            <w:tcBorders>
              <w:top w:val="single" w:sz="4" w:space="0" w:color="auto"/>
              <w:left w:val="single" w:sz="4" w:space="0" w:color="auto"/>
              <w:bottom w:val="single" w:sz="4" w:space="0" w:color="auto"/>
              <w:right w:val="single" w:sz="4" w:space="0" w:color="auto"/>
            </w:tcBorders>
            <w:vAlign w:val="center"/>
          </w:tcPr>
          <w:p w:rsidR="00B649CE" w:rsidRPr="006E72A7" w:rsidRDefault="004F3FD6" w:rsidP="00E02557">
            <w:pPr>
              <w:pStyle w:val="TableText0"/>
              <w:keepNext w:val="0"/>
              <w:spacing w:before="0" w:after="0"/>
              <w:jc w:val="center"/>
            </w:pPr>
            <w:r>
              <w:rPr>
                <w:noProof/>
                <w:color w:val="000000"/>
                <w:highlight w:val="black"/>
              </w:rPr>
              <w:t>'''''''''</w:t>
            </w:r>
            <w:r w:rsidR="00B649CE" w:rsidRPr="006E72A7">
              <w:t xml:space="preserve"> (</w:t>
            </w:r>
            <w:r>
              <w:rPr>
                <w:noProof/>
                <w:color w:val="000000"/>
                <w:highlight w:val="black"/>
              </w:rPr>
              <w:t>'''''''''''</w:t>
            </w:r>
            <w:r w:rsidR="00B649CE" w:rsidRPr="006E72A7">
              <w:t>%)</w:t>
            </w:r>
          </w:p>
        </w:tc>
        <w:tc>
          <w:tcPr>
            <w:tcW w:w="1691" w:type="dxa"/>
            <w:tcBorders>
              <w:top w:val="single" w:sz="4" w:space="0" w:color="auto"/>
              <w:left w:val="single" w:sz="4" w:space="0" w:color="auto"/>
              <w:bottom w:val="single" w:sz="4" w:space="0" w:color="auto"/>
              <w:right w:val="single" w:sz="4" w:space="0" w:color="auto"/>
            </w:tcBorders>
            <w:vAlign w:val="center"/>
          </w:tcPr>
          <w:p w:rsidR="00B649CE" w:rsidRPr="006E72A7" w:rsidRDefault="004F3FD6" w:rsidP="00E02557">
            <w:pPr>
              <w:pStyle w:val="TableText0"/>
              <w:keepNext w:val="0"/>
              <w:spacing w:before="0" w:after="0"/>
              <w:jc w:val="center"/>
            </w:pPr>
            <w:r>
              <w:rPr>
                <w:noProof/>
                <w:color w:val="000000"/>
                <w:highlight w:val="black"/>
              </w:rPr>
              <w:t>''''''''''''</w:t>
            </w:r>
            <w:r w:rsidR="00B649CE" w:rsidRPr="006E72A7">
              <w:t xml:space="preserve"> (</w:t>
            </w:r>
            <w:r>
              <w:rPr>
                <w:noProof/>
                <w:color w:val="000000"/>
                <w:highlight w:val="black"/>
              </w:rPr>
              <w:t>'''''''''''</w:t>
            </w:r>
            <w:r w:rsidR="00B649CE" w:rsidRPr="006E72A7">
              <w:t xml:space="preserve">, </w:t>
            </w:r>
            <w:r>
              <w:rPr>
                <w:noProof/>
                <w:color w:val="000000"/>
                <w:highlight w:val="black"/>
              </w:rPr>
              <w:t>''''''''''</w:t>
            </w:r>
            <w:r w:rsidR="00B649CE" w:rsidRPr="006E72A7">
              <w:t>)</w:t>
            </w:r>
          </w:p>
        </w:tc>
        <w:tc>
          <w:tcPr>
            <w:tcW w:w="1408" w:type="dxa"/>
            <w:vMerge w:val="restart"/>
            <w:tcBorders>
              <w:top w:val="single" w:sz="4" w:space="0" w:color="auto"/>
              <w:left w:val="single" w:sz="4" w:space="0" w:color="auto"/>
              <w:right w:val="single" w:sz="4" w:space="0" w:color="auto"/>
            </w:tcBorders>
            <w:vAlign w:val="center"/>
          </w:tcPr>
          <w:p w:rsidR="00B649CE" w:rsidRPr="004F3FD6" w:rsidRDefault="004F3FD6" w:rsidP="00E02557">
            <w:pPr>
              <w:pStyle w:val="TableText0"/>
              <w:keepNext w:val="0"/>
              <w:spacing w:before="0" w:after="0"/>
              <w:jc w:val="center"/>
              <w:rPr>
                <w:i/>
                <w:highlight w:val="black"/>
              </w:rPr>
            </w:pPr>
            <w:r>
              <w:rPr>
                <w:i/>
                <w:noProof/>
                <w:color w:val="000000"/>
                <w:szCs w:val="20"/>
                <w:highlight w:val="black"/>
              </w:rPr>
              <w:t>'''''''''''''''''</w:t>
            </w:r>
            <w:r w:rsidR="00E2421D" w:rsidRPr="004F3FD6">
              <w:rPr>
                <w:i/>
                <w:szCs w:val="20"/>
                <w:highlight w:val="black"/>
              </w:rPr>
              <w:t xml:space="preserve">  </w:t>
            </w:r>
          </w:p>
        </w:tc>
      </w:tr>
      <w:tr w:rsidR="00E2421D"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pPr>
            <w:r w:rsidRPr="006E72A7">
              <w:t xml:space="preserve">Complement [LDL &lt;2.6 mmol/L, no diabetes and LDL ≥2.6 mmol/L] </w:t>
            </w:r>
          </w:p>
          <w:p w:rsidR="00E2421D" w:rsidRPr="006E72A7" w:rsidRDefault="00E2421D" w:rsidP="00E2421D">
            <w:pPr>
              <w:pStyle w:val="TableText0"/>
              <w:keepNext w:val="0"/>
              <w:spacing w:before="0" w:after="0"/>
            </w:pPr>
            <w:r w:rsidRPr="006E72A7">
              <w:t>(N = 17,345)</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w:t>
            </w:r>
          </w:p>
        </w:tc>
        <w:tc>
          <w:tcPr>
            <w:tcW w:w="1691" w:type="dxa"/>
            <w:tcBorders>
              <w:top w:val="single" w:sz="4" w:space="0" w:color="auto"/>
              <w:left w:val="single" w:sz="4" w:space="0" w:color="auto"/>
              <w:bottom w:val="single" w:sz="4" w:space="0" w:color="auto"/>
              <w:right w:val="single" w:sz="4" w:space="0" w:color="auto"/>
            </w:tcBorders>
            <w:vAlign w:val="center"/>
          </w:tcPr>
          <w:p w:rsidR="00E2421D" w:rsidRPr="006E72A7" w:rsidRDefault="004F3FD6" w:rsidP="00E2421D">
            <w:pPr>
              <w:pStyle w:val="TableText0"/>
              <w:keepNext w:val="0"/>
              <w:spacing w:before="0" w:after="0"/>
              <w:jc w:val="center"/>
              <w:rPr>
                <w:i/>
              </w:rPr>
            </w:pPr>
            <w:r>
              <w:rPr>
                <w:i/>
                <w:noProof/>
                <w:color w:val="000000"/>
                <w:szCs w:val="20"/>
                <w:highlight w:val="black"/>
              </w:rPr>
              <w:t>''''''''''</w:t>
            </w:r>
            <w:r w:rsidR="00E2421D" w:rsidRPr="006E72A7">
              <w:rPr>
                <w:i/>
                <w:szCs w:val="20"/>
              </w:rPr>
              <w:t xml:space="preserve"> (</w:t>
            </w:r>
            <w:r>
              <w:rPr>
                <w:i/>
                <w:noProof/>
                <w:color w:val="000000"/>
                <w:szCs w:val="20"/>
                <w:highlight w:val="black"/>
              </w:rPr>
              <w:t>'''''''''''</w:t>
            </w:r>
            <w:r w:rsidR="00E2421D" w:rsidRPr="006E72A7">
              <w:rPr>
                <w:i/>
                <w:szCs w:val="20"/>
              </w:rPr>
              <w:t xml:space="preserve">, </w:t>
            </w:r>
            <w:r>
              <w:rPr>
                <w:i/>
                <w:noProof/>
                <w:color w:val="000000"/>
                <w:szCs w:val="20"/>
                <w:highlight w:val="black"/>
              </w:rPr>
              <w:t>'''''''''''</w:t>
            </w:r>
            <w:r w:rsidR="00E2421D" w:rsidRPr="006E72A7">
              <w:rPr>
                <w:i/>
                <w:szCs w:val="20"/>
              </w:rPr>
              <w:t xml:space="preserve">) </w:t>
            </w:r>
          </w:p>
        </w:tc>
        <w:tc>
          <w:tcPr>
            <w:tcW w:w="1408" w:type="dxa"/>
            <w:vMerge/>
            <w:tcBorders>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p>
        </w:tc>
      </w:tr>
      <w:tr w:rsidR="00E2421D" w:rsidRPr="006E72A7" w:rsidTr="00B649CE">
        <w:tc>
          <w:tcPr>
            <w:tcW w:w="9017" w:type="dxa"/>
            <w:gridSpan w:val="5"/>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rPr>
                <w:b/>
              </w:rPr>
            </w:pPr>
            <w:r w:rsidRPr="006E72A7">
              <w:rPr>
                <w:b/>
              </w:rPr>
              <w:t>Time to coronary death, fatal or non-fatal myocardial infarction, or unstable angina requiring hospitalisation [without stroke]</w:t>
            </w:r>
          </w:p>
        </w:tc>
      </w:tr>
      <w:tr w:rsidR="00E2421D"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pPr>
            <w:r w:rsidRPr="006E72A7">
              <w:t>Overall (N = 18,924)</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814 (8.6%)</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941 (9.9%)</w:t>
            </w:r>
          </w:p>
        </w:tc>
        <w:tc>
          <w:tcPr>
            <w:tcW w:w="1691"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0.86 (0.78, 0.94)</w:t>
            </w:r>
          </w:p>
        </w:tc>
        <w:tc>
          <w:tcPr>
            <w:tcW w:w="1408" w:type="dxa"/>
            <w:tcBorders>
              <w:top w:val="single" w:sz="4" w:space="0" w:color="auto"/>
              <w:left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w:t>
            </w:r>
          </w:p>
        </w:tc>
      </w:tr>
      <w:tr w:rsidR="00E2421D" w:rsidRPr="006E72A7" w:rsidTr="00B649CE">
        <w:tc>
          <w:tcPr>
            <w:tcW w:w="3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E2421D" w:rsidP="00E2421D">
            <w:pPr>
              <w:pStyle w:val="TableText0"/>
              <w:keepNext w:val="0"/>
              <w:spacing w:before="0" w:after="0"/>
            </w:pPr>
            <w:r w:rsidRPr="006E72A7">
              <w:t xml:space="preserve">Diabetes and LDL ≥2.6 mmol/L </w:t>
            </w:r>
          </w:p>
          <w:p w:rsidR="00E2421D" w:rsidRPr="006E72A7" w:rsidRDefault="00E2421D" w:rsidP="00E2421D">
            <w:pPr>
              <w:pStyle w:val="TableText0"/>
              <w:spacing w:before="0" w:after="0"/>
            </w:pPr>
            <w:r w:rsidRPr="006E72A7">
              <w:t>(N = 1,579)</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w:t>
            </w:r>
          </w:p>
        </w:tc>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 xml:space="preserve">, </w:t>
            </w:r>
            <w:r>
              <w:rPr>
                <w:noProof/>
                <w:color w:val="000000"/>
                <w:highlight w:val="black"/>
              </w:rPr>
              <w:t>''''''''''''</w:t>
            </w:r>
            <w:r w:rsidR="00E2421D" w:rsidRPr="006E72A7">
              <w:t>)</w:t>
            </w:r>
          </w:p>
        </w:tc>
        <w:tc>
          <w:tcPr>
            <w:tcW w:w="1408" w:type="dxa"/>
            <w:vMerge w:val="restart"/>
            <w:tcBorders>
              <w:top w:val="single" w:sz="4" w:space="0" w:color="auto"/>
              <w:left w:val="single" w:sz="4" w:space="0" w:color="auto"/>
              <w:right w:val="single" w:sz="4" w:space="0" w:color="auto"/>
            </w:tcBorders>
            <w:vAlign w:val="center"/>
          </w:tcPr>
          <w:p w:rsidR="00E2421D" w:rsidRPr="004F3FD6" w:rsidRDefault="004F3FD6" w:rsidP="00E2421D">
            <w:pPr>
              <w:pStyle w:val="TableText0"/>
              <w:keepNext w:val="0"/>
              <w:spacing w:before="0" w:after="0"/>
              <w:jc w:val="center"/>
              <w:rPr>
                <w:i/>
                <w:highlight w:val="black"/>
              </w:rPr>
            </w:pPr>
            <w:r>
              <w:rPr>
                <w:i/>
                <w:noProof/>
                <w:color w:val="000000"/>
                <w:szCs w:val="20"/>
                <w:highlight w:val="black"/>
              </w:rPr>
              <w:t>'''''''''''''''</w:t>
            </w:r>
          </w:p>
        </w:tc>
      </w:tr>
      <w:tr w:rsidR="00E2421D"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pPr>
            <w:r w:rsidRPr="006E72A7">
              <w:t xml:space="preserve">Complement [LDL &lt;2.6 mmol/L, no diabetes and LDL ≥2.6 mmol/L] </w:t>
            </w:r>
          </w:p>
          <w:p w:rsidR="00E2421D" w:rsidRPr="006E72A7" w:rsidRDefault="00E2421D" w:rsidP="00E2421D">
            <w:pPr>
              <w:pStyle w:val="TableText0"/>
              <w:spacing w:before="0" w:after="0"/>
            </w:pPr>
            <w:r w:rsidRPr="006E72A7">
              <w:t>(N = 17,345)</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4F3FD6" w:rsidP="00E2421D">
            <w:pPr>
              <w:pStyle w:val="TableText0"/>
              <w:keepNext w:val="0"/>
              <w:spacing w:before="0" w:after="0"/>
              <w:jc w:val="center"/>
              <w:rPr>
                <w:i/>
              </w:rPr>
            </w:pPr>
            <w:r>
              <w:rPr>
                <w:i/>
                <w:noProof/>
                <w:color w:val="000000"/>
                <w:highlight w:val="black"/>
              </w:rPr>
              <w:t>'''''''''</w:t>
            </w:r>
            <w:r w:rsidR="00E2421D" w:rsidRPr="006E72A7">
              <w:rPr>
                <w:i/>
              </w:rPr>
              <w:t xml:space="preserve"> (</w:t>
            </w:r>
            <w:r>
              <w:rPr>
                <w:i/>
                <w:noProof/>
                <w:color w:val="000000"/>
                <w:highlight w:val="black"/>
              </w:rPr>
              <w:t>''''''''</w:t>
            </w:r>
            <w:r w:rsidR="00E2421D" w:rsidRPr="006E72A7">
              <w:rPr>
                <w:i/>
              </w:rPr>
              <w:t>%)</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4F3FD6" w:rsidP="00E2421D">
            <w:pPr>
              <w:pStyle w:val="TableText0"/>
              <w:keepNext w:val="0"/>
              <w:spacing w:before="0" w:after="0"/>
              <w:jc w:val="center"/>
              <w:rPr>
                <w:i/>
              </w:rPr>
            </w:pPr>
            <w:r>
              <w:rPr>
                <w:i/>
                <w:noProof/>
                <w:color w:val="000000"/>
                <w:highlight w:val="black"/>
              </w:rPr>
              <w:t>'''''''''</w:t>
            </w:r>
            <w:r w:rsidR="00E2421D" w:rsidRPr="006E72A7">
              <w:rPr>
                <w:i/>
              </w:rPr>
              <w:t xml:space="preserve"> (</w:t>
            </w:r>
            <w:r>
              <w:rPr>
                <w:i/>
                <w:noProof/>
                <w:color w:val="000000"/>
                <w:highlight w:val="black"/>
              </w:rPr>
              <w:t>''''''''</w:t>
            </w:r>
            <w:r w:rsidR="00E2421D" w:rsidRPr="006E72A7">
              <w:rPr>
                <w:i/>
              </w:rPr>
              <w:t>%)</w:t>
            </w:r>
          </w:p>
        </w:tc>
        <w:tc>
          <w:tcPr>
            <w:tcW w:w="1691" w:type="dxa"/>
            <w:tcBorders>
              <w:top w:val="single" w:sz="4" w:space="0" w:color="auto"/>
              <w:left w:val="single" w:sz="4" w:space="0" w:color="auto"/>
              <w:bottom w:val="single" w:sz="4" w:space="0" w:color="auto"/>
              <w:right w:val="single" w:sz="4" w:space="0" w:color="auto"/>
            </w:tcBorders>
            <w:vAlign w:val="center"/>
          </w:tcPr>
          <w:p w:rsidR="00E2421D" w:rsidRPr="006E72A7" w:rsidRDefault="004F3FD6" w:rsidP="00E2421D">
            <w:pPr>
              <w:pStyle w:val="TableText0"/>
              <w:keepNext w:val="0"/>
              <w:spacing w:before="0" w:after="0"/>
              <w:jc w:val="center"/>
              <w:rPr>
                <w:i/>
              </w:rPr>
            </w:pPr>
            <w:r>
              <w:rPr>
                <w:i/>
                <w:noProof/>
                <w:color w:val="000000"/>
                <w:szCs w:val="20"/>
                <w:highlight w:val="black"/>
              </w:rPr>
              <w:t>''''''''''''</w:t>
            </w:r>
            <w:r w:rsidR="00E2421D" w:rsidRPr="006E72A7">
              <w:rPr>
                <w:i/>
                <w:szCs w:val="20"/>
              </w:rPr>
              <w:t xml:space="preserve"> (</w:t>
            </w:r>
            <w:r>
              <w:rPr>
                <w:i/>
                <w:noProof/>
                <w:color w:val="000000"/>
                <w:szCs w:val="20"/>
                <w:highlight w:val="black"/>
              </w:rPr>
              <w:t>''''''''''</w:t>
            </w:r>
            <w:r w:rsidR="00E2421D" w:rsidRPr="006E72A7">
              <w:rPr>
                <w:i/>
                <w:szCs w:val="20"/>
              </w:rPr>
              <w:t xml:space="preserve">, </w:t>
            </w:r>
            <w:r>
              <w:rPr>
                <w:i/>
                <w:noProof/>
                <w:color w:val="000000"/>
                <w:szCs w:val="20"/>
                <w:highlight w:val="black"/>
              </w:rPr>
              <w:t>''''''''''</w:t>
            </w:r>
            <w:r w:rsidR="00E2421D" w:rsidRPr="006E72A7">
              <w:rPr>
                <w:i/>
                <w:szCs w:val="20"/>
              </w:rPr>
              <w:t xml:space="preserve">) </w:t>
            </w:r>
          </w:p>
        </w:tc>
        <w:tc>
          <w:tcPr>
            <w:tcW w:w="1408" w:type="dxa"/>
            <w:vMerge/>
            <w:tcBorders>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p>
        </w:tc>
      </w:tr>
      <w:tr w:rsidR="00E2421D" w:rsidRPr="006E72A7" w:rsidTr="00B649CE">
        <w:tc>
          <w:tcPr>
            <w:tcW w:w="9017" w:type="dxa"/>
            <w:gridSpan w:val="5"/>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rPr>
                <w:b/>
              </w:rPr>
            </w:pPr>
            <w:r w:rsidRPr="006E72A7">
              <w:rPr>
                <w:b/>
              </w:rPr>
              <w:t>Time to coronary death</w:t>
            </w:r>
          </w:p>
        </w:tc>
      </w:tr>
      <w:tr w:rsidR="00E2421D"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pPr>
            <w:r w:rsidRPr="006E72A7">
              <w:t>Overall (N = 18,924)</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205 (2.2%)</w:t>
            </w:r>
          </w:p>
        </w:tc>
        <w:tc>
          <w:tcPr>
            <w:tcW w:w="1436"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222 (2.3%)</w:t>
            </w:r>
          </w:p>
        </w:tc>
        <w:tc>
          <w:tcPr>
            <w:tcW w:w="1691" w:type="dxa"/>
            <w:tcBorders>
              <w:top w:val="single" w:sz="4" w:space="0" w:color="auto"/>
              <w:left w:val="single" w:sz="4" w:space="0" w:color="auto"/>
              <w:bottom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0.92 (0.76, 1.11)</w:t>
            </w:r>
          </w:p>
        </w:tc>
        <w:tc>
          <w:tcPr>
            <w:tcW w:w="1408" w:type="dxa"/>
            <w:tcBorders>
              <w:top w:val="single" w:sz="4" w:space="0" w:color="auto"/>
              <w:left w:val="single" w:sz="4" w:space="0" w:color="auto"/>
              <w:right w:val="single" w:sz="4" w:space="0" w:color="auto"/>
            </w:tcBorders>
            <w:vAlign w:val="center"/>
          </w:tcPr>
          <w:p w:rsidR="00E2421D" w:rsidRPr="006E72A7" w:rsidRDefault="00E2421D" w:rsidP="00E2421D">
            <w:pPr>
              <w:pStyle w:val="TableText0"/>
              <w:keepNext w:val="0"/>
              <w:spacing w:before="0" w:after="0"/>
              <w:jc w:val="center"/>
            </w:pPr>
            <w:r w:rsidRPr="006E72A7">
              <w:t>-</w:t>
            </w:r>
          </w:p>
        </w:tc>
      </w:tr>
      <w:tr w:rsidR="00E2421D" w:rsidRPr="006E72A7" w:rsidTr="00B649CE">
        <w:tc>
          <w:tcPr>
            <w:tcW w:w="3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E2421D" w:rsidP="00E2421D">
            <w:pPr>
              <w:pStyle w:val="TableText0"/>
              <w:keepNext w:val="0"/>
              <w:spacing w:before="0" w:after="0"/>
            </w:pPr>
            <w:r w:rsidRPr="006E72A7">
              <w:t xml:space="preserve">Diabetes and LDL ≥2.6 mmol/L </w:t>
            </w:r>
          </w:p>
          <w:p w:rsidR="00E2421D" w:rsidRPr="006E72A7" w:rsidRDefault="00E2421D" w:rsidP="00E2421D">
            <w:pPr>
              <w:pStyle w:val="TableText0"/>
              <w:spacing w:before="0" w:after="0"/>
            </w:pPr>
            <w:r w:rsidRPr="006E72A7">
              <w:t>(N = 1,579)</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w:t>
            </w:r>
          </w:p>
        </w:tc>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421D" w:rsidRPr="006E72A7" w:rsidRDefault="004F3FD6" w:rsidP="00E2421D">
            <w:pPr>
              <w:pStyle w:val="TableText0"/>
              <w:keepNext w:val="0"/>
              <w:spacing w:before="0" w:after="0"/>
              <w:jc w:val="center"/>
            </w:pPr>
            <w:r>
              <w:rPr>
                <w:noProof/>
                <w:color w:val="000000"/>
                <w:highlight w:val="black"/>
              </w:rPr>
              <w:t>''''''''''</w:t>
            </w:r>
            <w:r w:rsidR="00E2421D" w:rsidRPr="006E72A7">
              <w:t xml:space="preserve"> (</w:t>
            </w:r>
            <w:r>
              <w:rPr>
                <w:noProof/>
                <w:color w:val="000000"/>
                <w:highlight w:val="black"/>
              </w:rPr>
              <w:t>'''''''''''</w:t>
            </w:r>
            <w:r w:rsidR="00E2421D" w:rsidRPr="006E72A7">
              <w:t xml:space="preserve">, </w:t>
            </w:r>
            <w:r>
              <w:rPr>
                <w:noProof/>
                <w:color w:val="000000"/>
                <w:highlight w:val="black"/>
              </w:rPr>
              <w:t>''''''''''''</w:t>
            </w:r>
            <w:r w:rsidR="00E2421D" w:rsidRPr="006E72A7">
              <w:t>)</w:t>
            </w:r>
          </w:p>
        </w:tc>
        <w:tc>
          <w:tcPr>
            <w:tcW w:w="1408" w:type="dxa"/>
            <w:vMerge w:val="restart"/>
            <w:tcBorders>
              <w:left w:val="single" w:sz="4" w:space="0" w:color="auto"/>
              <w:right w:val="single" w:sz="4" w:space="0" w:color="auto"/>
            </w:tcBorders>
            <w:vAlign w:val="center"/>
          </w:tcPr>
          <w:p w:rsidR="00E2421D" w:rsidRPr="004F3FD6" w:rsidRDefault="004F3FD6" w:rsidP="00E2421D">
            <w:pPr>
              <w:pStyle w:val="TableText0"/>
              <w:keepNext w:val="0"/>
              <w:spacing w:before="0" w:after="0"/>
              <w:jc w:val="center"/>
              <w:rPr>
                <w:i/>
                <w:highlight w:val="black"/>
              </w:rPr>
            </w:pPr>
            <w:r>
              <w:rPr>
                <w:i/>
                <w:noProof/>
                <w:color w:val="000000"/>
                <w:szCs w:val="20"/>
                <w:highlight w:val="black"/>
              </w:rPr>
              <w:t>''''''''''''''''</w:t>
            </w:r>
          </w:p>
        </w:tc>
      </w:tr>
      <w:tr w:rsidR="00735BDE" w:rsidRPr="006E72A7" w:rsidTr="00B649CE">
        <w:tc>
          <w:tcPr>
            <w:tcW w:w="3046" w:type="dxa"/>
            <w:tcBorders>
              <w:top w:val="single" w:sz="4" w:space="0" w:color="auto"/>
              <w:left w:val="single" w:sz="4" w:space="0" w:color="auto"/>
              <w:bottom w:val="single" w:sz="4" w:space="0" w:color="auto"/>
              <w:right w:val="single" w:sz="4" w:space="0" w:color="auto"/>
            </w:tcBorders>
            <w:vAlign w:val="center"/>
          </w:tcPr>
          <w:p w:rsidR="00735BDE" w:rsidRPr="006E72A7" w:rsidRDefault="00735BDE" w:rsidP="00735BDE">
            <w:pPr>
              <w:pStyle w:val="TableText0"/>
              <w:keepNext w:val="0"/>
              <w:spacing w:before="0" w:after="0"/>
            </w:pPr>
            <w:r w:rsidRPr="006E72A7">
              <w:t xml:space="preserve">Complement [LDL &lt;2.6 mmol/L, no diabetes and LDL ≥2.6 mmol/L] </w:t>
            </w:r>
          </w:p>
          <w:p w:rsidR="00735BDE" w:rsidRPr="006E72A7" w:rsidRDefault="00735BDE" w:rsidP="00735BDE">
            <w:pPr>
              <w:pStyle w:val="TableText0"/>
              <w:spacing w:before="0" w:after="0"/>
            </w:pPr>
            <w:r w:rsidRPr="006E72A7">
              <w:t>(N = 17,345)</w:t>
            </w:r>
          </w:p>
        </w:tc>
        <w:tc>
          <w:tcPr>
            <w:tcW w:w="1436" w:type="dxa"/>
            <w:tcBorders>
              <w:top w:val="single" w:sz="4" w:space="0" w:color="auto"/>
              <w:left w:val="single" w:sz="4" w:space="0" w:color="auto"/>
              <w:bottom w:val="single" w:sz="4" w:space="0" w:color="auto"/>
              <w:right w:val="single" w:sz="4" w:space="0" w:color="auto"/>
            </w:tcBorders>
            <w:vAlign w:val="center"/>
          </w:tcPr>
          <w:p w:rsidR="00735BDE" w:rsidRPr="006E72A7" w:rsidRDefault="004F3FD6" w:rsidP="00735BDE">
            <w:pPr>
              <w:pStyle w:val="TableText0"/>
              <w:keepNext w:val="0"/>
              <w:spacing w:before="0" w:after="0"/>
              <w:jc w:val="center"/>
              <w:rPr>
                <w:i/>
              </w:rPr>
            </w:pPr>
            <w:r>
              <w:rPr>
                <w:i/>
                <w:noProof/>
                <w:color w:val="000000"/>
                <w:highlight w:val="black"/>
              </w:rPr>
              <w:t>'''''''''</w:t>
            </w:r>
            <w:r w:rsidR="00735BDE" w:rsidRPr="006E72A7">
              <w:rPr>
                <w:i/>
              </w:rPr>
              <w:t xml:space="preserve"> (</w:t>
            </w:r>
            <w:r>
              <w:rPr>
                <w:i/>
                <w:noProof/>
                <w:color w:val="000000"/>
                <w:highlight w:val="black"/>
              </w:rPr>
              <w:t>''''''''</w:t>
            </w:r>
            <w:r w:rsidR="00735BDE" w:rsidRPr="006E72A7">
              <w:rPr>
                <w:i/>
              </w:rPr>
              <w:t>%)</w:t>
            </w:r>
          </w:p>
        </w:tc>
        <w:tc>
          <w:tcPr>
            <w:tcW w:w="1436" w:type="dxa"/>
            <w:tcBorders>
              <w:top w:val="single" w:sz="4" w:space="0" w:color="auto"/>
              <w:left w:val="single" w:sz="4" w:space="0" w:color="auto"/>
              <w:bottom w:val="single" w:sz="4" w:space="0" w:color="auto"/>
              <w:right w:val="single" w:sz="4" w:space="0" w:color="auto"/>
            </w:tcBorders>
            <w:vAlign w:val="center"/>
          </w:tcPr>
          <w:p w:rsidR="00735BDE" w:rsidRPr="006E72A7" w:rsidRDefault="004F3FD6" w:rsidP="00735BDE">
            <w:pPr>
              <w:pStyle w:val="TableText0"/>
              <w:keepNext w:val="0"/>
              <w:spacing w:before="0" w:after="0"/>
              <w:jc w:val="center"/>
              <w:rPr>
                <w:i/>
              </w:rPr>
            </w:pPr>
            <w:r>
              <w:rPr>
                <w:i/>
                <w:noProof/>
                <w:color w:val="000000"/>
                <w:highlight w:val="black"/>
              </w:rPr>
              <w:t>''''''''''</w:t>
            </w:r>
            <w:r w:rsidR="00735BDE" w:rsidRPr="006E72A7">
              <w:rPr>
                <w:i/>
              </w:rPr>
              <w:t xml:space="preserve"> (</w:t>
            </w:r>
            <w:r>
              <w:rPr>
                <w:i/>
                <w:noProof/>
                <w:color w:val="000000"/>
                <w:highlight w:val="black"/>
              </w:rPr>
              <w:t>'''''''''</w:t>
            </w:r>
            <w:r w:rsidR="00735BDE" w:rsidRPr="006E72A7">
              <w:rPr>
                <w:i/>
              </w:rPr>
              <w:t>%)</w:t>
            </w:r>
          </w:p>
        </w:tc>
        <w:tc>
          <w:tcPr>
            <w:tcW w:w="1691" w:type="dxa"/>
            <w:tcBorders>
              <w:top w:val="single" w:sz="4" w:space="0" w:color="auto"/>
              <w:left w:val="single" w:sz="4" w:space="0" w:color="auto"/>
              <w:bottom w:val="single" w:sz="4" w:space="0" w:color="auto"/>
              <w:right w:val="single" w:sz="4" w:space="0" w:color="auto"/>
            </w:tcBorders>
            <w:vAlign w:val="center"/>
          </w:tcPr>
          <w:p w:rsidR="00735BDE" w:rsidRPr="006E72A7" w:rsidRDefault="004F3FD6" w:rsidP="00735BDE">
            <w:pPr>
              <w:pStyle w:val="TableText0"/>
              <w:keepNext w:val="0"/>
              <w:spacing w:before="0" w:after="0"/>
              <w:jc w:val="center"/>
              <w:rPr>
                <w:i/>
              </w:rPr>
            </w:pPr>
            <w:r>
              <w:rPr>
                <w:i/>
                <w:noProof/>
                <w:color w:val="000000"/>
                <w:szCs w:val="20"/>
                <w:highlight w:val="black"/>
              </w:rPr>
              <w:t>''''''''''</w:t>
            </w:r>
            <w:r w:rsidR="00735BDE" w:rsidRPr="006E72A7">
              <w:rPr>
                <w:i/>
                <w:szCs w:val="20"/>
              </w:rPr>
              <w:t xml:space="preserve"> (</w:t>
            </w:r>
            <w:r>
              <w:rPr>
                <w:i/>
                <w:noProof/>
                <w:color w:val="000000"/>
                <w:szCs w:val="20"/>
                <w:highlight w:val="black"/>
              </w:rPr>
              <w:t>''''''''''</w:t>
            </w:r>
            <w:r w:rsidR="00735BDE" w:rsidRPr="006E72A7">
              <w:rPr>
                <w:i/>
                <w:szCs w:val="20"/>
              </w:rPr>
              <w:t xml:space="preserve">, </w:t>
            </w:r>
            <w:r>
              <w:rPr>
                <w:i/>
                <w:noProof/>
                <w:color w:val="000000"/>
                <w:szCs w:val="20"/>
                <w:highlight w:val="black"/>
              </w:rPr>
              <w:t>''''''''''</w:t>
            </w:r>
            <w:r w:rsidR="00735BDE" w:rsidRPr="006E72A7">
              <w:rPr>
                <w:i/>
                <w:szCs w:val="20"/>
              </w:rPr>
              <w:t xml:space="preserve">) </w:t>
            </w:r>
          </w:p>
        </w:tc>
        <w:tc>
          <w:tcPr>
            <w:tcW w:w="1408" w:type="dxa"/>
            <w:vMerge/>
            <w:tcBorders>
              <w:left w:val="single" w:sz="4" w:space="0" w:color="auto"/>
              <w:bottom w:val="single" w:sz="4" w:space="0" w:color="auto"/>
              <w:right w:val="single" w:sz="4" w:space="0" w:color="auto"/>
            </w:tcBorders>
            <w:vAlign w:val="center"/>
          </w:tcPr>
          <w:p w:rsidR="00735BDE" w:rsidRPr="006E72A7" w:rsidRDefault="00735BDE" w:rsidP="00735BDE">
            <w:pPr>
              <w:pStyle w:val="TableText0"/>
              <w:keepNext w:val="0"/>
              <w:spacing w:before="0" w:after="0"/>
              <w:jc w:val="center"/>
            </w:pPr>
          </w:p>
        </w:tc>
      </w:tr>
    </w:tbl>
    <w:p w:rsidR="00B649CE" w:rsidRPr="006E72A7" w:rsidRDefault="00B649CE" w:rsidP="00E02557">
      <w:pPr>
        <w:pStyle w:val="TableFooter"/>
        <w:widowControl/>
      </w:pPr>
      <w:r w:rsidRPr="006E72A7">
        <w:t>Source: Table 4.3.1.1 to 4.3.4.3, pp108-124 of ODYSSEY additional subgroup analyses_diabetes + LDL 2.6, Attachment 7 of the resubmission</w:t>
      </w:r>
    </w:p>
    <w:p w:rsidR="00B649CE" w:rsidRPr="006E72A7" w:rsidRDefault="00B649CE" w:rsidP="00E02557">
      <w:pPr>
        <w:pStyle w:val="TableFooter"/>
        <w:widowControl/>
      </w:pPr>
      <w:r w:rsidRPr="006E72A7">
        <w:t>Abbreviations: CI, confidence interval; NR, not reported</w:t>
      </w:r>
    </w:p>
    <w:p w:rsidR="00B649CE" w:rsidRPr="006E72A7" w:rsidRDefault="00B649CE" w:rsidP="00E02557">
      <w:pPr>
        <w:pStyle w:val="TableFooter"/>
        <w:widowControl/>
      </w:pPr>
      <w:r w:rsidRPr="006E72A7">
        <w:t>Results highlighted in grey were used in the economic model</w:t>
      </w:r>
    </w:p>
    <w:p w:rsidR="00735BDE" w:rsidRPr="006E72A7" w:rsidRDefault="00735BDE" w:rsidP="00E02557">
      <w:pPr>
        <w:pStyle w:val="TableFooter"/>
        <w:widowControl/>
        <w:rPr>
          <w:i/>
        </w:rPr>
      </w:pPr>
      <w:r w:rsidRPr="006E72A7">
        <w:rPr>
          <w:i/>
        </w:rPr>
        <w:t xml:space="preserve">Italics: provided in the PSCR, </w:t>
      </w:r>
      <w:r w:rsidR="00B642FB" w:rsidRPr="006E72A7">
        <w:rPr>
          <w:i/>
        </w:rPr>
        <w:t>Table</w:t>
      </w:r>
      <w:r w:rsidRPr="006E72A7">
        <w:rPr>
          <w:i/>
        </w:rPr>
        <w:t xml:space="preserve"> 1, p3.</w:t>
      </w:r>
    </w:p>
    <w:p w:rsidR="004B5631" w:rsidRPr="006E72A7" w:rsidRDefault="00F40D48" w:rsidP="00DD046C">
      <w:pPr>
        <w:pStyle w:val="ListParagraph"/>
        <w:widowControl/>
        <w:numPr>
          <w:ilvl w:val="1"/>
          <w:numId w:val="1"/>
        </w:numPr>
        <w:spacing w:before="120" w:after="120"/>
      </w:pPr>
      <w:r w:rsidRPr="006E72A7">
        <w:rPr>
          <w:rStyle w:val="CommentReference"/>
          <w:rFonts w:ascii="Calibri" w:hAnsi="Calibri"/>
          <w:b w:val="0"/>
          <w:sz w:val="24"/>
          <w:szCs w:val="22"/>
        </w:rPr>
        <w:t xml:space="preserve">Subgroup analyses in patients with </w:t>
      </w:r>
      <w:r w:rsidR="00677D6D" w:rsidRPr="006E72A7">
        <w:t>recent</w:t>
      </w:r>
      <w:r w:rsidR="00677D6D" w:rsidRPr="006E72A7">
        <w:rPr>
          <w:rStyle w:val="CommentReference"/>
          <w:rFonts w:ascii="Calibri" w:hAnsi="Calibri"/>
          <w:b w:val="0"/>
          <w:sz w:val="24"/>
          <w:szCs w:val="22"/>
        </w:rPr>
        <w:t xml:space="preserve"> </w:t>
      </w:r>
      <w:r w:rsidR="009B7552" w:rsidRPr="006E72A7">
        <w:rPr>
          <w:rStyle w:val="CommentReference"/>
          <w:rFonts w:ascii="Calibri" w:hAnsi="Calibri"/>
          <w:b w:val="0"/>
          <w:sz w:val="24"/>
          <w:szCs w:val="22"/>
        </w:rPr>
        <w:t xml:space="preserve">ACS, </w:t>
      </w:r>
      <w:r w:rsidRPr="006E72A7">
        <w:rPr>
          <w:rStyle w:val="CommentReference"/>
          <w:rFonts w:ascii="Calibri" w:hAnsi="Calibri"/>
          <w:b w:val="0"/>
          <w:sz w:val="24"/>
          <w:szCs w:val="22"/>
        </w:rPr>
        <w:t>diabetes and LDL ≥2.6 mmol/L indicated that treatment with alirocumab was associated with decreased risks of cardiovascular events compared to placebo based on key composite outcomes. The results suggest greater</w:t>
      </w:r>
      <w:r w:rsidR="00B918D2" w:rsidRPr="006E72A7">
        <w:rPr>
          <w:rStyle w:val="CommentReference"/>
          <w:rFonts w:ascii="Calibri" w:hAnsi="Calibri"/>
          <w:b w:val="0"/>
          <w:sz w:val="24"/>
          <w:szCs w:val="22"/>
        </w:rPr>
        <w:t xml:space="preserve"> relative</w:t>
      </w:r>
      <w:r w:rsidRPr="006E72A7">
        <w:rPr>
          <w:rStyle w:val="CommentReference"/>
          <w:rFonts w:ascii="Calibri" w:hAnsi="Calibri"/>
          <w:b w:val="0"/>
          <w:sz w:val="24"/>
          <w:szCs w:val="22"/>
        </w:rPr>
        <w:t xml:space="preserve"> treatment effect with alirocumab in this subgroup compared to the whole trial population. These results should be interpreted with caution due </w:t>
      </w:r>
      <w:r w:rsidRPr="00270DC2">
        <w:rPr>
          <w:rStyle w:val="CommentReference"/>
          <w:rFonts w:ascii="Calibri" w:hAnsi="Calibri"/>
          <w:b w:val="0"/>
          <w:sz w:val="24"/>
          <w:szCs w:val="22"/>
        </w:rPr>
        <w:t>to</w:t>
      </w:r>
      <w:r w:rsidR="00E8295B" w:rsidRPr="00270DC2">
        <w:rPr>
          <w:rStyle w:val="CommentReference"/>
          <w:rFonts w:ascii="Calibri" w:hAnsi="Calibri"/>
          <w:b w:val="0"/>
          <w:sz w:val="24"/>
          <w:szCs w:val="22"/>
        </w:rPr>
        <w:t xml:space="preserve"> this being an underpowered trial sub-group analysis, no significant heterogeneity identified between the subgroup and the overall group (overlapping confidence intervals),</w:t>
      </w:r>
      <w:r w:rsidRPr="00270DC2">
        <w:rPr>
          <w:rStyle w:val="CommentReference"/>
          <w:rFonts w:ascii="Calibri" w:hAnsi="Calibri"/>
          <w:b w:val="0"/>
          <w:sz w:val="24"/>
          <w:szCs w:val="22"/>
        </w:rPr>
        <w:t xml:space="preserve"> </w:t>
      </w:r>
      <w:r w:rsidR="00572D1C" w:rsidRPr="00270DC2">
        <w:rPr>
          <w:rStyle w:val="CommentReference"/>
          <w:rFonts w:ascii="Calibri" w:hAnsi="Calibri"/>
          <w:b w:val="0"/>
          <w:sz w:val="24"/>
          <w:szCs w:val="22"/>
        </w:rPr>
        <w:t>and</w:t>
      </w:r>
      <w:r w:rsidR="00572D1C">
        <w:rPr>
          <w:rStyle w:val="CommentReference"/>
          <w:rFonts w:ascii="Calibri" w:hAnsi="Calibri"/>
          <w:b w:val="0"/>
          <w:sz w:val="24"/>
          <w:szCs w:val="22"/>
        </w:rPr>
        <w:t xml:space="preserve"> </w:t>
      </w:r>
      <w:r w:rsidRPr="006E72A7">
        <w:rPr>
          <w:rStyle w:val="CommentReference"/>
          <w:rFonts w:ascii="Calibri" w:hAnsi="Calibri"/>
          <w:b w:val="0"/>
          <w:sz w:val="24"/>
          <w:szCs w:val="22"/>
        </w:rPr>
        <w:t xml:space="preserve">potential confounding, and small patient numbers (and events) relative to its complement. </w:t>
      </w:r>
      <w:r w:rsidR="004004D0" w:rsidRPr="006E72A7">
        <w:rPr>
          <w:rStyle w:val="CommentReference"/>
          <w:rFonts w:ascii="Calibri" w:hAnsi="Calibri"/>
          <w:b w:val="0"/>
          <w:sz w:val="24"/>
          <w:szCs w:val="22"/>
        </w:rPr>
        <w:t>The evaluation considered that a</w:t>
      </w:r>
      <w:r w:rsidRPr="006E72A7">
        <w:rPr>
          <w:rStyle w:val="CommentReference"/>
          <w:rFonts w:ascii="Calibri" w:hAnsi="Calibri"/>
          <w:b w:val="0"/>
          <w:sz w:val="24"/>
          <w:szCs w:val="22"/>
        </w:rPr>
        <w:t>lthough the absolute risk reduction observed in this subgroup is likely to be greater than the whole trial population, it is unlikely that the combination of diabetes and elevated LDL levels is a treatment effect modifier.</w:t>
      </w:r>
      <w:r w:rsidR="00735BDE" w:rsidRPr="006E72A7">
        <w:rPr>
          <w:rStyle w:val="CommentReference"/>
          <w:rFonts w:ascii="Calibri" w:hAnsi="Calibri"/>
          <w:b w:val="0"/>
          <w:sz w:val="24"/>
          <w:szCs w:val="22"/>
        </w:rPr>
        <w:t xml:space="preserve"> </w:t>
      </w:r>
      <w:r w:rsidR="004004D0" w:rsidRPr="006E72A7">
        <w:t xml:space="preserve">The PSCR provided an analysis to support a higher relative treatment effect with alirocumab in this modelled non-FH population, but the </w:t>
      </w:r>
      <w:r w:rsidR="004004D0" w:rsidRPr="006E72A7">
        <w:lastRenderedPageBreak/>
        <w:t xml:space="preserve">ESC noted the </w:t>
      </w:r>
      <w:r w:rsidR="00515BBF" w:rsidRPr="006E72A7">
        <w:t xml:space="preserve">hazard ratios and confidence </w:t>
      </w:r>
      <w:r w:rsidR="00B642FB" w:rsidRPr="006E72A7">
        <w:t>intervals</w:t>
      </w:r>
      <w:r w:rsidR="004004D0" w:rsidRPr="006E72A7">
        <w:t xml:space="preserve"> showed overlap with the ITT population indicating that there is still some uncertainty. T</w:t>
      </w:r>
      <w:r w:rsidR="00735BDE" w:rsidRPr="006E72A7">
        <w:rPr>
          <w:rStyle w:val="CommentReference"/>
          <w:rFonts w:ascii="Calibri" w:hAnsi="Calibri"/>
          <w:b w:val="0"/>
          <w:sz w:val="24"/>
          <w:szCs w:val="22"/>
        </w:rPr>
        <w:t xml:space="preserve">he PSCR acknowledged that post-hoc analyses introduce a level of bias, but </w:t>
      </w:r>
      <w:r w:rsidR="00D900E0" w:rsidRPr="006E72A7">
        <w:rPr>
          <w:rStyle w:val="CommentReference"/>
          <w:rFonts w:ascii="Calibri" w:hAnsi="Calibri"/>
          <w:b w:val="0"/>
          <w:sz w:val="24"/>
          <w:szCs w:val="22"/>
        </w:rPr>
        <w:t xml:space="preserve">noted the </w:t>
      </w:r>
      <w:r w:rsidR="00735BDE" w:rsidRPr="006E72A7">
        <w:rPr>
          <w:rStyle w:val="CommentReference"/>
          <w:rFonts w:ascii="Calibri" w:hAnsi="Calibri"/>
          <w:b w:val="0"/>
          <w:sz w:val="24"/>
          <w:szCs w:val="22"/>
        </w:rPr>
        <w:t xml:space="preserve">previous PBAC feedback that reimbursement for a non-FH population should be confined to a small, high risk patient group, </w:t>
      </w:r>
      <w:r w:rsidR="00D900E0" w:rsidRPr="006E72A7">
        <w:rPr>
          <w:rStyle w:val="CommentReference"/>
          <w:rFonts w:ascii="Calibri" w:hAnsi="Calibri"/>
          <w:b w:val="0"/>
          <w:sz w:val="24"/>
          <w:szCs w:val="22"/>
        </w:rPr>
        <w:t xml:space="preserve">and that </w:t>
      </w:r>
      <w:r w:rsidR="00735BDE" w:rsidRPr="006E72A7">
        <w:rPr>
          <w:rStyle w:val="CommentReference"/>
          <w:rFonts w:ascii="Calibri" w:hAnsi="Calibri"/>
          <w:b w:val="0"/>
          <w:sz w:val="24"/>
          <w:szCs w:val="22"/>
        </w:rPr>
        <w:t>these analyses were done to demonstrate where the greatest cost-effectiveness of alirocumab could be achieved.</w:t>
      </w:r>
      <w:r w:rsidR="008C3E7A" w:rsidRPr="006E72A7">
        <w:rPr>
          <w:rStyle w:val="CommentReference"/>
          <w:rFonts w:ascii="Calibri" w:hAnsi="Calibri"/>
          <w:b w:val="0"/>
          <w:sz w:val="24"/>
          <w:szCs w:val="22"/>
        </w:rPr>
        <w:t xml:space="preserve"> The ESC </w:t>
      </w:r>
      <w:r w:rsidR="00B30A81" w:rsidRPr="006E72A7">
        <w:rPr>
          <w:rStyle w:val="CommentReference"/>
          <w:rFonts w:ascii="Calibri" w:hAnsi="Calibri"/>
          <w:b w:val="0"/>
          <w:sz w:val="24"/>
          <w:szCs w:val="22"/>
        </w:rPr>
        <w:t xml:space="preserve">agreed that post-hoc analyses were necessary to define an appropriate population but </w:t>
      </w:r>
      <w:r w:rsidR="004B5631" w:rsidRPr="006E72A7">
        <w:rPr>
          <w:rStyle w:val="CommentReference"/>
          <w:rFonts w:ascii="Calibri" w:hAnsi="Calibri"/>
          <w:b w:val="0"/>
          <w:sz w:val="24"/>
          <w:szCs w:val="22"/>
        </w:rPr>
        <w:t xml:space="preserve">considered it remained uncertain whether </w:t>
      </w:r>
      <w:r w:rsidR="004B5631" w:rsidRPr="006E72A7">
        <w:t xml:space="preserve">the </w:t>
      </w:r>
      <w:r w:rsidR="00B30A81" w:rsidRPr="006E72A7">
        <w:t xml:space="preserve">particular </w:t>
      </w:r>
      <w:r w:rsidR="004B5631" w:rsidRPr="006E72A7">
        <w:t xml:space="preserve">subgroup identified (prior ACS, diabetes with LDL &gt;2.59mmol/L) represents </w:t>
      </w:r>
      <w:r w:rsidR="00B30A81" w:rsidRPr="006E72A7">
        <w:t xml:space="preserve">the most </w:t>
      </w:r>
      <w:r w:rsidR="004B5631" w:rsidRPr="006E72A7">
        <w:t>appropriate higher risk group or whether other higher risk categories would better define the optimal population for intervention with alirocumab.</w:t>
      </w:r>
    </w:p>
    <w:p w:rsidR="00F40D48" w:rsidRPr="006E72A7" w:rsidRDefault="00F40D48"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There was no apparent difference in coronary death between treatment arms. This was consistent with results from the whole trial population</w:t>
      </w:r>
      <w:r w:rsidR="00540F31" w:rsidRPr="006E72A7">
        <w:rPr>
          <w:rStyle w:val="CommentReference"/>
          <w:rFonts w:ascii="Calibri" w:hAnsi="Calibri"/>
          <w:b w:val="0"/>
          <w:sz w:val="24"/>
          <w:szCs w:val="22"/>
        </w:rPr>
        <w:t>, and with the FOURIER trial for evolocumab.</w:t>
      </w:r>
    </w:p>
    <w:p w:rsidR="00D93BB9" w:rsidRPr="006E72A7" w:rsidRDefault="00D93BB9"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PBAC previously considered results from high risk subgroups identified in Sabatine (2018) among patients with more recent myocardial infarction, multiple prior myocardial infarctions or residual multi-vessel coronary artery disease from the FOURIER trial (para 6.11, evolocumab PSD July 2018). These subgroups were at a higher risk of cardiovascular events and achieved greater cardiovascular risk reductions with evolocumab treatment compared to their complement subgroups.</w:t>
      </w:r>
    </w:p>
    <w:p w:rsidR="008D4953" w:rsidRPr="006E72A7" w:rsidRDefault="008D4953"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overal</w:t>
      </w:r>
      <w:r w:rsidR="00506C7D" w:rsidRPr="006E72A7">
        <w:rPr>
          <w:rStyle w:val="CommentReference"/>
          <w:rFonts w:ascii="Calibri" w:hAnsi="Calibri"/>
          <w:b w:val="0"/>
          <w:sz w:val="24"/>
          <w:szCs w:val="22"/>
        </w:rPr>
        <w:t>l trend in LDL levels and TC:HDL ratio</w:t>
      </w:r>
      <w:r w:rsidRPr="006E72A7">
        <w:rPr>
          <w:rStyle w:val="CommentReference"/>
          <w:rFonts w:ascii="Calibri" w:hAnsi="Calibri"/>
          <w:b w:val="0"/>
          <w:sz w:val="24"/>
          <w:szCs w:val="22"/>
        </w:rPr>
        <w:t xml:space="preserve"> in the subgroup of patients with diabetes and LDL ≥2.6 mmol/L appeared consistent with results for the whole trial population (greatest reduction at Month 4 then decreasing over time). As expected, absolute change in each of the lipid parameters was greater in the subgroup than observed in the whole t</w:t>
      </w:r>
      <w:r w:rsidR="00506C7D" w:rsidRPr="006E72A7">
        <w:rPr>
          <w:rStyle w:val="CommentReference"/>
          <w:rFonts w:ascii="Calibri" w:hAnsi="Calibri"/>
          <w:b w:val="0"/>
          <w:sz w:val="24"/>
          <w:szCs w:val="22"/>
        </w:rPr>
        <w:t>rial population</w:t>
      </w:r>
      <w:r w:rsidR="001D05CC" w:rsidRPr="006E72A7">
        <w:rPr>
          <w:rStyle w:val="CommentReference"/>
          <w:rFonts w:ascii="Calibri" w:hAnsi="Calibri"/>
          <w:b w:val="0"/>
          <w:sz w:val="24"/>
          <w:szCs w:val="22"/>
        </w:rPr>
        <w:t xml:space="preserve"> due to higher baseline </w:t>
      </w:r>
      <w:r w:rsidR="00610973" w:rsidRPr="006E72A7">
        <w:rPr>
          <w:rStyle w:val="CommentReference"/>
          <w:rFonts w:ascii="Calibri" w:hAnsi="Calibri"/>
          <w:b w:val="0"/>
          <w:sz w:val="24"/>
          <w:szCs w:val="22"/>
        </w:rPr>
        <w:t>lipid levels</w:t>
      </w:r>
      <w:r w:rsidR="00506C7D" w:rsidRPr="006E72A7">
        <w:rPr>
          <w:rStyle w:val="CommentReference"/>
          <w:rFonts w:ascii="Calibri" w:hAnsi="Calibri"/>
          <w:b w:val="0"/>
          <w:sz w:val="24"/>
          <w:szCs w:val="22"/>
        </w:rPr>
        <w:t>. Results for TC:</w:t>
      </w:r>
      <w:r w:rsidRPr="006E72A7">
        <w:rPr>
          <w:rStyle w:val="CommentReference"/>
          <w:rFonts w:ascii="Calibri" w:hAnsi="Calibri"/>
          <w:b w:val="0"/>
          <w:sz w:val="24"/>
          <w:szCs w:val="22"/>
        </w:rPr>
        <w:t>HDL ratio were used as inputs in the economic model.</w:t>
      </w:r>
    </w:p>
    <w:p w:rsidR="00F40D48" w:rsidRPr="006E72A7" w:rsidRDefault="008D4953"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Quality of life data from the ODYSSEY OUTCOMES trial suggested no statistically significant differences in EQ-5D scores from baseline to Month 42 between alirocumab and placebo. Descriptive results from the subgroup with diabetes and elevated LDL in the economic model w</w:t>
      </w:r>
      <w:r w:rsidR="00041924" w:rsidRPr="006E72A7">
        <w:rPr>
          <w:rStyle w:val="CommentReference"/>
          <w:rFonts w:ascii="Calibri" w:hAnsi="Calibri"/>
          <w:b w:val="0"/>
          <w:sz w:val="24"/>
          <w:szCs w:val="22"/>
        </w:rPr>
        <w:t>ere</w:t>
      </w:r>
      <w:r w:rsidRPr="006E72A7">
        <w:rPr>
          <w:rStyle w:val="CommentReference"/>
          <w:rFonts w:ascii="Calibri" w:hAnsi="Calibri"/>
          <w:b w:val="0"/>
          <w:sz w:val="24"/>
          <w:szCs w:val="22"/>
        </w:rPr>
        <w:t xml:space="preserve"> consistent with the broader trial population.</w:t>
      </w:r>
    </w:p>
    <w:p w:rsidR="00121654" w:rsidRPr="006E72A7" w:rsidRDefault="00121654" w:rsidP="00DD046C">
      <w:pPr>
        <w:pStyle w:val="ListParagraph"/>
        <w:keepNext/>
        <w:widowControl/>
        <w:spacing w:before="120" w:after="120"/>
        <w:ind w:left="0"/>
        <w:rPr>
          <w:rStyle w:val="CommentReference"/>
          <w:rFonts w:ascii="Calibri" w:hAnsi="Calibri"/>
          <w:i/>
          <w:sz w:val="24"/>
          <w:szCs w:val="22"/>
        </w:rPr>
      </w:pPr>
      <w:r w:rsidRPr="006E72A7">
        <w:rPr>
          <w:rStyle w:val="CommentReference"/>
          <w:rFonts w:ascii="Calibri" w:hAnsi="Calibri"/>
          <w:i/>
          <w:sz w:val="24"/>
          <w:szCs w:val="22"/>
        </w:rPr>
        <w:t>Indirect comparison</w:t>
      </w:r>
    </w:p>
    <w:p w:rsidR="006316D5" w:rsidRPr="006E72A7" w:rsidRDefault="006316D5" w:rsidP="00DD046C">
      <w:pPr>
        <w:pStyle w:val="ListParagraph"/>
        <w:keepNext/>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An overall summary of the indirect analyses comparing alirocumab and evolocumab based on the ODYSSEY OUTCOMES and FOURIER trials is presented in the table below.</w:t>
      </w:r>
      <w:r w:rsidR="00C312AB" w:rsidRPr="006E72A7">
        <w:rPr>
          <w:rStyle w:val="CommentReference"/>
          <w:rFonts w:ascii="Calibri" w:hAnsi="Calibri"/>
          <w:b w:val="0"/>
          <w:i/>
          <w:sz w:val="24"/>
          <w:szCs w:val="22"/>
        </w:rPr>
        <w:t xml:space="preserve"> </w:t>
      </w:r>
      <w:r w:rsidR="00C312AB" w:rsidRPr="006E72A7">
        <w:rPr>
          <w:rStyle w:val="CommentReference"/>
          <w:rFonts w:ascii="Calibri" w:hAnsi="Calibri"/>
          <w:b w:val="0"/>
          <w:sz w:val="24"/>
          <w:szCs w:val="22"/>
        </w:rPr>
        <w:t xml:space="preserve">The ESC considered the ITC of the CV outcomes trials in the non-familial population to be informative, but for establishing equi-effective doses in the </w:t>
      </w:r>
      <w:r w:rsidR="00C312AB" w:rsidRPr="006E72A7">
        <w:t>heterozygous familial</w:t>
      </w:r>
      <w:r w:rsidR="00C312AB" w:rsidRPr="006E72A7">
        <w:rPr>
          <w:rStyle w:val="CommentReference"/>
          <w:rFonts w:ascii="Calibri" w:hAnsi="Calibri"/>
          <w:b w:val="0"/>
          <w:sz w:val="24"/>
          <w:szCs w:val="22"/>
        </w:rPr>
        <w:t xml:space="preserve"> </w:t>
      </w:r>
      <w:r w:rsidR="00C312AB" w:rsidRPr="006E72A7">
        <w:rPr>
          <w:rStyle w:val="CommentReference"/>
          <w:rFonts w:ascii="Calibri" w:hAnsi="Calibri"/>
          <w:b w:val="0"/>
          <w:sz w:val="24"/>
          <w:szCs w:val="22"/>
        </w:rPr>
        <w:lastRenderedPageBreak/>
        <w:t>population, the ITC based on the lipid trials were of increased relevance given they were conducted in the population of interest.</w:t>
      </w:r>
      <w:r w:rsidR="00C312AB" w:rsidRPr="006E72A7">
        <w:rPr>
          <w:rStyle w:val="CommentReference"/>
          <w:rFonts w:ascii="Calibri" w:hAnsi="Calibri"/>
          <w:b w:val="0"/>
          <w:i/>
          <w:sz w:val="24"/>
          <w:szCs w:val="22"/>
        </w:rPr>
        <w:t xml:space="preserve"> </w:t>
      </w:r>
    </w:p>
    <w:p w:rsidR="006316D5" w:rsidRPr="006E72A7" w:rsidRDefault="006316D5" w:rsidP="00E02557">
      <w:pPr>
        <w:pStyle w:val="TableHeading0"/>
        <w:spacing w:after="0"/>
      </w:pPr>
      <w:r w:rsidRPr="006E72A7">
        <w:t xml:space="preserve">Table </w:t>
      </w:r>
      <w:r w:rsidR="007275BD" w:rsidRPr="006E72A7">
        <w:t>7</w:t>
      </w:r>
      <w:r w:rsidRPr="006E72A7">
        <w:t>: Indirect analyses comparing alirocumab with evolocumab based on cardiovascular outcomes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direct analyses comparing alirocumab with evolocumab based on cardiovascular outcomes"/>
      </w:tblPr>
      <w:tblGrid>
        <w:gridCol w:w="2123"/>
        <w:gridCol w:w="1498"/>
        <w:gridCol w:w="1780"/>
        <w:gridCol w:w="1678"/>
        <w:gridCol w:w="1848"/>
      </w:tblGrid>
      <w:tr w:rsidR="006316D5" w:rsidRPr="006E72A7" w:rsidTr="00254B3B">
        <w:trPr>
          <w:tblHeader/>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Trial</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rPr>
                <w:b/>
              </w:rPr>
            </w:pPr>
            <w:r w:rsidRPr="006E72A7">
              <w:rPr>
                <w:b/>
              </w:rPr>
              <w:t xml:space="preserve">Alirocumab, </w:t>
            </w:r>
          </w:p>
          <w:p w:rsidR="006316D5" w:rsidRPr="006E72A7" w:rsidRDefault="006316D5" w:rsidP="00E02557">
            <w:pPr>
              <w:pStyle w:val="TableText0"/>
              <w:keepNext w:val="0"/>
              <w:spacing w:before="0" w:after="0" w:line="257" w:lineRule="auto"/>
              <w:jc w:val="center"/>
              <w:rPr>
                <w:b/>
              </w:rPr>
            </w:pPr>
            <w:r w:rsidRPr="006E72A7">
              <w:rPr>
                <w:b/>
              </w:rPr>
              <w:t>n/N (%)</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rPr>
                <w:b/>
              </w:rPr>
            </w:pPr>
            <w:r w:rsidRPr="006E72A7">
              <w:rPr>
                <w:b/>
              </w:rPr>
              <w:t xml:space="preserve">Placebo, </w:t>
            </w:r>
          </w:p>
          <w:p w:rsidR="006316D5" w:rsidRPr="006E72A7" w:rsidRDefault="006316D5" w:rsidP="00E02557">
            <w:pPr>
              <w:pStyle w:val="TableText0"/>
              <w:keepNext w:val="0"/>
              <w:spacing w:before="0" w:after="0" w:line="257" w:lineRule="auto"/>
              <w:jc w:val="center"/>
              <w:rPr>
                <w:b/>
              </w:rPr>
            </w:pPr>
            <w:r w:rsidRPr="006E72A7">
              <w:rPr>
                <w:b/>
              </w:rPr>
              <w:t>n/N (%)</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rPr>
                <w:b/>
              </w:rPr>
            </w:pPr>
            <w:r w:rsidRPr="006E72A7">
              <w:rPr>
                <w:b/>
              </w:rPr>
              <w:t xml:space="preserve">Evolocumab, </w:t>
            </w:r>
          </w:p>
          <w:p w:rsidR="006316D5" w:rsidRPr="006E72A7" w:rsidRDefault="006316D5" w:rsidP="00E02557">
            <w:pPr>
              <w:pStyle w:val="TableText0"/>
              <w:keepNext w:val="0"/>
              <w:spacing w:before="0" w:after="0" w:line="257" w:lineRule="auto"/>
              <w:jc w:val="center"/>
              <w:rPr>
                <w:b/>
              </w:rPr>
            </w:pPr>
            <w:r w:rsidRPr="006E72A7">
              <w:rPr>
                <w:b/>
              </w:rPr>
              <w:t xml:space="preserve">n/N (%) </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rPr>
                <w:b/>
              </w:rPr>
            </w:pPr>
            <w:r w:rsidRPr="006E72A7">
              <w:rPr>
                <w:b/>
              </w:rPr>
              <w:t>HR (95% CI)</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Time to coronary death, non-fatal myocardial infarction, fatal or non-fatal ischaemic stroke, or unstable angina requiring hospitalisation (ODYSSEY OUTCOMES); or Time to cardiovascular death, myocardial infarction, stroke, unstable angina requiring hospitalisation, or coronary revascularisation (FOURIER)</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903/9462 (9.5%)</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1052/9462 (11.1%)</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0.85 (0.78, 0.93)</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1563/13780 (11.3%)</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1344/13784 (9.8%)</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0.85 (0.79, 0.92)</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1.00 (0.89, 1.13)</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rPr>
                <w:b/>
              </w:rPr>
              <w:t>Time to fatal or non-fatal myocardial infarction</w:t>
            </w:r>
            <w:r w:rsidRPr="006E72A7">
              <w:rPr>
                <w:vertAlign w:val="superscript"/>
              </w:rPr>
              <w:t>a</w:t>
            </w:r>
            <w:r w:rsidRPr="006E72A7">
              <w:t xml:space="preserve"> </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646/9462 (6.8%)</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756/9462 (8.0%)</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0.85 (0.76, 0.94)</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639/13780 (4.6%)</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468/13784 (3.4%)</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0.73 (0.65, 0.82)</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1.16 (0.99, 1.36)</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Time to fatal or non-fatal ischaemic stroke (ODYSSEY OUTCOMES); or Time to stroke including ischaemic, haemorrhagic or unknown (FOURIER)</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111/9462 (1.2%)</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152/9462 (1.6%)</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0.73 (0.57, 0.93)</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262/13780 (1.9%)</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207/13784 (1.5%)</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0.79 (0.66, 0.95)</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0.97 (0.71, 1.33)</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Time to unstable angina requiring hospitalisation</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37/9462 (0.4%)</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60/9462 (0.6%)</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0.61 (0.41, 0.92)</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239/13780 (1.7%)</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236/13784 (1.7%)</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0.99 (0.82, 1.18)</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rPr>
                <w:b/>
              </w:rPr>
            </w:pPr>
            <w:r w:rsidRPr="006E72A7">
              <w:rPr>
                <w:b/>
              </w:rPr>
              <w:t>0.62 (0.40, 0.96)</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Time to ischaemia-driven coronary revascularisation (ODYSSEY OUTCOMES); or Time to coronary revascularisation (FOURIER)</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731/9462 (7.7%)</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828/9462 (8.8%)</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0.88 (0.79, 0.97)</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965/13780 (7.0%)</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759/13784 (5.5%)</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0.78 (0.71, 0.86)</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1.13 (0.98, 1.30)</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Time to cardiovascular death</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240/9462 (2.5%)</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271/9462 (2.9%)</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0.88 (0.74, 1.05)</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240/13780 (1.7%)</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251/13784 (1.8%)</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1.05 (0.88, 1.25)</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0.84 (0.65, 1.07)</w:t>
            </w:r>
          </w:p>
        </w:tc>
      </w:tr>
      <w:tr w:rsidR="006316D5" w:rsidRPr="006E72A7" w:rsidTr="00254B3B">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rPr>
                <w:b/>
              </w:rPr>
            </w:pPr>
            <w:r w:rsidRPr="006E72A7">
              <w:rPr>
                <w:b/>
              </w:rPr>
              <w:t>Time to death from any cause</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ODYSSEY OUTCOMES</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334/9462 (3.5%)</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392/9462 (4.1%)</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0.85 (0.73, 0.98)</w:t>
            </w:r>
          </w:p>
        </w:tc>
      </w:tr>
      <w:tr w:rsidR="006316D5" w:rsidRPr="006E72A7" w:rsidTr="00254B3B">
        <w:trPr>
          <w:trHeight w:val="70"/>
        </w:trPr>
        <w:tc>
          <w:tcPr>
            <w:tcW w:w="118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pPr>
            <w:r w:rsidRPr="006E72A7">
              <w:t>FOURIER</w:t>
            </w:r>
          </w:p>
        </w:tc>
        <w:tc>
          <w:tcPr>
            <w:tcW w:w="839"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w:t>
            </w:r>
          </w:p>
        </w:tc>
        <w:tc>
          <w:tcPr>
            <w:tcW w:w="997"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426/13780 (3.1%)</w:t>
            </w:r>
          </w:p>
        </w:tc>
        <w:tc>
          <w:tcPr>
            <w:tcW w:w="940"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444/13784 (3.2%)</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1.04 (0.91, 1.19)</w:t>
            </w:r>
          </w:p>
        </w:tc>
      </w:tr>
      <w:tr w:rsidR="006316D5" w:rsidRPr="006E72A7" w:rsidTr="00254B3B">
        <w:trPr>
          <w:trHeight w:val="70"/>
        </w:trPr>
        <w:tc>
          <w:tcPr>
            <w:tcW w:w="3965" w:type="pct"/>
            <w:gridSpan w:val="4"/>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right"/>
            </w:pPr>
            <w:r w:rsidRPr="006E72A7">
              <w:t>Alirocumab vs evolocumab</w:t>
            </w:r>
          </w:p>
        </w:tc>
        <w:tc>
          <w:tcPr>
            <w:tcW w:w="1035" w:type="pct"/>
            <w:tcBorders>
              <w:top w:val="single" w:sz="4" w:space="0" w:color="auto"/>
              <w:left w:val="single" w:sz="4" w:space="0" w:color="auto"/>
              <w:bottom w:val="single" w:sz="4" w:space="0" w:color="auto"/>
              <w:right w:val="single" w:sz="4" w:space="0" w:color="auto"/>
            </w:tcBorders>
            <w:vAlign w:val="center"/>
          </w:tcPr>
          <w:p w:rsidR="006316D5" w:rsidRPr="006E72A7" w:rsidRDefault="006316D5" w:rsidP="00E02557">
            <w:pPr>
              <w:pStyle w:val="TableText0"/>
              <w:keepNext w:val="0"/>
              <w:spacing w:before="0" w:after="0" w:line="257" w:lineRule="auto"/>
              <w:jc w:val="center"/>
            </w:pPr>
            <w:r w:rsidRPr="006E72A7">
              <w:t>0.82 (0.67, 1.00)</w:t>
            </w:r>
          </w:p>
        </w:tc>
      </w:tr>
    </w:tbl>
    <w:p w:rsidR="006316D5" w:rsidRPr="006E72A7" w:rsidRDefault="006316D5" w:rsidP="00E02557">
      <w:pPr>
        <w:pStyle w:val="TableFooter"/>
        <w:widowControl/>
      </w:pPr>
      <w:r w:rsidRPr="006E72A7">
        <w:t>Source: Table 2.6.8, p139 and Table 2.6.9, p140 of the resubmission</w:t>
      </w:r>
    </w:p>
    <w:p w:rsidR="006316D5" w:rsidRPr="006E72A7" w:rsidRDefault="006316D5" w:rsidP="00E02557">
      <w:pPr>
        <w:pStyle w:val="TableFooter"/>
        <w:widowControl/>
      </w:pPr>
      <w:r w:rsidRPr="006E72A7">
        <w:t>Abbreviations: CI, confidence interval; HR, hazard ratio</w:t>
      </w:r>
    </w:p>
    <w:p w:rsidR="006316D5" w:rsidRPr="006E72A7" w:rsidRDefault="006316D5" w:rsidP="00E02557">
      <w:pPr>
        <w:pStyle w:val="TableFooter"/>
        <w:widowControl/>
      </w:pPr>
      <w:r w:rsidRPr="006E72A7">
        <w:rPr>
          <w:vertAlign w:val="superscript"/>
        </w:rPr>
        <w:t>a</w:t>
      </w:r>
      <w:r w:rsidRPr="006E72A7">
        <w:t xml:space="preserve"> The resubmission conducted alternative analyses for this outcome, claiming this outcome from the FOURIER was not clearly defined (all events or non-fatal events). The supplementary appendix to the Sabatine (2017) publication confirms that the outcome included non-fatal and fatal myocardial infarction events. </w:t>
      </w:r>
    </w:p>
    <w:p w:rsidR="006316D5" w:rsidRPr="006E72A7" w:rsidRDefault="006316D5"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 xml:space="preserve">There were no statistically significant differences in cardiovascular events when comparing alirocumab with evolocumab using placebo as a common reference, except for unstable angina requiring hospitalisation with results in favour of alirocumab. </w:t>
      </w:r>
      <w:r w:rsidR="008E6D25" w:rsidRPr="006E72A7">
        <w:rPr>
          <w:rStyle w:val="CommentReference"/>
          <w:rFonts w:ascii="Calibri" w:hAnsi="Calibri"/>
          <w:b w:val="0"/>
          <w:sz w:val="24"/>
          <w:szCs w:val="22"/>
        </w:rPr>
        <w:t xml:space="preserve">However, these </w:t>
      </w:r>
      <w:r w:rsidRPr="006E72A7">
        <w:rPr>
          <w:rStyle w:val="CommentReference"/>
          <w:rFonts w:ascii="Calibri" w:hAnsi="Calibri"/>
          <w:b w:val="0"/>
          <w:sz w:val="24"/>
          <w:szCs w:val="22"/>
        </w:rPr>
        <w:t xml:space="preserve">results are difficult to interpret due to major issues of exchangeability between the trials in terms of </w:t>
      </w:r>
      <w:r w:rsidR="008E6D25" w:rsidRPr="006E72A7">
        <w:rPr>
          <w:rStyle w:val="CommentReference"/>
          <w:rFonts w:ascii="Calibri" w:hAnsi="Calibri"/>
          <w:b w:val="0"/>
          <w:sz w:val="24"/>
          <w:szCs w:val="22"/>
        </w:rPr>
        <w:t xml:space="preserve">the inclusion criteria of the trials, the </w:t>
      </w:r>
      <w:r w:rsidRPr="006E72A7">
        <w:rPr>
          <w:rStyle w:val="CommentReference"/>
          <w:rFonts w:ascii="Calibri" w:hAnsi="Calibri"/>
          <w:b w:val="0"/>
          <w:sz w:val="24"/>
          <w:szCs w:val="22"/>
        </w:rPr>
        <w:t xml:space="preserve">definitions of cardiovascular endpoints (particularly components contributing to composite endpoints), baseline cardiovascular risk, circumstances of use of treatments, </w:t>
      </w:r>
      <w:r w:rsidRPr="006E72A7">
        <w:rPr>
          <w:rStyle w:val="CommentReference"/>
          <w:rFonts w:ascii="Calibri" w:hAnsi="Calibri"/>
          <w:b w:val="0"/>
          <w:sz w:val="24"/>
          <w:szCs w:val="22"/>
        </w:rPr>
        <w:lastRenderedPageBreak/>
        <w:t>background lipid lowering therapies and follow-up duration. These differences are highlighted by the variability in the incidence of events occurring in the common reference arm for myocardial infarction, unstable angina and cardiovascular death.</w:t>
      </w:r>
    </w:p>
    <w:p w:rsidR="00F472DF" w:rsidRPr="006E72A7" w:rsidRDefault="006316D5" w:rsidP="00DD046C">
      <w:pPr>
        <w:pStyle w:val="ListParagraph"/>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resubmission claimed that alirocumab was non-inferior in terms of efficacy compared with evolocumab based on the upper bound of the 95% confidence interval of the hazard ratio not exceeding 1.5 for the primary composite endpoint in the trials (HR 1.00, 95% CI 0.89, 1.13). The nominated non-inferiority margin was inadequately justified in the resubmission and did not appear reasonable given it exceeds the estimated difference for both treatments compared to placebo (approximately 15% for both interventions)</w:t>
      </w:r>
      <w:r w:rsidR="009F5FA8" w:rsidRPr="006E72A7">
        <w:rPr>
          <w:rStyle w:val="CommentReference"/>
          <w:rFonts w:ascii="Calibri" w:hAnsi="Calibri"/>
          <w:b w:val="0"/>
          <w:sz w:val="24"/>
          <w:szCs w:val="22"/>
        </w:rPr>
        <w:t xml:space="preserve">. </w:t>
      </w:r>
      <w:r w:rsidR="00F472DF" w:rsidRPr="006E72A7">
        <w:rPr>
          <w:rStyle w:val="CommentReference"/>
          <w:rFonts w:ascii="Calibri" w:hAnsi="Calibri"/>
          <w:b w:val="0"/>
          <w:sz w:val="24"/>
          <w:szCs w:val="22"/>
        </w:rPr>
        <w:t>This is also substantially higher than the</w:t>
      </w:r>
      <w:r w:rsidR="009C2D0E" w:rsidRPr="006E72A7">
        <w:rPr>
          <w:rStyle w:val="CommentReference"/>
          <w:rFonts w:ascii="Calibri" w:hAnsi="Calibri"/>
          <w:b w:val="0"/>
          <w:sz w:val="24"/>
          <w:szCs w:val="22"/>
        </w:rPr>
        <w:t xml:space="preserve"> clinically meaningful margins identified in the submission (5–6%)</w:t>
      </w:r>
      <w:r w:rsidR="009C2D0E" w:rsidRPr="006E72A7">
        <w:rPr>
          <w:rStyle w:val="FootnoteReference"/>
        </w:rPr>
        <w:footnoteReference w:id="1"/>
      </w:r>
      <w:r w:rsidR="00F472DF" w:rsidRPr="006E72A7">
        <w:rPr>
          <w:rStyle w:val="CommentReference"/>
          <w:rFonts w:ascii="Calibri" w:hAnsi="Calibri"/>
          <w:b w:val="0"/>
          <w:sz w:val="24"/>
          <w:szCs w:val="22"/>
        </w:rPr>
        <w:t>, although they looked at LDL-c outcomes rather than hard outcomes such as MACE. The ESC considered this to be a</w:t>
      </w:r>
      <w:r w:rsidR="004C2248" w:rsidRPr="006E72A7">
        <w:rPr>
          <w:rStyle w:val="CommentReference"/>
          <w:rFonts w:ascii="Calibri" w:hAnsi="Calibri"/>
          <w:b w:val="0"/>
          <w:sz w:val="24"/>
          <w:szCs w:val="22"/>
        </w:rPr>
        <w:t>n overly</w:t>
      </w:r>
      <w:r w:rsidR="00F472DF" w:rsidRPr="006E72A7">
        <w:rPr>
          <w:rStyle w:val="CommentReference"/>
          <w:rFonts w:ascii="Calibri" w:hAnsi="Calibri"/>
          <w:b w:val="0"/>
          <w:sz w:val="24"/>
          <w:szCs w:val="22"/>
        </w:rPr>
        <w:t xml:space="preserve"> generous </w:t>
      </w:r>
      <w:r w:rsidR="007B091F">
        <w:rPr>
          <w:rStyle w:val="CommentReference"/>
          <w:rFonts w:ascii="Calibri" w:hAnsi="Calibri"/>
          <w:b w:val="0"/>
          <w:sz w:val="24"/>
          <w:szCs w:val="22"/>
        </w:rPr>
        <w:t xml:space="preserve">NI </w:t>
      </w:r>
      <w:r w:rsidR="00F472DF" w:rsidRPr="006E72A7">
        <w:rPr>
          <w:rStyle w:val="CommentReference"/>
          <w:rFonts w:ascii="Calibri" w:hAnsi="Calibri"/>
          <w:b w:val="0"/>
          <w:sz w:val="24"/>
          <w:szCs w:val="22"/>
        </w:rPr>
        <w:t xml:space="preserve">margin, noted </w:t>
      </w:r>
      <w:r w:rsidR="00CF6AAD" w:rsidRPr="006E72A7">
        <w:rPr>
          <w:rStyle w:val="CommentReference"/>
          <w:rFonts w:ascii="Calibri" w:hAnsi="Calibri"/>
          <w:b w:val="0"/>
          <w:sz w:val="24"/>
          <w:szCs w:val="22"/>
        </w:rPr>
        <w:t>that it</w:t>
      </w:r>
      <w:r w:rsidR="004C2248" w:rsidRPr="006E72A7">
        <w:rPr>
          <w:rStyle w:val="CommentReference"/>
          <w:rFonts w:ascii="Calibri" w:hAnsi="Calibri"/>
          <w:b w:val="0"/>
          <w:sz w:val="24"/>
          <w:szCs w:val="22"/>
        </w:rPr>
        <w:t xml:space="preserve"> was </w:t>
      </w:r>
      <w:r w:rsidR="00CF6AAD" w:rsidRPr="006E72A7">
        <w:rPr>
          <w:rStyle w:val="CommentReference"/>
          <w:rFonts w:ascii="Calibri" w:hAnsi="Calibri"/>
          <w:b w:val="0"/>
          <w:sz w:val="24"/>
          <w:szCs w:val="22"/>
        </w:rPr>
        <w:t>not justified</w:t>
      </w:r>
      <w:r w:rsidR="004C2248" w:rsidRPr="006E72A7">
        <w:rPr>
          <w:rStyle w:val="CommentReference"/>
          <w:rFonts w:ascii="Calibri" w:hAnsi="Calibri"/>
          <w:b w:val="0"/>
          <w:sz w:val="24"/>
          <w:szCs w:val="22"/>
        </w:rPr>
        <w:t xml:space="preserve"> nor </w:t>
      </w:r>
      <w:r w:rsidR="00F472DF" w:rsidRPr="006E72A7">
        <w:rPr>
          <w:rStyle w:val="CommentReference"/>
          <w:rFonts w:ascii="Calibri" w:hAnsi="Calibri"/>
          <w:b w:val="0"/>
          <w:sz w:val="24"/>
          <w:szCs w:val="22"/>
        </w:rPr>
        <w:t>pre-specified</w:t>
      </w:r>
      <w:r w:rsidR="004C2248" w:rsidRPr="006E72A7">
        <w:rPr>
          <w:rStyle w:val="CommentReference"/>
          <w:rFonts w:ascii="Calibri" w:hAnsi="Calibri"/>
          <w:b w:val="0"/>
          <w:sz w:val="24"/>
          <w:szCs w:val="22"/>
        </w:rPr>
        <w:t>,</w:t>
      </w:r>
      <w:r w:rsidR="00F472DF" w:rsidRPr="006E72A7">
        <w:rPr>
          <w:rStyle w:val="CommentReference"/>
          <w:rFonts w:ascii="Calibri" w:hAnsi="Calibri"/>
          <w:b w:val="0"/>
          <w:sz w:val="24"/>
          <w:szCs w:val="22"/>
        </w:rPr>
        <w:t xml:space="preserve"> and </w:t>
      </w:r>
      <w:r w:rsidR="001A3DA4" w:rsidRPr="006E72A7">
        <w:rPr>
          <w:rStyle w:val="CommentReference"/>
          <w:rFonts w:ascii="Calibri" w:hAnsi="Calibri"/>
          <w:b w:val="0"/>
          <w:sz w:val="24"/>
          <w:szCs w:val="22"/>
        </w:rPr>
        <w:t xml:space="preserve">therefore </w:t>
      </w:r>
      <w:r w:rsidR="00F472DF" w:rsidRPr="006E72A7">
        <w:rPr>
          <w:rStyle w:val="CommentReference"/>
          <w:rFonts w:ascii="Calibri" w:hAnsi="Calibri"/>
          <w:b w:val="0"/>
          <w:sz w:val="24"/>
          <w:szCs w:val="22"/>
        </w:rPr>
        <w:t xml:space="preserve">advised that the non-inferiority claim should be interpreted with caution. </w:t>
      </w:r>
    </w:p>
    <w:p w:rsidR="005034B9" w:rsidRPr="006E72A7" w:rsidRDefault="005034B9"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 xml:space="preserve">The resubmission presented supportive analyses based on an indirect comparison of lipid outcomes with alirocumab versus evolocumab in </w:t>
      </w:r>
      <w:r w:rsidR="00394DDB" w:rsidRPr="006E72A7">
        <w:rPr>
          <w:rStyle w:val="CommentReference"/>
          <w:rFonts w:ascii="Calibri" w:hAnsi="Calibri"/>
          <w:b w:val="0"/>
          <w:sz w:val="24"/>
          <w:szCs w:val="22"/>
        </w:rPr>
        <w:t>he-FH</w:t>
      </w:r>
      <w:r w:rsidRPr="006E72A7">
        <w:rPr>
          <w:rStyle w:val="CommentReference"/>
          <w:rFonts w:ascii="Calibri" w:hAnsi="Calibri"/>
          <w:b w:val="0"/>
          <w:sz w:val="24"/>
          <w:szCs w:val="22"/>
        </w:rPr>
        <w:t xml:space="preserve"> populations (FH I, FH II, RUTHERFORD I, RUTHERFORD II) to address the applicability of the ODYSSEY OUTCOMES trial (predominantly non-familial patients) to the target PBS population with </w:t>
      </w:r>
      <w:r w:rsidR="00394DDB" w:rsidRPr="006E72A7">
        <w:rPr>
          <w:rStyle w:val="CommentReference"/>
          <w:rFonts w:ascii="Calibri" w:hAnsi="Calibri"/>
          <w:b w:val="0"/>
          <w:sz w:val="24"/>
          <w:szCs w:val="22"/>
        </w:rPr>
        <w:t>he-FH</w:t>
      </w:r>
      <w:r w:rsidRPr="006E72A7">
        <w:rPr>
          <w:rStyle w:val="CommentReference"/>
          <w:rFonts w:ascii="Calibri" w:hAnsi="Calibri"/>
          <w:b w:val="0"/>
          <w:sz w:val="24"/>
          <w:szCs w:val="22"/>
        </w:rPr>
        <w:t>.</w:t>
      </w:r>
    </w:p>
    <w:p w:rsidR="005034B9" w:rsidRPr="006E72A7" w:rsidRDefault="005034B9"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inclusion/exclusion of trials for the indirect comparison was not adequately justified in the resubmission. The ESCAPE, HIGH FH and Stein 2012 trials of alirocumab in heterozygous familial populations included dosing regimens requested for reimbursement (alirocumab 150 mg fortnightly).</w:t>
      </w:r>
    </w:p>
    <w:p w:rsidR="005034B9" w:rsidRPr="006E72A7" w:rsidRDefault="005034B9"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robustness of meta-analysed results used in the indirect analyses for alirocumab was unclear given moderate heterogeneity between the FH I and II trials (I</w:t>
      </w:r>
      <w:r w:rsidRPr="006E72A7">
        <w:rPr>
          <w:rStyle w:val="CommentReference"/>
          <w:rFonts w:ascii="Calibri" w:hAnsi="Calibri"/>
          <w:b w:val="0"/>
          <w:sz w:val="24"/>
          <w:szCs w:val="22"/>
          <w:vertAlign w:val="superscript"/>
        </w:rPr>
        <w:t>2</w:t>
      </w:r>
      <w:r w:rsidRPr="006E72A7">
        <w:rPr>
          <w:rStyle w:val="CommentReference"/>
          <w:rFonts w:ascii="Calibri" w:hAnsi="Calibri"/>
          <w:b w:val="0"/>
          <w:sz w:val="24"/>
          <w:szCs w:val="22"/>
        </w:rPr>
        <w:t xml:space="preserve"> = 54%) which was not addressed in the resubmission. Additionally</w:t>
      </w:r>
      <w:r w:rsidR="007B091F">
        <w:rPr>
          <w:rStyle w:val="CommentReference"/>
          <w:rFonts w:ascii="Calibri" w:hAnsi="Calibri"/>
          <w:b w:val="0"/>
          <w:sz w:val="24"/>
          <w:szCs w:val="22"/>
        </w:rPr>
        <w:t>,</w:t>
      </w:r>
      <w:r w:rsidRPr="006E72A7">
        <w:rPr>
          <w:rStyle w:val="CommentReference"/>
          <w:rFonts w:ascii="Calibri" w:hAnsi="Calibri"/>
          <w:b w:val="0"/>
          <w:sz w:val="24"/>
          <w:szCs w:val="22"/>
        </w:rPr>
        <w:t xml:space="preserve"> the exchangeability of the alirocumab and </w:t>
      </w:r>
      <w:r w:rsidR="00EC114C" w:rsidRPr="006E72A7">
        <w:rPr>
          <w:rStyle w:val="CommentReference"/>
          <w:rFonts w:ascii="Calibri" w:hAnsi="Calibri"/>
          <w:b w:val="0"/>
          <w:sz w:val="24"/>
          <w:szCs w:val="22"/>
        </w:rPr>
        <w:t>evolocumab</w:t>
      </w:r>
      <w:r w:rsidRPr="006E72A7">
        <w:rPr>
          <w:rStyle w:val="CommentReference"/>
          <w:rFonts w:ascii="Calibri" w:hAnsi="Calibri"/>
          <w:b w:val="0"/>
          <w:sz w:val="24"/>
          <w:szCs w:val="22"/>
        </w:rPr>
        <w:t xml:space="preserve"> trials was also unclear given the varying trial designs and different patient characteristics, particularly baseline LDL.</w:t>
      </w:r>
    </w:p>
    <w:p w:rsidR="005034B9" w:rsidRPr="006E72A7" w:rsidRDefault="005034B9" w:rsidP="00DD046C">
      <w:pPr>
        <w:pStyle w:val="ListParagraph"/>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The analyses presented in the resubmission did not directly address the comparative efficacy of the individual doses of alirocumab with evolocumab (recommended doses in the product information).</w:t>
      </w:r>
    </w:p>
    <w:p w:rsidR="005034B9" w:rsidRPr="006E72A7" w:rsidRDefault="005034B9" w:rsidP="00DD046C">
      <w:pPr>
        <w:pStyle w:val="ListParagraph"/>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 xml:space="preserve">During the evaluation, alternative indirect analyses were conducted comparing the results of the available alirocumab trials versus evolocumab using placebo as the common comparator in familial hypercholesterolaemia populations (shown in table below). The analyses were conducted comparing the individual doses of alirocumab with evolocumab at matching dosing frequencies. Similar to the analyses presented in the resubmission, these analyses were limited by heterogeneity between the alirocumab trials and uncertain exchangeability between the evolocumab and </w:t>
      </w:r>
      <w:r w:rsidRPr="006E72A7">
        <w:rPr>
          <w:rStyle w:val="CommentReference"/>
          <w:rFonts w:ascii="Calibri" w:hAnsi="Calibri"/>
          <w:b w:val="0"/>
          <w:sz w:val="24"/>
          <w:szCs w:val="22"/>
        </w:rPr>
        <w:lastRenderedPageBreak/>
        <w:t>alirocumab trials.</w:t>
      </w:r>
      <w:r w:rsidR="00622013" w:rsidRPr="006E72A7">
        <w:rPr>
          <w:rStyle w:val="CommentReference"/>
          <w:rFonts w:ascii="Calibri" w:hAnsi="Calibri"/>
          <w:b w:val="0"/>
          <w:sz w:val="24"/>
          <w:szCs w:val="22"/>
        </w:rPr>
        <w:t xml:space="preserve"> </w:t>
      </w:r>
    </w:p>
    <w:p w:rsidR="0084306B" w:rsidRPr="006E72A7" w:rsidRDefault="0084306B" w:rsidP="00DD046C">
      <w:pPr>
        <w:pStyle w:val="ListParagraph"/>
        <w:keepNext/>
        <w:numPr>
          <w:ilvl w:val="1"/>
          <w:numId w:val="1"/>
        </w:numPr>
        <w:spacing w:before="120" w:after="120"/>
      </w:pPr>
      <w:r w:rsidRPr="006E72A7">
        <w:rPr>
          <w:rStyle w:val="CommentReference"/>
          <w:rFonts w:ascii="Calibri" w:hAnsi="Calibri"/>
          <w:b w:val="0"/>
          <w:sz w:val="24"/>
          <w:szCs w:val="22"/>
        </w:rPr>
        <w:t>The ESC noted that the submission identified three non-</w:t>
      </w:r>
      <w:r w:rsidR="00B642FB" w:rsidRPr="006E72A7">
        <w:rPr>
          <w:rStyle w:val="CommentReference"/>
          <w:rFonts w:ascii="Calibri" w:hAnsi="Calibri"/>
          <w:b w:val="0"/>
          <w:sz w:val="24"/>
          <w:szCs w:val="22"/>
        </w:rPr>
        <w:t>inferiority</w:t>
      </w:r>
      <w:r w:rsidRPr="006E72A7">
        <w:rPr>
          <w:rStyle w:val="CommentReference"/>
          <w:rFonts w:ascii="Calibri" w:hAnsi="Calibri"/>
          <w:b w:val="0"/>
          <w:sz w:val="24"/>
          <w:szCs w:val="22"/>
        </w:rPr>
        <w:t xml:space="preserve"> trials of statins (Eriksson et al., 2011, Saku et al., 2011, Zhao and Peng, 2017) that included percent change in LDL-c from baseline, and that the non-</w:t>
      </w:r>
      <w:r w:rsidR="00B642FB" w:rsidRPr="006E72A7">
        <w:rPr>
          <w:rStyle w:val="CommentReference"/>
          <w:rFonts w:ascii="Calibri" w:hAnsi="Calibri"/>
          <w:b w:val="0"/>
          <w:sz w:val="24"/>
          <w:szCs w:val="22"/>
        </w:rPr>
        <w:t>inferiority</w:t>
      </w:r>
      <w:r w:rsidRPr="006E72A7">
        <w:rPr>
          <w:rStyle w:val="CommentReference"/>
          <w:rFonts w:ascii="Calibri" w:hAnsi="Calibri"/>
          <w:b w:val="0"/>
          <w:sz w:val="24"/>
          <w:szCs w:val="22"/>
        </w:rPr>
        <w:t xml:space="preserve"> margins were between 5%–6%.</w:t>
      </w:r>
    </w:p>
    <w:p w:rsidR="00A9120C" w:rsidRPr="006E72A7" w:rsidRDefault="00110317" w:rsidP="00110317">
      <w:pPr>
        <w:pStyle w:val="TableHeading0"/>
        <w:spacing w:after="0"/>
        <w:jc w:val="both"/>
        <w:rPr>
          <w:rFonts w:cs="Times New Roman"/>
          <w:szCs w:val="20"/>
        </w:rPr>
      </w:pPr>
      <w:r>
        <w:br w:type="column"/>
      </w:r>
      <w:r w:rsidR="00A9120C" w:rsidRPr="006E72A7">
        <w:lastRenderedPageBreak/>
        <w:t>Table 8: Indirect comparison of change in mean LDL levels with alirocumab and evolocumab in heterozygous familial hypercholesterolaemia populations using placebo as a common reference</w:t>
      </w:r>
    </w:p>
    <w:tbl>
      <w:tblPr>
        <w:tblW w:w="5000" w:type="pct"/>
        <w:tblCellMar>
          <w:left w:w="0" w:type="dxa"/>
          <w:right w:w="0" w:type="dxa"/>
        </w:tblCellMar>
        <w:tblLook w:val="04A0" w:firstRow="1" w:lastRow="0" w:firstColumn="1" w:lastColumn="0" w:noHBand="0" w:noVBand="1"/>
        <w:tblCaption w:val="Indirect comparison of change in mean LDL levels with alirocumab and evolocumab in heterozygous familial hypercholesterolaemia populations using placebo as a common reference"/>
      </w:tblPr>
      <w:tblGrid>
        <w:gridCol w:w="6953"/>
        <w:gridCol w:w="2054"/>
      </w:tblGrid>
      <w:tr w:rsidR="00A9120C" w:rsidRPr="006E72A7" w:rsidTr="00A9120C">
        <w:trPr>
          <w:tblHeader/>
        </w:trPr>
        <w:tc>
          <w:tcPr>
            <w:tcW w:w="3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rPr>
                <w:b/>
                <w:bCs/>
              </w:rPr>
            </w:pPr>
            <w:r w:rsidRPr="006E72A7">
              <w:rPr>
                <w:b/>
                <w:bCs/>
              </w:rPr>
              <w:t>Comparison</w:t>
            </w:r>
          </w:p>
        </w:tc>
        <w:tc>
          <w:tcPr>
            <w:tcW w:w="11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rPr>
                <w:b/>
                <w:bCs/>
              </w:rPr>
            </w:pPr>
            <w:r w:rsidRPr="006E72A7">
              <w:rPr>
                <w:b/>
                <w:bCs/>
              </w:rPr>
              <w:t xml:space="preserve">Treatment difference, </w:t>
            </w:r>
          </w:p>
          <w:p w:rsidR="00A9120C" w:rsidRPr="006E72A7" w:rsidRDefault="00A9120C" w:rsidP="00110317">
            <w:pPr>
              <w:pStyle w:val="TableText0"/>
              <w:spacing w:before="0" w:after="0" w:line="252" w:lineRule="auto"/>
              <w:jc w:val="center"/>
              <w:rPr>
                <w:b/>
                <w:bCs/>
              </w:rPr>
            </w:pPr>
            <w:r w:rsidRPr="006E72A7">
              <w:rPr>
                <w:b/>
                <w:bCs/>
              </w:rPr>
              <w:t>Mean (95% CI)</w:t>
            </w:r>
          </w:p>
        </w:tc>
      </w:tr>
      <w:tr w:rsidR="00A9120C" w:rsidRPr="006E72A7" w:rsidTr="00A9120C">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Alirocumab 75/150 mg fortnightly (FH I and II, Week 24, ITT) versus evolocumab 140 mg or 420 mg monthly (RUTHERFORD I and II, Week 12, ITT analysis)</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pPr>
            <w:r w:rsidRPr="006E72A7">
              <w:t>3.16 (-2.52, 8.84)</w:t>
            </w:r>
          </w:p>
        </w:tc>
      </w:tr>
      <w:tr w:rsidR="00A9120C" w:rsidRPr="006E72A7" w:rsidTr="00A9120C">
        <w:tc>
          <w:tcPr>
            <w:tcW w:w="3860" w:type="pct"/>
            <w:tcBorders>
              <w:top w:val="nil"/>
              <w:left w:val="single" w:sz="8" w:space="0" w:color="auto"/>
              <w:bottom w:val="double" w:sz="4"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rPr>
                <w:b/>
                <w:bCs/>
              </w:rPr>
            </w:pPr>
            <w:r w:rsidRPr="006E72A7">
              <w:t>Alirocumab 75 mg fortnightly (FH I and II, Week 12, no titration subgroup) versus evolocumab 140 mg fortnightly or 420 mg monthly (RUTHERFORD I and II, Week 12, ITT analysis)</w:t>
            </w:r>
          </w:p>
        </w:tc>
        <w:tc>
          <w:tcPr>
            <w:tcW w:w="1140" w:type="pct"/>
            <w:tcBorders>
              <w:top w:val="nil"/>
              <w:left w:val="nil"/>
              <w:bottom w:val="double" w:sz="4" w:space="0" w:color="auto"/>
              <w:right w:val="single" w:sz="8" w:space="0" w:color="auto"/>
            </w:tcBorders>
            <w:tcMar>
              <w:top w:w="0" w:type="dxa"/>
              <w:left w:w="108" w:type="dxa"/>
              <w:bottom w:w="0" w:type="dxa"/>
              <w:right w:w="108" w:type="dxa"/>
            </w:tcMar>
            <w:vAlign w:val="center"/>
            <w:hideMark/>
          </w:tcPr>
          <w:p w:rsidR="00A9120C" w:rsidRPr="006E72A7" w:rsidRDefault="004F3FD6" w:rsidP="00110317">
            <w:pPr>
              <w:pStyle w:val="TableText0"/>
              <w:spacing w:before="0" w:after="0" w:line="252" w:lineRule="auto"/>
              <w:jc w:val="center"/>
              <w:rPr>
                <w:b/>
                <w:bCs/>
              </w:rPr>
            </w:pPr>
            <w:r>
              <w:rPr>
                <w:noProof/>
                <w:color w:val="000000"/>
                <w:highlight w:val="black"/>
              </w:rPr>
              <w:t>'''''''''''</w:t>
            </w:r>
            <w:r w:rsidR="00A9120C" w:rsidRPr="006E72A7">
              <w:t xml:space="preserve"> (</w:t>
            </w:r>
            <w:r>
              <w:rPr>
                <w:noProof/>
                <w:color w:val="000000"/>
                <w:highlight w:val="black"/>
              </w:rPr>
              <w:t>'''''''''''''</w:t>
            </w:r>
            <w:r w:rsidR="00A9120C" w:rsidRPr="006E72A7">
              <w:t xml:space="preserve">, </w:t>
            </w:r>
            <w:r>
              <w:rPr>
                <w:noProof/>
                <w:color w:val="000000"/>
                <w:highlight w:val="black"/>
              </w:rPr>
              <w:t>'''''''''''''''</w:t>
            </w:r>
            <w:r w:rsidR="00A9120C" w:rsidRPr="006E72A7">
              <w:t>)</w:t>
            </w:r>
          </w:p>
        </w:tc>
      </w:tr>
      <w:tr w:rsidR="00A9120C" w:rsidRPr="006E72A7" w:rsidTr="00A9120C">
        <w:trPr>
          <w:trHeight w:val="70"/>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rPr>
                <w:b/>
                <w:bCs/>
              </w:rPr>
            </w:pPr>
            <w:r w:rsidRPr="006E72A7">
              <w:rPr>
                <w:b/>
                <w:bCs/>
              </w:rPr>
              <w:t>Alirocumab 75 mg fortnightly versus evolocumab 140 mg fortnightly</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 xml:space="preserve">Alirocumab 75 mg fortnightly (FH I and II, Week 12, ITT) versus evolocumab 140 mg fortnightly (RUTHERFORD II, Week 12, ITT)  </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rPr>
                <w:i/>
                <w:iCs/>
              </w:rPr>
            </w:pPr>
            <w:r w:rsidRPr="006E72A7">
              <w:rPr>
                <w:b/>
                <w:bCs/>
                <w:i/>
                <w:iCs/>
              </w:rPr>
              <w:t>10.30 (3.25, 17.35)</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 xml:space="preserve">Alirocumab 75 mg fortnightly (FH I and II, Week 12, no titration subgroup) versus evolocumab 140 mg fortnightly (RUTHERFORD II, Week 12, ITT)  </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4F3FD6" w:rsidP="00110317">
            <w:pPr>
              <w:pStyle w:val="TableText0"/>
              <w:spacing w:before="0" w:after="0" w:line="252" w:lineRule="auto"/>
              <w:jc w:val="center"/>
              <w:rPr>
                <w:i/>
                <w:iCs/>
              </w:rPr>
            </w:pPr>
            <w:r>
              <w:rPr>
                <w:i/>
                <w:iCs/>
                <w:noProof/>
                <w:color w:val="000000"/>
                <w:highlight w:val="black"/>
              </w:rPr>
              <w:t>''''''''''</w:t>
            </w:r>
            <w:r w:rsidR="00A9120C" w:rsidRPr="006E72A7">
              <w:rPr>
                <w:i/>
                <w:iCs/>
              </w:rPr>
              <w:t xml:space="preserve"> (</w:t>
            </w:r>
            <w:r>
              <w:rPr>
                <w:i/>
                <w:iCs/>
                <w:noProof/>
                <w:color w:val="000000"/>
                <w:highlight w:val="black"/>
              </w:rPr>
              <w:t>'''''''''''''</w:t>
            </w:r>
            <w:r w:rsidR="00A9120C" w:rsidRPr="006E72A7">
              <w:rPr>
                <w:i/>
                <w:iCs/>
              </w:rPr>
              <w:t xml:space="preserve">, </w:t>
            </w:r>
            <w:r>
              <w:rPr>
                <w:i/>
                <w:iCs/>
                <w:noProof/>
                <w:color w:val="000000"/>
                <w:highlight w:val="black"/>
              </w:rPr>
              <w:t>'''''''''''''''</w:t>
            </w:r>
            <w:r w:rsidR="00A9120C" w:rsidRPr="006E72A7">
              <w:rPr>
                <w:i/>
                <w:iCs/>
              </w:rPr>
              <w:t>)</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 xml:space="preserve">Alirocumab 75 mg fortnightly (FH I and II, Week 24, no titration subgroup) versus evolocumab 140 mg fortnightly (RUTHERFORD II, Week 12, ITT) </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4F3FD6" w:rsidP="00110317">
            <w:pPr>
              <w:pStyle w:val="TableText0"/>
              <w:spacing w:before="0" w:after="0" w:line="252" w:lineRule="auto"/>
              <w:jc w:val="center"/>
              <w:rPr>
                <w:i/>
                <w:iCs/>
              </w:rPr>
            </w:pPr>
            <w:r>
              <w:rPr>
                <w:i/>
                <w:iCs/>
                <w:noProof/>
                <w:color w:val="000000"/>
                <w:highlight w:val="black"/>
              </w:rPr>
              <w:t>''''''''''</w:t>
            </w:r>
            <w:r w:rsidR="00A9120C" w:rsidRPr="006E72A7">
              <w:rPr>
                <w:i/>
                <w:iCs/>
              </w:rPr>
              <w:t xml:space="preserve"> (</w:t>
            </w:r>
            <w:r>
              <w:rPr>
                <w:i/>
                <w:iCs/>
                <w:noProof/>
                <w:color w:val="000000"/>
                <w:highlight w:val="black"/>
              </w:rPr>
              <w:t>'''''''''''</w:t>
            </w:r>
            <w:r w:rsidR="00A9120C" w:rsidRPr="006E72A7">
              <w:rPr>
                <w:i/>
                <w:iCs/>
              </w:rPr>
              <w:t xml:space="preserve">, </w:t>
            </w:r>
            <w:r>
              <w:rPr>
                <w:i/>
                <w:iCs/>
                <w:noProof/>
                <w:color w:val="000000"/>
                <w:highlight w:val="black"/>
              </w:rPr>
              <w:t>'''''''''''''</w:t>
            </w:r>
            <w:r w:rsidR="00A9120C" w:rsidRPr="006E72A7">
              <w:rPr>
                <w:i/>
                <w:iCs/>
              </w:rPr>
              <w:t>)</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 xml:space="preserve">Alirocumab 75 mg fortnightly (FH I and II, Week 12, up-titration subgroup) versus evolocumab 140 mg fortnightly (RUTHERFORD II, Week 12, ITT)  </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4F3FD6" w:rsidP="00110317">
            <w:pPr>
              <w:pStyle w:val="TableText0"/>
              <w:spacing w:before="0" w:after="0" w:line="252" w:lineRule="auto"/>
              <w:jc w:val="center"/>
              <w:rPr>
                <w:i/>
                <w:iCs/>
              </w:rPr>
            </w:pPr>
            <w:r>
              <w:rPr>
                <w:b/>
                <w:bCs/>
                <w:i/>
                <w:iCs/>
                <w:noProof/>
                <w:color w:val="000000"/>
                <w:highlight w:val="black"/>
              </w:rPr>
              <w:t>''''''''''''</w:t>
            </w:r>
            <w:r w:rsidR="00A9120C" w:rsidRPr="006E72A7">
              <w:rPr>
                <w:b/>
                <w:bCs/>
                <w:i/>
                <w:iCs/>
              </w:rPr>
              <w:t xml:space="preserve"> (</w:t>
            </w:r>
            <w:r>
              <w:rPr>
                <w:b/>
                <w:bCs/>
                <w:i/>
                <w:iCs/>
                <w:noProof/>
                <w:color w:val="000000"/>
                <w:highlight w:val="black"/>
              </w:rPr>
              <w:t>''''''''''</w:t>
            </w:r>
            <w:r w:rsidR="00A9120C" w:rsidRPr="006E72A7">
              <w:rPr>
                <w:b/>
                <w:bCs/>
                <w:i/>
                <w:iCs/>
              </w:rPr>
              <w:t xml:space="preserve">, </w:t>
            </w:r>
            <w:r>
              <w:rPr>
                <w:b/>
                <w:bCs/>
                <w:i/>
                <w:iCs/>
                <w:noProof/>
                <w:color w:val="000000"/>
                <w:highlight w:val="black"/>
              </w:rPr>
              <w:t>'''''''''''</w:t>
            </w:r>
            <w:r w:rsidR="00A9120C" w:rsidRPr="006E72A7">
              <w:rPr>
                <w:b/>
                <w:bCs/>
                <w:i/>
                <w:iCs/>
              </w:rPr>
              <w:t>)</w:t>
            </w:r>
          </w:p>
        </w:tc>
      </w:tr>
      <w:tr w:rsidR="00A9120C" w:rsidRPr="006E72A7" w:rsidTr="00A9120C">
        <w:trPr>
          <w:trHeight w:val="70"/>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rPr>
                <w:b/>
                <w:bCs/>
              </w:rPr>
              <w:t>Alirocumab 150 mg fortnightly versus evolocumab 140 mg fortnightly</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Alirocumab 150 mg fortnightly (ESCAPE, HIGH FH, Stein 2012, Week 6/12/24, ITT) versus evolocumab 140 mg fortnightly (RUTHERFORD II, Week 12, ITT)</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rPr>
                <w:i/>
                <w:iCs/>
              </w:rPr>
            </w:pPr>
            <w:r w:rsidRPr="006E72A7">
              <w:rPr>
                <w:i/>
                <w:iCs/>
              </w:rPr>
              <w:t>8.46 (-3.81, 20.73)</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Alirocumab 150 mg fortnightly (FH I and II, Week 24, up-titration subgroup) versus evolocumab 140 mg fortnightly (RUTHERFORD II, Week 12, ITT)</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4F3FD6" w:rsidP="00110317">
            <w:pPr>
              <w:pStyle w:val="TableText0"/>
              <w:spacing w:before="0" w:after="0" w:line="252" w:lineRule="auto"/>
              <w:jc w:val="center"/>
              <w:rPr>
                <w:i/>
                <w:iCs/>
              </w:rPr>
            </w:pPr>
            <w:r>
              <w:rPr>
                <w:i/>
                <w:iCs/>
                <w:noProof/>
                <w:color w:val="000000"/>
                <w:highlight w:val="black"/>
              </w:rPr>
              <w:t>'''''''''''</w:t>
            </w:r>
            <w:r w:rsidR="00A9120C" w:rsidRPr="006E72A7">
              <w:rPr>
                <w:i/>
                <w:iCs/>
              </w:rPr>
              <w:t xml:space="preserve"> (</w:t>
            </w:r>
            <w:r>
              <w:rPr>
                <w:i/>
                <w:iCs/>
                <w:noProof/>
                <w:color w:val="000000"/>
                <w:highlight w:val="black"/>
              </w:rPr>
              <w:t>'''''''''''</w:t>
            </w:r>
            <w:r w:rsidR="00A9120C" w:rsidRPr="006E72A7">
              <w:rPr>
                <w:i/>
                <w:iCs/>
              </w:rPr>
              <w:t xml:space="preserve">, </w:t>
            </w:r>
            <w:r>
              <w:rPr>
                <w:i/>
                <w:iCs/>
                <w:noProof/>
                <w:color w:val="000000"/>
                <w:highlight w:val="black"/>
              </w:rPr>
              <w:t>''''''''''</w:t>
            </w:r>
            <w:r w:rsidR="00A9120C" w:rsidRPr="006E72A7">
              <w:rPr>
                <w:i/>
                <w:iCs/>
              </w:rPr>
              <w:t>)</w:t>
            </w:r>
          </w:p>
        </w:tc>
      </w:tr>
      <w:tr w:rsidR="00A9120C" w:rsidRPr="006E72A7" w:rsidTr="00A9120C">
        <w:trPr>
          <w:trHeight w:val="70"/>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rPr>
                <w:b/>
                <w:bCs/>
              </w:rPr>
            </w:pPr>
            <w:r w:rsidRPr="006E72A7">
              <w:rPr>
                <w:b/>
                <w:bCs/>
              </w:rPr>
              <w:t>Alirocumab 75/150 mg fortnightly versus evolocumab 140 mg fortnightly</w:t>
            </w:r>
          </w:p>
        </w:tc>
      </w:tr>
      <w:tr w:rsidR="00A9120C" w:rsidRPr="006E72A7" w:rsidTr="00A9120C">
        <w:trPr>
          <w:trHeight w:val="281"/>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 xml:space="preserve">Alirocumab 75/150 mg fortnightly (FH I and II, Week 12, ITT) versus evolocumab 140 mg fortnightly (RUTHERFORD II, Week 12, ITT)  </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rPr>
                <w:i/>
                <w:iCs/>
              </w:rPr>
            </w:pPr>
            <w:r w:rsidRPr="006E72A7">
              <w:rPr>
                <w:i/>
                <w:iCs/>
              </w:rPr>
              <w:t>4.18 (-4.44, 12.80)</w:t>
            </w:r>
          </w:p>
        </w:tc>
      </w:tr>
      <w:tr w:rsidR="00A9120C" w:rsidRPr="006E72A7" w:rsidTr="00A9120C">
        <w:trPr>
          <w:trHeight w:val="70"/>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rPr>
                <w:b/>
                <w:bCs/>
              </w:rPr>
              <w:t xml:space="preserve">Alirocumab 300 mg 4-weekly (monthly) versus evolocumab 420 mg monthly </w:t>
            </w:r>
          </w:p>
        </w:tc>
      </w:tr>
      <w:tr w:rsidR="00A9120C" w:rsidRPr="006E72A7" w:rsidTr="00A9120C">
        <w:trPr>
          <w:trHeight w:val="70"/>
        </w:trPr>
        <w:tc>
          <w:tcPr>
            <w:tcW w:w="38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pPr>
            <w:r w:rsidRPr="006E72A7">
              <w:t xml:space="preserve">Alirocumab 300 mg 4-weekly (Stein 2012, Week 12, ITT) versus evolocumab 420 mg monthly (RUTHERFORD I and II, Week 12, ITT)  </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120C" w:rsidRPr="006E72A7" w:rsidRDefault="00A9120C" w:rsidP="00110317">
            <w:pPr>
              <w:pStyle w:val="TableText0"/>
              <w:spacing w:before="0" w:after="0" w:line="252" w:lineRule="auto"/>
              <w:jc w:val="center"/>
              <w:rPr>
                <w:b/>
                <w:bCs/>
                <w:i/>
                <w:iCs/>
              </w:rPr>
            </w:pPr>
            <w:r w:rsidRPr="006E72A7">
              <w:rPr>
                <w:b/>
                <w:bCs/>
                <w:i/>
                <w:iCs/>
              </w:rPr>
              <w:t>27.09 (11.98, 42.20)</w:t>
            </w:r>
          </w:p>
        </w:tc>
      </w:tr>
    </w:tbl>
    <w:p w:rsidR="00A9120C" w:rsidRPr="006E72A7" w:rsidRDefault="00A9120C" w:rsidP="00110317">
      <w:pPr>
        <w:pStyle w:val="TableFooter"/>
        <w:keepNext/>
        <w:rPr>
          <w:rFonts w:eastAsiaTheme="minorHAnsi" w:cs="Times New Roman"/>
          <w:szCs w:val="18"/>
        </w:rPr>
      </w:pPr>
      <w:r w:rsidRPr="006E72A7">
        <w:t>Source: Table 2.7.8, p156 and Table 2.7.9, p157 of the resubmission; Table 2, p.4, and Table 3, p.6, FH I CSR; Table 10.6.1.1, p.169, Table 10.6.1.2, p.242, Table 10.6.2.1.16, p.264, and Table 10.6.1.16, p.265, FH II CSR; Ginsberg et al. (2016); Moriarty et al. (2016); Stein et al. (2012); Raal et al. (2012); Raal et al. (2015).</w:t>
      </w:r>
    </w:p>
    <w:p w:rsidR="00A9120C" w:rsidRPr="006E72A7" w:rsidRDefault="00A9120C" w:rsidP="00110317">
      <w:pPr>
        <w:pStyle w:val="TableFooter"/>
        <w:keepNext/>
        <w:rPr>
          <w:sz w:val="20"/>
          <w:szCs w:val="20"/>
          <w:lang w:eastAsia="en-AU"/>
        </w:rPr>
      </w:pPr>
      <w:r w:rsidRPr="006E72A7">
        <w:t>Abbreviations: CI, confidence interval; ITT, intention-to-treat; SE, standard error</w:t>
      </w:r>
    </w:p>
    <w:p w:rsidR="00A9120C" w:rsidRPr="006E72A7" w:rsidRDefault="00A9120C" w:rsidP="00110317">
      <w:pPr>
        <w:pStyle w:val="TableFooter"/>
        <w:keepNext/>
        <w:rPr>
          <w:i/>
          <w:iCs/>
        </w:rPr>
      </w:pPr>
      <w:r w:rsidRPr="006E72A7">
        <w:rPr>
          <w:i/>
          <w:iCs/>
        </w:rPr>
        <w:t>Italicised results were calculated during the evaluation</w:t>
      </w:r>
    </w:p>
    <w:p w:rsidR="00A9120C" w:rsidRPr="006E72A7" w:rsidRDefault="00A9120C" w:rsidP="00110317">
      <w:pPr>
        <w:pStyle w:val="TableFooter"/>
        <w:keepNext/>
        <w:rPr>
          <w:i/>
          <w:iCs/>
        </w:rPr>
      </w:pPr>
      <w:r w:rsidRPr="006E72A7">
        <w:rPr>
          <w:i/>
          <w:iCs/>
        </w:rPr>
        <w:t>Note that a positive treatment difference indicates a smaller LDL reduction with alirocumab compared with evolocumab.</w:t>
      </w:r>
    </w:p>
    <w:p w:rsidR="005034B9" w:rsidRPr="006E72A7" w:rsidRDefault="005034B9" w:rsidP="00DD046C">
      <w:pPr>
        <w:pStyle w:val="ListParagraph"/>
        <w:keepNext/>
        <w:widowControl/>
        <w:numPr>
          <w:ilvl w:val="1"/>
          <w:numId w:val="1"/>
        </w:numPr>
        <w:spacing w:before="120" w:after="120"/>
        <w:rPr>
          <w:rStyle w:val="CommentReference"/>
          <w:rFonts w:ascii="Calibri" w:hAnsi="Calibri"/>
          <w:b w:val="0"/>
          <w:sz w:val="24"/>
          <w:szCs w:val="22"/>
        </w:rPr>
      </w:pPr>
      <w:r w:rsidRPr="006E72A7">
        <w:rPr>
          <w:rStyle w:val="CommentReference"/>
          <w:rFonts w:ascii="Calibri" w:hAnsi="Calibri"/>
          <w:b w:val="0"/>
          <w:sz w:val="24"/>
          <w:szCs w:val="22"/>
        </w:rPr>
        <w:t>Based on the indirect analyses, the resubmission claimed no statistically significant difference in relative LDL reduction associated with alirocumab compared with evolocumab. These results should be interpreted with caution as the analyses were based on a limited body of evidence (e.g. selected trials and subgroups of patients from FH I and FH II that did not require up-titration to achieve target LDL thresholds)</w:t>
      </w:r>
      <w:r w:rsidR="006E72A7">
        <w:rPr>
          <w:rStyle w:val="CommentReference"/>
          <w:rFonts w:ascii="Calibri" w:hAnsi="Calibri"/>
          <w:b w:val="0"/>
          <w:sz w:val="24"/>
          <w:szCs w:val="22"/>
        </w:rPr>
        <w:t xml:space="preserve">. </w:t>
      </w:r>
      <w:r w:rsidRPr="006E72A7">
        <w:rPr>
          <w:rStyle w:val="CommentReference"/>
          <w:rFonts w:ascii="Calibri" w:hAnsi="Calibri"/>
          <w:b w:val="0"/>
          <w:sz w:val="24"/>
          <w:szCs w:val="22"/>
        </w:rPr>
        <w:t xml:space="preserve"> </w:t>
      </w:r>
    </w:p>
    <w:p w:rsidR="00157D88" w:rsidRPr="006E72A7" w:rsidRDefault="005034B9" w:rsidP="00DD046C">
      <w:pPr>
        <w:pStyle w:val="ListParagraph"/>
        <w:widowControl/>
        <w:numPr>
          <w:ilvl w:val="1"/>
          <w:numId w:val="1"/>
        </w:numPr>
        <w:spacing w:before="120" w:after="120"/>
      </w:pPr>
      <w:r w:rsidRPr="006E72A7">
        <w:t>The alternative indirect analyses suggest that treatment with lower-dose alirocumab (75 mg fortnightly or 300 mg 4-weekly) was associated with statistically significantly lower reductions in LDL levels compared with evolocumab 140 mg fortnightly or 420 mg monthly. However, there was no statistically significant difference between lower-dose alirocumab and evolocumab in the subgroup of patients that did not require up-titration. There was no statistically significant difference between higher dose alirocumab treatment regimens (150 mg fortnightly, titration 75-150 mg fortnightly) and evolocumab</w:t>
      </w:r>
      <w:r w:rsidR="006E72A7">
        <w:t xml:space="preserve">. </w:t>
      </w:r>
    </w:p>
    <w:p w:rsidR="00121654" w:rsidRPr="006E72A7" w:rsidRDefault="00690A8E" w:rsidP="00DD046C">
      <w:pPr>
        <w:pStyle w:val="ListParagraph"/>
        <w:widowControl/>
        <w:numPr>
          <w:ilvl w:val="1"/>
          <w:numId w:val="1"/>
        </w:numPr>
        <w:spacing w:before="120" w:after="120"/>
      </w:pPr>
      <w:r w:rsidRPr="006E72A7">
        <w:rPr>
          <w:rStyle w:val="CommentReference"/>
          <w:rFonts w:ascii="Calibri" w:hAnsi="Calibri"/>
          <w:b w:val="0"/>
          <w:sz w:val="24"/>
          <w:szCs w:val="22"/>
        </w:rPr>
        <w:lastRenderedPageBreak/>
        <w:t>The PSCR stated t</w:t>
      </w:r>
      <w:r w:rsidRPr="006E72A7">
        <w:t xml:space="preserve">he titration protocol of the alirocumab trials </w:t>
      </w:r>
      <w:r w:rsidR="00DC7658" w:rsidRPr="006E72A7">
        <w:t xml:space="preserve">used in the additional analyses </w:t>
      </w:r>
      <w:r w:rsidRPr="006E72A7">
        <w:t xml:space="preserve">only allowed up-titration to occur from Week 12; and as such, not all patients were optimally dosed at the timing of the Week 12 LDL-C measurement. The ESC </w:t>
      </w:r>
      <w:r w:rsidR="0084306B" w:rsidRPr="006E72A7">
        <w:t>not</w:t>
      </w:r>
      <w:r w:rsidRPr="006E72A7">
        <w:t>ed</w:t>
      </w:r>
      <w:r w:rsidR="00157D88" w:rsidRPr="006E72A7">
        <w:t xml:space="preserve"> that</w:t>
      </w:r>
      <w:r w:rsidRPr="006E72A7">
        <w:t xml:space="preserve"> </w:t>
      </w:r>
      <w:r w:rsidR="0084306B" w:rsidRPr="006E72A7">
        <w:t>there was no statistically significant difference</w:t>
      </w:r>
      <w:r w:rsidR="00157D88" w:rsidRPr="006E72A7">
        <w:t xml:space="preserve"> </w:t>
      </w:r>
      <w:r w:rsidR="0084306B" w:rsidRPr="006E72A7">
        <w:t xml:space="preserve">with evolocumab </w:t>
      </w:r>
      <w:r w:rsidR="00157D88" w:rsidRPr="006E72A7">
        <w:t xml:space="preserve">in the 75mg fortnightly dose for </w:t>
      </w:r>
      <w:r w:rsidR="00B642FB" w:rsidRPr="006E72A7">
        <w:t>patients</w:t>
      </w:r>
      <w:r w:rsidR="00157D88" w:rsidRPr="006E72A7">
        <w:t xml:space="preserve"> that did not require up-titration</w:t>
      </w:r>
      <w:r w:rsidR="0084306B" w:rsidRPr="006E72A7">
        <w:t>;</w:t>
      </w:r>
      <w:r w:rsidR="00157D88" w:rsidRPr="006E72A7">
        <w:t xml:space="preserve"> however</w:t>
      </w:r>
      <w:r w:rsidR="0084306B" w:rsidRPr="006E72A7">
        <w:t>,</w:t>
      </w:r>
      <w:r w:rsidR="00157D88" w:rsidRPr="006E72A7">
        <w:t xml:space="preserve"> the patient</w:t>
      </w:r>
      <w:r w:rsidRPr="006E72A7">
        <w:t xml:space="preserve"> numbers in the</w:t>
      </w:r>
      <w:r w:rsidR="00157D88" w:rsidRPr="006E72A7">
        <w:t>se</w:t>
      </w:r>
      <w:r w:rsidRPr="006E72A7">
        <w:t xml:space="preserve"> subgroup analyses </w:t>
      </w:r>
      <w:r w:rsidR="00157D88" w:rsidRPr="006E72A7">
        <w:t>were small</w:t>
      </w:r>
      <w:r w:rsidRPr="006E72A7">
        <w:t xml:space="preserve"> and</w:t>
      </w:r>
      <w:r w:rsidR="00996EF2" w:rsidRPr="006E72A7">
        <w:t>, other than in one instance,</w:t>
      </w:r>
      <w:r w:rsidRPr="006E72A7">
        <w:t xml:space="preserve"> the point estimates </w:t>
      </w:r>
      <w:r w:rsidR="00996EF2" w:rsidRPr="006E72A7">
        <w:t xml:space="preserve">of the non-statistically significant differences consistently </w:t>
      </w:r>
      <w:r w:rsidRPr="006E72A7">
        <w:t>favoured evolocumab</w:t>
      </w:r>
      <w:r w:rsidR="00996EF2" w:rsidRPr="006E72A7">
        <w:t>.</w:t>
      </w:r>
      <w:r w:rsidR="00157D88" w:rsidRPr="006E72A7">
        <w:t xml:space="preserve"> </w:t>
      </w:r>
      <w:r w:rsidR="0084306B" w:rsidRPr="006E72A7">
        <w:t xml:space="preserve">The ESC also noted the confidence intervals were wide </w:t>
      </w:r>
      <w:r w:rsidR="00937536" w:rsidRPr="006E72A7">
        <w:t xml:space="preserve">for both the analyses </w:t>
      </w:r>
      <w:r w:rsidR="002045E3" w:rsidRPr="006E72A7">
        <w:t xml:space="preserve">presented in the resubmission, </w:t>
      </w:r>
      <w:r w:rsidR="002C5302" w:rsidRPr="006E72A7">
        <w:t xml:space="preserve">using </w:t>
      </w:r>
      <w:r w:rsidR="002045E3" w:rsidRPr="006E72A7">
        <w:t>the data which</w:t>
      </w:r>
      <w:r w:rsidR="002C5302" w:rsidRPr="006E72A7">
        <w:t xml:space="preserve"> pooled </w:t>
      </w:r>
      <w:r w:rsidR="002045E3" w:rsidRPr="006E72A7">
        <w:t xml:space="preserve">the doses of alirocumab, </w:t>
      </w:r>
      <w:r w:rsidR="00937536" w:rsidRPr="006E72A7">
        <w:t>and the additional analyses from the evaluation</w:t>
      </w:r>
      <w:r w:rsidR="0084306B" w:rsidRPr="006E72A7">
        <w:t>.</w:t>
      </w:r>
      <w:r w:rsidR="002C5302" w:rsidRPr="006E72A7">
        <w:t xml:space="preserve"> Based on the margins identified in the resubmission, non-inferiority would not be met.</w:t>
      </w:r>
      <w:r w:rsidR="00157D88" w:rsidRPr="006E72A7">
        <w:t xml:space="preserve"> </w:t>
      </w:r>
      <w:bookmarkStart w:id="12" w:name="_Toc536003314"/>
    </w:p>
    <w:p w:rsidR="00B60939" w:rsidRPr="006E72A7" w:rsidRDefault="00B60939" w:rsidP="00DD046C">
      <w:pPr>
        <w:pStyle w:val="Heading2"/>
        <w:widowControl/>
        <w:spacing w:before="120" w:after="120"/>
      </w:pPr>
      <w:r w:rsidRPr="006E72A7">
        <w:t>Comparative harms</w:t>
      </w:r>
      <w:bookmarkEnd w:id="12"/>
    </w:p>
    <w:p w:rsidR="005D26B4" w:rsidRPr="006E72A7" w:rsidRDefault="006F4A7A" w:rsidP="00DD046C">
      <w:pPr>
        <w:pStyle w:val="ListParagraph"/>
        <w:widowControl/>
        <w:numPr>
          <w:ilvl w:val="1"/>
          <w:numId w:val="1"/>
        </w:numPr>
        <w:spacing w:before="120" w:after="120"/>
      </w:pPr>
      <w:r w:rsidRPr="006E72A7">
        <w:t>The most frequently reported adverse events associated with alirocumab were infections and infestations, musculoskeletal (myalgia, muscle spasms, musculoskeletal pain), general disorders and administration site conditions (fatigue, injection site reactions), and gastrointestinal disorders (diarrhoea, nausea, constipation).</w:t>
      </w:r>
    </w:p>
    <w:p w:rsidR="006F4A7A" w:rsidRPr="006E72A7" w:rsidRDefault="006F4A7A" w:rsidP="00DD046C">
      <w:pPr>
        <w:pStyle w:val="ListParagraph"/>
        <w:widowControl/>
        <w:numPr>
          <w:ilvl w:val="1"/>
          <w:numId w:val="1"/>
        </w:numPr>
        <w:spacing w:before="120" w:after="120"/>
      </w:pPr>
      <w:r w:rsidRPr="006E72A7">
        <w:t>In regards to adverse events of special interest, treatment with alirocumab was associated with a higher incidence of local injection site reactions.</w:t>
      </w:r>
    </w:p>
    <w:p w:rsidR="006F4A7A" w:rsidRPr="006E72A7" w:rsidRDefault="006F4A7A" w:rsidP="00DD046C">
      <w:pPr>
        <w:pStyle w:val="ListParagraph"/>
        <w:widowControl/>
        <w:numPr>
          <w:ilvl w:val="1"/>
          <w:numId w:val="1"/>
        </w:numPr>
        <w:spacing w:before="120" w:after="120"/>
      </w:pPr>
      <w:r w:rsidRPr="006E72A7">
        <w:t>An expanded assessment of harms identified important risks including hypersensitivity reactions and immunogenicity (i.e. development of anti-alirocumab antibodies). Important potential risks include cataract (in very low LDL levels) and neurocognitive disorders. No new safety signals were identified.</w:t>
      </w:r>
    </w:p>
    <w:p w:rsidR="006F4A7A" w:rsidRPr="006E72A7" w:rsidRDefault="006F4A7A" w:rsidP="00DD046C">
      <w:pPr>
        <w:pStyle w:val="ListParagraph"/>
        <w:widowControl/>
        <w:numPr>
          <w:ilvl w:val="1"/>
          <w:numId w:val="1"/>
        </w:numPr>
        <w:spacing w:before="120" w:after="120"/>
      </w:pPr>
      <w:r w:rsidRPr="006E72A7">
        <w:t xml:space="preserve">No new safety signals were identified in additional safety data from the OLE study of </w:t>
      </w:r>
      <w:r w:rsidR="00394DDB" w:rsidRPr="006E72A7">
        <w:t>he-FH</w:t>
      </w:r>
      <w:r w:rsidRPr="006E72A7">
        <w:t xml:space="preserve"> patients (up to 3.5 years of follow-up).</w:t>
      </w:r>
    </w:p>
    <w:p w:rsidR="006F4A7A" w:rsidRPr="006E72A7" w:rsidRDefault="006F4A7A" w:rsidP="00DD046C">
      <w:pPr>
        <w:pStyle w:val="ListParagraph"/>
        <w:widowControl/>
        <w:numPr>
          <w:ilvl w:val="1"/>
          <w:numId w:val="1"/>
        </w:numPr>
        <w:spacing w:before="120" w:after="120"/>
      </w:pPr>
      <w:r w:rsidRPr="006E72A7">
        <w:t>The PBAC has previously considered safety data from the FOURIER trial (and EBBINGHAUS sub-study of neurocognitive measures) and other evolocumab lipid trials in the July 2018 evolocumab submission</w:t>
      </w:r>
      <w:r w:rsidR="006E72A7">
        <w:t xml:space="preserve">. </w:t>
      </w:r>
    </w:p>
    <w:p w:rsidR="006F4A7A" w:rsidRPr="006E72A7" w:rsidRDefault="006F4A7A" w:rsidP="00DD046C">
      <w:pPr>
        <w:pStyle w:val="ListParagraph"/>
        <w:widowControl/>
        <w:numPr>
          <w:ilvl w:val="1"/>
          <w:numId w:val="1"/>
        </w:numPr>
        <w:spacing w:before="120" w:after="120"/>
      </w:pPr>
      <w:r w:rsidRPr="006E72A7">
        <w:t>The most frequently reported adverse events with evolocumab were musculoskeletal disorders (myalgia, pain in extremity, muscle spasms, arthralgia, back pain), infections (nasopharyngitis, upper respiratory tract infection, influenza), general disorders and administration site conditions (fatigue, injection site reactions), gastrointestinal disorders (diarrhoea, nausea, constipation) and nervous system disorders (headache).</w:t>
      </w:r>
    </w:p>
    <w:p w:rsidR="006F4A7A" w:rsidRPr="006E72A7" w:rsidRDefault="006F4A7A" w:rsidP="00DD046C">
      <w:pPr>
        <w:pStyle w:val="ListParagraph"/>
        <w:widowControl/>
        <w:numPr>
          <w:ilvl w:val="1"/>
          <w:numId w:val="1"/>
        </w:numPr>
        <w:spacing w:before="120" w:after="120"/>
      </w:pPr>
      <w:r w:rsidRPr="006E72A7">
        <w:t>In regards to adverse events of special interest, treatment with evolocumab was associated with a higher incidence of mild to moderate hypersensitivity reactions and injection site reactions compared to placebo. There was no statistically significant difference in neurocognitive measures between evolocumab and placebo for patients enrolled in the EBBINGHAUS sub-study.</w:t>
      </w:r>
    </w:p>
    <w:p w:rsidR="006F4A7A" w:rsidRDefault="006F4A7A" w:rsidP="00DD046C">
      <w:pPr>
        <w:pStyle w:val="ListParagraph"/>
        <w:widowControl/>
        <w:numPr>
          <w:ilvl w:val="1"/>
          <w:numId w:val="1"/>
        </w:numPr>
        <w:spacing w:before="120" w:after="120"/>
      </w:pPr>
      <w:r w:rsidRPr="006E72A7">
        <w:t xml:space="preserve">There was a lack of data to adequately assess </w:t>
      </w:r>
      <w:r w:rsidR="0031047D" w:rsidRPr="006E72A7">
        <w:t xml:space="preserve">the comparative safety of alirocumab and evolocumab. </w:t>
      </w:r>
    </w:p>
    <w:p w:rsidR="00DD046C" w:rsidRPr="006E72A7" w:rsidRDefault="00DD046C" w:rsidP="00DD046C">
      <w:pPr>
        <w:pStyle w:val="ListParagraph"/>
        <w:widowControl/>
        <w:spacing w:before="120" w:after="120"/>
      </w:pPr>
    </w:p>
    <w:p w:rsidR="007F1017" w:rsidRPr="006E72A7" w:rsidRDefault="007F1017" w:rsidP="00DD046C">
      <w:pPr>
        <w:pStyle w:val="Heading2"/>
        <w:widowControl/>
        <w:spacing w:before="120" w:after="120"/>
      </w:pPr>
      <w:bookmarkStart w:id="13" w:name="_Toc536003315"/>
      <w:r w:rsidRPr="006E72A7">
        <w:lastRenderedPageBreak/>
        <w:t>Benefits/harms</w:t>
      </w:r>
      <w:bookmarkEnd w:id="13"/>
    </w:p>
    <w:p w:rsidR="0031047D" w:rsidRPr="006E72A7" w:rsidRDefault="0031047D" w:rsidP="00DD046C">
      <w:pPr>
        <w:pStyle w:val="ListParagraph"/>
        <w:widowControl/>
        <w:numPr>
          <w:ilvl w:val="1"/>
          <w:numId w:val="1"/>
        </w:numPr>
        <w:spacing w:before="120" w:after="120"/>
        <w:rPr>
          <w:rFonts w:cs="Calibri"/>
          <w:snapToGrid/>
          <w:szCs w:val="24"/>
          <w:lang w:eastAsia="en-AU"/>
        </w:rPr>
      </w:pPr>
      <w:r w:rsidRPr="006E72A7">
        <w:rPr>
          <w:rFonts w:cs="Calibri"/>
          <w:snapToGrid/>
          <w:szCs w:val="24"/>
          <w:lang w:eastAsia="en-AU"/>
        </w:rPr>
        <w:t>A benefits/harms summary was not presented for alirocumab versus evolocumab due to the claim of non-inferiority.</w:t>
      </w:r>
    </w:p>
    <w:p w:rsidR="00686CD1" w:rsidRPr="006E72A7" w:rsidRDefault="00686CD1" w:rsidP="00DD046C">
      <w:pPr>
        <w:pStyle w:val="ListParagraph"/>
        <w:widowControl/>
        <w:numPr>
          <w:ilvl w:val="1"/>
          <w:numId w:val="1"/>
        </w:numPr>
        <w:spacing w:before="120" w:after="120"/>
        <w:rPr>
          <w:rFonts w:cs="Calibri"/>
          <w:snapToGrid/>
          <w:szCs w:val="24"/>
          <w:lang w:eastAsia="en-AU"/>
        </w:rPr>
      </w:pPr>
      <w:r w:rsidRPr="006E72A7">
        <w:rPr>
          <w:rFonts w:cs="Calibri"/>
          <w:snapToGrid/>
          <w:szCs w:val="24"/>
          <w:lang w:eastAsia="en-AU"/>
        </w:rPr>
        <w:t xml:space="preserve">On the basis of direct evidence presented in the resubmission, for every 1000 patients with recent </w:t>
      </w:r>
      <w:r w:rsidR="00EE29DB">
        <w:rPr>
          <w:rFonts w:cs="Calibri"/>
          <w:snapToGrid/>
          <w:szCs w:val="24"/>
          <w:lang w:eastAsia="en-AU"/>
        </w:rPr>
        <w:t>ACS</w:t>
      </w:r>
      <w:r w:rsidRPr="006E72A7">
        <w:rPr>
          <w:rFonts w:cs="Calibri"/>
          <w:snapToGrid/>
          <w:szCs w:val="24"/>
          <w:lang w:eastAsia="en-AU"/>
        </w:rPr>
        <w:t xml:space="preserve"> and hypercholesterolaemia</w:t>
      </w:r>
      <w:r w:rsidR="00A5274C" w:rsidRPr="006E72A7">
        <w:rPr>
          <w:rFonts w:cs="Calibri"/>
          <w:snapToGrid/>
          <w:szCs w:val="24"/>
          <w:lang w:eastAsia="en-AU"/>
        </w:rPr>
        <w:t xml:space="preserve"> (LDL-C </w:t>
      </w:r>
      <w:r w:rsidR="00A5274C" w:rsidRPr="006E72A7">
        <w:t>≥1.81 mmol/L)</w:t>
      </w:r>
      <w:r w:rsidRPr="006E72A7">
        <w:rPr>
          <w:rFonts w:cs="Calibri"/>
          <w:snapToGrid/>
          <w:szCs w:val="24"/>
          <w:lang w:eastAsia="en-AU"/>
        </w:rPr>
        <w:t xml:space="preserve"> treated with alirocumab in comparison to placebo </w:t>
      </w:r>
      <w:r w:rsidR="002C3A64" w:rsidRPr="006E72A7">
        <w:rPr>
          <w:rFonts w:cs="Calibri"/>
          <w:snapToGrid/>
          <w:szCs w:val="24"/>
          <w:lang w:eastAsia="en-AU"/>
        </w:rPr>
        <w:t xml:space="preserve">over a median duration of 2.8 years </w:t>
      </w:r>
      <w:r w:rsidRPr="006E72A7">
        <w:rPr>
          <w:rFonts w:cs="Calibri"/>
          <w:snapToGrid/>
          <w:szCs w:val="24"/>
          <w:lang w:eastAsia="en-AU"/>
        </w:rPr>
        <w:t>would result in:</w:t>
      </w:r>
    </w:p>
    <w:p w:rsidR="00686CD1" w:rsidRPr="006E72A7" w:rsidRDefault="00686CD1" w:rsidP="00DD046C">
      <w:pPr>
        <w:pStyle w:val="ListParagraph"/>
        <w:widowControl/>
        <w:numPr>
          <w:ilvl w:val="0"/>
          <w:numId w:val="10"/>
        </w:numPr>
        <w:spacing w:before="120" w:after="120"/>
        <w:ind w:left="1434" w:hanging="357"/>
        <w:rPr>
          <w:rFonts w:cs="Calibri"/>
          <w:snapToGrid/>
          <w:szCs w:val="24"/>
          <w:lang w:eastAsia="en-AU"/>
        </w:rPr>
      </w:pPr>
      <w:r w:rsidRPr="006E72A7">
        <w:rPr>
          <w:rFonts w:cs="Calibri"/>
          <w:snapToGrid/>
          <w:szCs w:val="24"/>
          <w:lang w:eastAsia="en-AU"/>
        </w:rPr>
        <w:t>Approximately 2 fewer patients with a major adverse cardiovascular event, primarily driven by a difference in myocardial infarction</w:t>
      </w:r>
    </w:p>
    <w:p w:rsidR="00774902" w:rsidRPr="006E72A7" w:rsidRDefault="00774902" w:rsidP="00DD046C">
      <w:pPr>
        <w:pStyle w:val="ListParagraph"/>
        <w:widowControl/>
        <w:numPr>
          <w:ilvl w:val="0"/>
          <w:numId w:val="10"/>
        </w:numPr>
        <w:spacing w:before="120" w:after="120"/>
        <w:rPr>
          <w:rFonts w:cs="Calibri"/>
          <w:snapToGrid/>
          <w:szCs w:val="24"/>
          <w:lang w:eastAsia="en-AU"/>
        </w:rPr>
      </w:pPr>
      <w:r w:rsidRPr="006E72A7">
        <w:rPr>
          <w:rFonts w:cs="Calibri"/>
          <w:snapToGrid/>
          <w:szCs w:val="24"/>
          <w:lang w:eastAsia="en-AU"/>
        </w:rPr>
        <w:t xml:space="preserve">No apparent difference in adverse events </w:t>
      </w:r>
    </w:p>
    <w:p w:rsidR="00B60939" w:rsidRPr="006E72A7" w:rsidRDefault="0031047D" w:rsidP="00DD046C">
      <w:pPr>
        <w:pStyle w:val="ListParagraph"/>
        <w:widowControl/>
        <w:numPr>
          <w:ilvl w:val="1"/>
          <w:numId w:val="1"/>
        </w:numPr>
        <w:spacing w:before="120" w:after="120"/>
        <w:rPr>
          <w:rFonts w:cs="Calibri"/>
          <w:snapToGrid/>
          <w:szCs w:val="24"/>
          <w:lang w:eastAsia="en-AU"/>
        </w:rPr>
      </w:pPr>
      <w:r w:rsidRPr="006E72A7">
        <w:rPr>
          <w:rFonts w:cs="Calibri"/>
          <w:snapToGrid/>
          <w:szCs w:val="24"/>
          <w:lang w:eastAsia="en-AU"/>
        </w:rPr>
        <w:t xml:space="preserve">On the basis of direct evidence presented in the resubmission, for every </w:t>
      </w:r>
      <w:r w:rsidR="00686CD1" w:rsidRPr="006E72A7">
        <w:rPr>
          <w:rFonts w:cs="Calibri"/>
          <w:snapToGrid/>
          <w:szCs w:val="24"/>
          <w:lang w:eastAsia="en-AU"/>
        </w:rPr>
        <w:t>100</w:t>
      </w:r>
      <w:r w:rsidR="00774902" w:rsidRPr="006E72A7">
        <w:rPr>
          <w:rFonts w:cs="Calibri"/>
          <w:snapToGrid/>
          <w:szCs w:val="24"/>
          <w:lang w:eastAsia="en-AU"/>
        </w:rPr>
        <w:t>0</w:t>
      </w:r>
      <w:r w:rsidR="00686CD1" w:rsidRPr="006E72A7">
        <w:rPr>
          <w:rFonts w:cs="Calibri"/>
          <w:snapToGrid/>
          <w:szCs w:val="24"/>
          <w:lang w:eastAsia="en-AU"/>
        </w:rPr>
        <w:t xml:space="preserve"> patients with recent </w:t>
      </w:r>
      <w:r w:rsidR="00EE29DB">
        <w:rPr>
          <w:rFonts w:cs="Calibri"/>
          <w:snapToGrid/>
          <w:szCs w:val="24"/>
          <w:lang w:eastAsia="en-AU"/>
        </w:rPr>
        <w:t>ACS</w:t>
      </w:r>
      <w:r w:rsidR="00686CD1" w:rsidRPr="006E72A7">
        <w:rPr>
          <w:rFonts w:cs="Calibri"/>
          <w:snapToGrid/>
          <w:szCs w:val="24"/>
          <w:lang w:eastAsia="en-AU"/>
        </w:rPr>
        <w:t>, hypercholesterolaemia</w:t>
      </w:r>
      <w:r w:rsidR="00A5274C" w:rsidRPr="006E72A7">
        <w:rPr>
          <w:rFonts w:cs="Calibri"/>
          <w:snapToGrid/>
          <w:szCs w:val="24"/>
          <w:lang w:eastAsia="en-AU"/>
        </w:rPr>
        <w:t xml:space="preserve"> (LDL-C ≥ 2.6 mmol/L)</w:t>
      </w:r>
      <w:r w:rsidR="00686CD1" w:rsidRPr="006E72A7">
        <w:rPr>
          <w:rFonts w:cs="Calibri"/>
          <w:snapToGrid/>
          <w:szCs w:val="24"/>
          <w:lang w:eastAsia="en-AU"/>
        </w:rPr>
        <w:t xml:space="preserve"> and diabetes treated with alirocumab in comparison to placebo</w:t>
      </w:r>
      <w:r w:rsidR="002C3A64" w:rsidRPr="006E72A7">
        <w:rPr>
          <w:rFonts w:cs="Calibri"/>
          <w:snapToGrid/>
          <w:szCs w:val="24"/>
          <w:lang w:eastAsia="en-AU"/>
        </w:rPr>
        <w:t xml:space="preserve"> (median duration unreported, up to 4 years of follow-up)</w:t>
      </w:r>
      <w:r w:rsidR="00686CD1" w:rsidRPr="006E72A7">
        <w:rPr>
          <w:rFonts w:cs="Calibri"/>
          <w:snapToGrid/>
          <w:szCs w:val="24"/>
          <w:lang w:eastAsia="en-AU"/>
        </w:rPr>
        <w:t xml:space="preserve"> would result in:</w:t>
      </w:r>
    </w:p>
    <w:p w:rsidR="00774902" w:rsidRPr="006E72A7" w:rsidRDefault="00686CD1" w:rsidP="00DD046C">
      <w:pPr>
        <w:pStyle w:val="ListParagraph"/>
        <w:widowControl/>
        <w:numPr>
          <w:ilvl w:val="0"/>
          <w:numId w:val="9"/>
        </w:numPr>
        <w:spacing w:before="120" w:after="120"/>
        <w:ind w:left="1434" w:hanging="357"/>
        <w:rPr>
          <w:rFonts w:cs="Calibri"/>
          <w:snapToGrid/>
          <w:szCs w:val="24"/>
          <w:lang w:eastAsia="en-AU"/>
        </w:rPr>
      </w:pPr>
      <w:r w:rsidRPr="006E72A7">
        <w:rPr>
          <w:rFonts w:cs="Calibri"/>
          <w:snapToGrid/>
          <w:szCs w:val="24"/>
          <w:lang w:eastAsia="en-AU"/>
        </w:rPr>
        <w:t>Approximately 7 fewer patients with a major adverse cardiovascular event, primarily driven by a diffe</w:t>
      </w:r>
      <w:r w:rsidR="002C3A64" w:rsidRPr="006E72A7">
        <w:rPr>
          <w:rFonts w:cs="Calibri"/>
          <w:snapToGrid/>
          <w:szCs w:val="24"/>
          <w:lang w:eastAsia="en-AU"/>
        </w:rPr>
        <w:t xml:space="preserve">rence in myocardial infarction </w:t>
      </w:r>
    </w:p>
    <w:p w:rsidR="00774902" w:rsidRPr="006E72A7" w:rsidRDefault="00774902" w:rsidP="00DD046C">
      <w:pPr>
        <w:pStyle w:val="ListParagraph"/>
        <w:widowControl/>
        <w:numPr>
          <w:ilvl w:val="0"/>
          <w:numId w:val="9"/>
        </w:numPr>
        <w:spacing w:before="120" w:after="120"/>
        <w:ind w:left="1434" w:hanging="357"/>
        <w:rPr>
          <w:rFonts w:cs="Calibri"/>
          <w:snapToGrid/>
          <w:szCs w:val="24"/>
          <w:lang w:eastAsia="en-AU"/>
        </w:rPr>
      </w:pPr>
      <w:r w:rsidRPr="006E72A7">
        <w:rPr>
          <w:rFonts w:cs="Calibri"/>
          <w:snapToGrid/>
          <w:szCs w:val="24"/>
          <w:lang w:eastAsia="en-AU"/>
        </w:rPr>
        <w:t xml:space="preserve">No apparent difference in adverse events </w:t>
      </w:r>
    </w:p>
    <w:p w:rsidR="00B60939" w:rsidRPr="006E72A7" w:rsidRDefault="00B60939" w:rsidP="00DD046C">
      <w:pPr>
        <w:pStyle w:val="Heading2"/>
        <w:widowControl/>
        <w:spacing w:before="120" w:after="120"/>
      </w:pPr>
      <w:bookmarkStart w:id="14" w:name="_Toc536003316"/>
      <w:r w:rsidRPr="006E72A7">
        <w:t>Clinical claim</w:t>
      </w:r>
      <w:bookmarkEnd w:id="14"/>
    </w:p>
    <w:p w:rsidR="00686CD1" w:rsidRPr="006E72A7" w:rsidRDefault="00686CD1" w:rsidP="00DD046C">
      <w:pPr>
        <w:pStyle w:val="ListParagraph"/>
        <w:widowControl/>
        <w:numPr>
          <w:ilvl w:val="1"/>
          <w:numId w:val="1"/>
        </w:numPr>
        <w:spacing w:before="120" w:after="120"/>
      </w:pPr>
      <w:r w:rsidRPr="006E72A7">
        <w:t xml:space="preserve">The resubmission described alirocumab as non-inferior in terms of efficacy and safety compared to evolocumab for the treatment of patients with </w:t>
      </w:r>
      <w:r w:rsidR="00394DDB" w:rsidRPr="006E72A7">
        <w:t>he-FH</w:t>
      </w:r>
      <w:r w:rsidRPr="006E72A7">
        <w:t xml:space="preserve"> with/without atherosclerotic cardiovascular disease and very high LDL levels. The </w:t>
      </w:r>
      <w:r w:rsidR="00F97A47" w:rsidRPr="006E72A7">
        <w:t>evalu</w:t>
      </w:r>
      <w:r w:rsidR="00B532CB" w:rsidRPr="006E72A7">
        <w:t>a</w:t>
      </w:r>
      <w:r w:rsidR="00F97A47" w:rsidRPr="006E72A7">
        <w:t xml:space="preserve">tion considered the </w:t>
      </w:r>
      <w:r w:rsidRPr="006E72A7">
        <w:t>efficacy claim may not be adequately supported due to the limitations with the indirect analyses of the ODYSSEY OUTCOMES and FOURIER trials</w:t>
      </w:r>
      <w:r w:rsidR="00D93BB9" w:rsidRPr="006E72A7">
        <w:t xml:space="preserve">. The results were difficult to interpret due to major issues of </w:t>
      </w:r>
      <w:r w:rsidRPr="006E72A7">
        <w:t xml:space="preserve">exchangeability </w:t>
      </w:r>
      <w:r w:rsidR="00D93BB9" w:rsidRPr="006E72A7">
        <w:t xml:space="preserve">of composite cardiovascular endpoints, baseline risk, circumstances of use of treatments, background therapies, follow-up durations </w:t>
      </w:r>
      <w:r w:rsidRPr="006E72A7">
        <w:t xml:space="preserve">and </w:t>
      </w:r>
      <w:r w:rsidR="00D93BB9" w:rsidRPr="006E72A7">
        <w:t xml:space="preserve">the </w:t>
      </w:r>
      <w:r w:rsidRPr="006E72A7">
        <w:t>applicability</w:t>
      </w:r>
      <w:r w:rsidR="00D93BB9" w:rsidRPr="006E72A7">
        <w:t xml:space="preserve"> of pre-dominantly non-familial trial populations to the PBS population with familial disease</w:t>
      </w:r>
      <w:r w:rsidRPr="006E72A7">
        <w:t xml:space="preserve">. Based on supportive indirect analyses of lipid trials, the efficacy claim may be reasonable for higher strengths of alirocumab (titration 75-150 mg fortnightly, 150 mg fortnightly) but </w:t>
      </w:r>
      <w:r w:rsidR="002926DD" w:rsidRPr="006E72A7">
        <w:t>i</w:t>
      </w:r>
      <w:r w:rsidRPr="006E72A7">
        <w:t xml:space="preserve">s not adequately supported for lower strengths (75 mg fortnightly or 300 mg monthly). </w:t>
      </w:r>
      <w:r w:rsidR="00EE059E" w:rsidRPr="006E72A7">
        <w:t>The ESC considered the non-inferi</w:t>
      </w:r>
      <w:r w:rsidR="00B642FB" w:rsidRPr="006E72A7">
        <w:t>o</w:t>
      </w:r>
      <w:r w:rsidR="00EE059E" w:rsidRPr="006E72A7">
        <w:t>r</w:t>
      </w:r>
      <w:r w:rsidR="00B642FB" w:rsidRPr="006E72A7">
        <w:t>i</w:t>
      </w:r>
      <w:r w:rsidR="00EE059E" w:rsidRPr="006E72A7">
        <w:t xml:space="preserve">ty of the higher strength </w:t>
      </w:r>
      <w:r w:rsidR="00B73816" w:rsidRPr="006E72A7">
        <w:t xml:space="preserve">may be </w:t>
      </w:r>
      <w:r w:rsidR="00EE059E" w:rsidRPr="006E72A7">
        <w:t>reasonable</w:t>
      </w:r>
      <w:r w:rsidR="002C5302" w:rsidRPr="006E72A7">
        <w:t xml:space="preserve">, although </w:t>
      </w:r>
      <w:r w:rsidR="002045E3" w:rsidRPr="006E72A7">
        <w:t>it wa</w:t>
      </w:r>
      <w:r w:rsidR="002C5302" w:rsidRPr="006E72A7">
        <w:t>s only weakly supported given the confidence intervals were wide and non-</w:t>
      </w:r>
      <w:r w:rsidR="00B642FB" w:rsidRPr="006E72A7">
        <w:t>inferiority</w:t>
      </w:r>
      <w:r w:rsidR="002C5302" w:rsidRPr="006E72A7">
        <w:t xml:space="preserve"> margin</w:t>
      </w:r>
      <w:r w:rsidR="002045E3" w:rsidRPr="006E72A7">
        <w:t>s</w:t>
      </w:r>
      <w:r w:rsidR="002C5302" w:rsidRPr="006E72A7">
        <w:t xml:space="preserve"> may not be met.</w:t>
      </w:r>
      <w:r w:rsidR="00EE059E" w:rsidRPr="006E72A7">
        <w:t xml:space="preserve"> </w:t>
      </w:r>
      <w:r w:rsidR="002C5302" w:rsidRPr="006E72A7">
        <w:t>The ESC advised that</w:t>
      </w:r>
      <w:r w:rsidR="00EE059E" w:rsidRPr="006E72A7">
        <w:t xml:space="preserve"> equi-effective dosing should not be based on analyses which pool the doses of a</w:t>
      </w:r>
      <w:r w:rsidR="00B642FB" w:rsidRPr="006E72A7">
        <w:t>l</w:t>
      </w:r>
      <w:r w:rsidR="00EE059E" w:rsidRPr="006E72A7">
        <w:t>irocumab, given the potential reduced effectiveness of the 75mg fortnightly dose.</w:t>
      </w:r>
      <w:r w:rsidR="00FE5189" w:rsidRPr="006E72A7">
        <w:t xml:space="preserve"> The distribution of patients in clinical </w:t>
      </w:r>
      <w:r w:rsidR="00B642FB" w:rsidRPr="006E72A7">
        <w:t>practice</w:t>
      </w:r>
      <w:r w:rsidR="00FE5189" w:rsidRPr="006E72A7">
        <w:t xml:space="preserve"> that will or will not require up-titration is unknown, and thus the implication of flat pricing is that there may be some inflated pricing for at least several months </w:t>
      </w:r>
      <w:r w:rsidR="002045E3" w:rsidRPr="006E72A7">
        <w:t xml:space="preserve">(up to 24 weeks) </w:t>
      </w:r>
      <w:r w:rsidR="00FE5189" w:rsidRPr="006E72A7">
        <w:t xml:space="preserve">for those patients not optimally dosed at 75mg fortnightly. </w:t>
      </w:r>
      <w:r w:rsidRPr="006E72A7">
        <w:t>The safety claim may be reasonable despite the lack of comparative data.</w:t>
      </w:r>
    </w:p>
    <w:p w:rsidR="00B31899" w:rsidRPr="006E72A7" w:rsidRDefault="008726C1" w:rsidP="00DD046C">
      <w:pPr>
        <w:pStyle w:val="ListParagraph"/>
        <w:widowControl/>
        <w:numPr>
          <w:ilvl w:val="1"/>
          <w:numId w:val="1"/>
        </w:numPr>
        <w:spacing w:before="120" w:after="120"/>
      </w:pPr>
      <w:r w:rsidRPr="006E72A7">
        <w:lastRenderedPageBreak/>
        <w:t xml:space="preserve">The resubmission described alirocumab as superior in terms of efficacy and non-inferior in terms of safety compared to placebo for the treatment of patients with previous </w:t>
      </w:r>
      <w:r w:rsidR="00EE29DB">
        <w:t>ACS</w:t>
      </w:r>
      <w:r w:rsidRPr="006E72A7">
        <w:t xml:space="preserve"> and diabetes who have elevated LDL levels. The efficacy claim may be reasonable based on the direct comparison of treatments in the ODYSSEY OUTCOMES trial (although alirocumab was not associated with a reduction in cardiovascular mortality). The safety claim was not reasonable given the higher incidence of local injection-site reactions associated with alirocumab.</w:t>
      </w:r>
      <w:r w:rsidR="005D4D85" w:rsidRPr="006E72A7">
        <w:t xml:space="preserve"> The ESC advised that the clinical trial data do not support </w:t>
      </w:r>
      <w:r w:rsidR="00D679AF" w:rsidRPr="006E72A7">
        <w:t xml:space="preserve">the safety claim, despite </w:t>
      </w:r>
      <w:r w:rsidR="005D4D85" w:rsidRPr="006E72A7">
        <w:t>no significant safety issues</w:t>
      </w:r>
      <w:r w:rsidR="00DE2FF5" w:rsidRPr="006E72A7">
        <w:t xml:space="preserve"> having</w:t>
      </w:r>
      <w:r w:rsidR="00D679AF" w:rsidRPr="006E72A7">
        <w:t xml:space="preserve"> been</w:t>
      </w:r>
      <w:r w:rsidR="005D4D85" w:rsidRPr="006E72A7">
        <w:t xml:space="preserve"> identified</w:t>
      </w:r>
      <w:r w:rsidR="00B31899" w:rsidRPr="006E72A7">
        <w:t xml:space="preserve"> (higher injection site reactions and development of anti-alirocumab antibodies)</w:t>
      </w:r>
      <w:r w:rsidR="00B532CB" w:rsidRPr="006E72A7">
        <w:t>.</w:t>
      </w:r>
    </w:p>
    <w:p w:rsidR="00F97A47" w:rsidRPr="006E72A7" w:rsidRDefault="00F97A47" w:rsidP="00DD046C">
      <w:pPr>
        <w:pStyle w:val="ListParagraph"/>
        <w:widowControl/>
        <w:numPr>
          <w:ilvl w:val="1"/>
          <w:numId w:val="1"/>
        </w:numPr>
        <w:spacing w:before="120" w:after="120"/>
        <w:ind w:left="810" w:hanging="810"/>
        <w:rPr>
          <w:rFonts w:asciiTheme="minorHAnsi" w:hAnsiTheme="minorHAnsi"/>
          <w:szCs w:val="20"/>
        </w:rPr>
      </w:pPr>
      <w:r w:rsidRPr="006E72A7">
        <w:rPr>
          <w:rFonts w:asciiTheme="minorHAnsi" w:hAnsiTheme="minorHAnsi"/>
          <w:szCs w:val="20"/>
        </w:rPr>
        <w:t xml:space="preserve">The PBAC considered the claim of non-inferior comparative effectiveness versus evolocumab was reasonable for the 150 mg fortnightly dose of alirocumab but was not adequately supported by the data for the 75 mg fortnightly or 300 mg monthly. </w:t>
      </w:r>
    </w:p>
    <w:p w:rsidR="00F97A47" w:rsidRPr="006E72A7" w:rsidRDefault="00DD4DF0" w:rsidP="00DD046C">
      <w:pPr>
        <w:pStyle w:val="ListParagraph"/>
        <w:widowControl/>
        <w:numPr>
          <w:ilvl w:val="1"/>
          <w:numId w:val="1"/>
        </w:numPr>
        <w:spacing w:before="120" w:after="120"/>
        <w:ind w:left="810" w:hanging="810"/>
        <w:rPr>
          <w:rFonts w:asciiTheme="minorHAnsi" w:hAnsiTheme="minorHAnsi"/>
          <w:szCs w:val="20"/>
        </w:rPr>
      </w:pPr>
      <w:r w:rsidRPr="006E72A7">
        <w:rPr>
          <w:rFonts w:asciiTheme="minorHAnsi" w:hAnsiTheme="minorHAnsi"/>
          <w:szCs w:val="20"/>
        </w:rPr>
        <w:t>The PBAC considered that the claim</w:t>
      </w:r>
      <w:r w:rsidR="005020C8" w:rsidRPr="006E72A7">
        <w:rPr>
          <w:rFonts w:asciiTheme="minorHAnsi" w:hAnsiTheme="minorHAnsi"/>
          <w:szCs w:val="20"/>
        </w:rPr>
        <w:t xml:space="preserve"> of </w:t>
      </w:r>
      <w:r w:rsidR="00E74B45" w:rsidRPr="006E72A7">
        <w:rPr>
          <w:rFonts w:asciiTheme="minorHAnsi" w:hAnsiTheme="minorHAnsi"/>
          <w:szCs w:val="20"/>
        </w:rPr>
        <w:t>superior comparative effectiveness versus placebo</w:t>
      </w:r>
      <w:r w:rsidR="005020C8" w:rsidRPr="006E72A7">
        <w:rPr>
          <w:rFonts w:asciiTheme="minorHAnsi" w:hAnsiTheme="minorHAnsi"/>
          <w:szCs w:val="20"/>
        </w:rPr>
        <w:t xml:space="preserve"> was reasonable</w:t>
      </w:r>
      <w:r w:rsidR="00F97A47" w:rsidRPr="006E72A7">
        <w:rPr>
          <w:rFonts w:asciiTheme="minorHAnsi" w:hAnsiTheme="minorHAnsi"/>
          <w:szCs w:val="20"/>
        </w:rPr>
        <w:t>.</w:t>
      </w:r>
    </w:p>
    <w:p w:rsidR="00DD4DF0" w:rsidRPr="006E72A7" w:rsidRDefault="005020C8" w:rsidP="00DD046C">
      <w:pPr>
        <w:pStyle w:val="ListParagraph"/>
        <w:widowControl/>
        <w:numPr>
          <w:ilvl w:val="1"/>
          <w:numId w:val="1"/>
        </w:numPr>
        <w:spacing w:before="120" w:after="120"/>
        <w:ind w:left="810" w:hanging="810"/>
        <w:rPr>
          <w:rFonts w:asciiTheme="minorHAnsi" w:hAnsiTheme="minorHAnsi"/>
          <w:szCs w:val="20"/>
        </w:rPr>
      </w:pPr>
      <w:r w:rsidRPr="006E72A7">
        <w:rPr>
          <w:rFonts w:asciiTheme="minorHAnsi" w:hAnsiTheme="minorHAnsi"/>
          <w:szCs w:val="20"/>
        </w:rPr>
        <w:t xml:space="preserve"> </w:t>
      </w:r>
      <w:r w:rsidR="00DD4DF0" w:rsidRPr="006E72A7">
        <w:rPr>
          <w:rFonts w:asciiTheme="minorHAnsi" w:hAnsiTheme="minorHAnsi"/>
          <w:szCs w:val="20"/>
        </w:rPr>
        <w:t xml:space="preserve">The PBAC considered that the claim of </w:t>
      </w:r>
      <w:r w:rsidR="00E74B45" w:rsidRPr="006E72A7">
        <w:rPr>
          <w:rFonts w:asciiTheme="minorHAnsi" w:hAnsiTheme="minorHAnsi"/>
          <w:szCs w:val="20"/>
        </w:rPr>
        <w:t xml:space="preserve">similar comparative safety was reasonable compared to evolocumab, though not supported in comparison to placebo. </w:t>
      </w:r>
    </w:p>
    <w:p w:rsidR="00B60939" w:rsidRPr="006E72A7" w:rsidRDefault="00B60939" w:rsidP="00DD046C">
      <w:pPr>
        <w:pStyle w:val="Heading2"/>
        <w:widowControl/>
        <w:spacing w:before="120" w:after="120"/>
      </w:pPr>
      <w:bookmarkStart w:id="15" w:name="_Toc536003317"/>
      <w:r w:rsidRPr="006E72A7">
        <w:t>Economic analysis</w:t>
      </w:r>
      <w:bookmarkEnd w:id="15"/>
      <w:r w:rsidR="00491B3A" w:rsidRPr="006E72A7">
        <w:t xml:space="preserve"> </w:t>
      </w:r>
    </w:p>
    <w:p w:rsidR="00B42355" w:rsidRPr="00110317" w:rsidRDefault="00B42355" w:rsidP="00DD046C">
      <w:pPr>
        <w:widowControl/>
        <w:spacing w:before="120" w:after="120"/>
        <w:rPr>
          <w:b/>
          <w:u w:val="single"/>
        </w:rPr>
      </w:pPr>
      <w:r w:rsidRPr="00110317">
        <w:rPr>
          <w:rFonts w:cs="Calibri"/>
          <w:b/>
          <w:snapToGrid/>
          <w:szCs w:val="24"/>
          <w:u w:val="single"/>
          <w:lang w:eastAsia="en-AU"/>
        </w:rPr>
        <w:t>Heterozygous Familial Hypercholesterolaemia (he-FH)</w:t>
      </w:r>
    </w:p>
    <w:p w:rsidR="00462498" w:rsidRPr="006E72A7" w:rsidRDefault="00462498" w:rsidP="00DD046C">
      <w:pPr>
        <w:pStyle w:val="ListParagraph"/>
        <w:widowControl/>
        <w:numPr>
          <w:ilvl w:val="1"/>
          <w:numId w:val="1"/>
        </w:numPr>
        <w:spacing w:before="120" w:after="120"/>
      </w:pPr>
      <w:r w:rsidRPr="006E72A7">
        <w:rPr>
          <w:rFonts w:cs="Calibri"/>
          <w:snapToGrid/>
          <w:szCs w:val="24"/>
          <w:lang w:eastAsia="en-AU"/>
        </w:rPr>
        <w:t xml:space="preserve">The resubmission presented a cost-minimisation analysis for the comparison of alirocumab versus evolocumab for the </w:t>
      </w:r>
      <w:r w:rsidR="00394DDB" w:rsidRPr="006E72A7">
        <w:rPr>
          <w:rFonts w:cs="Calibri"/>
          <w:snapToGrid/>
          <w:szCs w:val="24"/>
          <w:lang w:eastAsia="en-AU"/>
        </w:rPr>
        <w:t>he-FH</w:t>
      </w:r>
      <w:r w:rsidRPr="006E72A7">
        <w:rPr>
          <w:rFonts w:cs="Calibri"/>
          <w:snapToGrid/>
          <w:szCs w:val="24"/>
          <w:lang w:eastAsia="en-AU"/>
        </w:rPr>
        <w:t xml:space="preserve"> indication</w:t>
      </w:r>
      <w:r w:rsidR="00C90C1F">
        <w:rPr>
          <w:rFonts w:cs="Calibri"/>
          <w:i/>
          <w:snapToGrid/>
          <w:szCs w:val="24"/>
          <w:lang w:eastAsia="en-AU"/>
        </w:rPr>
        <w:t>.</w:t>
      </w:r>
    </w:p>
    <w:p w:rsidR="009F1923" w:rsidRPr="006E72A7" w:rsidRDefault="003D183D" w:rsidP="00DD046C">
      <w:pPr>
        <w:pStyle w:val="ListParagraph"/>
        <w:widowControl/>
        <w:numPr>
          <w:ilvl w:val="1"/>
          <w:numId w:val="1"/>
        </w:numPr>
        <w:spacing w:before="120" w:after="120"/>
      </w:pPr>
      <w:r w:rsidRPr="006E72A7">
        <w:t xml:space="preserve">The resubmission assumed that alirocumab 75 mg fortnightly or 300 mg every 4 weeks, with potential up-titration to 150 mg fortnightly is equivalent to evolocumab 140 mg fortnightly or 420 mg monthly. This was consistent with recommended doses in the product information for the treatment of patients with </w:t>
      </w:r>
      <w:r w:rsidR="00394DDB" w:rsidRPr="006E72A7">
        <w:t>he-FH</w:t>
      </w:r>
      <w:r w:rsidRPr="006E72A7">
        <w:t>.</w:t>
      </w:r>
      <w:r w:rsidR="004E583B" w:rsidRPr="006E72A7">
        <w:t xml:space="preserve"> </w:t>
      </w:r>
      <w:r w:rsidR="009F1923" w:rsidRPr="006E72A7">
        <w:t xml:space="preserve">The product information recommends alirocumab 75 mg fortnightly or 300 mg 4-weekly as starting doses, with optional up-titration to a maximum of 150 mg fortnightly whereas evolocumab is recommended as a fixed dose of either 140 mg fortnightly or 420 mg monthly only. </w:t>
      </w:r>
    </w:p>
    <w:p w:rsidR="003D183D" w:rsidRPr="006E72A7" w:rsidRDefault="003D183D" w:rsidP="00DD046C">
      <w:pPr>
        <w:pStyle w:val="ListParagraph"/>
        <w:widowControl/>
        <w:numPr>
          <w:ilvl w:val="1"/>
          <w:numId w:val="1"/>
        </w:numPr>
        <w:spacing w:before="120" w:after="120"/>
      </w:pPr>
      <w:r w:rsidRPr="006E72A7">
        <w:t xml:space="preserve">The </w:t>
      </w:r>
      <w:r w:rsidR="004B71FC" w:rsidRPr="006E72A7">
        <w:t xml:space="preserve">evaluation considered the </w:t>
      </w:r>
      <w:r w:rsidRPr="006E72A7">
        <w:t>assumed equi-effective doses may not be reasonable given limitations with the indirect analyses of the key cardiovascular outcomes trials, and supportive analyses of lipid trials indicating no statistically significant difference between alirocumab and evolocumab using higher strengths of alirocumab but not for lower strengths.</w:t>
      </w:r>
      <w:r w:rsidR="00B2626A" w:rsidRPr="006E72A7">
        <w:t xml:space="preserve"> </w:t>
      </w:r>
      <w:r w:rsidR="00963FA8" w:rsidRPr="006E72A7">
        <w:t>T</w:t>
      </w:r>
      <w:r w:rsidR="00811127" w:rsidRPr="006E72A7">
        <w:t xml:space="preserve">he PSCR </w:t>
      </w:r>
      <w:r w:rsidR="00963FA8" w:rsidRPr="006E72A7">
        <w:t xml:space="preserve">disagreed and </w:t>
      </w:r>
      <w:r w:rsidR="00B42355" w:rsidRPr="006E72A7">
        <w:t xml:space="preserve">argued calculation of equi-effective doses </w:t>
      </w:r>
      <w:r w:rsidR="00963FA8" w:rsidRPr="006E72A7">
        <w:t>unnecessary given the proposed flat pricing structure</w:t>
      </w:r>
      <w:r w:rsidR="001752C8" w:rsidRPr="006E72A7">
        <w:t>.</w:t>
      </w:r>
      <w:r w:rsidR="00811127" w:rsidRPr="006E72A7">
        <w:t xml:space="preserve"> </w:t>
      </w:r>
      <w:r w:rsidR="001752C8" w:rsidRPr="006E72A7">
        <w:t>H</w:t>
      </w:r>
      <w:r w:rsidR="00963FA8" w:rsidRPr="006E72A7">
        <w:t xml:space="preserve">owever, </w:t>
      </w:r>
      <w:r w:rsidR="00811127" w:rsidRPr="006E72A7">
        <w:t xml:space="preserve">the ESC noted the </w:t>
      </w:r>
      <w:r w:rsidR="00B2626A" w:rsidRPr="006E72A7">
        <w:t>concerns ar</w:t>
      </w:r>
      <w:r w:rsidR="00811127" w:rsidRPr="006E72A7">
        <w:t>ound the non-inferiority claim</w:t>
      </w:r>
      <w:r w:rsidR="00686F6F" w:rsidRPr="006E72A7">
        <w:t xml:space="preserve"> based on </w:t>
      </w:r>
      <w:r w:rsidR="001752C8" w:rsidRPr="006E72A7">
        <w:t xml:space="preserve">lipid trial </w:t>
      </w:r>
      <w:r w:rsidR="00686F6F" w:rsidRPr="006E72A7">
        <w:t>data that pooled the doses</w:t>
      </w:r>
      <w:r w:rsidR="001752C8" w:rsidRPr="006E72A7">
        <w:t>, with non-</w:t>
      </w:r>
      <w:r w:rsidR="00B642FB" w:rsidRPr="006E72A7">
        <w:t>inferiority</w:t>
      </w:r>
      <w:r w:rsidR="001752C8" w:rsidRPr="006E72A7">
        <w:t xml:space="preserve"> </w:t>
      </w:r>
      <w:r w:rsidR="00752A84" w:rsidRPr="006E72A7">
        <w:t>supported with up-titration from 75mg fortnightly to 150mg fortnightly by 24 weeks</w:t>
      </w:r>
      <w:r w:rsidR="00811127" w:rsidRPr="006E72A7">
        <w:t>.</w:t>
      </w:r>
      <w:r w:rsidR="00EA22D1" w:rsidRPr="006E72A7">
        <w:t xml:space="preserve"> </w:t>
      </w:r>
      <w:r w:rsidR="00752A84" w:rsidRPr="006E72A7">
        <w:t xml:space="preserve">The proportion of </w:t>
      </w:r>
      <w:r w:rsidR="00F7570C" w:rsidRPr="006E72A7">
        <w:t xml:space="preserve">patients </w:t>
      </w:r>
      <w:r w:rsidR="00F41CA1" w:rsidRPr="006E72A7">
        <w:t>in cli</w:t>
      </w:r>
      <w:r w:rsidR="00752A84" w:rsidRPr="006E72A7">
        <w:t xml:space="preserve">nical practice reaching </w:t>
      </w:r>
      <w:r w:rsidR="001752C8" w:rsidRPr="006E72A7">
        <w:t>optimal</w:t>
      </w:r>
      <w:r w:rsidR="00752A84" w:rsidRPr="006E72A7">
        <w:t xml:space="preserve"> lipid control with 75mg fortnightly dosing is unknown. </w:t>
      </w:r>
      <w:r w:rsidR="00B42355" w:rsidRPr="006E72A7">
        <w:t xml:space="preserve">An average dose </w:t>
      </w:r>
      <w:r w:rsidR="00644D19" w:rsidRPr="006E72A7">
        <w:t xml:space="preserve">at steady state </w:t>
      </w:r>
      <w:r w:rsidR="00B42355" w:rsidRPr="006E72A7">
        <w:t xml:space="preserve">of alirocumab across the lipid trials </w:t>
      </w:r>
      <w:r w:rsidR="00752A84" w:rsidRPr="006E72A7">
        <w:t>was not</w:t>
      </w:r>
      <w:r w:rsidR="00B42355" w:rsidRPr="006E72A7">
        <w:t xml:space="preserve"> used to determine </w:t>
      </w:r>
      <w:r w:rsidR="00752A84" w:rsidRPr="006E72A7">
        <w:t>equi-effective doses</w:t>
      </w:r>
      <w:r w:rsidR="006E72A7">
        <w:t xml:space="preserve">. </w:t>
      </w:r>
      <w:r w:rsidR="00752A84" w:rsidRPr="006E72A7">
        <w:t xml:space="preserve">The </w:t>
      </w:r>
      <w:r w:rsidR="001752C8" w:rsidRPr="006E72A7">
        <w:t xml:space="preserve">ESC </w:t>
      </w:r>
      <w:r w:rsidR="00752A84" w:rsidRPr="006E72A7">
        <w:t>cons</w:t>
      </w:r>
      <w:r w:rsidR="001752C8" w:rsidRPr="006E72A7">
        <w:t>i</w:t>
      </w:r>
      <w:r w:rsidR="00752A84" w:rsidRPr="006E72A7">
        <w:t>d</w:t>
      </w:r>
      <w:r w:rsidR="001752C8" w:rsidRPr="006E72A7">
        <w:t>e</w:t>
      </w:r>
      <w:r w:rsidR="00752A84" w:rsidRPr="006E72A7">
        <w:t>red</w:t>
      </w:r>
      <w:r w:rsidR="00B42355" w:rsidRPr="006E72A7">
        <w:t xml:space="preserve"> </w:t>
      </w:r>
      <w:r w:rsidR="00EA22D1" w:rsidRPr="006E72A7">
        <w:t xml:space="preserve">the higher dose of alirocumab, i.e. 150 mg </w:t>
      </w:r>
      <w:r w:rsidR="00EA22D1" w:rsidRPr="006E72A7">
        <w:lastRenderedPageBreak/>
        <w:t xml:space="preserve">fortnightly, </w:t>
      </w:r>
      <w:r w:rsidR="00E5778B" w:rsidRPr="006E72A7">
        <w:t xml:space="preserve">may be </w:t>
      </w:r>
      <w:r w:rsidR="00B42355" w:rsidRPr="006E72A7">
        <w:t>used</w:t>
      </w:r>
      <w:r w:rsidR="00EA22D1" w:rsidRPr="006E72A7">
        <w:t xml:space="preserve"> </w:t>
      </w:r>
      <w:r w:rsidR="00B42355" w:rsidRPr="006E72A7">
        <w:t>as an</w:t>
      </w:r>
      <w:r w:rsidR="00EA22D1" w:rsidRPr="006E72A7">
        <w:t xml:space="preserve"> equi-effective dose to </w:t>
      </w:r>
      <w:r w:rsidR="00686F6F" w:rsidRPr="006E72A7">
        <w:t>evolocumab 140 mg fortnightly or 420 mg monthly</w:t>
      </w:r>
      <w:r w:rsidR="00EA22D1" w:rsidRPr="006E72A7">
        <w:t xml:space="preserve">. </w:t>
      </w:r>
      <w:r w:rsidR="00934762" w:rsidRPr="006E72A7">
        <w:t xml:space="preserve">To avoid the risk of less effective therapy </w:t>
      </w:r>
      <w:r w:rsidR="001752C8" w:rsidRPr="006E72A7">
        <w:t xml:space="preserve">being </w:t>
      </w:r>
      <w:r w:rsidR="00934762" w:rsidRPr="006E72A7">
        <w:t>price</w:t>
      </w:r>
      <w:r w:rsidR="001752C8" w:rsidRPr="006E72A7">
        <w:t>d the same</w:t>
      </w:r>
      <w:r w:rsidR="00934762" w:rsidRPr="006E72A7">
        <w:t xml:space="preserve"> as evolocumab, t</w:t>
      </w:r>
      <w:r w:rsidR="00EA22D1" w:rsidRPr="006E72A7">
        <w:t>he</w:t>
      </w:r>
      <w:r w:rsidR="008C71CF">
        <w:t xml:space="preserve"> PBAC agreed with the</w:t>
      </w:r>
      <w:r w:rsidR="00EA22D1" w:rsidRPr="006E72A7">
        <w:t xml:space="preserve"> ESC </w:t>
      </w:r>
      <w:r w:rsidR="008C71CF">
        <w:t xml:space="preserve">and </w:t>
      </w:r>
      <w:r w:rsidR="001752C8" w:rsidRPr="006E72A7">
        <w:t>advis</w:t>
      </w:r>
      <w:r w:rsidR="00EA22D1" w:rsidRPr="006E72A7">
        <w:t xml:space="preserve">ed that pricing </w:t>
      </w:r>
      <w:r w:rsidR="00686F6F" w:rsidRPr="006E72A7">
        <w:rPr>
          <w:rFonts w:cs="Calibri"/>
          <w:snapToGrid/>
          <w:szCs w:val="24"/>
          <w:lang w:eastAsia="en-AU"/>
        </w:rPr>
        <w:t>of the lower dose of alirocumab</w:t>
      </w:r>
      <w:r w:rsidR="008C71CF">
        <w:rPr>
          <w:rFonts w:cs="Calibri"/>
          <w:snapToGrid/>
          <w:szCs w:val="24"/>
          <w:lang w:eastAsia="en-AU"/>
        </w:rPr>
        <w:t xml:space="preserve"> will</w:t>
      </w:r>
      <w:r w:rsidR="00686F6F" w:rsidRPr="006E72A7">
        <w:rPr>
          <w:rFonts w:cs="Calibri"/>
          <w:snapToGrid/>
          <w:szCs w:val="24"/>
          <w:lang w:eastAsia="en-AU"/>
        </w:rPr>
        <w:t xml:space="preserve"> be determined by the Department according to usual methods</w:t>
      </w:r>
      <w:r w:rsidR="008C71CF">
        <w:rPr>
          <w:rFonts w:cs="Calibri"/>
          <w:snapToGrid/>
          <w:szCs w:val="24"/>
          <w:lang w:eastAsia="en-AU"/>
        </w:rPr>
        <w:t>.</w:t>
      </w:r>
      <w:r w:rsidR="006E72A7">
        <w:t xml:space="preserve"> </w:t>
      </w:r>
    </w:p>
    <w:p w:rsidR="00DD055B" w:rsidRPr="006E72A7" w:rsidRDefault="00DD055B" w:rsidP="00DD046C">
      <w:pPr>
        <w:pStyle w:val="ListParagraph"/>
        <w:widowControl/>
        <w:numPr>
          <w:ilvl w:val="1"/>
          <w:numId w:val="1"/>
        </w:numPr>
        <w:spacing w:before="120" w:after="120"/>
      </w:pPr>
      <w:r w:rsidRPr="006E72A7">
        <w:rPr>
          <w:bCs/>
        </w:rPr>
        <w:t>The pre-PBAC response argued that the PBAC Guidelines recommend calculating equi-effective doses at steady state, i.e. the average dose after dose titrations are complete, which would include a proportion of patients on 75 mg and a proportion on 150 mg.</w:t>
      </w:r>
    </w:p>
    <w:p w:rsidR="008B02EC" w:rsidRPr="006E72A7" w:rsidRDefault="003D183D" w:rsidP="00DD046C">
      <w:pPr>
        <w:pStyle w:val="ListParagraph"/>
        <w:widowControl/>
        <w:numPr>
          <w:ilvl w:val="1"/>
          <w:numId w:val="1"/>
        </w:numPr>
        <w:spacing w:before="120" w:after="120"/>
      </w:pPr>
      <w:r w:rsidRPr="006E72A7">
        <w:t xml:space="preserve">The sponsor did not conduct a cost-minimisation </w:t>
      </w:r>
      <w:r w:rsidR="006E72A7" w:rsidRPr="006E72A7">
        <w:t>analysis,</w:t>
      </w:r>
      <w:r w:rsidRPr="006E72A7">
        <w:t xml:space="preserve"> as the effective price of evolocumab was unknown.</w:t>
      </w:r>
      <w:r w:rsidR="008B02EC" w:rsidRPr="006E72A7">
        <w:t xml:space="preserve"> The PSCR stated that indication specific pricing was being sought, based on a weight of 19% for the he-FH population (CMA to evolocumab) and 81% for the non-FH population.</w:t>
      </w:r>
    </w:p>
    <w:p w:rsidR="00B42355" w:rsidRPr="006E72A7" w:rsidRDefault="00B42355" w:rsidP="00DD046C">
      <w:pPr>
        <w:widowControl/>
        <w:spacing w:before="120" w:after="120"/>
        <w:rPr>
          <w:b/>
          <w:u w:val="single"/>
        </w:rPr>
      </w:pPr>
      <w:r w:rsidRPr="006E72A7">
        <w:rPr>
          <w:b/>
          <w:u w:val="single"/>
        </w:rPr>
        <w:t>Non-Familial Hypercholesterolaemia (non-FH)</w:t>
      </w:r>
    </w:p>
    <w:p w:rsidR="0008793E" w:rsidRPr="006E72A7" w:rsidRDefault="0008793E" w:rsidP="00DD046C">
      <w:pPr>
        <w:pStyle w:val="ListParagraph"/>
        <w:widowControl/>
        <w:numPr>
          <w:ilvl w:val="1"/>
          <w:numId w:val="1"/>
        </w:numPr>
        <w:spacing w:before="120" w:after="120"/>
      </w:pPr>
      <w:r w:rsidRPr="006E72A7">
        <w:t xml:space="preserve">The resubmission presented a stepped economic evaluation of alirocumab 75 mg (up-titratable to 150 mg) fortnightly for the treatment of patients with </w:t>
      </w:r>
      <w:r w:rsidR="00394DDB" w:rsidRPr="006E72A7">
        <w:t>non-FH</w:t>
      </w:r>
      <w:r w:rsidRPr="006E72A7">
        <w:t xml:space="preserve"> with prior </w:t>
      </w:r>
      <w:r w:rsidR="00EE29DB">
        <w:t>ACS</w:t>
      </w:r>
      <w:r w:rsidRPr="006E72A7">
        <w:t>, diabetes and LDL ≥2.6 mmol/L as an add-on therapy to statins.</w:t>
      </w:r>
    </w:p>
    <w:p w:rsidR="003E7AC1" w:rsidRPr="006E72A7" w:rsidRDefault="003E7AC1" w:rsidP="00DD046C">
      <w:pPr>
        <w:pStyle w:val="ListParagraph"/>
        <w:widowControl/>
        <w:numPr>
          <w:ilvl w:val="1"/>
          <w:numId w:val="1"/>
        </w:numPr>
        <w:spacing w:before="120" w:after="120"/>
      </w:pPr>
      <w:r w:rsidRPr="006E72A7">
        <w:t>No economic evaluation was presented for alirocumab when used in addition to ezetimibe in statin-intolerant patients</w:t>
      </w:r>
      <w:r w:rsidR="00515BBF" w:rsidRPr="006E72A7">
        <w:t>, noting the proposed indication includes patients with statin intolerance as well as those experiencing inadequate control with statins</w:t>
      </w:r>
      <w:r w:rsidR="006E72A7">
        <w:t xml:space="preserve">. </w:t>
      </w:r>
    </w:p>
    <w:p w:rsidR="00462498" w:rsidRPr="006E72A7" w:rsidRDefault="00462498" w:rsidP="00DD046C">
      <w:pPr>
        <w:pStyle w:val="ListParagraph"/>
        <w:widowControl/>
        <w:numPr>
          <w:ilvl w:val="1"/>
          <w:numId w:val="1"/>
        </w:numPr>
        <w:spacing w:before="120" w:after="120"/>
      </w:pPr>
      <w:r w:rsidRPr="006E72A7">
        <w:t>The</w:t>
      </w:r>
      <w:r w:rsidR="0087467A" w:rsidRPr="006E72A7">
        <w:t xml:space="preserve"> economic evaluation was based on mean TC:HDL ratios </w:t>
      </w:r>
      <w:r w:rsidR="000229FA" w:rsidRPr="006E72A7">
        <w:t xml:space="preserve">transformed to cardiovascular outcomes based on </w:t>
      </w:r>
      <w:r w:rsidR="0087467A" w:rsidRPr="006E72A7">
        <w:t>the ODYSSEY OUTCOMES trial subgroup and other modelled variables.</w:t>
      </w:r>
    </w:p>
    <w:p w:rsidR="00BE4EBE" w:rsidRPr="006E72A7" w:rsidRDefault="00BE4EBE">
      <w:pPr>
        <w:widowControl/>
        <w:jc w:val="left"/>
        <w:rPr>
          <w:rStyle w:val="CommentReference"/>
        </w:rPr>
      </w:pPr>
      <w:r w:rsidRPr="006E72A7">
        <w:rPr>
          <w:rStyle w:val="CommentReference"/>
        </w:rPr>
        <w:br w:type="page"/>
      </w:r>
    </w:p>
    <w:p w:rsidR="00275C5A" w:rsidRPr="006E72A7" w:rsidRDefault="00275C5A" w:rsidP="00E02557">
      <w:pPr>
        <w:widowControl/>
        <w:rPr>
          <w:rStyle w:val="CommentReference"/>
        </w:rPr>
      </w:pPr>
      <w:r w:rsidRPr="006E72A7">
        <w:rPr>
          <w:rStyle w:val="CommentReference"/>
        </w:rPr>
        <w:lastRenderedPageBreak/>
        <w:t xml:space="preserve">Table </w:t>
      </w:r>
      <w:r w:rsidR="007275BD" w:rsidRPr="006E72A7">
        <w:rPr>
          <w:rStyle w:val="CommentReference"/>
        </w:rPr>
        <w:t>9</w:t>
      </w:r>
      <w:r w:rsidRPr="006E72A7">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Summary of model structure and rationale"/>
      </w:tblPr>
      <w:tblGrid>
        <w:gridCol w:w="2701"/>
        <w:gridCol w:w="6316"/>
      </w:tblGrid>
      <w:tr w:rsidR="0087467A" w:rsidRPr="006E72A7" w:rsidTr="00254B3B">
        <w:tc>
          <w:tcPr>
            <w:tcW w:w="1498" w:type="pct"/>
            <w:vAlign w:val="center"/>
          </w:tcPr>
          <w:p w:rsidR="0087467A" w:rsidRPr="006E72A7" w:rsidRDefault="0087467A" w:rsidP="00E02557">
            <w:pPr>
              <w:pStyle w:val="Tabletext"/>
              <w:rPr>
                <w:b/>
              </w:rPr>
            </w:pPr>
            <w:r w:rsidRPr="006E72A7">
              <w:rPr>
                <w:b/>
              </w:rPr>
              <w:t>Component</w:t>
            </w:r>
          </w:p>
        </w:tc>
        <w:tc>
          <w:tcPr>
            <w:tcW w:w="3502" w:type="pct"/>
          </w:tcPr>
          <w:p w:rsidR="0087467A" w:rsidRPr="006E72A7" w:rsidRDefault="0087467A" w:rsidP="00E02557">
            <w:pPr>
              <w:pStyle w:val="Tabletext"/>
              <w:jc w:val="center"/>
              <w:rPr>
                <w:b/>
              </w:rPr>
            </w:pPr>
            <w:r w:rsidRPr="006E72A7">
              <w:rPr>
                <w:b/>
              </w:rPr>
              <w:t>Description</w:t>
            </w:r>
          </w:p>
        </w:tc>
      </w:tr>
      <w:tr w:rsidR="0087467A" w:rsidRPr="006E72A7" w:rsidTr="00254B3B">
        <w:tc>
          <w:tcPr>
            <w:tcW w:w="1498" w:type="pct"/>
            <w:vAlign w:val="center"/>
          </w:tcPr>
          <w:p w:rsidR="0087467A" w:rsidRPr="006E72A7" w:rsidRDefault="0087467A" w:rsidP="00E02557">
            <w:pPr>
              <w:pStyle w:val="Tabletext"/>
            </w:pPr>
            <w:r w:rsidRPr="006E72A7">
              <w:t>Type of analysis</w:t>
            </w:r>
          </w:p>
        </w:tc>
        <w:tc>
          <w:tcPr>
            <w:tcW w:w="3502" w:type="pct"/>
          </w:tcPr>
          <w:p w:rsidR="0087467A" w:rsidRPr="006E72A7" w:rsidRDefault="0087467A" w:rsidP="00E02557">
            <w:pPr>
              <w:pStyle w:val="Tabletext"/>
            </w:pPr>
            <w:r w:rsidRPr="006E72A7">
              <w:t>Cost-utility analysis</w:t>
            </w:r>
          </w:p>
        </w:tc>
      </w:tr>
      <w:tr w:rsidR="0087467A" w:rsidRPr="006E72A7" w:rsidTr="00254B3B">
        <w:tc>
          <w:tcPr>
            <w:tcW w:w="1498" w:type="pct"/>
            <w:vAlign w:val="center"/>
          </w:tcPr>
          <w:p w:rsidR="0087467A" w:rsidRPr="006E72A7" w:rsidRDefault="0087467A" w:rsidP="00E02557">
            <w:pPr>
              <w:pStyle w:val="Tabletext"/>
            </w:pPr>
            <w:r w:rsidRPr="006E72A7">
              <w:t>Methods used to generate results</w:t>
            </w:r>
          </w:p>
        </w:tc>
        <w:tc>
          <w:tcPr>
            <w:tcW w:w="3502" w:type="pct"/>
          </w:tcPr>
          <w:p w:rsidR="0087467A" w:rsidRPr="006E72A7" w:rsidRDefault="0087467A" w:rsidP="00E02557">
            <w:pPr>
              <w:pStyle w:val="Tabletext"/>
            </w:pPr>
            <w:r w:rsidRPr="006E72A7">
              <w:t>Markov cohort model (with half-cycle correction)</w:t>
            </w:r>
          </w:p>
        </w:tc>
      </w:tr>
      <w:tr w:rsidR="0087467A" w:rsidRPr="006E72A7" w:rsidTr="00254B3B">
        <w:tc>
          <w:tcPr>
            <w:tcW w:w="1498" w:type="pct"/>
            <w:vAlign w:val="center"/>
          </w:tcPr>
          <w:p w:rsidR="0087467A" w:rsidRPr="006E72A7" w:rsidRDefault="0087467A" w:rsidP="00E02557">
            <w:pPr>
              <w:pStyle w:val="Tabletext"/>
            </w:pPr>
            <w:r w:rsidRPr="006E72A7">
              <w:t>Time horizon</w:t>
            </w:r>
          </w:p>
        </w:tc>
        <w:tc>
          <w:tcPr>
            <w:tcW w:w="3502" w:type="pct"/>
          </w:tcPr>
          <w:p w:rsidR="0087467A" w:rsidRPr="006E72A7" w:rsidRDefault="0087467A" w:rsidP="00E02557">
            <w:pPr>
              <w:pStyle w:val="Tabletext"/>
            </w:pPr>
            <w:r w:rsidRPr="006E72A7">
              <w:t>41 years</w:t>
            </w:r>
          </w:p>
        </w:tc>
      </w:tr>
      <w:tr w:rsidR="0087467A" w:rsidRPr="006E72A7" w:rsidTr="00254B3B">
        <w:tc>
          <w:tcPr>
            <w:tcW w:w="1498" w:type="pct"/>
            <w:vAlign w:val="center"/>
          </w:tcPr>
          <w:p w:rsidR="0087467A" w:rsidRPr="006E72A7" w:rsidRDefault="0087467A" w:rsidP="00E02557">
            <w:pPr>
              <w:pStyle w:val="Tabletext"/>
            </w:pPr>
            <w:r w:rsidRPr="006E72A7">
              <w:t>Cycle length</w:t>
            </w:r>
          </w:p>
        </w:tc>
        <w:tc>
          <w:tcPr>
            <w:tcW w:w="3502" w:type="pct"/>
          </w:tcPr>
          <w:p w:rsidR="0087467A" w:rsidRPr="006E72A7" w:rsidRDefault="0087467A" w:rsidP="00E02557">
            <w:pPr>
              <w:pStyle w:val="Tabletext"/>
            </w:pPr>
            <w:r w:rsidRPr="006E72A7">
              <w:t>1 year</w:t>
            </w:r>
          </w:p>
        </w:tc>
      </w:tr>
      <w:tr w:rsidR="0087467A" w:rsidRPr="006E72A7" w:rsidTr="00254B3B">
        <w:tc>
          <w:tcPr>
            <w:tcW w:w="1498" w:type="pct"/>
            <w:vAlign w:val="center"/>
          </w:tcPr>
          <w:p w:rsidR="0087467A" w:rsidRPr="006E72A7" w:rsidRDefault="0087467A" w:rsidP="00E02557">
            <w:pPr>
              <w:pStyle w:val="Tabletext"/>
            </w:pPr>
            <w:r w:rsidRPr="006E72A7">
              <w:t>Discounting</w:t>
            </w:r>
          </w:p>
        </w:tc>
        <w:tc>
          <w:tcPr>
            <w:tcW w:w="3502" w:type="pct"/>
          </w:tcPr>
          <w:p w:rsidR="0087467A" w:rsidRPr="006E72A7" w:rsidRDefault="0087467A" w:rsidP="00E02557">
            <w:pPr>
              <w:pStyle w:val="Tabletext"/>
            </w:pPr>
            <w:r w:rsidRPr="006E72A7">
              <w:t>5% for costs and outcomes applied annually</w:t>
            </w:r>
          </w:p>
        </w:tc>
      </w:tr>
      <w:tr w:rsidR="0087467A" w:rsidRPr="006E72A7" w:rsidTr="00254B3B">
        <w:tc>
          <w:tcPr>
            <w:tcW w:w="1498" w:type="pct"/>
            <w:vAlign w:val="center"/>
          </w:tcPr>
          <w:p w:rsidR="0087467A" w:rsidRPr="006E72A7" w:rsidRDefault="0087467A" w:rsidP="00E02557">
            <w:pPr>
              <w:pStyle w:val="Tabletext"/>
            </w:pPr>
            <w:r w:rsidRPr="006E72A7">
              <w:t>Health states</w:t>
            </w:r>
          </w:p>
        </w:tc>
        <w:tc>
          <w:tcPr>
            <w:tcW w:w="3502" w:type="pct"/>
          </w:tcPr>
          <w:p w:rsidR="0087467A" w:rsidRPr="006E72A7" w:rsidRDefault="0087467A" w:rsidP="00E02557">
            <w:pPr>
              <w:pStyle w:val="Tabletext"/>
            </w:pPr>
            <w:r w:rsidRPr="006E72A7">
              <w:t>Four health states: pre-recurrent CHD, recurrent CHD (myocardial infarction or angina), CHD death and non-CHD death</w:t>
            </w:r>
          </w:p>
        </w:tc>
      </w:tr>
      <w:tr w:rsidR="0087467A" w:rsidRPr="006E72A7" w:rsidTr="00254B3B">
        <w:tc>
          <w:tcPr>
            <w:tcW w:w="1498" w:type="pct"/>
            <w:vAlign w:val="center"/>
          </w:tcPr>
          <w:p w:rsidR="0087467A" w:rsidRPr="006E72A7" w:rsidRDefault="0087467A" w:rsidP="00E02557">
            <w:pPr>
              <w:pStyle w:val="Tabletext"/>
            </w:pPr>
            <w:r w:rsidRPr="006E72A7">
              <w:t>Outcomes</w:t>
            </w:r>
          </w:p>
        </w:tc>
        <w:tc>
          <w:tcPr>
            <w:tcW w:w="3502" w:type="pct"/>
          </w:tcPr>
          <w:p w:rsidR="0087467A" w:rsidRPr="006E72A7" w:rsidRDefault="0087467A" w:rsidP="00E02557">
            <w:pPr>
              <w:pStyle w:val="Tabletext"/>
            </w:pPr>
            <w:r w:rsidRPr="006E72A7">
              <w:t>% reduction in TC:HDL, life years gained, quality-adjusted life years</w:t>
            </w:r>
          </w:p>
        </w:tc>
      </w:tr>
      <w:tr w:rsidR="0087467A" w:rsidRPr="006E72A7" w:rsidTr="00254B3B">
        <w:tc>
          <w:tcPr>
            <w:tcW w:w="1498" w:type="pct"/>
            <w:vAlign w:val="center"/>
          </w:tcPr>
          <w:p w:rsidR="0087467A" w:rsidRPr="006E72A7" w:rsidRDefault="0087467A" w:rsidP="00E02557">
            <w:pPr>
              <w:pStyle w:val="Tabletext"/>
            </w:pPr>
            <w:r w:rsidRPr="006E72A7">
              <w:t xml:space="preserve">Transition probabilities </w:t>
            </w:r>
          </w:p>
        </w:tc>
        <w:tc>
          <w:tcPr>
            <w:tcW w:w="3502" w:type="pct"/>
          </w:tcPr>
          <w:p w:rsidR="0087467A" w:rsidRPr="006E72A7" w:rsidRDefault="0087467A" w:rsidP="00E02557">
            <w:pPr>
              <w:pStyle w:val="Tabletext"/>
              <w:tabs>
                <w:tab w:val="left" w:pos="948"/>
              </w:tabs>
            </w:pPr>
            <w:r w:rsidRPr="006E72A7">
              <w:t xml:space="preserve">Transition probabilities were derived from the Framingham risk equation for predicting subsequent CHD events (D’Agostino 2000) using TC:HDL ratios from the ODYSSEY OUTCOMES subgroup with diabetes and LDL ≥2.6 mmol/L for Years 1-4 and assumed values from Years 5-40. </w:t>
            </w:r>
          </w:p>
          <w:p w:rsidR="0087467A" w:rsidRPr="006E72A7" w:rsidRDefault="0087467A" w:rsidP="00E02557">
            <w:pPr>
              <w:pStyle w:val="Tabletext"/>
              <w:tabs>
                <w:tab w:val="left" w:pos="948"/>
              </w:tabs>
            </w:pPr>
            <w:r w:rsidRPr="006E72A7">
              <w:t xml:space="preserve">The probability of a composite CHD event was adjusted using cardiovascular risk multipliers to match the cumulative incidence of CHD events (MACE without stroke) in the trial for Years 1-4 and assumed from Years 5-40. </w:t>
            </w:r>
          </w:p>
          <w:p w:rsidR="0087467A" w:rsidRPr="006E72A7" w:rsidRDefault="0087467A" w:rsidP="00E02557">
            <w:pPr>
              <w:pStyle w:val="Tabletext"/>
              <w:tabs>
                <w:tab w:val="left" w:pos="948"/>
              </w:tabs>
            </w:pPr>
            <w:r w:rsidRPr="006E72A7">
              <w:t>The composite event probability was distributed to an individual probability for CHD death using adjustments to match the cumulative CHD deaths (time to coronary death) in the trial for Years 1-4 and assumed from Years 5-40 using the distribution of fatal vs non-fatal events from the MACE without stroke composite endpoint.</w:t>
            </w:r>
          </w:p>
          <w:p w:rsidR="0087467A" w:rsidRPr="006E72A7" w:rsidRDefault="0087467A" w:rsidP="00E02557">
            <w:pPr>
              <w:pStyle w:val="Tabletext"/>
              <w:tabs>
                <w:tab w:val="left" w:pos="948"/>
              </w:tabs>
            </w:pPr>
            <w:r w:rsidRPr="006E72A7">
              <w:t xml:space="preserve">The probability of non-fatal events over the model lifetime was assumed to be the remaining probability (1 minus probability of CHD death) and distributed to individual probabilities of MI and angina using the relative distribution of non-fatal events from the MACE without stroke endpoint. </w:t>
            </w:r>
          </w:p>
          <w:p w:rsidR="0087467A" w:rsidRPr="006E72A7" w:rsidRDefault="0087467A" w:rsidP="00E02557">
            <w:pPr>
              <w:pStyle w:val="Tabletext"/>
              <w:tabs>
                <w:tab w:val="left" w:pos="948"/>
              </w:tabs>
            </w:pPr>
            <w:r w:rsidRPr="006E72A7">
              <w:t xml:space="preserve">The probability of non-CHD death was derived from ABS life tables adjusted for the proportion of deaths due to CHD. </w:t>
            </w:r>
          </w:p>
        </w:tc>
      </w:tr>
      <w:tr w:rsidR="0087467A" w:rsidRPr="006E72A7" w:rsidTr="00254B3B">
        <w:tc>
          <w:tcPr>
            <w:tcW w:w="1498" w:type="pct"/>
            <w:vAlign w:val="center"/>
          </w:tcPr>
          <w:p w:rsidR="0087467A" w:rsidRPr="006E72A7" w:rsidRDefault="0087467A" w:rsidP="00E02557">
            <w:pPr>
              <w:pStyle w:val="Tabletext"/>
            </w:pPr>
            <w:r w:rsidRPr="006E72A7">
              <w:t>Software package</w:t>
            </w:r>
          </w:p>
        </w:tc>
        <w:tc>
          <w:tcPr>
            <w:tcW w:w="3502" w:type="pct"/>
          </w:tcPr>
          <w:p w:rsidR="0087467A" w:rsidRPr="006E72A7" w:rsidRDefault="0087467A" w:rsidP="00E02557">
            <w:pPr>
              <w:pStyle w:val="Tabletext"/>
            </w:pPr>
            <w:r w:rsidRPr="006E72A7">
              <w:t>Excel 2010</w:t>
            </w:r>
          </w:p>
        </w:tc>
      </w:tr>
    </w:tbl>
    <w:p w:rsidR="0087467A" w:rsidRPr="006E72A7" w:rsidRDefault="0087467A" w:rsidP="00E02557">
      <w:pPr>
        <w:widowControl/>
        <w:rPr>
          <w:rFonts w:ascii="Arial Narrow" w:hAnsi="Arial Narrow"/>
          <w:sz w:val="18"/>
        </w:rPr>
      </w:pPr>
      <w:r w:rsidRPr="006E72A7">
        <w:rPr>
          <w:rFonts w:ascii="Arial Narrow" w:hAnsi="Arial Narrow"/>
          <w:sz w:val="18"/>
        </w:rPr>
        <w:t>Source: Table 3.1.1, p182 of the resubmission</w:t>
      </w:r>
    </w:p>
    <w:p w:rsidR="0087467A" w:rsidRPr="006E72A7" w:rsidRDefault="0087467A" w:rsidP="00E02557">
      <w:pPr>
        <w:widowControl/>
        <w:rPr>
          <w:rFonts w:ascii="Arial Narrow" w:hAnsi="Arial Narrow"/>
          <w:sz w:val="18"/>
        </w:rPr>
      </w:pPr>
      <w:r w:rsidRPr="006E72A7">
        <w:rPr>
          <w:rFonts w:ascii="Arial Narrow" w:hAnsi="Arial Narrow"/>
          <w:sz w:val="18"/>
        </w:rPr>
        <w:t>Abbreviations: CHD, coronary heart disease; MACE, major adverse cardiovascular events; TC:HDL, total cholesterol to high density lipoprotein ratio</w:t>
      </w:r>
    </w:p>
    <w:p w:rsidR="0087467A" w:rsidRPr="006E72A7" w:rsidRDefault="0087467A" w:rsidP="00E02557">
      <w:pPr>
        <w:widowControl/>
        <w:rPr>
          <w:rFonts w:ascii="Arial Narrow" w:hAnsi="Arial Narrow"/>
          <w:sz w:val="18"/>
        </w:rPr>
      </w:pPr>
      <w:r w:rsidRPr="006E72A7">
        <w:rPr>
          <w:rFonts w:ascii="Arial Narrow" w:hAnsi="Arial Narrow"/>
          <w:sz w:val="18"/>
        </w:rPr>
        <w:t xml:space="preserve">Note: MACE without stroke was based on a composite endpoint of time to coronary death, fatal or non-fatal myocardial infarction or unstable angina requiring hospitalisation </w:t>
      </w:r>
    </w:p>
    <w:p w:rsidR="00275C5A" w:rsidRPr="006E72A7" w:rsidRDefault="000229FA" w:rsidP="00DD046C">
      <w:pPr>
        <w:pStyle w:val="ListParagraph"/>
        <w:widowControl/>
        <w:numPr>
          <w:ilvl w:val="1"/>
          <w:numId w:val="1"/>
        </w:numPr>
        <w:spacing w:before="120" w:after="120"/>
      </w:pPr>
      <w:r w:rsidRPr="006E72A7">
        <w:t>All patients start in pre-recurrent CHD health state (baseline health state). In any year, patients can have no event or experience a CHD event (non-fatal myocardial infarction, angina or CHD death) or death unrelated to coronary heart disease (non-CHD death).</w:t>
      </w:r>
      <w:r w:rsidR="00FD3C35" w:rsidRPr="006E72A7">
        <w:t xml:space="preserve"> Patients experiencing multiple non-fatal events accrue the acute costs of each event. There were no ongoing chronic costs due to events. Once a patient has an event, the same health state utility is applied regardless of multiple events occurring. The model structure does not allow for appropriate implementation of treatment discontinuations, with persistence estimates applied to drug costs only without change in treatment effect</w:t>
      </w:r>
      <w:r w:rsidR="006E72A7">
        <w:t xml:space="preserve">. </w:t>
      </w:r>
    </w:p>
    <w:p w:rsidR="00275C5A" w:rsidRPr="006E72A7" w:rsidRDefault="00FD3C35" w:rsidP="00DD046C">
      <w:pPr>
        <w:pStyle w:val="ListParagraph"/>
        <w:widowControl/>
        <w:numPr>
          <w:ilvl w:val="1"/>
          <w:numId w:val="1"/>
        </w:numPr>
        <w:spacing w:before="120" w:after="120"/>
      </w:pPr>
      <w:r w:rsidRPr="006E72A7">
        <w:t xml:space="preserve">Key drivers of the economic model are summarised in the table below. </w:t>
      </w:r>
    </w:p>
    <w:p w:rsidR="00D110BD" w:rsidRPr="006E72A7" w:rsidRDefault="00D110BD" w:rsidP="007C3656">
      <w:pPr>
        <w:keepNext/>
        <w:keepLines/>
        <w:widowControl/>
        <w:tabs>
          <w:tab w:val="left" w:pos="2745"/>
        </w:tabs>
        <w:rPr>
          <w:rStyle w:val="CommentReference"/>
        </w:rPr>
      </w:pPr>
      <w:r w:rsidRPr="006E72A7">
        <w:rPr>
          <w:rStyle w:val="CommentReference"/>
        </w:rPr>
        <w:lastRenderedPageBreak/>
        <w:t xml:space="preserve">Table </w:t>
      </w:r>
      <w:r w:rsidR="00FD3C35" w:rsidRPr="006E72A7">
        <w:rPr>
          <w:rStyle w:val="CommentReference"/>
        </w:rPr>
        <w:t>1</w:t>
      </w:r>
      <w:r w:rsidR="007275BD" w:rsidRPr="006E72A7">
        <w:rPr>
          <w:rStyle w:val="CommentReference"/>
        </w:rPr>
        <w:t>0</w:t>
      </w:r>
      <w:r w:rsidRPr="006E72A7">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1271"/>
        <w:gridCol w:w="6521"/>
        <w:gridCol w:w="1225"/>
      </w:tblGrid>
      <w:tr w:rsidR="00537182" w:rsidRPr="006E72A7" w:rsidTr="00406496">
        <w:trPr>
          <w:tblHeader/>
        </w:trPr>
        <w:tc>
          <w:tcPr>
            <w:tcW w:w="705" w:type="pct"/>
            <w:shd w:val="clear" w:color="auto" w:fill="auto"/>
            <w:vAlign w:val="center"/>
          </w:tcPr>
          <w:p w:rsidR="00D110BD" w:rsidRPr="006E72A7" w:rsidRDefault="00D110BD" w:rsidP="007C3656">
            <w:pPr>
              <w:pStyle w:val="Tabletext"/>
              <w:keepNext/>
              <w:keepLines/>
              <w:rPr>
                <w:b/>
              </w:rPr>
            </w:pPr>
            <w:r w:rsidRPr="006E72A7">
              <w:rPr>
                <w:b/>
              </w:rPr>
              <w:t>Description</w:t>
            </w:r>
          </w:p>
        </w:tc>
        <w:tc>
          <w:tcPr>
            <w:tcW w:w="3615" w:type="pct"/>
            <w:shd w:val="clear" w:color="auto" w:fill="auto"/>
            <w:vAlign w:val="center"/>
          </w:tcPr>
          <w:p w:rsidR="00D110BD" w:rsidRPr="006E72A7" w:rsidRDefault="00D110BD" w:rsidP="007C3656">
            <w:pPr>
              <w:pStyle w:val="Tabletext"/>
              <w:keepNext/>
              <w:keepLines/>
              <w:jc w:val="center"/>
              <w:rPr>
                <w:b/>
              </w:rPr>
            </w:pPr>
            <w:r w:rsidRPr="006E72A7">
              <w:rPr>
                <w:b/>
              </w:rPr>
              <w:t>Method/Value</w:t>
            </w:r>
          </w:p>
        </w:tc>
        <w:tc>
          <w:tcPr>
            <w:tcW w:w="679" w:type="pct"/>
            <w:shd w:val="clear" w:color="auto" w:fill="auto"/>
            <w:vAlign w:val="center"/>
          </w:tcPr>
          <w:p w:rsidR="00D110BD" w:rsidRPr="006E72A7" w:rsidRDefault="00D110BD" w:rsidP="007C3656">
            <w:pPr>
              <w:pStyle w:val="Tabletext"/>
              <w:keepNext/>
              <w:keepLines/>
              <w:jc w:val="center"/>
              <w:rPr>
                <w:b/>
              </w:rPr>
            </w:pPr>
            <w:r w:rsidRPr="006E72A7">
              <w:rPr>
                <w:b/>
              </w:rPr>
              <w:t>Impact</w:t>
            </w:r>
          </w:p>
        </w:tc>
      </w:tr>
      <w:tr w:rsidR="00537182" w:rsidRPr="006E72A7" w:rsidTr="00406496">
        <w:tc>
          <w:tcPr>
            <w:tcW w:w="705" w:type="pct"/>
            <w:shd w:val="clear" w:color="auto" w:fill="auto"/>
            <w:vAlign w:val="center"/>
          </w:tcPr>
          <w:p w:rsidR="00D110BD" w:rsidRPr="006E72A7" w:rsidRDefault="000364D7" w:rsidP="007C3656">
            <w:pPr>
              <w:pStyle w:val="Tabletext"/>
              <w:keepNext/>
              <w:keepLines/>
            </w:pPr>
            <w:r w:rsidRPr="006E72A7">
              <w:t>Modelled patient population</w:t>
            </w:r>
          </w:p>
        </w:tc>
        <w:tc>
          <w:tcPr>
            <w:tcW w:w="3615" w:type="pct"/>
            <w:shd w:val="clear" w:color="auto" w:fill="auto"/>
            <w:vAlign w:val="center"/>
          </w:tcPr>
          <w:p w:rsidR="000364D7" w:rsidRPr="006E72A7" w:rsidRDefault="000364D7" w:rsidP="007C3656">
            <w:pPr>
              <w:pStyle w:val="Tabletext"/>
              <w:keepNext/>
              <w:keepLines/>
            </w:pPr>
            <w:r w:rsidRPr="006E72A7">
              <w:t>The modelled population was based on the subgroup of patients with recent ACS, diabetes and LDL ≥2.6 mmol/</w:t>
            </w:r>
            <w:r w:rsidR="00EE29DB" w:rsidRPr="006E72A7">
              <w:t>L that</w:t>
            </w:r>
            <w:r w:rsidRPr="006E72A7">
              <w:t xml:space="preserve"> was not directly applicable to the target PBS population with a history of ACS (includes stable patients). </w:t>
            </w:r>
          </w:p>
          <w:p w:rsidR="00106B80" w:rsidRPr="006E72A7" w:rsidRDefault="00E30292" w:rsidP="007C3656">
            <w:pPr>
              <w:pStyle w:val="Tabletext"/>
              <w:keepNext/>
              <w:keepLines/>
            </w:pPr>
            <w:r w:rsidRPr="006E72A7">
              <w:t xml:space="preserve">The modelled population has a higher baseline risk than the ODYSSEY OUTCOMES overall trial population, however, the model also assumed a higher relative treatment effect with </w:t>
            </w:r>
            <w:r w:rsidR="00EE29DB" w:rsidRPr="006E72A7">
              <w:t>alirocumab that</w:t>
            </w:r>
            <w:r w:rsidRPr="006E72A7">
              <w:t xml:space="preserve"> has not bee</w:t>
            </w:r>
            <w:r w:rsidR="00ED099F" w:rsidRPr="006E72A7">
              <w:t>n</w:t>
            </w:r>
            <w:r w:rsidRPr="006E72A7">
              <w:t xml:space="preserve"> demonstrated. </w:t>
            </w:r>
            <w:r w:rsidR="00515BBF" w:rsidRPr="006E72A7">
              <w:t xml:space="preserve">The ESC noted the hazard ratios and CIs provided in the PSCR (p3) showed overlap with the ITT population indicating that there is still some uncertainty regarding the treatment effect in this subgroup. </w:t>
            </w:r>
            <w:r w:rsidR="00406496" w:rsidRPr="006E72A7">
              <w:t xml:space="preserve">The use of efficacy results from this subgroup is likely to overestimate treatment effects associated with alirocumab in the economic model. </w:t>
            </w:r>
            <w:r w:rsidR="00C07E3A" w:rsidRPr="006E72A7">
              <w:t>Due to model structure, changes in baseline risk and treatment effect between the model and trial populations could not be assessed</w:t>
            </w:r>
            <w:r w:rsidR="006E72A7">
              <w:t xml:space="preserve">. </w:t>
            </w:r>
          </w:p>
        </w:tc>
        <w:tc>
          <w:tcPr>
            <w:tcW w:w="679" w:type="pct"/>
            <w:shd w:val="clear" w:color="auto" w:fill="auto"/>
            <w:vAlign w:val="center"/>
          </w:tcPr>
          <w:p w:rsidR="00D110BD" w:rsidRPr="006E72A7" w:rsidRDefault="000364D7" w:rsidP="007C3656">
            <w:pPr>
              <w:pStyle w:val="Tabletext"/>
              <w:keepNext/>
              <w:keepLines/>
            </w:pPr>
            <w:r w:rsidRPr="006E72A7">
              <w:t>High, favours alirocumab</w:t>
            </w:r>
          </w:p>
        </w:tc>
      </w:tr>
      <w:tr w:rsidR="00537182" w:rsidRPr="006E72A7" w:rsidTr="00406496">
        <w:tc>
          <w:tcPr>
            <w:tcW w:w="705" w:type="pct"/>
            <w:shd w:val="clear" w:color="auto" w:fill="auto"/>
            <w:vAlign w:val="center"/>
          </w:tcPr>
          <w:p w:rsidR="00D110BD" w:rsidRPr="006E72A7" w:rsidRDefault="000364D7" w:rsidP="007C3656">
            <w:pPr>
              <w:pStyle w:val="Tabletext"/>
              <w:keepNext/>
              <w:keepLines/>
            </w:pPr>
            <w:r w:rsidRPr="006E72A7">
              <w:t>Transition probabilities</w:t>
            </w:r>
          </w:p>
        </w:tc>
        <w:tc>
          <w:tcPr>
            <w:tcW w:w="3615" w:type="pct"/>
            <w:shd w:val="clear" w:color="auto" w:fill="auto"/>
            <w:vAlign w:val="center"/>
          </w:tcPr>
          <w:p w:rsidR="00406496" w:rsidRPr="006E72A7" w:rsidRDefault="00406496" w:rsidP="007C3656">
            <w:pPr>
              <w:pStyle w:val="Tabletext"/>
              <w:keepNext/>
              <w:keepLines/>
            </w:pPr>
            <w:r w:rsidRPr="006E72A7">
              <w:t>The transition probabilities were derived using Framingham risk equations for subsequent CHD events (D’Agostino 2000). There were multiple concerns noted in the previous commentary in regard to the inappropriate use of Framingham risk equations to derive transition probabilities in the model including the application of individual risk calculators to predict population estimates, synthesis of short-term risk models to predict long-term risk and the generalisability of the risk equations that did not include all risk factors associated with cardiovascular disease (e.g. non-US settings, various ethnic populations, family history, obesity). These issues were inadequately addressed in the resubmission.</w:t>
            </w:r>
          </w:p>
          <w:p w:rsidR="00515B0E" w:rsidRPr="006E72A7" w:rsidRDefault="00515B0E" w:rsidP="007C3656">
            <w:pPr>
              <w:pStyle w:val="Tabletext"/>
              <w:keepNext/>
              <w:keepLines/>
            </w:pPr>
            <w:r w:rsidRPr="006E72A7">
              <w:t xml:space="preserve">The resubmission acknowledged differences in the incidence of events occurring </w:t>
            </w:r>
            <w:r w:rsidR="001D05CC" w:rsidRPr="006E72A7">
              <w:t xml:space="preserve">in </w:t>
            </w:r>
            <w:r w:rsidRPr="006E72A7">
              <w:t xml:space="preserve">the trial versus predicted events using the Framingham equations that were dependent on change in TC:HDL ratio, and therefore used </w:t>
            </w:r>
            <w:r w:rsidR="005B333D" w:rsidRPr="006E72A7">
              <w:t>cardiovascular risk multipliers</w:t>
            </w:r>
            <w:r w:rsidRPr="006E72A7">
              <w:t xml:space="preserve"> to increase the risk of CHD events predicted in the model to match events occurring in the trial. The use of Framingham risk equations to model CHD events was inappropriate given the mismatch in predicted outcomes compared with the trial results. </w:t>
            </w:r>
            <w:r w:rsidR="00B31899" w:rsidRPr="006E72A7">
              <w:t xml:space="preserve">The ESC considered the use of the Framingham model </w:t>
            </w:r>
            <w:r w:rsidR="00652BAB" w:rsidRPr="006E72A7">
              <w:t>was not preferred</w:t>
            </w:r>
            <w:r w:rsidR="00652BAB" w:rsidRPr="006E72A7" w:rsidDel="00652BAB">
              <w:t xml:space="preserve"> </w:t>
            </w:r>
            <w:r w:rsidR="00652BAB" w:rsidRPr="006E72A7">
              <w:t>when CV outcomes data are available from the clinical trials</w:t>
            </w:r>
            <w:r w:rsidR="00B31899" w:rsidRPr="006E72A7">
              <w:t>.</w:t>
            </w:r>
            <w:r w:rsidR="00B31899" w:rsidRPr="006E72A7">
              <w:rPr>
                <w:i/>
              </w:rPr>
              <w:t xml:space="preserve"> </w:t>
            </w:r>
            <w:r w:rsidRPr="006E72A7">
              <w:t xml:space="preserve">The resubmission acknowledged that the underlying cardiovascular risk of the trial population with a recent ACS is typically higher in the short-term, which is not captured by the Framingham equations. </w:t>
            </w:r>
          </w:p>
          <w:p w:rsidR="00D110BD" w:rsidRPr="006E72A7" w:rsidRDefault="005B333D" w:rsidP="007C3656">
            <w:pPr>
              <w:pStyle w:val="Tabletext"/>
              <w:keepNext/>
              <w:keepLines/>
            </w:pPr>
            <w:r w:rsidRPr="006E72A7">
              <w:t>The distribution of individual events w</w:t>
            </w:r>
            <w:r w:rsidR="00B5598B" w:rsidRPr="006E72A7">
              <w:t>as</w:t>
            </w:r>
            <w:r w:rsidRPr="006E72A7">
              <w:t xml:space="preserve"> </w:t>
            </w:r>
            <w:r w:rsidR="00B64B26" w:rsidRPr="006E72A7">
              <w:t>synthesized</w:t>
            </w:r>
            <w:r w:rsidRPr="006E72A7">
              <w:t xml:space="preserve"> using data from the individual outcome of time to coronary death and components of fatal and non-fatal events from the MACE without stroke composite endpoint. The distribution of the probability of CHD death derived from the individual outcome is likely to overestimate the risk of CHD death when applied to the probability of any CHD </w:t>
            </w:r>
            <w:r w:rsidR="00EE29DB" w:rsidRPr="006E72A7">
              <w:t>event that</w:t>
            </w:r>
            <w:r w:rsidRPr="006E72A7">
              <w:t xml:space="preserve"> was based on the MACE without stroke composite endpoint (first event captured only). </w:t>
            </w:r>
          </w:p>
          <w:p w:rsidR="005B333D" w:rsidRPr="006E72A7" w:rsidRDefault="005B333D" w:rsidP="007C3656">
            <w:pPr>
              <w:pStyle w:val="Tabletext"/>
              <w:keepNext/>
              <w:keepLines/>
            </w:pPr>
            <w:r w:rsidRPr="006E72A7">
              <w:t xml:space="preserve">Extrapolated transition probabilities from Years 5-41 of the model were assumed. The resubmission did not provide adequate validation of these estimates. </w:t>
            </w:r>
          </w:p>
        </w:tc>
        <w:tc>
          <w:tcPr>
            <w:tcW w:w="679" w:type="pct"/>
            <w:shd w:val="clear" w:color="auto" w:fill="auto"/>
            <w:vAlign w:val="center"/>
          </w:tcPr>
          <w:p w:rsidR="00D110BD" w:rsidRPr="006E72A7" w:rsidRDefault="000364D7" w:rsidP="007C3656">
            <w:pPr>
              <w:pStyle w:val="Tabletext"/>
              <w:keepNext/>
              <w:keepLines/>
            </w:pPr>
            <w:r w:rsidRPr="006E72A7">
              <w:t>High, favours alirocumab</w:t>
            </w:r>
          </w:p>
        </w:tc>
      </w:tr>
      <w:tr w:rsidR="000364D7" w:rsidRPr="006E72A7" w:rsidTr="00406496">
        <w:tc>
          <w:tcPr>
            <w:tcW w:w="705" w:type="pct"/>
            <w:shd w:val="clear" w:color="auto" w:fill="auto"/>
            <w:vAlign w:val="center"/>
          </w:tcPr>
          <w:p w:rsidR="000364D7" w:rsidRPr="006E72A7" w:rsidRDefault="000364D7" w:rsidP="007C3656">
            <w:pPr>
              <w:pStyle w:val="Tabletext"/>
              <w:keepNext/>
              <w:keepLines/>
            </w:pPr>
            <w:r w:rsidRPr="006E72A7">
              <w:t>Treatment effect on coronary death</w:t>
            </w:r>
          </w:p>
        </w:tc>
        <w:tc>
          <w:tcPr>
            <w:tcW w:w="3615" w:type="pct"/>
            <w:shd w:val="clear" w:color="auto" w:fill="auto"/>
            <w:vAlign w:val="center"/>
          </w:tcPr>
          <w:p w:rsidR="000364D7" w:rsidRPr="006E72A7" w:rsidRDefault="000364D7" w:rsidP="007C3656">
            <w:pPr>
              <w:pStyle w:val="Tabletext"/>
              <w:keepNext/>
              <w:keepLines/>
            </w:pPr>
            <w:r w:rsidRPr="006E72A7">
              <w:t>The modelled approach using the Framingham risk equations, cardiovascular risk multipliers and adjustments to event distributions resulted in a substantial reduction in mortality associated with alirocumab compared with placebo.</w:t>
            </w:r>
          </w:p>
          <w:p w:rsidR="000364D7" w:rsidRPr="006E72A7" w:rsidRDefault="007773AF" w:rsidP="007C3656">
            <w:pPr>
              <w:pStyle w:val="Tabletext"/>
              <w:keepNext/>
              <w:keepLines/>
            </w:pPr>
            <w:r w:rsidRPr="006E72A7">
              <w:t>In contrast,</w:t>
            </w:r>
            <w:r w:rsidRPr="006E72A7">
              <w:rPr>
                <w:i/>
              </w:rPr>
              <w:t xml:space="preserve"> </w:t>
            </w:r>
            <w:r w:rsidRPr="006E72A7">
              <w:t>t</w:t>
            </w:r>
            <w:r w:rsidR="000364D7" w:rsidRPr="006E72A7">
              <w:t xml:space="preserve">he ODYSSEY OUTCOMES trial evidence suggests no treatment effect on cardiovascular </w:t>
            </w:r>
            <w:r w:rsidR="00EE29DB" w:rsidRPr="006E72A7">
              <w:t>mortality that</w:t>
            </w:r>
            <w:r w:rsidR="000364D7" w:rsidRPr="006E72A7">
              <w:t xml:space="preserve"> was consistent with data from the FOURIER trial for evolocumab.</w:t>
            </w:r>
            <w:r w:rsidR="00C07E3A" w:rsidRPr="006E72A7">
              <w:t xml:space="preserve"> The PBAC previously considered the incorporation of a mortality time lag as a potential method to address this uncertainty when raised with the evolocumab FOURIER trial (para 6.33 and 7.6, evolocumab PSD July 2018).</w:t>
            </w:r>
            <w:r w:rsidR="00153E22" w:rsidRPr="006E72A7">
              <w:t xml:space="preserve"> </w:t>
            </w:r>
            <w:r w:rsidR="00840284" w:rsidRPr="006E72A7">
              <w:t>T</w:t>
            </w:r>
            <w:r w:rsidR="00153E22" w:rsidRPr="006E72A7">
              <w:t xml:space="preserve">he PSCR (p4) </w:t>
            </w:r>
            <w:r w:rsidR="00840284" w:rsidRPr="006E72A7">
              <w:t>argue</w:t>
            </w:r>
            <w:r w:rsidR="00B052A7" w:rsidRPr="006E72A7">
              <w:t>d the</w:t>
            </w:r>
            <w:r w:rsidR="00840284" w:rsidRPr="006E72A7">
              <w:t xml:space="preserve"> model </w:t>
            </w:r>
            <w:r w:rsidR="00B052A7" w:rsidRPr="006E72A7">
              <w:t>implicitly incorporated</w:t>
            </w:r>
            <w:r w:rsidR="00840284" w:rsidRPr="006E72A7">
              <w:t xml:space="preserve"> a mortality lag as visual inspection of the MACE and the CV mortality curves of the trial show the MACE curves separating earlier than the CV mortality curves.</w:t>
            </w:r>
            <w:r w:rsidR="0026442C" w:rsidRPr="006E72A7">
              <w:t xml:space="preserve"> </w:t>
            </w:r>
            <w:r w:rsidR="00B052A7" w:rsidRPr="006E72A7">
              <w:t>T</w:t>
            </w:r>
            <w:r w:rsidR="00840284" w:rsidRPr="006E72A7">
              <w:t xml:space="preserve">he ESC considered the </w:t>
            </w:r>
            <w:r w:rsidR="00637FDE" w:rsidRPr="006E72A7">
              <w:t xml:space="preserve">extent of </w:t>
            </w:r>
            <w:r w:rsidR="00840284" w:rsidRPr="006E72A7">
              <w:t>separation of the curves for CV mortality remained optimistic and the extrapolat</w:t>
            </w:r>
            <w:r w:rsidR="00B642FB" w:rsidRPr="006E72A7">
              <w:t>i</w:t>
            </w:r>
            <w:r w:rsidR="00840284" w:rsidRPr="006E72A7">
              <w:t>on using Fr</w:t>
            </w:r>
            <w:r w:rsidR="00B642FB" w:rsidRPr="006E72A7">
              <w:t>a</w:t>
            </w:r>
            <w:r w:rsidR="00840284" w:rsidRPr="006E72A7">
              <w:t>mingham overestimated the magnitude of this di</w:t>
            </w:r>
            <w:r w:rsidR="00B642FB" w:rsidRPr="006E72A7">
              <w:t>f</w:t>
            </w:r>
            <w:r w:rsidR="00840284" w:rsidRPr="006E72A7">
              <w:t>ference.</w:t>
            </w:r>
            <w:r w:rsidR="00153E22" w:rsidRPr="006E72A7">
              <w:t xml:space="preserve"> </w:t>
            </w:r>
          </w:p>
        </w:tc>
        <w:tc>
          <w:tcPr>
            <w:tcW w:w="679" w:type="pct"/>
            <w:shd w:val="clear" w:color="auto" w:fill="auto"/>
            <w:vAlign w:val="center"/>
          </w:tcPr>
          <w:p w:rsidR="000364D7" w:rsidRPr="006E72A7" w:rsidRDefault="000364D7" w:rsidP="007C3656">
            <w:pPr>
              <w:pStyle w:val="Tabletext"/>
              <w:keepNext/>
              <w:keepLines/>
            </w:pPr>
            <w:r w:rsidRPr="006E72A7">
              <w:t>High, favours alirocumab</w:t>
            </w:r>
          </w:p>
        </w:tc>
      </w:tr>
    </w:tbl>
    <w:p w:rsidR="00D110BD" w:rsidRPr="006E72A7" w:rsidRDefault="000364D7" w:rsidP="007C3656">
      <w:pPr>
        <w:pStyle w:val="TableFooter"/>
        <w:keepNext/>
        <w:keepLines/>
        <w:widowControl/>
      </w:pPr>
      <w:r w:rsidRPr="006E72A7">
        <w:t xml:space="preserve">Source: compiled during the evaluation </w:t>
      </w:r>
    </w:p>
    <w:p w:rsidR="00406496" w:rsidRPr="006E72A7" w:rsidRDefault="00406496" w:rsidP="007C3656">
      <w:pPr>
        <w:pStyle w:val="TableFooter"/>
        <w:keepNext/>
        <w:keepLines/>
        <w:widowControl/>
      </w:pPr>
      <w:r w:rsidRPr="006E72A7">
        <w:t>Abbreviation: ACS, acute coronary syndrome</w:t>
      </w:r>
    </w:p>
    <w:p w:rsidR="00275C5A" w:rsidRPr="006E72A7" w:rsidRDefault="00406496" w:rsidP="00DD046C">
      <w:pPr>
        <w:pStyle w:val="ListParagraph"/>
        <w:widowControl/>
        <w:numPr>
          <w:ilvl w:val="1"/>
          <w:numId w:val="1"/>
        </w:numPr>
        <w:spacing w:before="120" w:after="120"/>
      </w:pPr>
      <w:r w:rsidRPr="006E72A7">
        <w:lastRenderedPageBreak/>
        <w:t>The impact of deriving transition probabilities using Framingham risk equations, cardiovascular risk multipliers and adjusted event distributions over time was explored during the evaluation</w:t>
      </w:r>
      <w:r w:rsidR="00515B0E" w:rsidRPr="006E72A7">
        <w:t xml:space="preserve">. Figure 2 illustrates the transition probabilities of any CHD event (myocardial infarction, angina or CHD death) over time. </w:t>
      </w:r>
    </w:p>
    <w:p w:rsidR="00406496" w:rsidRPr="006E72A7" w:rsidRDefault="00515B0E" w:rsidP="00E02557">
      <w:pPr>
        <w:pStyle w:val="TableHeading0"/>
      </w:pPr>
      <w:r w:rsidRPr="006E72A7">
        <w:t>Figure 2: Transition probabilities of any CHD event in the economic model</w:t>
      </w:r>
    </w:p>
    <w:p w:rsidR="00515B0E" w:rsidRPr="006E72A7" w:rsidRDefault="00515B0E" w:rsidP="00E02557">
      <w:pPr>
        <w:widowControl/>
      </w:pPr>
      <w:r w:rsidRPr="006E72A7">
        <w:rPr>
          <w:noProof/>
          <w:lang w:eastAsia="en-AU"/>
        </w:rPr>
        <w:drawing>
          <wp:inline distT="0" distB="0" distL="0" distR="0" wp14:anchorId="7E607D75" wp14:editId="11E823BE">
            <wp:extent cx="5722620" cy="3739433"/>
            <wp:effectExtent l="0" t="0" r="0" b="0"/>
            <wp:docPr id="2080" name="Picture 2080" title="Transition probabilities of any CHD event in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900" cy="3749417"/>
                    </a:xfrm>
                    <a:prstGeom prst="rect">
                      <a:avLst/>
                    </a:prstGeom>
                    <a:noFill/>
                  </pic:spPr>
                </pic:pic>
              </a:graphicData>
            </a:graphic>
          </wp:inline>
        </w:drawing>
      </w:r>
    </w:p>
    <w:p w:rsidR="00515B0E" w:rsidRPr="006E72A7" w:rsidRDefault="00515B0E" w:rsidP="00E02557">
      <w:pPr>
        <w:pStyle w:val="TableFooter"/>
        <w:widowControl/>
      </w:pPr>
      <w:r w:rsidRPr="006E72A7">
        <w:t>Source: constructed during the evaluation using ‘ALI_model_Oct18’ Excel workbook</w:t>
      </w:r>
    </w:p>
    <w:p w:rsidR="00515B0E" w:rsidRPr="006E72A7" w:rsidRDefault="00515B0E" w:rsidP="00E02557">
      <w:pPr>
        <w:pStyle w:val="TableFooter"/>
        <w:widowControl/>
      </w:pPr>
      <w:r w:rsidRPr="006E72A7">
        <w:t>Abbreviations: ALI, alirocumab; CHD, coronary heart disease; pEvent, probability of any CHD event; PBO, placebo</w:t>
      </w:r>
    </w:p>
    <w:p w:rsidR="00406496" w:rsidRPr="006E72A7" w:rsidRDefault="00515B0E" w:rsidP="00DD046C">
      <w:pPr>
        <w:pStyle w:val="ListParagraph"/>
        <w:widowControl/>
        <w:numPr>
          <w:ilvl w:val="1"/>
          <w:numId w:val="1"/>
        </w:numPr>
        <w:spacing w:before="120" w:after="120"/>
      </w:pPr>
      <w:r w:rsidRPr="006E72A7">
        <w:t xml:space="preserve">The graph shows a decreasing risk of CHD events in both arms in the first 3 years of the model followed by divergence between arms in years 3-4 with a sharp increase for placebo and continued decrease in risk for alirocumab. </w:t>
      </w:r>
      <w:r w:rsidR="00EE29DB" w:rsidRPr="006E72A7">
        <w:t>Relatively small patient numbers limited trial data used to inform the estimates at Year 4</w:t>
      </w:r>
      <w:r w:rsidRPr="006E72A7">
        <w:t>.</w:t>
      </w:r>
    </w:p>
    <w:p w:rsidR="00515B0E" w:rsidRPr="006E72A7" w:rsidRDefault="00515B0E" w:rsidP="00DD046C">
      <w:pPr>
        <w:pStyle w:val="ListParagraph"/>
        <w:widowControl/>
        <w:numPr>
          <w:ilvl w:val="1"/>
          <w:numId w:val="1"/>
        </w:numPr>
        <w:spacing w:before="120" w:after="120"/>
      </w:pPr>
      <w:r w:rsidRPr="006E72A7">
        <w:t>From Year 5 onwards, a difference in the risk of CHD events that gradually widened over the model lifetime was assumed. This assumption had a large impact and was substantially in favour of alirocumab.</w:t>
      </w:r>
    </w:p>
    <w:p w:rsidR="00515B0E" w:rsidRPr="006E72A7" w:rsidRDefault="00515B0E" w:rsidP="00DD046C">
      <w:pPr>
        <w:pStyle w:val="ListParagraph"/>
        <w:widowControl/>
        <w:numPr>
          <w:ilvl w:val="1"/>
          <w:numId w:val="1"/>
        </w:numPr>
        <w:spacing w:before="120" w:after="120"/>
      </w:pPr>
      <w:r w:rsidRPr="006E72A7">
        <w:t xml:space="preserve">Figure 3 presents the individual transition probabilities of CHD death, myocardial infarction and angina in the model. </w:t>
      </w:r>
    </w:p>
    <w:p w:rsidR="00515B0E" w:rsidRPr="006E72A7" w:rsidRDefault="00515B0E" w:rsidP="00E02557">
      <w:pPr>
        <w:pStyle w:val="TableHeading0"/>
        <w:spacing w:after="0"/>
      </w:pPr>
      <w:r w:rsidRPr="006E72A7">
        <w:lastRenderedPageBreak/>
        <w:t>Figure 3: Transition probabilities of CHD death, myocardial infarction or angina in the model</w:t>
      </w:r>
    </w:p>
    <w:p w:rsidR="00515B0E" w:rsidRPr="006E72A7" w:rsidRDefault="00515B0E" w:rsidP="00E02557">
      <w:pPr>
        <w:widowControl/>
      </w:pPr>
      <w:r w:rsidRPr="006E72A7">
        <w:rPr>
          <w:noProof/>
          <w:lang w:eastAsia="en-AU"/>
        </w:rPr>
        <w:drawing>
          <wp:inline distT="0" distB="0" distL="0" distR="0" wp14:anchorId="2EBFEAE5" wp14:editId="3A3362F9">
            <wp:extent cx="5706110" cy="3724910"/>
            <wp:effectExtent l="0" t="0" r="8890" b="8890"/>
            <wp:docPr id="2082" name="Picture 2082" title="Transition probabilities of CHD death, myocardial infarction or angina in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6110" cy="3724910"/>
                    </a:xfrm>
                    <a:prstGeom prst="rect">
                      <a:avLst/>
                    </a:prstGeom>
                    <a:noFill/>
                  </pic:spPr>
                </pic:pic>
              </a:graphicData>
            </a:graphic>
          </wp:inline>
        </w:drawing>
      </w:r>
    </w:p>
    <w:p w:rsidR="00145071" w:rsidRPr="006E72A7" w:rsidRDefault="00145071" w:rsidP="00E02557">
      <w:pPr>
        <w:pStyle w:val="TableFooter"/>
        <w:widowControl/>
      </w:pPr>
      <w:r w:rsidRPr="006E72A7">
        <w:t>Source: constructed during the evaluation using ‘ALI_model_Oct18’ Excel workbook</w:t>
      </w:r>
    </w:p>
    <w:p w:rsidR="00515B0E" w:rsidRPr="006E72A7" w:rsidRDefault="00145071" w:rsidP="00E02557">
      <w:pPr>
        <w:pStyle w:val="TableFooter"/>
        <w:widowControl/>
      </w:pPr>
      <w:r w:rsidRPr="006E72A7">
        <w:t>Abbreviations: ALI, alirocumab; CHD, coronary heart disease; PBO, placebo</w:t>
      </w:r>
    </w:p>
    <w:p w:rsidR="00515B0E" w:rsidRPr="006E72A7" w:rsidRDefault="00515B0E" w:rsidP="00DD046C">
      <w:pPr>
        <w:pStyle w:val="ListParagraph"/>
        <w:widowControl/>
        <w:numPr>
          <w:ilvl w:val="1"/>
          <w:numId w:val="1"/>
        </w:numPr>
        <w:spacing w:before="120" w:after="120"/>
      </w:pPr>
      <w:r w:rsidRPr="006E72A7">
        <w:t xml:space="preserve">The graph shows a decreasing risk of myocardial infarction trending towards convergence between treatment arms by Year 3, followed by substantial divergence at Year 4. At Year 5, the risk of myocardial infarction in the alirocumab sharply increases and a relative treatment effect versus placebo is then maintained for the rest of the model duration. </w:t>
      </w:r>
    </w:p>
    <w:p w:rsidR="00515B0E" w:rsidRPr="006E72A7" w:rsidRDefault="00515B0E" w:rsidP="00DD046C">
      <w:pPr>
        <w:pStyle w:val="ListParagraph"/>
        <w:widowControl/>
        <w:numPr>
          <w:ilvl w:val="1"/>
          <w:numId w:val="1"/>
        </w:numPr>
        <w:spacing w:before="120" w:after="120"/>
      </w:pPr>
      <w:r w:rsidRPr="006E72A7">
        <w:t>There was no difference in the risk of CHD death at Year 1 of the model, with divergence starting at Year 2 and a peak difference at Year 4 in the model (largely due to a temporary spike in the placebo arm). At Year 5, the risk of CHD death in the placebo arm decreases sharply and a relative treatment effect in favour of alirocumab is maintained until the end of the model</w:t>
      </w:r>
      <w:r w:rsidR="006E72A7">
        <w:t xml:space="preserve">. </w:t>
      </w:r>
    </w:p>
    <w:p w:rsidR="00515B0E" w:rsidRPr="006E72A7" w:rsidRDefault="00515B0E" w:rsidP="00DD046C">
      <w:pPr>
        <w:pStyle w:val="ListParagraph"/>
        <w:widowControl/>
        <w:numPr>
          <w:ilvl w:val="1"/>
          <w:numId w:val="1"/>
        </w:numPr>
        <w:spacing w:before="120" w:after="120"/>
      </w:pPr>
      <w:r w:rsidRPr="006E72A7">
        <w:t>Overall, the modelled CHD risks did not appear to be clinically plausible and lacked face validity.</w:t>
      </w:r>
    </w:p>
    <w:p w:rsidR="00515B0E" w:rsidRPr="006E72A7" w:rsidRDefault="005B333D" w:rsidP="00DD046C">
      <w:pPr>
        <w:pStyle w:val="ListParagraph"/>
        <w:widowControl/>
        <w:numPr>
          <w:ilvl w:val="1"/>
          <w:numId w:val="1"/>
        </w:numPr>
        <w:spacing w:before="120" w:after="120"/>
      </w:pPr>
      <w:r w:rsidRPr="006E72A7">
        <w:t xml:space="preserve">The results of the modelled economic evaluation are summarised below. </w:t>
      </w:r>
    </w:p>
    <w:p w:rsidR="00D110BD" w:rsidRPr="006E72A7" w:rsidRDefault="00E02557" w:rsidP="00E02557">
      <w:pPr>
        <w:keepNext/>
        <w:widowControl/>
      </w:pPr>
      <w:r w:rsidRPr="006E72A7">
        <w:rPr>
          <w:rStyle w:val="CommentReference"/>
        </w:rPr>
        <w:br w:type="column"/>
      </w:r>
      <w:r w:rsidR="005A373D" w:rsidRPr="006E72A7">
        <w:rPr>
          <w:rStyle w:val="CommentReference"/>
        </w:rPr>
        <w:lastRenderedPageBreak/>
        <w:t>T</w:t>
      </w:r>
      <w:r w:rsidR="005B333D" w:rsidRPr="006E72A7">
        <w:rPr>
          <w:rStyle w:val="CommentReference"/>
        </w:rPr>
        <w:t>able 1</w:t>
      </w:r>
      <w:r w:rsidR="007275BD" w:rsidRPr="006E72A7">
        <w:rPr>
          <w:rStyle w:val="CommentReference"/>
        </w:rPr>
        <w:t>1</w:t>
      </w:r>
      <w:r w:rsidR="005A373D" w:rsidRPr="006E72A7">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Pr>
      <w:tblGrid>
        <w:gridCol w:w="2757"/>
        <w:gridCol w:w="2451"/>
        <w:gridCol w:w="2298"/>
        <w:gridCol w:w="1511"/>
      </w:tblGrid>
      <w:tr w:rsidR="005B333D" w:rsidRPr="006E72A7" w:rsidTr="00254B3B">
        <w:trPr>
          <w:tblHeader/>
        </w:trPr>
        <w:tc>
          <w:tcPr>
            <w:tcW w:w="1529" w:type="pct"/>
            <w:vAlign w:val="center"/>
          </w:tcPr>
          <w:p w:rsidR="005B333D" w:rsidRPr="006E72A7" w:rsidRDefault="005B333D" w:rsidP="00E02557">
            <w:pPr>
              <w:pStyle w:val="Tabletext"/>
              <w:rPr>
                <w:b/>
              </w:rPr>
            </w:pPr>
            <w:r w:rsidRPr="006E72A7">
              <w:rPr>
                <w:b/>
              </w:rPr>
              <w:t>Step and component</w:t>
            </w:r>
          </w:p>
        </w:tc>
        <w:tc>
          <w:tcPr>
            <w:tcW w:w="1359" w:type="pct"/>
            <w:vAlign w:val="center"/>
          </w:tcPr>
          <w:p w:rsidR="005B333D" w:rsidRPr="006E72A7" w:rsidRDefault="00414AE4" w:rsidP="00E02557">
            <w:pPr>
              <w:pStyle w:val="Tabletext"/>
              <w:jc w:val="center"/>
              <w:rPr>
                <w:b/>
              </w:rPr>
            </w:pPr>
            <w:r w:rsidRPr="006E72A7">
              <w:rPr>
                <w:b/>
              </w:rPr>
              <w:t>Alirocumab</w:t>
            </w:r>
          </w:p>
        </w:tc>
        <w:tc>
          <w:tcPr>
            <w:tcW w:w="1274" w:type="pct"/>
            <w:vAlign w:val="center"/>
          </w:tcPr>
          <w:p w:rsidR="005B333D" w:rsidRPr="006E72A7" w:rsidRDefault="00414AE4" w:rsidP="00E02557">
            <w:pPr>
              <w:pStyle w:val="Tabletext"/>
              <w:jc w:val="center"/>
              <w:rPr>
                <w:b/>
              </w:rPr>
            </w:pPr>
            <w:r w:rsidRPr="006E72A7">
              <w:rPr>
                <w:b/>
              </w:rPr>
              <w:t>Placebo</w:t>
            </w:r>
          </w:p>
        </w:tc>
        <w:tc>
          <w:tcPr>
            <w:tcW w:w="838" w:type="pct"/>
            <w:vAlign w:val="center"/>
          </w:tcPr>
          <w:p w:rsidR="005B333D" w:rsidRPr="006E72A7" w:rsidRDefault="005B333D" w:rsidP="00E02557">
            <w:pPr>
              <w:pStyle w:val="Tabletext"/>
              <w:jc w:val="center"/>
              <w:rPr>
                <w:b/>
              </w:rPr>
            </w:pPr>
            <w:r w:rsidRPr="006E72A7">
              <w:rPr>
                <w:b/>
              </w:rPr>
              <w:t>Increment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Step 1: Trial-based incidence of CHD event (based on time to first non-fatal or fatal MI, angina or CHD death) from ITT population with fixed drug costs up to 4 years.</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pPr>
            <w:r w:rsidRPr="006E72A7">
              <w:t>0.0860</w:t>
            </w:r>
          </w:p>
        </w:tc>
        <w:tc>
          <w:tcPr>
            <w:tcW w:w="1274" w:type="pct"/>
            <w:vAlign w:val="center"/>
          </w:tcPr>
          <w:p w:rsidR="005B333D" w:rsidRPr="006E72A7" w:rsidRDefault="005B333D" w:rsidP="00E02557">
            <w:pPr>
              <w:pStyle w:val="Tabletext"/>
              <w:jc w:val="center"/>
            </w:pPr>
            <w:r w:rsidRPr="006E72A7">
              <w:t>0.0995</w:t>
            </w:r>
          </w:p>
        </w:tc>
        <w:tc>
          <w:tcPr>
            <w:tcW w:w="838" w:type="pct"/>
            <w:vAlign w:val="center"/>
          </w:tcPr>
          <w:p w:rsidR="005B333D" w:rsidRPr="006E72A7" w:rsidRDefault="005B333D" w:rsidP="00E02557">
            <w:pPr>
              <w:pStyle w:val="Tabletext"/>
              <w:jc w:val="center"/>
            </w:pPr>
            <w:r w:rsidRPr="006E72A7">
              <w:t>-0.0134</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snapToGrid w:val="0"/>
              </w:rPr>
            </w:pPr>
            <w:r w:rsidRPr="006E72A7">
              <w:t>Incremental cost per CHD event avoided</w:t>
            </w:r>
          </w:p>
        </w:tc>
        <w:tc>
          <w:tcPr>
            <w:tcW w:w="838" w:type="pct"/>
            <w:vAlign w:val="center"/>
          </w:tcPr>
          <w:p w:rsidR="005B333D" w:rsidRPr="006E72A7" w:rsidRDefault="0033594E" w:rsidP="00E02557">
            <w:pPr>
              <w:pStyle w:val="Tabletext"/>
              <w:jc w:val="center"/>
              <w:rPr>
                <w:rFonts w:ascii="Times" w:hAnsi="Times"/>
              </w:rPr>
            </w:pPr>
            <w:r w:rsidRPr="006E72A7">
              <w:t xml:space="preserve">Add </w:t>
            </w:r>
            <w:r w:rsidR="005B333D"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Step 2: Trial-based incidence of CHD event (based on time to first non-fatal or fatal MI, angina or CHD death) from subgroup with LDL ≥2.6 mmol/L with fixed drug costs up to 4 years.</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pPr>
            <w:r w:rsidRPr="006E72A7">
              <w:t>0.1031</w:t>
            </w:r>
          </w:p>
        </w:tc>
        <w:tc>
          <w:tcPr>
            <w:tcW w:w="1274" w:type="pct"/>
            <w:vAlign w:val="center"/>
          </w:tcPr>
          <w:p w:rsidR="005B333D" w:rsidRPr="006E72A7" w:rsidRDefault="005B333D" w:rsidP="00E02557">
            <w:pPr>
              <w:pStyle w:val="Tabletext"/>
              <w:jc w:val="center"/>
            </w:pPr>
            <w:r w:rsidRPr="006E72A7">
              <w:t>0.1346</w:t>
            </w:r>
          </w:p>
        </w:tc>
        <w:tc>
          <w:tcPr>
            <w:tcW w:w="838" w:type="pct"/>
            <w:vAlign w:val="center"/>
          </w:tcPr>
          <w:p w:rsidR="005B333D" w:rsidRPr="006E72A7" w:rsidRDefault="005B333D" w:rsidP="00E02557">
            <w:pPr>
              <w:pStyle w:val="Tabletext"/>
              <w:jc w:val="center"/>
            </w:pPr>
            <w:r w:rsidRPr="006E72A7">
              <w:t>-0.0316</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snapToGrid w:val="0"/>
              </w:rPr>
            </w:pPr>
            <w:r w:rsidRPr="006E72A7">
              <w:t>Incremental cost per CHD event avoided</w:t>
            </w:r>
          </w:p>
        </w:tc>
        <w:tc>
          <w:tcPr>
            <w:tcW w:w="838" w:type="pct"/>
            <w:vAlign w:val="center"/>
          </w:tcPr>
          <w:p w:rsidR="005B333D" w:rsidRPr="006E72A7" w:rsidRDefault="007E7880" w:rsidP="00E02557">
            <w:pPr>
              <w:pStyle w:val="Tabletext"/>
              <w:jc w:val="center"/>
              <w:rPr>
                <w:rFonts w:ascii="Times" w:hAnsi="Times"/>
              </w:rPr>
            </w:pPr>
            <w:r w:rsidRPr="007E7880">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 xml:space="preserve">Step 3: Trial-based incidence of CHD event (based on time to first non-fatal or fatal MI, angina or CHD death) from subgroup with diabetes and LDL ≥2.6 mmol/L with fixed drug costs up to 4 years. </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pPr>
            <w:r w:rsidRPr="006E72A7">
              <w:t>0.1261</w:t>
            </w:r>
          </w:p>
        </w:tc>
        <w:tc>
          <w:tcPr>
            <w:tcW w:w="1274" w:type="pct"/>
            <w:vAlign w:val="center"/>
          </w:tcPr>
          <w:p w:rsidR="005B333D" w:rsidRPr="006E72A7" w:rsidRDefault="005B333D" w:rsidP="00E02557">
            <w:pPr>
              <w:pStyle w:val="Tabletext"/>
              <w:jc w:val="center"/>
            </w:pPr>
            <w:r w:rsidRPr="006E72A7">
              <w:t>0.1895</w:t>
            </w:r>
          </w:p>
        </w:tc>
        <w:tc>
          <w:tcPr>
            <w:tcW w:w="838" w:type="pct"/>
            <w:vAlign w:val="center"/>
          </w:tcPr>
          <w:p w:rsidR="005B333D" w:rsidRPr="006E72A7" w:rsidRDefault="005B333D" w:rsidP="00E02557">
            <w:pPr>
              <w:pStyle w:val="Tabletext"/>
              <w:jc w:val="center"/>
            </w:pPr>
            <w:r w:rsidRPr="006E72A7">
              <w:t>-0.0633</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CHD event avoided</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 xml:space="preserve">Step 4: Transform TC:HDL ratio and patient characteristics from subgroup with diabetes and LDL ≥2.6 mmol/L to CHD events (via Framingham equation) and distribute to non-fatal MI, angina or CHD death using event distribution from </w:t>
            </w:r>
            <w:r w:rsidR="007F0D0F" w:rsidRPr="006E72A7">
              <w:rPr>
                <w:b/>
                <w:snapToGrid w:val="0"/>
              </w:rPr>
              <w:t>post-hoc</w:t>
            </w:r>
            <w:r w:rsidRPr="006E72A7">
              <w:rPr>
                <w:b/>
                <w:snapToGrid w:val="0"/>
              </w:rPr>
              <w:t xml:space="preserve"> subgroup analysis with fixed drug costs up to 4 years.</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rPr>
                <w:rFonts w:ascii="Times" w:hAnsi="Times"/>
              </w:rPr>
            </w:pPr>
            <w:r w:rsidRPr="006E72A7">
              <w:t>0.1537</w:t>
            </w:r>
          </w:p>
        </w:tc>
        <w:tc>
          <w:tcPr>
            <w:tcW w:w="1274" w:type="pct"/>
            <w:vAlign w:val="center"/>
          </w:tcPr>
          <w:p w:rsidR="005B333D" w:rsidRPr="006E72A7" w:rsidRDefault="005B333D" w:rsidP="00E02557">
            <w:pPr>
              <w:pStyle w:val="Tabletext"/>
              <w:jc w:val="center"/>
              <w:rPr>
                <w:rFonts w:ascii="Times" w:hAnsi="Times"/>
              </w:rPr>
            </w:pPr>
            <w:r w:rsidRPr="006E72A7">
              <w:t>0.1990</w:t>
            </w:r>
          </w:p>
        </w:tc>
        <w:tc>
          <w:tcPr>
            <w:tcW w:w="838" w:type="pct"/>
            <w:vAlign w:val="center"/>
          </w:tcPr>
          <w:p w:rsidR="005B333D" w:rsidRPr="006E72A7" w:rsidRDefault="005B333D" w:rsidP="00E02557">
            <w:pPr>
              <w:pStyle w:val="Tabletext"/>
              <w:jc w:val="center"/>
            </w:pPr>
            <w:r w:rsidRPr="006E72A7">
              <w:t>-0.0458</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CHD event avoided</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 xml:space="preserve">Step 5a: Adjust probability of CHD events from Framingham equation to match incidence and distribution of events in the subgroup from the trial with fixed drug costs up to 4 years. </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rPr>
                <w:rFonts w:ascii="Times" w:hAnsi="Times"/>
              </w:rPr>
            </w:pPr>
            <w:r w:rsidRPr="006E72A7">
              <w:t>0.1594</w:t>
            </w:r>
          </w:p>
        </w:tc>
        <w:tc>
          <w:tcPr>
            <w:tcW w:w="1274" w:type="pct"/>
            <w:vAlign w:val="center"/>
          </w:tcPr>
          <w:p w:rsidR="005B333D" w:rsidRPr="006E72A7" w:rsidRDefault="005B333D" w:rsidP="00E02557">
            <w:pPr>
              <w:pStyle w:val="Tabletext"/>
              <w:jc w:val="center"/>
            </w:pPr>
            <w:r w:rsidRPr="006E72A7">
              <w:t>0.2880</w:t>
            </w:r>
          </w:p>
        </w:tc>
        <w:tc>
          <w:tcPr>
            <w:tcW w:w="838" w:type="pct"/>
            <w:vAlign w:val="center"/>
          </w:tcPr>
          <w:p w:rsidR="005B333D" w:rsidRPr="006E72A7" w:rsidRDefault="005B333D" w:rsidP="00E02557">
            <w:pPr>
              <w:pStyle w:val="Tabletext"/>
              <w:jc w:val="center"/>
            </w:pPr>
            <w:r w:rsidRPr="006E72A7">
              <w:t>-0.1291</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CHD event avoided</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Step 5b: Use modelled drug costs up to 4 years.</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rPr>
                <w:rFonts w:ascii="Times" w:hAnsi="Times"/>
              </w:rPr>
            </w:pPr>
            <w:r w:rsidRPr="006E72A7">
              <w:t>0.1594</w:t>
            </w:r>
          </w:p>
        </w:tc>
        <w:tc>
          <w:tcPr>
            <w:tcW w:w="1274" w:type="pct"/>
            <w:vAlign w:val="center"/>
          </w:tcPr>
          <w:p w:rsidR="005B333D" w:rsidRPr="006E72A7" w:rsidRDefault="005B333D" w:rsidP="00E02557">
            <w:pPr>
              <w:pStyle w:val="Tabletext"/>
              <w:jc w:val="center"/>
            </w:pPr>
            <w:r w:rsidRPr="006E72A7">
              <w:t>0.2880</w:t>
            </w:r>
          </w:p>
        </w:tc>
        <w:tc>
          <w:tcPr>
            <w:tcW w:w="838" w:type="pct"/>
            <w:vAlign w:val="center"/>
          </w:tcPr>
          <w:p w:rsidR="005B333D" w:rsidRPr="006E72A7" w:rsidRDefault="005B333D" w:rsidP="00E02557">
            <w:pPr>
              <w:pStyle w:val="Tabletext"/>
              <w:jc w:val="center"/>
            </w:pPr>
            <w:r w:rsidRPr="006E72A7">
              <w:t>-0.1291</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CHD event avoided</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Step 6: Include modelled CHD event costs up to 4 years</w:t>
            </w:r>
            <w:r w:rsidR="006E72A7">
              <w:rPr>
                <w:b/>
                <w:snapToGrid w:val="0"/>
              </w:rPr>
              <w:t xml:space="preserve">. </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CHD events</w:t>
            </w:r>
          </w:p>
        </w:tc>
        <w:tc>
          <w:tcPr>
            <w:tcW w:w="1359" w:type="pct"/>
            <w:vAlign w:val="center"/>
          </w:tcPr>
          <w:p w:rsidR="005B333D" w:rsidRPr="006E72A7" w:rsidRDefault="005B333D" w:rsidP="00E02557">
            <w:pPr>
              <w:pStyle w:val="Tabletext"/>
              <w:jc w:val="center"/>
              <w:rPr>
                <w:rFonts w:ascii="Times" w:hAnsi="Times"/>
              </w:rPr>
            </w:pPr>
            <w:r w:rsidRPr="006E72A7">
              <w:t>0.1594</w:t>
            </w:r>
          </w:p>
        </w:tc>
        <w:tc>
          <w:tcPr>
            <w:tcW w:w="1274" w:type="pct"/>
            <w:vAlign w:val="center"/>
          </w:tcPr>
          <w:p w:rsidR="005B333D" w:rsidRPr="006E72A7" w:rsidRDefault="005B333D" w:rsidP="00E02557">
            <w:pPr>
              <w:pStyle w:val="Tabletext"/>
              <w:jc w:val="center"/>
            </w:pPr>
            <w:r w:rsidRPr="006E72A7">
              <w:t>0.2880</w:t>
            </w:r>
          </w:p>
        </w:tc>
        <w:tc>
          <w:tcPr>
            <w:tcW w:w="838" w:type="pct"/>
            <w:vAlign w:val="center"/>
          </w:tcPr>
          <w:p w:rsidR="005B333D" w:rsidRPr="006E72A7" w:rsidRDefault="005B333D" w:rsidP="00E02557">
            <w:pPr>
              <w:pStyle w:val="Tabletext"/>
              <w:jc w:val="center"/>
            </w:pPr>
            <w:r w:rsidRPr="006E72A7">
              <w:t>-0.1291</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CHD event avoided</w:t>
            </w:r>
          </w:p>
        </w:tc>
        <w:tc>
          <w:tcPr>
            <w:tcW w:w="838" w:type="pct"/>
            <w:vAlign w:val="center"/>
          </w:tcPr>
          <w:p w:rsidR="005B333D" w:rsidRPr="006E72A7" w:rsidRDefault="005B333D" w:rsidP="00E02557">
            <w:pPr>
              <w:pStyle w:val="Tabletext"/>
              <w:jc w:val="cente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 xml:space="preserve">Step 7: Transform outcomes to life years gained. </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pPr>
            <w:r w:rsidRPr="006E72A7">
              <w:t>LYs</w:t>
            </w:r>
          </w:p>
        </w:tc>
        <w:tc>
          <w:tcPr>
            <w:tcW w:w="1359" w:type="pct"/>
            <w:vAlign w:val="center"/>
          </w:tcPr>
          <w:p w:rsidR="005B333D" w:rsidRPr="006E72A7" w:rsidRDefault="005B333D" w:rsidP="00E02557">
            <w:pPr>
              <w:pStyle w:val="Tabletext"/>
              <w:jc w:val="center"/>
            </w:pPr>
            <w:r w:rsidRPr="006E72A7">
              <w:t>3.5664</w:t>
            </w:r>
          </w:p>
        </w:tc>
        <w:tc>
          <w:tcPr>
            <w:tcW w:w="1274" w:type="pct"/>
            <w:vAlign w:val="center"/>
          </w:tcPr>
          <w:p w:rsidR="005B333D" w:rsidRPr="006E72A7" w:rsidRDefault="005B333D" w:rsidP="00E02557">
            <w:pPr>
              <w:pStyle w:val="Tabletext"/>
              <w:jc w:val="center"/>
            </w:pPr>
            <w:r w:rsidRPr="006E72A7">
              <w:t>3.5436</w:t>
            </w:r>
          </w:p>
        </w:tc>
        <w:tc>
          <w:tcPr>
            <w:tcW w:w="838" w:type="pct"/>
            <w:vAlign w:val="center"/>
          </w:tcPr>
          <w:p w:rsidR="005B333D" w:rsidRPr="006E72A7" w:rsidRDefault="005B333D" w:rsidP="00E02557">
            <w:pPr>
              <w:pStyle w:val="Tabletext"/>
              <w:jc w:val="center"/>
            </w:pPr>
            <w:r w:rsidRPr="006E72A7">
              <w:t>0.0228</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LY gained</w:t>
            </w:r>
          </w:p>
        </w:tc>
        <w:tc>
          <w:tcPr>
            <w:tcW w:w="838" w:type="pct"/>
            <w:vAlign w:val="center"/>
          </w:tcPr>
          <w:p w:rsidR="005B333D" w:rsidRPr="006E72A7" w:rsidRDefault="005B333D" w:rsidP="00E02557">
            <w:pPr>
              <w:pStyle w:val="Tabletext"/>
              <w:jc w:val="cente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Step 8: Extrapolate health outcomes, modelled drug and CHD event costs to 41 years.</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LYs</w:t>
            </w:r>
          </w:p>
        </w:tc>
        <w:tc>
          <w:tcPr>
            <w:tcW w:w="1359" w:type="pct"/>
            <w:vAlign w:val="center"/>
          </w:tcPr>
          <w:p w:rsidR="005B333D" w:rsidRPr="006E72A7" w:rsidRDefault="005B333D" w:rsidP="00E02557">
            <w:pPr>
              <w:pStyle w:val="Tabletext"/>
              <w:jc w:val="center"/>
            </w:pPr>
            <w:r w:rsidRPr="006E72A7">
              <w:t>12.7937</w:t>
            </w:r>
          </w:p>
        </w:tc>
        <w:tc>
          <w:tcPr>
            <w:tcW w:w="1274" w:type="pct"/>
            <w:vAlign w:val="center"/>
          </w:tcPr>
          <w:p w:rsidR="005B333D" w:rsidRPr="006E72A7" w:rsidRDefault="005B333D" w:rsidP="00E02557">
            <w:pPr>
              <w:pStyle w:val="Tabletext"/>
              <w:jc w:val="center"/>
            </w:pPr>
            <w:r w:rsidRPr="006E72A7">
              <w:t>11.6284</w:t>
            </w:r>
          </w:p>
        </w:tc>
        <w:tc>
          <w:tcPr>
            <w:tcW w:w="838" w:type="pct"/>
            <w:vAlign w:val="center"/>
          </w:tcPr>
          <w:p w:rsidR="005B333D" w:rsidRPr="006E72A7" w:rsidRDefault="005B333D" w:rsidP="00E02557">
            <w:pPr>
              <w:pStyle w:val="Tabletext"/>
              <w:jc w:val="center"/>
            </w:pPr>
            <w:r w:rsidRPr="006E72A7">
              <w:t>1.1653</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rPr>
            </w:pPr>
            <w:r w:rsidRPr="006E72A7">
              <w:t>Incremental cost per LY gained</w:t>
            </w:r>
          </w:p>
        </w:tc>
        <w:tc>
          <w:tcPr>
            <w:tcW w:w="838" w:type="pct"/>
            <w:vAlign w:val="center"/>
          </w:tcPr>
          <w:p w:rsidR="005B333D" w:rsidRPr="006E72A7" w:rsidRDefault="005B333D" w:rsidP="00E02557">
            <w:pPr>
              <w:pStyle w:val="Tabletext"/>
              <w:jc w:val="center"/>
            </w:pPr>
            <w:r w:rsidRPr="006E72A7">
              <w:t>$</w:t>
            </w:r>
            <w:r w:rsidR="004F3FD6">
              <w:rPr>
                <w:noProof/>
                <w:color w:val="000000"/>
                <w:highlight w:val="black"/>
              </w:rPr>
              <w:t>'''''''''''''''</w:t>
            </w:r>
          </w:p>
        </w:tc>
      </w:tr>
      <w:tr w:rsidR="005B333D" w:rsidRPr="006E72A7" w:rsidTr="00254B3B">
        <w:tc>
          <w:tcPr>
            <w:tcW w:w="5000" w:type="pct"/>
            <w:gridSpan w:val="4"/>
            <w:vAlign w:val="center"/>
          </w:tcPr>
          <w:p w:rsidR="005B333D" w:rsidRPr="006E72A7" w:rsidRDefault="005B333D" w:rsidP="00E02557">
            <w:pPr>
              <w:pStyle w:val="Tabletext"/>
              <w:rPr>
                <w:b/>
                <w:snapToGrid w:val="0"/>
              </w:rPr>
            </w:pPr>
            <w:r w:rsidRPr="006E72A7">
              <w:rPr>
                <w:b/>
                <w:snapToGrid w:val="0"/>
              </w:rPr>
              <w:t>Step 9: Transform outcomes to quality adjusted life years using utility values for each health state.</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Costs</w:t>
            </w:r>
          </w:p>
        </w:tc>
        <w:tc>
          <w:tcPr>
            <w:tcW w:w="1359"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1274"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c>
          <w:tcPr>
            <w:tcW w:w="838" w:type="pct"/>
            <w:vAlign w:val="center"/>
          </w:tcPr>
          <w:p w:rsidR="005B333D" w:rsidRPr="006E72A7" w:rsidRDefault="005B333D" w:rsidP="00E02557">
            <w:pPr>
              <w:pStyle w:val="Tabletext"/>
              <w:jc w:val="center"/>
              <w:rPr>
                <w:rFonts w:ascii="Times" w:hAnsi="Times"/>
              </w:rPr>
            </w:pPr>
            <w:r w:rsidRPr="006E72A7">
              <w:t>$</w:t>
            </w:r>
            <w:r w:rsidR="004F3FD6">
              <w:rPr>
                <w:noProof/>
                <w:color w:val="000000"/>
                <w:highlight w:val="black"/>
              </w:rPr>
              <w:t>'''''''''''''''</w:t>
            </w:r>
          </w:p>
        </w:tc>
      </w:tr>
      <w:tr w:rsidR="005B333D" w:rsidRPr="006E72A7" w:rsidTr="00254B3B">
        <w:tc>
          <w:tcPr>
            <w:tcW w:w="1529" w:type="pct"/>
            <w:vAlign w:val="center"/>
          </w:tcPr>
          <w:p w:rsidR="005B333D" w:rsidRPr="006E72A7" w:rsidRDefault="005B333D" w:rsidP="00E02557">
            <w:pPr>
              <w:pStyle w:val="Tabletext"/>
              <w:rPr>
                <w:rFonts w:ascii="Times" w:hAnsi="Times"/>
              </w:rPr>
            </w:pPr>
            <w:r w:rsidRPr="006E72A7">
              <w:t>QALYs</w:t>
            </w:r>
          </w:p>
        </w:tc>
        <w:tc>
          <w:tcPr>
            <w:tcW w:w="1359" w:type="pct"/>
            <w:vAlign w:val="center"/>
          </w:tcPr>
          <w:p w:rsidR="005B333D" w:rsidRPr="006E72A7" w:rsidRDefault="005B333D" w:rsidP="00E02557">
            <w:pPr>
              <w:pStyle w:val="Tabletext"/>
              <w:jc w:val="center"/>
            </w:pPr>
            <w:r w:rsidRPr="006E72A7">
              <w:t>10.4251</w:t>
            </w:r>
          </w:p>
        </w:tc>
        <w:tc>
          <w:tcPr>
            <w:tcW w:w="1274" w:type="pct"/>
            <w:vAlign w:val="center"/>
          </w:tcPr>
          <w:p w:rsidR="005B333D" w:rsidRPr="006E72A7" w:rsidRDefault="005B333D" w:rsidP="00E02557">
            <w:pPr>
              <w:pStyle w:val="Tabletext"/>
              <w:jc w:val="center"/>
            </w:pPr>
            <w:r w:rsidRPr="006E72A7">
              <w:t>9.3797</w:t>
            </w:r>
          </w:p>
        </w:tc>
        <w:tc>
          <w:tcPr>
            <w:tcW w:w="838" w:type="pct"/>
            <w:vAlign w:val="center"/>
          </w:tcPr>
          <w:p w:rsidR="005B333D" w:rsidRPr="006E72A7" w:rsidRDefault="005B333D" w:rsidP="00E02557">
            <w:pPr>
              <w:pStyle w:val="Tabletext"/>
              <w:jc w:val="center"/>
            </w:pPr>
            <w:r w:rsidRPr="006E72A7">
              <w:t>1.0454</w:t>
            </w:r>
          </w:p>
        </w:tc>
      </w:tr>
      <w:tr w:rsidR="005B333D" w:rsidRPr="006E72A7" w:rsidTr="00254B3B">
        <w:tc>
          <w:tcPr>
            <w:tcW w:w="4162" w:type="pct"/>
            <w:gridSpan w:val="3"/>
            <w:vAlign w:val="center"/>
          </w:tcPr>
          <w:p w:rsidR="005B333D" w:rsidRPr="006E72A7" w:rsidRDefault="005B333D" w:rsidP="00E02557">
            <w:pPr>
              <w:pStyle w:val="Tabletext"/>
              <w:jc w:val="right"/>
              <w:rPr>
                <w:rFonts w:ascii="Times" w:hAnsi="Times"/>
                <w:b/>
              </w:rPr>
            </w:pPr>
            <w:r w:rsidRPr="006E72A7">
              <w:rPr>
                <w:b/>
              </w:rPr>
              <w:t>Incremental cost per QALY gained (base case)</w:t>
            </w:r>
          </w:p>
        </w:tc>
        <w:tc>
          <w:tcPr>
            <w:tcW w:w="838" w:type="pct"/>
            <w:vAlign w:val="center"/>
          </w:tcPr>
          <w:p w:rsidR="005B333D" w:rsidRPr="006E72A7" w:rsidRDefault="005B333D" w:rsidP="00E02557">
            <w:pPr>
              <w:pStyle w:val="Tabletext"/>
              <w:jc w:val="center"/>
              <w:rPr>
                <w:rFonts w:ascii="Times" w:hAnsi="Times"/>
                <w:b/>
              </w:rPr>
            </w:pPr>
            <w:r w:rsidRPr="006E72A7">
              <w:rPr>
                <w:b/>
              </w:rPr>
              <w:t>$</w:t>
            </w:r>
            <w:r w:rsidR="004F3FD6">
              <w:rPr>
                <w:b/>
                <w:noProof/>
                <w:color w:val="000000"/>
                <w:highlight w:val="black"/>
              </w:rPr>
              <w:t>'''''''''''''</w:t>
            </w:r>
          </w:p>
        </w:tc>
      </w:tr>
    </w:tbl>
    <w:p w:rsidR="00D110BD" w:rsidRPr="006E72A7" w:rsidRDefault="005B333D" w:rsidP="00E02557">
      <w:pPr>
        <w:widowControl/>
        <w:rPr>
          <w:rFonts w:ascii="Arial Narrow" w:hAnsi="Arial Narrow"/>
          <w:sz w:val="18"/>
        </w:rPr>
      </w:pPr>
      <w:r w:rsidRPr="006E72A7">
        <w:rPr>
          <w:rFonts w:ascii="Arial Narrow" w:hAnsi="Arial Narrow"/>
          <w:sz w:val="18"/>
        </w:rPr>
        <w:t>Source: Table 3.8.2, p212 of the resubmission</w:t>
      </w:r>
    </w:p>
    <w:p w:rsidR="005B333D" w:rsidRPr="006E72A7" w:rsidRDefault="00145071" w:rsidP="00E02557">
      <w:pPr>
        <w:pStyle w:val="TableFooter"/>
        <w:widowControl/>
      </w:pPr>
      <w:r w:rsidRPr="006E72A7">
        <w:t>Abbreviations: CHD, coronary heart disease; HDL, high density lipoprotein; LYs, life years; MI, myocardial infarction; TC, total cholesterol; QALYs, quality-adjusted life years</w:t>
      </w:r>
    </w:p>
    <w:p w:rsidR="00145071" w:rsidRPr="006E72A7" w:rsidRDefault="00145071" w:rsidP="00E02557">
      <w:pPr>
        <w:pStyle w:val="TableFooter"/>
        <w:widowControl/>
      </w:pPr>
      <w:r w:rsidRPr="006E72A7">
        <w:t>Note: An alternative stepped economic analysis was conducted during the evaluation by rearranging the steps used in the resubmission and adding additional steps to explore the impact of using modelled drug costs and extrapolation</w:t>
      </w:r>
    </w:p>
    <w:p w:rsidR="005B333D" w:rsidRPr="006E72A7" w:rsidRDefault="005B333D" w:rsidP="00E02557">
      <w:pPr>
        <w:widowControl/>
      </w:pPr>
    </w:p>
    <w:p w:rsidR="00145071" w:rsidRPr="006E72A7" w:rsidRDefault="00145071" w:rsidP="00DD046C">
      <w:pPr>
        <w:pStyle w:val="ListParagraph"/>
        <w:widowControl/>
        <w:numPr>
          <w:ilvl w:val="1"/>
          <w:numId w:val="1"/>
        </w:numPr>
        <w:spacing w:before="120" w:after="120"/>
      </w:pPr>
      <w:r w:rsidRPr="006E72A7">
        <w:lastRenderedPageBreak/>
        <w:t xml:space="preserve">The extrapolation of the modelled time horizon to 41 years and the use of higher risk subgroups based on LDL threshold and the combination of diabetes and elevated LDL had large impacts on the economic evaluation. </w:t>
      </w:r>
      <w:r w:rsidR="009E3C64" w:rsidRPr="006E72A7">
        <w:t xml:space="preserve">Earlier steps in the analysis (steps 1-5a) were conducted assuming fixed drug costs which are expected to vary by changing populations due to event distributions (e.g. deaths had no impact on drug costs). </w:t>
      </w:r>
      <w:r w:rsidRPr="006E72A7">
        <w:t xml:space="preserve">The results </w:t>
      </w:r>
      <w:r w:rsidR="005F07BD" w:rsidRPr="006E72A7">
        <w:t xml:space="preserve">from step 3 </w:t>
      </w:r>
      <w:r w:rsidRPr="006E72A7">
        <w:t xml:space="preserve">should be interpreted with </w:t>
      </w:r>
      <w:r w:rsidR="00EE29DB" w:rsidRPr="006E72A7">
        <w:t>caution,</w:t>
      </w:r>
      <w:r w:rsidRPr="006E72A7">
        <w:t xml:space="preserve"> as the </w:t>
      </w:r>
      <w:r w:rsidR="00D769F0" w:rsidRPr="006E72A7">
        <w:t xml:space="preserve">confidence intervals are relatively wide for the post-hoc </w:t>
      </w:r>
      <w:r w:rsidRPr="006E72A7">
        <w:t xml:space="preserve">subgroup data </w:t>
      </w:r>
      <w:r w:rsidR="001300AF" w:rsidRPr="006E72A7">
        <w:t xml:space="preserve">that is </w:t>
      </w:r>
      <w:r w:rsidRPr="006E72A7">
        <w:t xml:space="preserve">used </w:t>
      </w:r>
      <w:r w:rsidR="00D769F0" w:rsidRPr="006E72A7">
        <w:t xml:space="preserve">to </w:t>
      </w:r>
      <w:r w:rsidRPr="006E72A7">
        <w:t xml:space="preserve">suggest greater </w:t>
      </w:r>
      <w:r w:rsidR="005F07BD" w:rsidRPr="006E72A7">
        <w:t xml:space="preserve">relative </w:t>
      </w:r>
      <w:r w:rsidRPr="006E72A7">
        <w:t>benefit with alirocumab treatment</w:t>
      </w:r>
      <w:r w:rsidR="006E72A7">
        <w:t xml:space="preserve">. </w:t>
      </w:r>
    </w:p>
    <w:p w:rsidR="005A373D" w:rsidRPr="006E72A7" w:rsidRDefault="00664A08" w:rsidP="00DD046C">
      <w:pPr>
        <w:pStyle w:val="ListParagraph"/>
        <w:widowControl/>
        <w:numPr>
          <w:ilvl w:val="1"/>
          <w:numId w:val="1"/>
        </w:numPr>
        <w:spacing w:before="120" w:after="120"/>
      </w:pPr>
      <w:r w:rsidRPr="006E72A7">
        <w:t>During the evaluation, Markov traces were constructed to illustrate the cumulative incidence of mortality outcomes over the duration of the model.</w:t>
      </w:r>
    </w:p>
    <w:p w:rsidR="00664A08" w:rsidRPr="006E72A7" w:rsidRDefault="00664A08" w:rsidP="00E02557">
      <w:pPr>
        <w:pStyle w:val="TableHeading0"/>
        <w:spacing w:after="0"/>
      </w:pPr>
      <w:r w:rsidRPr="006E72A7">
        <w:t>Figure 4: Markov trace of CHD death, non-CHD death and total death</w:t>
      </w:r>
    </w:p>
    <w:p w:rsidR="00664A08" w:rsidRPr="006E72A7" w:rsidRDefault="00664A08" w:rsidP="00E02557">
      <w:pPr>
        <w:widowControl/>
      </w:pPr>
      <w:r w:rsidRPr="006E72A7">
        <w:rPr>
          <w:noProof/>
          <w:lang w:eastAsia="en-AU"/>
        </w:rPr>
        <w:drawing>
          <wp:inline distT="0" distB="0" distL="0" distR="0" wp14:anchorId="23B66098" wp14:editId="5DFCEC7D">
            <wp:extent cx="5706110" cy="3724910"/>
            <wp:effectExtent l="0" t="0" r="8890" b="8890"/>
            <wp:docPr id="2083" name="Picture 2083" title="Markov trace of CHD death, non-CHD death and total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6110" cy="3724910"/>
                    </a:xfrm>
                    <a:prstGeom prst="rect">
                      <a:avLst/>
                    </a:prstGeom>
                    <a:noFill/>
                  </pic:spPr>
                </pic:pic>
              </a:graphicData>
            </a:graphic>
          </wp:inline>
        </w:drawing>
      </w:r>
    </w:p>
    <w:p w:rsidR="00664A08" w:rsidRPr="006E72A7" w:rsidRDefault="00664A08" w:rsidP="00E02557">
      <w:pPr>
        <w:pStyle w:val="TableFooter"/>
        <w:widowControl/>
      </w:pPr>
      <w:r w:rsidRPr="006E72A7">
        <w:t>Source: constructed during the evaluation from the ‘ALI-model_Oct18’ Excel workbook of the resubmission</w:t>
      </w:r>
    </w:p>
    <w:p w:rsidR="00664A08" w:rsidRPr="006E72A7" w:rsidRDefault="00664A08" w:rsidP="00E02557">
      <w:pPr>
        <w:pStyle w:val="TableFooter"/>
        <w:widowControl/>
      </w:pPr>
      <w:r w:rsidRPr="006E72A7">
        <w:t>Abbreviations: CHD, coronary heart disease</w:t>
      </w:r>
    </w:p>
    <w:p w:rsidR="005B333D" w:rsidRPr="006E72A7" w:rsidRDefault="00664A08" w:rsidP="00DD046C">
      <w:pPr>
        <w:pStyle w:val="ListParagraph"/>
        <w:widowControl/>
        <w:numPr>
          <w:ilvl w:val="1"/>
          <w:numId w:val="1"/>
        </w:numPr>
        <w:spacing w:before="120" w:after="120"/>
      </w:pPr>
      <w:r w:rsidRPr="006E72A7">
        <w:t xml:space="preserve">The model generated substantial reductions in coronary death for alirocumab </w:t>
      </w:r>
      <w:r w:rsidR="002A6A1C" w:rsidRPr="006E72A7">
        <w:t xml:space="preserve">versus </w:t>
      </w:r>
      <w:r w:rsidRPr="006E72A7">
        <w:t>placebo</w:t>
      </w:r>
      <w:r w:rsidR="002A6A1C" w:rsidRPr="006E72A7">
        <w:t xml:space="preserve"> with the curves starting to diverge between Year 2 and 3</w:t>
      </w:r>
      <w:r w:rsidRPr="006E72A7">
        <w:t xml:space="preserve">. This was inconsistent with evidence from the ODYSSEY OUTCOMES </w:t>
      </w:r>
      <w:r w:rsidR="00EE29DB" w:rsidRPr="006E72A7">
        <w:t>trial that</w:t>
      </w:r>
      <w:r w:rsidRPr="006E72A7">
        <w:t xml:space="preserve"> showed no apparent difference in coronary death between alirocumab and placebo. </w:t>
      </w:r>
    </w:p>
    <w:p w:rsidR="0028199E" w:rsidRPr="006E72A7" w:rsidRDefault="00664A08" w:rsidP="00DD046C">
      <w:pPr>
        <w:pStyle w:val="ListParagraph"/>
        <w:widowControl/>
        <w:numPr>
          <w:ilvl w:val="1"/>
          <w:numId w:val="1"/>
        </w:numPr>
        <w:spacing w:before="120" w:after="120"/>
      </w:pPr>
      <w:r w:rsidRPr="006E72A7">
        <w:t xml:space="preserve">The PBAC previously considered </w:t>
      </w:r>
      <w:r w:rsidR="0028199E" w:rsidRPr="006E72A7">
        <w:t>the incorporation of a mortality time lag as a potential method to address this uncertainty when raised with the evolocumab FOURIER trial (para 6.33 and 7.6, evolocumab PSD July 2018).</w:t>
      </w:r>
      <w:r w:rsidR="00FC21A2" w:rsidRPr="006E72A7">
        <w:t xml:space="preserve"> The ESC noted a 201</w:t>
      </w:r>
      <w:r w:rsidR="00276D18" w:rsidRPr="006E72A7">
        <w:t>9</w:t>
      </w:r>
      <w:r w:rsidR="00FC21A2" w:rsidRPr="006E72A7">
        <w:t xml:space="preserve"> paper by Szarek </w:t>
      </w:r>
      <w:r w:rsidR="00FC21A2" w:rsidRPr="006E72A7">
        <w:lastRenderedPageBreak/>
        <w:t>M et al</w:t>
      </w:r>
      <w:r w:rsidR="0062752D" w:rsidRPr="006E72A7">
        <w:rPr>
          <w:rStyle w:val="FootnoteReference"/>
        </w:rPr>
        <w:footnoteReference w:id="2"/>
      </w:r>
      <w:r w:rsidR="00FC21A2" w:rsidRPr="006E72A7">
        <w:t xml:space="preserve">, </w:t>
      </w:r>
      <w:r w:rsidR="0026442C" w:rsidRPr="006E72A7">
        <w:t xml:space="preserve">may </w:t>
      </w:r>
      <w:r w:rsidR="00FC21A2" w:rsidRPr="006E72A7">
        <w:t xml:space="preserve">provide some supportive analysis that a total events analysis (as opposed to first event only) shows that the occurrence of nonfatal events increases the risk of subsequent death and hence the mortality benefit </w:t>
      </w:r>
      <w:r w:rsidR="0026442C" w:rsidRPr="006E72A7">
        <w:t xml:space="preserve">may </w:t>
      </w:r>
      <w:r w:rsidR="00FC21A2" w:rsidRPr="006E72A7">
        <w:t xml:space="preserve">accrue as the person </w:t>
      </w:r>
      <w:r w:rsidR="0026442C" w:rsidRPr="006E72A7">
        <w:t xml:space="preserve">experiences additional </w:t>
      </w:r>
      <w:r w:rsidR="00FC21A2" w:rsidRPr="006E72A7">
        <w:t>events over time.</w:t>
      </w:r>
      <w:r w:rsidR="007773AF" w:rsidRPr="006E72A7">
        <w:t xml:space="preserve"> Given the timing of the publication, this paper was not included in the evaluation.</w:t>
      </w:r>
    </w:p>
    <w:p w:rsidR="00664A08" w:rsidRPr="006E72A7" w:rsidRDefault="00664A08" w:rsidP="00DD046C">
      <w:pPr>
        <w:pStyle w:val="ListParagraph"/>
        <w:widowControl/>
        <w:numPr>
          <w:ilvl w:val="1"/>
          <w:numId w:val="1"/>
        </w:numPr>
        <w:spacing w:before="120" w:after="120"/>
      </w:pPr>
      <w:r w:rsidRPr="006E72A7">
        <w:t>The cumulative incidence of myocardial infarction and angina over the duration of the model is presented below.</w:t>
      </w:r>
    </w:p>
    <w:p w:rsidR="00664A08" w:rsidRPr="006E72A7" w:rsidRDefault="00664A08" w:rsidP="00E02557">
      <w:pPr>
        <w:pStyle w:val="TableHeading0"/>
        <w:spacing w:after="0"/>
      </w:pPr>
      <w:r w:rsidRPr="006E72A7">
        <w:t>Figure 5: Cumulative incidence of myocardial infarction and angina</w:t>
      </w:r>
    </w:p>
    <w:p w:rsidR="00664A08" w:rsidRPr="006E72A7" w:rsidRDefault="00664A08" w:rsidP="00E02557">
      <w:pPr>
        <w:widowControl/>
        <w:rPr>
          <w:i/>
        </w:rPr>
      </w:pPr>
      <w:r w:rsidRPr="006E72A7">
        <w:rPr>
          <w:i/>
          <w:noProof/>
          <w:lang w:eastAsia="en-AU"/>
        </w:rPr>
        <w:drawing>
          <wp:inline distT="0" distB="0" distL="0" distR="0" wp14:anchorId="674E1D7A" wp14:editId="2E143A68">
            <wp:extent cx="5718810" cy="3736975"/>
            <wp:effectExtent l="0" t="0" r="0" b="0"/>
            <wp:docPr id="2084" name="Picture 2084" title="Cumulative incidence of myocardial infarction and an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810" cy="3736975"/>
                    </a:xfrm>
                    <a:prstGeom prst="rect">
                      <a:avLst/>
                    </a:prstGeom>
                    <a:noFill/>
                  </pic:spPr>
                </pic:pic>
              </a:graphicData>
            </a:graphic>
          </wp:inline>
        </w:drawing>
      </w:r>
    </w:p>
    <w:p w:rsidR="00664A08" w:rsidRPr="006E72A7" w:rsidRDefault="00664A08" w:rsidP="00E02557">
      <w:pPr>
        <w:pStyle w:val="TableFooter"/>
        <w:widowControl/>
      </w:pPr>
      <w:r w:rsidRPr="006E72A7">
        <w:t>Source: constructed during the evaluation from the ‘ALI-model_Oct18’ Excel workbook of the resubmission</w:t>
      </w:r>
    </w:p>
    <w:p w:rsidR="00664A08" w:rsidRPr="006E72A7" w:rsidRDefault="00664A08" w:rsidP="00E02557">
      <w:pPr>
        <w:pStyle w:val="TableFooter"/>
        <w:widowControl/>
      </w:pPr>
      <w:r w:rsidRPr="006E72A7">
        <w:t>Abbreviation: MI, myocardial infarction</w:t>
      </w:r>
    </w:p>
    <w:p w:rsidR="00A86E8B" w:rsidRPr="006E72A7" w:rsidRDefault="00664A08" w:rsidP="00DD046C">
      <w:pPr>
        <w:pStyle w:val="ListParagraph"/>
        <w:widowControl/>
        <w:numPr>
          <w:ilvl w:val="1"/>
          <w:numId w:val="1"/>
        </w:numPr>
        <w:spacing w:before="120" w:after="120"/>
      </w:pPr>
      <w:r w:rsidRPr="006E72A7">
        <w:t>The traces show alirocumab was associated with substantial reductions in myocardial infarction and almost no difference in angina events compared with placebo. The resubmission did not attempt to validate the modelled estimates with data from the ODYSSEY OUTCOMES trial or other external sources.</w:t>
      </w:r>
    </w:p>
    <w:p w:rsidR="00E46E01" w:rsidRPr="006E72A7" w:rsidRDefault="00664A08" w:rsidP="00DD046C">
      <w:pPr>
        <w:pStyle w:val="ListParagraph"/>
        <w:widowControl/>
        <w:numPr>
          <w:ilvl w:val="1"/>
          <w:numId w:val="1"/>
        </w:numPr>
        <w:spacing w:before="120" w:after="120"/>
      </w:pPr>
      <w:r w:rsidRPr="006E72A7">
        <w:t>The results of key sensitivity analyses are summarised below.</w:t>
      </w:r>
    </w:p>
    <w:p w:rsidR="00664A08" w:rsidRPr="006E72A7" w:rsidRDefault="00664A08" w:rsidP="00E46E01">
      <w:pPr>
        <w:pStyle w:val="TableHeading0"/>
        <w:spacing w:before="160" w:after="0"/>
      </w:pPr>
      <w:r w:rsidRPr="006E72A7">
        <w:lastRenderedPageBreak/>
        <w:t>Table 1</w:t>
      </w:r>
      <w:r w:rsidR="007275BD" w:rsidRPr="006E72A7">
        <w:t>2</w:t>
      </w:r>
      <w:r w:rsidRPr="006E72A7">
        <w:t>:  Results of sensitivity analyses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sensitivity analyses"/>
      </w:tblPr>
      <w:tblGrid>
        <w:gridCol w:w="4587"/>
        <w:gridCol w:w="1645"/>
        <w:gridCol w:w="1644"/>
        <w:gridCol w:w="1191"/>
      </w:tblGrid>
      <w:tr w:rsidR="00664A08" w:rsidRPr="006E72A7" w:rsidTr="00254B3B">
        <w:trPr>
          <w:tblHeader/>
        </w:trPr>
        <w:tc>
          <w:tcPr>
            <w:tcW w:w="4587" w:type="dxa"/>
            <w:vAlign w:val="center"/>
          </w:tcPr>
          <w:p w:rsidR="00664A08" w:rsidRPr="006E72A7" w:rsidRDefault="00664A08" w:rsidP="00E02557">
            <w:pPr>
              <w:pStyle w:val="Tabletext"/>
              <w:tabs>
                <w:tab w:val="left" w:pos="142"/>
              </w:tabs>
              <w:rPr>
                <w:b/>
              </w:rPr>
            </w:pPr>
            <w:r w:rsidRPr="006E72A7">
              <w:rPr>
                <w:b/>
              </w:rPr>
              <w:t>Analyses</w:t>
            </w:r>
          </w:p>
        </w:tc>
        <w:tc>
          <w:tcPr>
            <w:tcW w:w="1645" w:type="dxa"/>
            <w:vAlign w:val="center"/>
          </w:tcPr>
          <w:p w:rsidR="00664A08" w:rsidRPr="006E72A7" w:rsidRDefault="00664A08" w:rsidP="00E02557">
            <w:pPr>
              <w:pStyle w:val="Tabletext"/>
              <w:jc w:val="center"/>
              <w:rPr>
                <w:b/>
              </w:rPr>
            </w:pPr>
            <w:r w:rsidRPr="006E72A7">
              <w:rPr>
                <w:b/>
              </w:rPr>
              <w:t>Incremental cost</w:t>
            </w:r>
          </w:p>
        </w:tc>
        <w:tc>
          <w:tcPr>
            <w:tcW w:w="1644" w:type="dxa"/>
            <w:vAlign w:val="center"/>
          </w:tcPr>
          <w:p w:rsidR="00664A08" w:rsidRPr="006E72A7" w:rsidRDefault="00664A08" w:rsidP="00E02557">
            <w:pPr>
              <w:pStyle w:val="Tabletext"/>
              <w:jc w:val="center"/>
              <w:rPr>
                <w:b/>
              </w:rPr>
            </w:pPr>
            <w:r w:rsidRPr="006E72A7">
              <w:rPr>
                <w:b/>
              </w:rPr>
              <w:t>Incremental QALY</w:t>
            </w:r>
          </w:p>
        </w:tc>
        <w:tc>
          <w:tcPr>
            <w:tcW w:w="1191" w:type="dxa"/>
            <w:vAlign w:val="center"/>
          </w:tcPr>
          <w:p w:rsidR="00664A08" w:rsidRPr="006E72A7" w:rsidRDefault="00664A08" w:rsidP="00E02557">
            <w:pPr>
              <w:pStyle w:val="Tabletext"/>
              <w:jc w:val="center"/>
              <w:rPr>
                <w:b/>
              </w:rPr>
            </w:pPr>
            <w:r w:rsidRPr="006E72A7">
              <w:rPr>
                <w:b/>
              </w:rPr>
              <w:t>ICER</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Base case</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1.0454</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pPr>
            <w:r w:rsidRPr="006E72A7">
              <w:rPr>
                <w:b/>
              </w:rPr>
              <w:t>Model time horizon (base case: 41 years)</w:t>
            </w:r>
          </w:p>
        </w:tc>
      </w:tr>
      <w:tr w:rsidR="00664A08" w:rsidRPr="006E72A7" w:rsidTr="00254B3B">
        <w:tc>
          <w:tcPr>
            <w:tcW w:w="4587" w:type="dxa"/>
            <w:vAlign w:val="center"/>
          </w:tcPr>
          <w:p w:rsidR="00664A08" w:rsidRPr="006E72A7" w:rsidRDefault="00664A08" w:rsidP="00E02557">
            <w:pPr>
              <w:pStyle w:val="Tabletext"/>
              <w:tabs>
                <w:tab w:val="left" w:pos="142"/>
              </w:tabs>
              <w:rPr>
                <w:i/>
              </w:rPr>
            </w:pPr>
            <w:r w:rsidRPr="006E72A7">
              <w:rPr>
                <w:i/>
              </w:rPr>
              <w:t>4 years</w:t>
            </w:r>
          </w:p>
        </w:tc>
        <w:tc>
          <w:tcPr>
            <w:tcW w:w="1645" w:type="dxa"/>
            <w:vAlign w:val="center"/>
          </w:tcPr>
          <w:p w:rsidR="00664A08" w:rsidRPr="006E72A7" w:rsidRDefault="00664A08" w:rsidP="00E02557">
            <w:pPr>
              <w:pStyle w:val="Tabletext"/>
              <w:jc w:val="center"/>
              <w:rPr>
                <w:i/>
              </w:rPr>
            </w:pPr>
            <w:r w:rsidRPr="006E72A7">
              <w:rPr>
                <w:i/>
              </w:rPr>
              <w:t>$</w:t>
            </w:r>
            <w:r w:rsidR="004F3FD6">
              <w:rPr>
                <w:i/>
                <w:noProof/>
                <w:color w:val="000000"/>
                <w:highlight w:val="black"/>
              </w:rPr>
              <w:t>'''''''''''''''</w:t>
            </w:r>
          </w:p>
        </w:tc>
        <w:tc>
          <w:tcPr>
            <w:tcW w:w="1644" w:type="dxa"/>
            <w:vAlign w:val="center"/>
          </w:tcPr>
          <w:p w:rsidR="00664A08" w:rsidRPr="006E72A7" w:rsidRDefault="00664A08" w:rsidP="00E02557">
            <w:pPr>
              <w:pStyle w:val="Tabletext"/>
              <w:jc w:val="center"/>
              <w:rPr>
                <w:i/>
              </w:rPr>
            </w:pPr>
            <w:r w:rsidRPr="006E72A7">
              <w:rPr>
                <w:i/>
              </w:rPr>
              <w:t>0.0287</w:t>
            </w:r>
          </w:p>
        </w:tc>
        <w:tc>
          <w:tcPr>
            <w:tcW w:w="1191" w:type="dxa"/>
            <w:vAlign w:val="center"/>
          </w:tcPr>
          <w:p w:rsidR="00664A08" w:rsidRPr="006E72A7" w:rsidRDefault="00664A08" w:rsidP="00E02557">
            <w:pPr>
              <w:pStyle w:val="Tabletext"/>
              <w:jc w:val="center"/>
              <w:rPr>
                <w:i/>
              </w:rPr>
            </w:pPr>
            <w:r w:rsidRPr="006E72A7">
              <w:rPr>
                <w:i/>
              </w:rPr>
              <w:t>$</w:t>
            </w:r>
            <w:r w:rsidR="004F3FD6">
              <w:rPr>
                <w:i/>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10 years</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0.2548</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20 years</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0.6917</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rPr>
                <w:i/>
              </w:rPr>
            </w:pPr>
            <w:r w:rsidRPr="006E72A7">
              <w:rPr>
                <w:i/>
              </w:rPr>
              <w:t>30 years</w:t>
            </w:r>
          </w:p>
        </w:tc>
        <w:tc>
          <w:tcPr>
            <w:tcW w:w="1645" w:type="dxa"/>
            <w:vAlign w:val="center"/>
          </w:tcPr>
          <w:p w:rsidR="00664A08" w:rsidRPr="006E72A7" w:rsidRDefault="00664A08" w:rsidP="00E02557">
            <w:pPr>
              <w:pStyle w:val="Tabletext"/>
              <w:jc w:val="center"/>
              <w:rPr>
                <w:i/>
              </w:rPr>
            </w:pPr>
            <w:r w:rsidRPr="006E72A7">
              <w:rPr>
                <w:i/>
              </w:rPr>
              <w:t>$</w:t>
            </w:r>
            <w:r w:rsidR="004F3FD6">
              <w:rPr>
                <w:i/>
                <w:noProof/>
                <w:color w:val="000000"/>
                <w:highlight w:val="black"/>
              </w:rPr>
              <w:t>'''''''''''''''''</w:t>
            </w:r>
          </w:p>
        </w:tc>
        <w:tc>
          <w:tcPr>
            <w:tcW w:w="1644" w:type="dxa"/>
            <w:vAlign w:val="center"/>
          </w:tcPr>
          <w:p w:rsidR="00664A08" w:rsidRPr="006E72A7" w:rsidRDefault="00664A08" w:rsidP="00E02557">
            <w:pPr>
              <w:pStyle w:val="Tabletext"/>
              <w:jc w:val="center"/>
              <w:rPr>
                <w:i/>
              </w:rPr>
            </w:pPr>
            <w:r w:rsidRPr="006E72A7">
              <w:rPr>
                <w:i/>
              </w:rPr>
              <w:t>0.9700</w:t>
            </w:r>
          </w:p>
        </w:tc>
        <w:tc>
          <w:tcPr>
            <w:tcW w:w="1191" w:type="dxa"/>
            <w:vAlign w:val="center"/>
          </w:tcPr>
          <w:p w:rsidR="00664A08" w:rsidRPr="006E72A7" w:rsidRDefault="00664A08" w:rsidP="00E02557">
            <w:pPr>
              <w:pStyle w:val="Tabletext"/>
              <w:jc w:val="center"/>
              <w:rPr>
                <w:i/>
              </w:rPr>
            </w:pPr>
            <w:r w:rsidRPr="006E72A7">
              <w:rPr>
                <w:i/>
              </w:rPr>
              <w:t>$</w:t>
            </w:r>
            <w:r w:rsidR="004F3FD6">
              <w:rPr>
                <w:i/>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rPr>
                <w:b/>
              </w:rPr>
            </w:pPr>
            <w:r w:rsidRPr="006E72A7">
              <w:rPr>
                <w:b/>
              </w:rPr>
              <w:t xml:space="preserve">Cardiovascular risk multipliers and adjusted event distribution (base case: calibration of Framingham risk equations and adjustments to individual event probabilities to match trial-based incidence; variable for Year 1-4 and fixed from Year 5+) </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No cardiovascular risk multipliers and fixed individual event distribution (CHD death, 25.5%; MI, 72.9%; angina, 1.6%)</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0.3480</w:t>
            </w:r>
          </w:p>
        </w:tc>
        <w:tc>
          <w:tcPr>
            <w:tcW w:w="1191" w:type="dxa"/>
            <w:vAlign w:val="center"/>
          </w:tcPr>
          <w:p w:rsidR="00664A08" w:rsidRPr="006E72A7" w:rsidRDefault="00B5598B" w:rsidP="00E02557">
            <w:pPr>
              <w:pStyle w:val="Tabletext"/>
              <w:jc w:val="center"/>
            </w:pPr>
            <w:r w:rsidRPr="006E72A7">
              <w:t>$</w:t>
            </w:r>
            <w:r w:rsidR="004F3FD6">
              <w:rPr>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rPr>
                <w:b/>
              </w:rPr>
            </w:pPr>
            <w:r w:rsidRPr="006E72A7">
              <w:rPr>
                <w:b/>
              </w:rPr>
              <w:t>Years 5 to 41: Cardiovascular risk multiplier applied to Framingham risk equations (base case: alirocumab, 0.8253; placebo, 1.3663)</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No multiplier (alirocumab, 1; placebo, 1)</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0.5381</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rPr>
                <w:b/>
              </w:rPr>
            </w:pPr>
            <w:r w:rsidRPr="006E72A7">
              <w:rPr>
                <w:b/>
              </w:rPr>
              <w:t>Years 5 to 41: Distribution of CHD events that are fatal (base case: 25.5% in both arms)</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Both arms 20%</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0.9429</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Both arms 30%</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1.1208</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rPr>
                <w:b/>
              </w:rPr>
            </w:pPr>
            <w:r w:rsidRPr="006E72A7">
              <w:rPr>
                <w:b/>
              </w:rPr>
              <w:t>Utility value of pre-recurrent CHD health state (base case: 0.8300)</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0.7800</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0.9871</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0.8800</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1.1036</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rPr>
                <w:b/>
              </w:rPr>
            </w:pPr>
            <w:r w:rsidRPr="006E72A7">
              <w:rPr>
                <w:b/>
              </w:rPr>
              <w:t>Utility value of recurrent CHD health state (base case: 0.7674)</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0.8300</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0.9672</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0.7048</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1.1235</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9067" w:type="dxa"/>
            <w:gridSpan w:val="4"/>
            <w:vAlign w:val="center"/>
          </w:tcPr>
          <w:p w:rsidR="00664A08" w:rsidRPr="006E72A7" w:rsidRDefault="00664A08" w:rsidP="00E02557">
            <w:pPr>
              <w:pStyle w:val="Tabletext"/>
              <w:rPr>
                <w:b/>
              </w:rPr>
            </w:pPr>
            <w:r w:rsidRPr="006E72A7">
              <w:rPr>
                <w:b/>
              </w:rPr>
              <w:t>CHD event costs (base case: MI $</w:t>
            </w:r>
            <w:r w:rsidR="004F3FD6">
              <w:rPr>
                <w:b/>
                <w:noProof/>
                <w:color w:val="000000"/>
                <w:highlight w:val="black"/>
              </w:rPr>
              <w:t>''''''''''''</w:t>
            </w:r>
            <w:r w:rsidRPr="006E72A7">
              <w:rPr>
                <w:b/>
              </w:rPr>
              <w:t>; angina $</w:t>
            </w:r>
            <w:r w:rsidR="004F3FD6">
              <w:rPr>
                <w:b/>
                <w:noProof/>
                <w:color w:val="000000"/>
                <w:highlight w:val="black"/>
              </w:rPr>
              <w:t>''''''''''''</w:t>
            </w:r>
            <w:r w:rsidRPr="007E7880">
              <w:rPr>
                <w:b/>
              </w:rPr>
              <w:t>; CHD death</w:t>
            </w:r>
            <w:r w:rsidRPr="006E72A7">
              <w:rPr>
                <w:b/>
              </w:rPr>
              <w:t xml:space="preserve"> $</w:t>
            </w:r>
            <w:r w:rsidR="004F3FD6">
              <w:rPr>
                <w:b/>
                <w:noProof/>
                <w:color w:val="000000"/>
                <w:highlight w:val="black"/>
              </w:rPr>
              <w:t>''''''''''</w:t>
            </w:r>
            <w:r w:rsidRPr="006E72A7">
              <w:rPr>
                <w:b/>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No event costs ($0)</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1.0454</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pPr>
            <w:r w:rsidRPr="006E72A7">
              <w:t>All costs doubled (MI $</w:t>
            </w:r>
            <w:r w:rsidR="004F3FD6">
              <w:rPr>
                <w:noProof/>
                <w:color w:val="000000"/>
                <w:highlight w:val="black"/>
              </w:rPr>
              <w:t>'''''''''''''''''</w:t>
            </w:r>
            <w:r w:rsidRPr="006E72A7">
              <w:t>; angina $</w:t>
            </w:r>
            <w:r w:rsidR="004F3FD6">
              <w:rPr>
                <w:noProof/>
                <w:color w:val="000000"/>
                <w:highlight w:val="black"/>
              </w:rPr>
              <w:t>''''''''''''''''</w:t>
            </w:r>
            <w:r w:rsidRPr="006E72A7">
              <w:t>; CHD death $</w:t>
            </w:r>
            <w:r w:rsidR="004F3FD6">
              <w:rPr>
                <w:noProof/>
                <w:color w:val="000000"/>
                <w:highlight w:val="black"/>
              </w:rPr>
              <w:t>''''''''''''''''</w:t>
            </w:r>
            <w:r w:rsidRPr="006E72A7">
              <w:t>)</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1.0454</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r w:rsidR="00664A08" w:rsidRPr="006E72A7" w:rsidTr="00254B3B">
        <w:tc>
          <w:tcPr>
            <w:tcW w:w="4587" w:type="dxa"/>
            <w:vAlign w:val="center"/>
          </w:tcPr>
          <w:p w:rsidR="00664A08" w:rsidRPr="006E72A7" w:rsidRDefault="00664A08" w:rsidP="00E02557">
            <w:pPr>
              <w:pStyle w:val="Tabletext"/>
              <w:tabs>
                <w:tab w:val="left" w:pos="142"/>
              </w:tabs>
              <w:rPr>
                <w:i/>
              </w:rPr>
            </w:pPr>
            <w:r w:rsidRPr="006E72A7">
              <w:rPr>
                <w:i/>
              </w:rPr>
              <w:t>All costs halved (MI $</w:t>
            </w:r>
            <w:r w:rsidR="004F3FD6">
              <w:rPr>
                <w:i/>
                <w:noProof/>
                <w:color w:val="000000"/>
                <w:highlight w:val="black"/>
              </w:rPr>
              <w:t>''''''''''''</w:t>
            </w:r>
            <w:r w:rsidRPr="006E72A7">
              <w:rPr>
                <w:i/>
              </w:rPr>
              <w:t>; angina $</w:t>
            </w:r>
            <w:r w:rsidR="004F3FD6">
              <w:rPr>
                <w:i/>
                <w:noProof/>
                <w:color w:val="000000"/>
                <w:highlight w:val="black"/>
              </w:rPr>
              <w:t>''''''''''''</w:t>
            </w:r>
            <w:r w:rsidRPr="006E72A7">
              <w:rPr>
                <w:i/>
              </w:rPr>
              <w:t>; CHD death $</w:t>
            </w:r>
            <w:r w:rsidR="004F3FD6">
              <w:rPr>
                <w:i/>
                <w:noProof/>
                <w:color w:val="000000"/>
                <w:highlight w:val="black"/>
              </w:rPr>
              <w:t>'''''''''''''</w:t>
            </w:r>
            <w:r w:rsidRPr="006E72A7">
              <w:rPr>
                <w:i/>
              </w:rPr>
              <w:t xml:space="preserve">) </w:t>
            </w:r>
          </w:p>
        </w:tc>
        <w:tc>
          <w:tcPr>
            <w:tcW w:w="1645" w:type="dxa"/>
            <w:vAlign w:val="center"/>
          </w:tcPr>
          <w:p w:rsidR="00664A08" w:rsidRPr="006E72A7" w:rsidRDefault="00664A08" w:rsidP="00E02557">
            <w:pPr>
              <w:pStyle w:val="Tabletext"/>
              <w:jc w:val="center"/>
            </w:pPr>
            <w:r w:rsidRPr="006E72A7">
              <w:t>$</w:t>
            </w:r>
            <w:r w:rsidR="004F3FD6">
              <w:rPr>
                <w:noProof/>
                <w:color w:val="000000"/>
                <w:highlight w:val="black"/>
              </w:rPr>
              <w:t>''''''''''''''''</w:t>
            </w:r>
          </w:p>
        </w:tc>
        <w:tc>
          <w:tcPr>
            <w:tcW w:w="1644" w:type="dxa"/>
            <w:vAlign w:val="center"/>
          </w:tcPr>
          <w:p w:rsidR="00664A08" w:rsidRPr="006E72A7" w:rsidRDefault="00664A08" w:rsidP="00E02557">
            <w:pPr>
              <w:pStyle w:val="Tabletext"/>
              <w:jc w:val="center"/>
            </w:pPr>
            <w:r w:rsidRPr="006E72A7">
              <w:t>1.0454</w:t>
            </w:r>
          </w:p>
        </w:tc>
        <w:tc>
          <w:tcPr>
            <w:tcW w:w="1191" w:type="dxa"/>
            <w:vAlign w:val="center"/>
          </w:tcPr>
          <w:p w:rsidR="00664A08" w:rsidRPr="006E72A7" w:rsidRDefault="00664A08" w:rsidP="00E02557">
            <w:pPr>
              <w:pStyle w:val="Tabletext"/>
              <w:jc w:val="center"/>
            </w:pPr>
            <w:r w:rsidRPr="006E72A7">
              <w:t>$</w:t>
            </w:r>
            <w:r w:rsidR="004F3FD6">
              <w:rPr>
                <w:noProof/>
                <w:color w:val="000000"/>
                <w:highlight w:val="black"/>
              </w:rPr>
              <w:t>'''''''''''''''</w:t>
            </w:r>
          </w:p>
        </w:tc>
      </w:tr>
    </w:tbl>
    <w:p w:rsidR="00664A08" w:rsidRPr="006E72A7" w:rsidRDefault="00664A08" w:rsidP="00E02557">
      <w:pPr>
        <w:pStyle w:val="TableFooter"/>
        <w:widowControl/>
      </w:pPr>
      <w:r w:rsidRPr="006E72A7">
        <w:t>Source: Table 3.9.1, p216 of the resubmission</w:t>
      </w:r>
    </w:p>
    <w:p w:rsidR="00664A08" w:rsidRPr="006E72A7" w:rsidRDefault="00664A08" w:rsidP="00E02557">
      <w:pPr>
        <w:pStyle w:val="TableFooter"/>
        <w:widowControl/>
      </w:pPr>
      <w:r w:rsidRPr="006E72A7">
        <w:t>Abbreviations: CHD, coronary heart disease</w:t>
      </w:r>
    </w:p>
    <w:p w:rsidR="00E805A8" w:rsidRPr="007C3656" w:rsidRDefault="00E805A8" w:rsidP="00DD046C">
      <w:pPr>
        <w:widowControl/>
        <w:spacing w:before="120" w:after="120"/>
      </w:pPr>
      <w:r w:rsidRPr="007C3656">
        <w:t>The redacted table shows ICERs in the range of $45,000/QALY to more than $200,000/QALY.</w:t>
      </w:r>
    </w:p>
    <w:p w:rsidR="00C25D9C" w:rsidRPr="006E72A7" w:rsidRDefault="00664A08" w:rsidP="00DD046C">
      <w:pPr>
        <w:pStyle w:val="ListParagraph"/>
        <w:widowControl/>
        <w:numPr>
          <w:ilvl w:val="1"/>
          <w:numId w:val="1"/>
        </w:numPr>
        <w:spacing w:before="120" w:after="120"/>
      </w:pPr>
      <w:r w:rsidRPr="006E72A7">
        <w:t>The model is most sensitive to the model time horizon, and the combination of cardiovascular risk multipliers and adjustments to the distribution of CHD events.</w:t>
      </w:r>
    </w:p>
    <w:p w:rsidR="004B736F" w:rsidRPr="006E72A7" w:rsidRDefault="004B736F" w:rsidP="00DD046C">
      <w:pPr>
        <w:pStyle w:val="ListParagraph"/>
        <w:widowControl/>
        <w:numPr>
          <w:ilvl w:val="1"/>
          <w:numId w:val="1"/>
        </w:numPr>
        <w:spacing w:before="120" w:after="120"/>
      </w:pPr>
      <w:r w:rsidRPr="006E72A7">
        <w:t xml:space="preserve">The ESC </w:t>
      </w:r>
      <w:r w:rsidR="00EE56DC" w:rsidRPr="006E72A7">
        <w:t>consider</w:t>
      </w:r>
      <w:r w:rsidRPr="006E72A7">
        <w:t>ed that the</w:t>
      </w:r>
      <w:r w:rsidR="006B36E8" w:rsidRPr="006E72A7">
        <w:t xml:space="preserve"> modelled economic analysis should </w:t>
      </w:r>
      <w:r w:rsidR="00EE56DC" w:rsidRPr="006E72A7">
        <w:t xml:space="preserve">have </w:t>
      </w:r>
      <w:r w:rsidR="006B36E8" w:rsidRPr="006E72A7">
        <w:t>include</w:t>
      </w:r>
      <w:r w:rsidR="00EE56DC" w:rsidRPr="006E72A7">
        <w:t>d</w:t>
      </w:r>
      <w:r w:rsidR="006B36E8" w:rsidRPr="006E72A7">
        <w:t xml:space="preserve"> the additional patient subgroup from the proposed indication</w:t>
      </w:r>
      <w:r w:rsidR="00EE56DC" w:rsidRPr="006E72A7">
        <w:t xml:space="preserve"> that were statin intolerant</w:t>
      </w:r>
      <w:r w:rsidR="006B36E8" w:rsidRPr="006E72A7">
        <w:t xml:space="preserve">. </w:t>
      </w:r>
    </w:p>
    <w:p w:rsidR="00664A08" w:rsidRPr="006E72A7" w:rsidRDefault="00664A08" w:rsidP="00DD046C">
      <w:pPr>
        <w:pStyle w:val="ListParagraph"/>
        <w:widowControl/>
        <w:numPr>
          <w:ilvl w:val="1"/>
          <w:numId w:val="1"/>
        </w:numPr>
        <w:spacing w:before="120" w:after="120"/>
      </w:pPr>
      <w:r w:rsidRPr="006E72A7">
        <w:t>The impact of varying treatment effects could not be reliably investigated with sensitivity analyses due to the structure of the economic model. The underlying cardiovascular risk of the modelled population and relative changes due to treatment effect were interdependent and could not be analysed separately. For example, predicted CHD deaths were estimated using a combination of absolute TC:HDL ratios and selected patient characteristics transformed using Framingham risk equations, cardiovascular risk multipliers to match trial-based incidence of any CHD event and adjustments to the distribution of events to match trial-based incidence of CHD deaths.</w:t>
      </w:r>
      <w:r w:rsidR="006B36E8" w:rsidRPr="006E72A7">
        <w:t xml:space="preserve"> The ESC considered this to be </w:t>
      </w:r>
      <w:r w:rsidR="00DA6BAB">
        <w:t xml:space="preserve">an </w:t>
      </w:r>
      <w:r w:rsidR="006B36E8" w:rsidRPr="006E72A7">
        <w:t>inappropriate use of</w:t>
      </w:r>
      <w:r w:rsidR="00876101" w:rsidRPr="006E72A7">
        <w:t xml:space="preserve"> Framingham</w:t>
      </w:r>
      <w:r w:rsidR="006B36E8" w:rsidRPr="006E72A7">
        <w:t xml:space="preserve"> risk equations, which have the pot</w:t>
      </w:r>
      <w:r w:rsidR="00876101" w:rsidRPr="006E72A7">
        <w:t xml:space="preserve">ential </w:t>
      </w:r>
      <w:r w:rsidR="007773AF" w:rsidRPr="006E72A7">
        <w:t>to</w:t>
      </w:r>
      <w:r w:rsidR="00876101" w:rsidRPr="006E72A7">
        <w:t xml:space="preserve"> overestimat</w:t>
      </w:r>
      <w:r w:rsidR="007773AF" w:rsidRPr="006E72A7">
        <w:t>e</w:t>
      </w:r>
      <w:r w:rsidR="00876101" w:rsidRPr="006E72A7">
        <w:t xml:space="preserve"> effects</w:t>
      </w:r>
      <w:r w:rsidR="00EE56DC" w:rsidRPr="006E72A7">
        <w:t xml:space="preserve"> in the lo</w:t>
      </w:r>
      <w:r w:rsidR="007773AF" w:rsidRPr="006E72A7">
        <w:t>n</w:t>
      </w:r>
      <w:r w:rsidR="00EE56DC" w:rsidRPr="006E72A7">
        <w:t>g-term</w:t>
      </w:r>
      <w:r w:rsidR="006B36E8" w:rsidRPr="006E72A7">
        <w:t xml:space="preserve">. The ESC </w:t>
      </w:r>
      <w:r w:rsidR="006B36E8" w:rsidRPr="006E72A7">
        <w:lastRenderedPageBreak/>
        <w:t xml:space="preserve">considered these equations </w:t>
      </w:r>
      <w:r w:rsidR="00652BAB" w:rsidRPr="006E72A7">
        <w:t>are not preferred</w:t>
      </w:r>
      <w:r w:rsidR="00652BAB" w:rsidRPr="006E72A7" w:rsidDel="00652BAB">
        <w:t xml:space="preserve"> </w:t>
      </w:r>
      <w:r w:rsidR="00EE56DC" w:rsidRPr="006E72A7">
        <w:t>when CV outcomes data are available fr</w:t>
      </w:r>
      <w:r w:rsidR="00994578" w:rsidRPr="006E72A7">
        <w:t>om</w:t>
      </w:r>
      <w:r w:rsidR="00EE56DC" w:rsidRPr="006E72A7">
        <w:t xml:space="preserve"> the clinical trials</w:t>
      </w:r>
      <w:r w:rsidR="006B36E8" w:rsidRPr="006E72A7">
        <w:t>.</w:t>
      </w:r>
      <w:r w:rsidR="006B36E8" w:rsidRPr="006E72A7">
        <w:rPr>
          <w:i/>
        </w:rPr>
        <w:t xml:space="preserve"> </w:t>
      </w:r>
    </w:p>
    <w:p w:rsidR="00C25D9C" w:rsidRPr="006E72A7" w:rsidRDefault="00C25D9C" w:rsidP="00DD046C">
      <w:pPr>
        <w:pStyle w:val="Heading2"/>
        <w:widowControl/>
        <w:spacing w:before="120" w:after="120"/>
      </w:pPr>
      <w:bookmarkStart w:id="16" w:name="_Toc536003318"/>
      <w:r w:rsidRPr="006E72A7">
        <w:t>Drug cost/patient/</w:t>
      </w:r>
      <w:r w:rsidR="006863E8" w:rsidRPr="006E72A7">
        <w:t>year</w:t>
      </w:r>
      <w:bookmarkEnd w:id="16"/>
    </w:p>
    <w:p w:rsidR="006863E8" w:rsidRPr="006E72A7" w:rsidRDefault="006863E8" w:rsidP="00DD046C">
      <w:pPr>
        <w:pStyle w:val="ListParagraph"/>
        <w:widowControl/>
        <w:numPr>
          <w:ilvl w:val="1"/>
          <w:numId w:val="1"/>
        </w:numPr>
        <w:spacing w:before="120" w:after="120"/>
      </w:pPr>
      <w:r w:rsidRPr="006E72A7">
        <w:t>The estimated drug cost for alirocuma</w:t>
      </w:r>
      <w:r w:rsidR="00FB0B1E" w:rsidRPr="006E72A7">
        <w:t xml:space="preserve">b per patient per year </w:t>
      </w:r>
      <w:r w:rsidR="00D14DD9" w:rsidRPr="006E72A7">
        <w:t xml:space="preserve">for the </w:t>
      </w:r>
      <w:r w:rsidR="00394DDB" w:rsidRPr="006E72A7">
        <w:t>non-FH</w:t>
      </w:r>
      <w:r w:rsidR="00D14DD9" w:rsidRPr="006E72A7">
        <w:t xml:space="preserve"> population </w:t>
      </w:r>
      <w:r w:rsidR="00FB0B1E" w:rsidRPr="006E72A7">
        <w:t>was $</w:t>
      </w:r>
      <w:r w:rsidR="004F3FD6">
        <w:rPr>
          <w:noProof/>
          <w:color w:val="000000"/>
          <w:highlight w:val="black"/>
        </w:rPr>
        <w:t>''''''''''''</w:t>
      </w:r>
      <w:r w:rsidRPr="006E72A7">
        <w:t xml:space="preserve"> (based on 13.04 scripts using the effective DPMQ $</w:t>
      </w:r>
      <w:r w:rsidR="004F3FD6">
        <w:rPr>
          <w:noProof/>
          <w:color w:val="000000"/>
          <w:highlight w:val="black"/>
        </w:rPr>
        <w:t>''''''''''''</w:t>
      </w:r>
      <w:r w:rsidRPr="006E72A7">
        <w:t xml:space="preserve"> for both the 75 mg fortnightly, 300 mg every 4 weeks and the 150 mg fortnightly injections</w:t>
      </w:r>
      <w:r w:rsidR="0036757B" w:rsidRPr="006E72A7">
        <w:t>)</w:t>
      </w:r>
      <w:r w:rsidRPr="006E72A7">
        <w:t xml:space="preserve">. </w:t>
      </w:r>
    </w:p>
    <w:p w:rsidR="00B60939" w:rsidRPr="006E72A7" w:rsidRDefault="006863E8" w:rsidP="00DD046C">
      <w:pPr>
        <w:pStyle w:val="ListParagraph"/>
        <w:widowControl/>
        <w:numPr>
          <w:ilvl w:val="1"/>
          <w:numId w:val="1"/>
        </w:numPr>
        <w:spacing w:before="120" w:after="120"/>
      </w:pPr>
      <w:r w:rsidRPr="006E72A7">
        <w:t>The estimated drug cost for ezetimibe per patient per year was $</w:t>
      </w:r>
      <w:r w:rsidRPr="00E805A8">
        <w:t>523.07</w:t>
      </w:r>
      <w:r w:rsidRPr="006E72A7">
        <w:t>, based on 12.17 scripts (30 days of therapy per</w:t>
      </w:r>
      <w:r w:rsidR="00FA4285" w:rsidRPr="006E72A7">
        <w:t xml:space="preserve"> script) using the DPMQ $42.98</w:t>
      </w:r>
      <w:r w:rsidRPr="006E72A7">
        <w:t>.</w:t>
      </w:r>
    </w:p>
    <w:p w:rsidR="00B60939" w:rsidRPr="006E72A7" w:rsidRDefault="00B60939" w:rsidP="00DD046C">
      <w:pPr>
        <w:pStyle w:val="Heading2"/>
        <w:widowControl/>
        <w:spacing w:before="120" w:after="120"/>
      </w:pPr>
      <w:bookmarkStart w:id="17" w:name="_Toc536003319"/>
      <w:r w:rsidRPr="006E72A7">
        <w:t>Estimated PBS usage &amp; financial implications</w:t>
      </w:r>
      <w:bookmarkEnd w:id="17"/>
    </w:p>
    <w:p w:rsidR="009E75D8" w:rsidRPr="006E72A7" w:rsidRDefault="009E75D8" w:rsidP="00DD046C">
      <w:pPr>
        <w:pStyle w:val="ListParagraph"/>
        <w:widowControl/>
        <w:numPr>
          <w:ilvl w:val="1"/>
          <w:numId w:val="1"/>
        </w:numPr>
        <w:spacing w:before="120" w:after="120"/>
      </w:pPr>
      <w:bookmarkStart w:id="18" w:name="_Toc536003320"/>
      <w:r w:rsidRPr="006E72A7">
        <w:t xml:space="preserve">The resubmission </w:t>
      </w:r>
      <w:r w:rsidR="00043908" w:rsidRPr="006E72A7">
        <w:t>was</w:t>
      </w:r>
      <w:r w:rsidRPr="006E72A7">
        <w:t xml:space="preserve"> considered by DUSC. The resubmission took an epidemiological approach, and estimated use and financial implications for the </w:t>
      </w:r>
      <w:r w:rsidR="00EE29DB">
        <w:t>he-FH</w:t>
      </w:r>
      <w:r w:rsidRPr="006E72A7">
        <w:t xml:space="preserve"> patients with/without atherosclerotic disease and very high LDL levels and patients with </w:t>
      </w:r>
      <w:r w:rsidR="00810291">
        <w:t>non-FH</w:t>
      </w:r>
      <w:r w:rsidRPr="006E72A7">
        <w:t xml:space="preserve"> with prior </w:t>
      </w:r>
      <w:r w:rsidR="00EE29DB">
        <w:t>ACS</w:t>
      </w:r>
      <w:r w:rsidRPr="006E72A7">
        <w:t xml:space="preserve">, diabetes and elevated LDL levels separately, using different sources and assumptions for each. </w:t>
      </w:r>
    </w:p>
    <w:p w:rsidR="009E75D8" w:rsidRPr="006E72A7" w:rsidRDefault="009E75D8" w:rsidP="00DD046C">
      <w:pPr>
        <w:pStyle w:val="ListParagraph"/>
        <w:widowControl/>
        <w:numPr>
          <w:ilvl w:val="1"/>
          <w:numId w:val="1"/>
        </w:numPr>
        <w:spacing w:before="120" w:after="120"/>
      </w:pPr>
      <w:r w:rsidRPr="006E72A7">
        <w:t xml:space="preserve">Key changes to the budget impact estimates included a reduction in the proposed effective price for alirocumab, revised estimates for the </w:t>
      </w:r>
      <w:r w:rsidR="00EE29DB">
        <w:t>he-FH</w:t>
      </w:r>
      <w:r w:rsidRPr="006E72A7">
        <w:t xml:space="preserve"> population with/without atherosclerotic disease and very high LDL levels (revised restriction to align with current PBS listing for evolocumab) and the inclusion of estimates for the </w:t>
      </w:r>
      <w:r w:rsidR="00810291">
        <w:t>non-FH</w:t>
      </w:r>
      <w:r w:rsidRPr="006E72A7">
        <w:t xml:space="preserve"> indication. </w:t>
      </w:r>
    </w:p>
    <w:p w:rsidR="009E75D8" w:rsidRPr="006E72A7" w:rsidRDefault="009E75D8" w:rsidP="00DD046C">
      <w:pPr>
        <w:pStyle w:val="ListParagraph"/>
        <w:widowControl/>
        <w:numPr>
          <w:ilvl w:val="1"/>
          <w:numId w:val="1"/>
        </w:numPr>
        <w:spacing w:before="120" w:after="120"/>
      </w:pPr>
      <w:r w:rsidRPr="006E72A7">
        <w:t>The table below presents the estimated utilisation and cost to the PBS of alirocumab for the familial hypercholesterolaemia population.</w:t>
      </w:r>
      <w:r w:rsidR="00645EB8" w:rsidRPr="006E72A7">
        <w:t xml:space="preserve"> The net cost to the PBS for the </w:t>
      </w:r>
      <w:r w:rsidR="00EE29DB">
        <w:t>he-FH</w:t>
      </w:r>
      <w:r w:rsidR="00645EB8" w:rsidRPr="006E72A7">
        <w:t xml:space="preserve"> indication for alirocumab (DPMQ less patient co-payment) was </w:t>
      </w:r>
      <w:r w:rsidR="00E805A8">
        <w:t>less than</w:t>
      </w:r>
      <w:r w:rsidR="00645EB8" w:rsidRPr="006E72A7">
        <w:t xml:space="preserve"> $</w:t>
      </w:r>
      <w:r w:rsidR="00E805A8">
        <w:t>10</w:t>
      </w:r>
      <w:r w:rsidR="00645EB8" w:rsidRPr="006E72A7">
        <w:t xml:space="preserve"> million (published) and </w:t>
      </w:r>
      <w:r w:rsidR="00E805A8">
        <w:t xml:space="preserve">less than </w:t>
      </w:r>
      <w:r w:rsidR="00645EB8" w:rsidRPr="006E72A7">
        <w:t>$</w:t>
      </w:r>
      <w:r w:rsidR="00E805A8">
        <w:t>10</w:t>
      </w:r>
      <w:r w:rsidR="00645EB8" w:rsidRPr="006E72A7">
        <w:t xml:space="preserve"> million (effective) in Year 6 of listing, with a cumulative total cost of $</w:t>
      </w:r>
      <w:r w:rsidR="00E805A8">
        <w:t>30 to $60</w:t>
      </w:r>
      <w:r w:rsidR="00645EB8" w:rsidRPr="006E72A7">
        <w:t xml:space="preserve"> million (published) and $</w:t>
      </w:r>
      <w:r w:rsidR="00E805A8">
        <w:t>20 to $30</w:t>
      </w:r>
      <w:r w:rsidR="00645EB8" w:rsidRPr="006E72A7">
        <w:t xml:space="preserve"> million (effective) in the first 6 years.</w:t>
      </w:r>
    </w:p>
    <w:p w:rsidR="009E75D8" w:rsidRPr="006E72A7" w:rsidRDefault="009E75D8" w:rsidP="009E75D8">
      <w:pPr>
        <w:keepNext/>
        <w:keepLines/>
        <w:widowControl/>
        <w:rPr>
          <w:rStyle w:val="CommentReference"/>
        </w:rPr>
      </w:pPr>
      <w:r w:rsidRPr="006E72A7">
        <w:rPr>
          <w:rStyle w:val="CommentReference"/>
        </w:rPr>
        <w:br w:type="column"/>
      </w:r>
      <w:r w:rsidRPr="006E72A7">
        <w:rPr>
          <w:rStyle w:val="CommentReference"/>
        </w:rPr>
        <w:lastRenderedPageBreak/>
        <w:t>Table 13: Estimated net cost of alirocumab to the PBS: Heterozygous familial hypercholesterolaemia (Effective price)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 Estimated net cost of alirocumab to the PBS: Heterozygous familial hypercholesterolaemia (Effective price)"/>
      </w:tblPr>
      <w:tblGrid>
        <w:gridCol w:w="2405"/>
        <w:gridCol w:w="992"/>
        <w:gridCol w:w="1134"/>
        <w:gridCol w:w="1134"/>
        <w:gridCol w:w="1134"/>
        <w:gridCol w:w="1134"/>
        <w:gridCol w:w="1134"/>
      </w:tblGrid>
      <w:tr w:rsidR="009E75D8" w:rsidRPr="006E72A7" w:rsidTr="00944C66">
        <w:trPr>
          <w:tblHeader/>
        </w:trPr>
        <w:tc>
          <w:tcPr>
            <w:tcW w:w="2405" w:type="dxa"/>
            <w:shd w:val="clear" w:color="auto" w:fill="auto"/>
            <w:vAlign w:val="center"/>
          </w:tcPr>
          <w:p w:rsidR="009E75D8" w:rsidRPr="006E72A7" w:rsidRDefault="009E75D8" w:rsidP="00944C66">
            <w:pPr>
              <w:pStyle w:val="Tabletext"/>
            </w:pPr>
          </w:p>
        </w:tc>
        <w:tc>
          <w:tcPr>
            <w:tcW w:w="992" w:type="dxa"/>
            <w:shd w:val="clear" w:color="auto" w:fill="auto"/>
            <w:vAlign w:val="center"/>
          </w:tcPr>
          <w:p w:rsidR="009E75D8" w:rsidRPr="006E72A7" w:rsidRDefault="009E75D8" w:rsidP="00944C66">
            <w:pPr>
              <w:pStyle w:val="Tabletext"/>
              <w:jc w:val="center"/>
              <w:rPr>
                <w:b/>
              </w:rPr>
            </w:pPr>
            <w:r w:rsidRPr="006E72A7">
              <w:rPr>
                <w:b/>
              </w:rPr>
              <w:t>Year 1</w:t>
            </w:r>
          </w:p>
        </w:tc>
        <w:tc>
          <w:tcPr>
            <w:tcW w:w="1134" w:type="dxa"/>
            <w:shd w:val="clear" w:color="auto" w:fill="auto"/>
            <w:vAlign w:val="center"/>
          </w:tcPr>
          <w:p w:rsidR="009E75D8" w:rsidRPr="006E72A7" w:rsidRDefault="009E75D8" w:rsidP="00944C66">
            <w:pPr>
              <w:pStyle w:val="Tabletext"/>
              <w:jc w:val="center"/>
              <w:rPr>
                <w:b/>
              </w:rPr>
            </w:pPr>
            <w:r w:rsidRPr="006E72A7">
              <w:rPr>
                <w:b/>
              </w:rPr>
              <w:t>Year 2</w:t>
            </w:r>
          </w:p>
        </w:tc>
        <w:tc>
          <w:tcPr>
            <w:tcW w:w="1134" w:type="dxa"/>
            <w:shd w:val="clear" w:color="auto" w:fill="auto"/>
            <w:vAlign w:val="center"/>
          </w:tcPr>
          <w:p w:rsidR="009E75D8" w:rsidRPr="006E72A7" w:rsidRDefault="009E75D8" w:rsidP="00944C66">
            <w:pPr>
              <w:pStyle w:val="Tabletext"/>
              <w:jc w:val="center"/>
              <w:rPr>
                <w:b/>
              </w:rPr>
            </w:pPr>
            <w:r w:rsidRPr="006E72A7">
              <w:rPr>
                <w:b/>
              </w:rPr>
              <w:t>Year 3</w:t>
            </w:r>
          </w:p>
        </w:tc>
        <w:tc>
          <w:tcPr>
            <w:tcW w:w="1134" w:type="dxa"/>
            <w:shd w:val="clear" w:color="auto" w:fill="auto"/>
            <w:vAlign w:val="center"/>
          </w:tcPr>
          <w:p w:rsidR="009E75D8" w:rsidRPr="006E72A7" w:rsidRDefault="009E75D8" w:rsidP="00944C66">
            <w:pPr>
              <w:pStyle w:val="Tabletext"/>
              <w:jc w:val="center"/>
              <w:rPr>
                <w:b/>
              </w:rPr>
            </w:pPr>
            <w:r w:rsidRPr="006E72A7">
              <w:rPr>
                <w:b/>
              </w:rPr>
              <w:t>Year 4</w:t>
            </w:r>
          </w:p>
        </w:tc>
        <w:tc>
          <w:tcPr>
            <w:tcW w:w="1134" w:type="dxa"/>
            <w:shd w:val="clear" w:color="auto" w:fill="auto"/>
            <w:vAlign w:val="center"/>
          </w:tcPr>
          <w:p w:rsidR="009E75D8" w:rsidRPr="006E72A7" w:rsidRDefault="009E75D8" w:rsidP="00944C66">
            <w:pPr>
              <w:pStyle w:val="Tabletext"/>
              <w:jc w:val="center"/>
              <w:rPr>
                <w:b/>
              </w:rPr>
            </w:pPr>
            <w:r w:rsidRPr="006E72A7">
              <w:rPr>
                <w:b/>
              </w:rPr>
              <w:t>Year 5</w:t>
            </w:r>
          </w:p>
        </w:tc>
        <w:tc>
          <w:tcPr>
            <w:tcW w:w="1134" w:type="dxa"/>
            <w:shd w:val="clear" w:color="auto" w:fill="auto"/>
            <w:vAlign w:val="center"/>
          </w:tcPr>
          <w:p w:rsidR="009E75D8" w:rsidRPr="006E72A7" w:rsidRDefault="009E75D8" w:rsidP="00944C66">
            <w:pPr>
              <w:pStyle w:val="Tabletext"/>
              <w:jc w:val="center"/>
              <w:rPr>
                <w:b/>
              </w:rPr>
            </w:pPr>
            <w:r w:rsidRPr="006E72A7">
              <w:rPr>
                <w:b/>
              </w:rPr>
              <w:t>Year 6</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Australian adult (18+) pop’n</w:t>
            </w:r>
          </w:p>
        </w:tc>
        <w:tc>
          <w:tcPr>
            <w:tcW w:w="992"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Prevalent population (0.28%)</w:t>
            </w:r>
          </w:p>
        </w:tc>
        <w:tc>
          <w:tcPr>
            <w:tcW w:w="992"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r>
      <w:tr w:rsidR="009E75D8" w:rsidRPr="006E72A7" w:rsidTr="00944C66">
        <w:tc>
          <w:tcPr>
            <w:tcW w:w="9067" w:type="dxa"/>
            <w:gridSpan w:val="7"/>
            <w:shd w:val="clear" w:color="auto" w:fill="auto"/>
            <w:vAlign w:val="center"/>
          </w:tcPr>
          <w:p w:rsidR="009E75D8" w:rsidRPr="006E72A7" w:rsidRDefault="009E75D8" w:rsidP="00944C66">
            <w:pPr>
              <w:pStyle w:val="Tabletext"/>
              <w:rPr>
                <w:b/>
              </w:rPr>
            </w:pPr>
            <w:r w:rsidRPr="006E72A7">
              <w:rPr>
                <w:b/>
              </w:rPr>
              <w:t>Primary prevention (60% of all familial patients)</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Without ASCVD</w:t>
            </w:r>
          </w:p>
        </w:tc>
        <w:tc>
          <w:tcPr>
            <w:tcW w:w="992"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Diagnosed (16% to 31%)</w:t>
            </w:r>
          </w:p>
        </w:tc>
        <w:tc>
          <w:tcPr>
            <w:tcW w:w="992"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LDL ≥ 5 mmol/L (5.4%)</w:t>
            </w:r>
          </w:p>
        </w:tc>
        <w:tc>
          <w:tcPr>
            <w:tcW w:w="992"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Uptake</w:t>
            </w:r>
          </w:p>
        </w:tc>
        <w:tc>
          <w:tcPr>
            <w:tcW w:w="992" w:type="dxa"/>
            <w:shd w:val="clear" w:color="auto" w:fill="auto"/>
            <w:vAlign w:val="center"/>
          </w:tcPr>
          <w:p w:rsidR="009E75D8" w:rsidRPr="006E72A7" w:rsidRDefault="004F3FD6" w:rsidP="00944C66">
            <w:pPr>
              <w:pStyle w:val="Tabletext"/>
              <w:jc w:val="center"/>
            </w:pPr>
            <w:r>
              <w:rPr>
                <w:noProof/>
                <w:color w:val="000000"/>
                <w:highlight w:val="black"/>
              </w:rPr>
              <w:t>''''''''</w:t>
            </w:r>
            <w:r w:rsidR="00637CBB" w:rsidRPr="00637CBB">
              <w:t>%</w:t>
            </w:r>
          </w:p>
        </w:tc>
        <w:tc>
          <w:tcPr>
            <w:tcW w:w="1134" w:type="dxa"/>
            <w:shd w:val="clear" w:color="auto" w:fill="auto"/>
            <w:vAlign w:val="center"/>
          </w:tcPr>
          <w:p w:rsidR="009E75D8" w:rsidRPr="006E72A7" w:rsidRDefault="004F3FD6" w:rsidP="00944C66">
            <w:pPr>
              <w:pStyle w:val="Tabletext"/>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944C66">
            <w:pPr>
              <w:pStyle w:val="Tabletext"/>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944C66">
            <w:pPr>
              <w:pStyle w:val="Tabletext"/>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944C66">
            <w:pPr>
              <w:pStyle w:val="Tabletext"/>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944C66">
            <w:pPr>
              <w:pStyle w:val="Tabletext"/>
              <w:jc w:val="center"/>
            </w:pPr>
            <w:r>
              <w:rPr>
                <w:noProof/>
                <w:color w:val="000000"/>
                <w:highlight w:val="black"/>
              </w:rPr>
              <w:t>'''''''''''</w:t>
            </w:r>
            <w:r w:rsidR="009E75D8" w:rsidRPr="006E72A7">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Total patients</w:t>
            </w:r>
          </w:p>
        </w:tc>
        <w:tc>
          <w:tcPr>
            <w:tcW w:w="992"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r>
      <w:tr w:rsidR="009E75D8" w:rsidRPr="006E72A7" w:rsidTr="00944C66">
        <w:tc>
          <w:tcPr>
            <w:tcW w:w="9067" w:type="dxa"/>
            <w:gridSpan w:val="7"/>
            <w:shd w:val="clear" w:color="auto" w:fill="auto"/>
            <w:vAlign w:val="center"/>
          </w:tcPr>
          <w:p w:rsidR="009E75D8" w:rsidRPr="006E72A7" w:rsidRDefault="009E75D8" w:rsidP="00944C66">
            <w:pPr>
              <w:pStyle w:val="Tabletext"/>
              <w:rPr>
                <w:b/>
              </w:rPr>
            </w:pPr>
            <w:r w:rsidRPr="006E72A7">
              <w:rPr>
                <w:b/>
              </w:rPr>
              <w:t>Secondary prevention (40% of all familial patients)</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With ASCVD (100% diagnosed)</w:t>
            </w:r>
          </w:p>
        </w:tc>
        <w:tc>
          <w:tcPr>
            <w:tcW w:w="992"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LDL ≥ 3.3 mmol/L (28%)</w:t>
            </w:r>
          </w:p>
        </w:tc>
        <w:tc>
          <w:tcPr>
            <w:tcW w:w="992"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Uptake</w:t>
            </w:r>
          </w:p>
        </w:tc>
        <w:tc>
          <w:tcPr>
            <w:tcW w:w="992" w:type="dxa"/>
            <w:shd w:val="clear" w:color="auto" w:fill="auto"/>
            <w:vAlign w:val="center"/>
          </w:tcPr>
          <w:p w:rsidR="009E75D8" w:rsidRPr="006E72A7" w:rsidRDefault="004F3FD6" w:rsidP="00944C66">
            <w:pPr>
              <w:pStyle w:val="Tabletext"/>
              <w:jc w:val="center"/>
              <w:rPr>
                <w:i/>
              </w:rPr>
            </w:pPr>
            <w:r>
              <w:rPr>
                <w:i/>
                <w:noProof/>
                <w:color w:val="000000"/>
                <w:highlight w:val="black"/>
              </w:rPr>
              <w:t>''''''''</w:t>
            </w:r>
            <w:r w:rsidR="009E75D8" w:rsidRPr="006E72A7">
              <w:rPr>
                <w:i/>
              </w:rPr>
              <w:t>%</w:t>
            </w:r>
          </w:p>
        </w:tc>
        <w:tc>
          <w:tcPr>
            <w:tcW w:w="1134" w:type="dxa"/>
            <w:shd w:val="clear" w:color="auto" w:fill="auto"/>
            <w:vAlign w:val="center"/>
          </w:tcPr>
          <w:p w:rsidR="009E75D8" w:rsidRPr="006E72A7" w:rsidRDefault="004F3FD6" w:rsidP="00944C66">
            <w:pPr>
              <w:pStyle w:val="Tabletext"/>
              <w:jc w:val="center"/>
              <w:rPr>
                <w:i/>
              </w:rPr>
            </w:pPr>
            <w:r>
              <w:rPr>
                <w:i/>
                <w:noProof/>
                <w:color w:val="000000"/>
                <w:highlight w:val="black"/>
              </w:rPr>
              <w:t>''''''''''</w:t>
            </w:r>
            <w:r w:rsidR="009E75D8" w:rsidRPr="006E72A7">
              <w:rPr>
                <w:i/>
              </w:rPr>
              <w:t>%</w:t>
            </w:r>
          </w:p>
        </w:tc>
        <w:tc>
          <w:tcPr>
            <w:tcW w:w="1134" w:type="dxa"/>
            <w:shd w:val="clear" w:color="auto" w:fill="auto"/>
            <w:vAlign w:val="center"/>
          </w:tcPr>
          <w:p w:rsidR="009E75D8" w:rsidRPr="006E72A7" w:rsidRDefault="004F3FD6" w:rsidP="00944C66">
            <w:pPr>
              <w:pStyle w:val="Tabletext"/>
              <w:jc w:val="center"/>
              <w:rPr>
                <w:i/>
              </w:rPr>
            </w:pPr>
            <w:r>
              <w:rPr>
                <w:i/>
                <w:noProof/>
                <w:color w:val="000000"/>
                <w:highlight w:val="black"/>
              </w:rPr>
              <w:t>''''''''''</w:t>
            </w:r>
            <w:r w:rsidR="009E75D8" w:rsidRPr="006E72A7">
              <w:rPr>
                <w:i/>
              </w:rPr>
              <w:t>%</w:t>
            </w:r>
          </w:p>
        </w:tc>
        <w:tc>
          <w:tcPr>
            <w:tcW w:w="1134" w:type="dxa"/>
            <w:shd w:val="clear" w:color="auto" w:fill="auto"/>
            <w:vAlign w:val="center"/>
          </w:tcPr>
          <w:p w:rsidR="009E75D8" w:rsidRPr="006E72A7" w:rsidRDefault="004F3FD6" w:rsidP="00944C66">
            <w:pPr>
              <w:pStyle w:val="Tabletext"/>
              <w:jc w:val="center"/>
              <w:rPr>
                <w:i/>
              </w:rPr>
            </w:pPr>
            <w:r>
              <w:rPr>
                <w:i/>
                <w:noProof/>
                <w:color w:val="000000"/>
                <w:highlight w:val="black"/>
              </w:rPr>
              <w:t>''''''''''</w:t>
            </w:r>
            <w:r w:rsidR="009E75D8" w:rsidRPr="006E72A7">
              <w:rPr>
                <w:i/>
              </w:rPr>
              <w:t>%</w:t>
            </w:r>
          </w:p>
        </w:tc>
        <w:tc>
          <w:tcPr>
            <w:tcW w:w="1134" w:type="dxa"/>
            <w:shd w:val="clear" w:color="auto" w:fill="auto"/>
            <w:vAlign w:val="center"/>
          </w:tcPr>
          <w:p w:rsidR="009E75D8" w:rsidRPr="006E72A7" w:rsidRDefault="004F3FD6" w:rsidP="00944C66">
            <w:pPr>
              <w:pStyle w:val="Tabletext"/>
              <w:jc w:val="center"/>
              <w:rPr>
                <w:i/>
              </w:rPr>
            </w:pPr>
            <w:r>
              <w:rPr>
                <w:i/>
                <w:noProof/>
                <w:color w:val="000000"/>
                <w:highlight w:val="black"/>
              </w:rPr>
              <w:t>'''''''''''</w:t>
            </w:r>
            <w:r w:rsidR="009E75D8" w:rsidRPr="006E72A7">
              <w:rPr>
                <w:i/>
              </w:rPr>
              <w:t>%</w:t>
            </w:r>
          </w:p>
        </w:tc>
        <w:tc>
          <w:tcPr>
            <w:tcW w:w="1134" w:type="dxa"/>
            <w:shd w:val="clear" w:color="auto" w:fill="auto"/>
            <w:vAlign w:val="center"/>
          </w:tcPr>
          <w:p w:rsidR="009E75D8" w:rsidRPr="006E72A7" w:rsidRDefault="004F3FD6" w:rsidP="00944C66">
            <w:pPr>
              <w:pStyle w:val="Tabletext"/>
              <w:jc w:val="center"/>
              <w:rPr>
                <w:i/>
              </w:rPr>
            </w:pPr>
            <w:r>
              <w:rPr>
                <w:i/>
                <w:noProof/>
                <w:color w:val="000000"/>
                <w:highlight w:val="black"/>
              </w:rPr>
              <w:t>''''''''''</w:t>
            </w:r>
            <w:r w:rsidR="009E75D8" w:rsidRPr="006E72A7">
              <w:rPr>
                <w:i/>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Total patients</w:t>
            </w:r>
          </w:p>
        </w:tc>
        <w:tc>
          <w:tcPr>
            <w:tcW w:w="992"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r>
      <w:tr w:rsidR="009E75D8" w:rsidRPr="006E72A7" w:rsidTr="00944C66">
        <w:tc>
          <w:tcPr>
            <w:tcW w:w="9067" w:type="dxa"/>
            <w:gridSpan w:val="7"/>
            <w:shd w:val="clear" w:color="auto" w:fill="auto"/>
            <w:vAlign w:val="center"/>
          </w:tcPr>
          <w:p w:rsidR="009E75D8" w:rsidRPr="006E72A7" w:rsidRDefault="009E75D8" w:rsidP="00944C66">
            <w:pPr>
              <w:pStyle w:val="Tabletext"/>
              <w:rPr>
                <w:b/>
              </w:rPr>
            </w:pPr>
            <w:r w:rsidRPr="006E72A7">
              <w:rPr>
                <w:b/>
              </w:rPr>
              <w:t>Estimated scripts and costs (10.43 scripts/patient/year)</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Treated patients</w:t>
            </w:r>
          </w:p>
        </w:tc>
        <w:tc>
          <w:tcPr>
            <w:tcW w:w="992"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75 mg/mL scripts (70%)</w:t>
            </w:r>
          </w:p>
        </w:tc>
        <w:tc>
          <w:tcPr>
            <w:tcW w:w="992" w:type="dxa"/>
            <w:shd w:val="clear" w:color="auto" w:fill="auto"/>
            <w:vAlign w:val="center"/>
          </w:tcPr>
          <w:p w:rsidR="009E75D8" w:rsidRPr="004F3FD6" w:rsidRDefault="004F3FD6" w:rsidP="00944C66">
            <w:pPr>
              <w:pStyle w:val="Tabletext"/>
              <w:jc w:val="center"/>
              <w:rPr>
                <w:rFonts w:cs="Arial"/>
                <w:i/>
                <w:color w:val="000000"/>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rFonts w:cs="Arial"/>
                <w:i/>
                <w:color w:val="000000"/>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rFonts w:cs="Arial"/>
                <w:i/>
                <w:color w:val="000000"/>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rFonts w:cs="Arial"/>
                <w:i/>
                <w:color w:val="000000"/>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rFonts w:cs="Arial"/>
                <w:i/>
                <w:color w:val="000000"/>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rFonts w:cs="Arial"/>
                <w:i/>
                <w:color w:val="000000"/>
                <w:highlight w:val="black"/>
              </w:rPr>
            </w:pPr>
            <w:r>
              <w:rPr>
                <w:i/>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150 mg/mL scripts (30%)</w:t>
            </w:r>
          </w:p>
        </w:tc>
        <w:tc>
          <w:tcPr>
            <w:tcW w:w="992"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c>
          <w:tcPr>
            <w:tcW w:w="1134" w:type="dxa"/>
            <w:shd w:val="clear" w:color="auto" w:fill="auto"/>
            <w:vAlign w:val="center"/>
          </w:tcPr>
          <w:p w:rsidR="009E75D8" w:rsidRPr="004F3FD6" w:rsidRDefault="004F3FD6" w:rsidP="00944C66">
            <w:pPr>
              <w:pStyle w:val="Tabletext"/>
              <w:jc w:val="center"/>
              <w:rPr>
                <w:i/>
                <w:highlight w:val="black"/>
              </w:rPr>
            </w:pPr>
            <w:r>
              <w:rPr>
                <w:i/>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rPr>
                <w:vertAlign w:val="superscript"/>
              </w:rPr>
            </w:pPr>
            <w:r w:rsidRPr="006E72A7">
              <w:t xml:space="preserve">Total cost </w:t>
            </w:r>
            <w:r w:rsidRPr="006E72A7">
              <w:rPr>
                <w:vertAlign w:val="superscript"/>
              </w:rPr>
              <w:t>a</w:t>
            </w:r>
          </w:p>
        </w:tc>
        <w:tc>
          <w:tcPr>
            <w:tcW w:w="992"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944C66">
            <w:pPr>
              <w:pStyle w:val="Tabletext"/>
            </w:pPr>
            <w:r w:rsidRPr="006E72A7">
              <w:t xml:space="preserve">Net cost to PBS less copay  </w:t>
            </w:r>
          </w:p>
        </w:tc>
        <w:tc>
          <w:tcPr>
            <w:tcW w:w="992"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c>
          <w:tcPr>
            <w:tcW w:w="1134" w:type="dxa"/>
            <w:shd w:val="clear" w:color="auto" w:fill="auto"/>
            <w:vAlign w:val="center"/>
          </w:tcPr>
          <w:p w:rsidR="009E75D8" w:rsidRPr="006E72A7" w:rsidRDefault="009E75D8" w:rsidP="00944C66">
            <w:pPr>
              <w:pStyle w:val="Tabletext"/>
              <w:jc w:val="center"/>
              <w:rPr>
                <w:rFonts w:cs="Arial"/>
                <w:i/>
              </w:rPr>
            </w:pPr>
            <w:r w:rsidRPr="006E72A7">
              <w:rPr>
                <w:i/>
              </w:rPr>
              <w:t>$</w:t>
            </w:r>
            <w:r w:rsidR="004F3FD6">
              <w:rPr>
                <w:i/>
                <w:noProof/>
                <w:color w:val="000000"/>
                <w:highlight w:val="black"/>
              </w:rPr>
              <w:t>'''''''''''''''''''''''''</w:t>
            </w:r>
          </w:p>
        </w:tc>
      </w:tr>
    </w:tbl>
    <w:p w:rsidR="009E75D8" w:rsidRPr="006E72A7" w:rsidRDefault="009E75D8" w:rsidP="009E75D8">
      <w:pPr>
        <w:pStyle w:val="TableFooter"/>
        <w:widowControl/>
      </w:pPr>
      <w:r w:rsidRPr="006E72A7">
        <w:rPr>
          <w:vertAlign w:val="superscript"/>
        </w:rPr>
        <w:t>a</w:t>
      </w:r>
      <w:r w:rsidRPr="006E72A7">
        <w:t xml:space="preserve"> Note: There was a flat pricing structure proposed in the resubmission for all dose strengths of alirocumab.</w:t>
      </w:r>
    </w:p>
    <w:p w:rsidR="009E75D8" w:rsidRPr="006E72A7" w:rsidRDefault="009E75D8" w:rsidP="009E75D8">
      <w:pPr>
        <w:pStyle w:val="TableFooter"/>
        <w:widowControl/>
      </w:pPr>
      <w:r w:rsidRPr="006E72A7">
        <w:t>Source: ALI_Section 4_BudgetImpact.xlsx</w:t>
      </w:r>
    </w:p>
    <w:p w:rsidR="009E75D8" w:rsidRPr="006E72A7" w:rsidRDefault="009E75D8" w:rsidP="009E75D8">
      <w:pPr>
        <w:pStyle w:val="TableFooter"/>
        <w:widowControl/>
      </w:pPr>
      <w:r w:rsidRPr="006E72A7">
        <w:t>Abbreviations: ASCVD, atherosclerotic cardiovascular disease; LDL, low density lipoprotein</w:t>
      </w:r>
    </w:p>
    <w:p w:rsidR="009E75D8" w:rsidRPr="006E72A7" w:rsidRDefault="009E75D8" w:rsidP="009E75D8">
      <w:pPr>
        <w:pStyle w:val="TableFooter"/>
        <w:widowControl/>
        <w:rPr>
          <w:i/>
        </w:rPr>
      </w:pPr>
      <w:r w:rsidRPr="006E72A7">
        <w:rPr>
          <w:i/>
        </w:rPr>
        <w:t>Italicised estimates were calculated during the evaluation by adjusting the uptake rates for alirocumab for secondary prevention to be the same as uptake rates assumed for primary prevention</w:t>
      </w:r>
    </w:p>
    <w:p w:rsidR="009E75D8" w:rsidRPr="006E72A7" w:rsidRDefault="009E75D8" w:rsidP="009E75D8">
      <w:pPr>
        <w:widowControl/>
      </w:pPr>
    </w:p>
    <w:p w:rsidR="00645EB8" w:rsidRPr="006E72A7" w:rsidRDefault="00645EB8" w:rsidP="00645EB8">
      <w:pPr>
        <w:pStyle w:val="ListParagraph"/>
        <w:widowControl/>
        <w:numPr>
          <w:ilvl w:val="1"/>
          <w:numId w:val="1"/>
        </w:numPr>
        <w:rPr>
          <w:rFonts w:asciiTheme="minorHAnsi" w:hAnsiTheme="minorHAnsi"/>
          <w:szCs w:val="24"/>
        </w:rPr>
      </w:pPr>
      <w:r w:rsidRPr="006E72A7">
        <w:t>DUSC</w:t>
      </w:r>
      <w:r w:rsidRPr="006E72A7">
        <w:rPr>
          <w:rFonts w:asciiTheme="minorHAnsi" w:hAnsiTheme="minorHAnsi"/>
          <w:szCs w:val="24"/>
        </w:rPr>
        <w:t xml:space="preserve"> considered the estimates presented in the submission for </w:t>
      </w:r>
      <w:r w:rsidR="00EE29DB">
        <w:rPr>
          <w:rFonts w:asciiTheme="minorHAnsi" w:hAnsiTheme="minorHAnsi"/>
          <w:szCs w:val="24"/>
        </w:rPr>
        <w:t>he-FH</w:t>
      </w:r>
      <w:r w:rsidRPr="006E72A7">
        <w:rPr>
          <w:rFonts w:asciiTheme="minorHAnsi" w:hAnsiTheme="minorHAnsi"/>
          <w:szCs w:val="24"/>
        </w:rPr>
        <w:t xml:space="preserve"> patients with/without atherosclerotic disease and very high LDL levels to be underestimated. The main issues are:</w:t>
      </w:r>
    </w:p>
    <w:p w:rsidR="00645EB8" w:rsidRPr="006E72A7" w:rsidRDefault="00645EB8" w:rsidP="00645EB8">
      <w:pPr>
        <w:pStyle w:val="ListParagraph"/>
        <w:widowControl/>
        <w:numPr>
          <w:ilvl w:val="0"/>
          <w:numId w:val="17"/>
        </w:numPr>
        <w:spacing w:after="0"/>
        <w:contextualSpacing/>
        <w:rPr>
          <w:rFonts w:asciiTheme="minorHAnsi" w:hAnsiTheme="minorHAnsi" w:cstheme="minorHAnsi"/>
          <w:iCs/>
          <w:szCs w:val="24"/>
        </w:rPr>
      </w:pPr>
      <w:r w:rsidRPr="006E72A7">
        <w:rPr>
          <w:rFonts w:asciiTheme="minorHAnsi" w:hAnsiTheme="minorHAnsi" w:cstheme="minorHAnsi"/>
          <w:iCs/>
          <w:szCs w:val="24"/>
        </w:rPr>
        <w:t xml:space="preserve">The number of treated </w:t>
      </w:r>
      <w:r w:rsidR="00810291">
        <w:rPr>
          <w:rFonts w:asciiTheme="minorHAnsi" w:hAnsiTheme="minorHAnsi" w:cstheme="minorHAnsi"/>
          <w:iCs/>
          <w:szCs w:val="24"/>
        </w:rPr>
        <w:t>h</w:t>
      </w:r>
      <w:r w:rsidR="00810291" w:rsidRPr="006E72A7">
        <w:rPr>
          <w:rFonts w:asciiTheme="minorHAnsi" w:hAnsiTheme="minorHAnsi" w:cstheme="minorHAnsi"/>
          <w:iCs/>
          <w:szCs w:val="24"/>
        </w:rPr>
        <w:t>e</w:t>
      </w:r>
      <w:r w:rsidR="00810291">
        <w:rPr>
          <w:rFonts w:asciiTheme="minorHAnsi" w:hAnsiTheme="minorHAnsi" w:cstheme="minorHAnsi"/>
          <w:iCs/>
          <w:szCs w:val="24"/>
        </w:rPr>
        <w:t>-</w:t>
      </w:r>
      <w:r w:rsidR="00810291" w:rsidRPr="006E72A7">
        <w:rPr>
          <w:rFonts w:asciiTheme="minorHAnsi" w:hAnsiTheme="minorHAnsi" w:cstheme="minorHAnsi"/>
          <w:iCs/>
          <w:szCs w:val="24"/>
        </w:rPr>
        <w:t xml:space="preserve">FH </w:t>
      </w:r>
      <w:r w:rsidRPr="006E72A7">
        <w:rPr>
          <w:rFonts w:asciiTheme="minorHAnsi" w:hAnsiTheme="minorHAnsi" w:cstheme="minorHAnsi"/>
          <w:iCs/>
          <w:szCs w:val="24"/>
        </w:rPr>
        <w:t xml:space="preserve">patients was underestimated, due predominantly to an underestimate of the number of people with qualifying LDL levels and underestimated uptake rates in both primary and secondary </w:t>
      </w:r>
      <w:r w:rsidR="00810291">
        <w:rPr>
          <w:rFonts w:asciiTheme="minorHAnsi" w:hAnsiTheme="minorHAnsi" w:cstheme="minorHAnsi"/>
          <w:iCs/>
          <w:szCs w:val="24"/>
        </w:rPr>
        <w:t>h</w:t>
      </w:r>
      <w:r w:rsidR="00810291" w:rsidRPr="006E72A7">
        <w:rPr>
          <w:rFonts w:asciiTheme="minorHAnsi" w:hAnsiTheme="minorHAnsi" w:cstheme="minorHAnsi"/>
          <w:iCs/>
          <w:szCs w:val="24"/>
        </w:rPr>
        <w:t>e</w:t>
      </w:r>
      <w:r w:rsidR="00810291">
        <w:rPr>
          <w:rFonts w:asciiTheme="minorHAnsi" w:hAnsiTheme="minorHAnsi" w:cstheme="minorHAnsi"/>
          <w:iCs/>
          <w:szCs w:val="24"/>
        </w:rPr>
        <w:t>-</w:t>
      </w:r>
      <w:r w:rsidR="00810291" w:rsidRPr="006E72A7">
        <w:rPr>
          <w:rFonts w:asciiTheme="minorHAnsi" w:hAnsiTheme="minorHAnsi" w:cstheme="minorHAnsi"/>
          <w:iCs/>
          <w:szCs w:val="24"/>
        </w:rPr>
        <w:t>FH</w:t>
      </w:r>
      <w:r w:rsidRPr="006E72A7">
        <w:rPr>
          <w:rFonts w:asciiTheme="minorHAnsi" w:hAnsiTheme="minorHAnsi" w:cstheme="minorHAnsi"/>
          <w:iCs/>
          <w:szCs w:val="24"/>
        </w:rPr>
        <w:t xml:space="preserve">. </w:t>
      </w:r>
    </w:p>
    <w:p w:rsidR="00645EB8" w:rsidRPr="006E72A7" w:rsidRDefault="00645EB8" w:rsidP="00645EB8">
      <w:pPr>
        <w:pStyle w:val="BodyText"/>
        <w:numPr>
          <w:ilvl w:val="0"/>
          <w:numId w:val="17"/>
        </w:numPr>
        <w:rPr>
          <w:szCs w:val="24"/>
        </w:rPr>
      </w:pPr>
      <w:r w:rsidRPr="006E72A7">
        <w:rPr>
          <w:szCs w:val="24"/>
        </w:rPr>
        <w:t>There is likely to be a substantial pool of patients who are not achieving target LDL levels with existing therapies but who would not be eligible for PBS-subsidised treatment with alirocumab. There is a high risk of use outside of the requested restriction for this population.</w:t>
      </w:r>
    </w:p>
    <w:p w:rsidR="00645EB8" w:rsidRPr="006E72A7" w:rsidRDefault="00645EB8" w:rsidP="00645EB8">
      <w:pPr>
        <w:pStyle w:val="BodyText"/>
        <w:ind w:left="360"/>
        <w:rPr>
          <w:szCs w:val="24"/>
        </w:rPr>
      </w:pPr>
    </w:p>
    <w:p w:rsidR="009E75D8" w:rsidRPr="006E72A7" w:rsidRDefault="009E75D8" w:rsidP="009E75D8">
      <w:pPr>
        <w:pStyle w:val="ListParagraph"/>
        <w:widowControl/>
        <w:numPr>
          <w:ilvl w:val="1"/>
          <w:numId w:val="1"/>
        </w:numPr>
      </w:pPr>
      <w:r w:rsidRPr="006E72A7">
        <w:t xml:space="preserve">The table below presents the estimated utilisation and cost to the PBS of alirocumab for the </w:t>
      </w:r>
      <w:r w:rsidR="00810291">
        <w:t>non-FH</w:t>
      </w:r>
      <w:r w:rsidRPr="006E72A7">
        <w:t xml:space="preserve"> population with prior ACS, diabetes and elevated LDL levels.</w:t>
      </w:r>
    </w:p>
    <w:p w:rsidR="009E75D8" w:rsidRPr="006E72A7" w:rsidRDefault="009E75D8" w:rsidP="006D3E39">
      <w:pPr>
        <w:keepNext/>
        <w:keepLines/>
        <w:widowControl/>
        <w:rPr>
          <w:rStyle w:val="CommentReference"/>
        </w:rPr>
      </w:pPr>
      <w:r w:rsidRPr="006E72A7">
        <w:rPr>
          <w:rStyle w:val="CommentReference"/>
        </w:rPr>
        <w:lastRenderedPageBreak/>
        <w:t>Table 14:  Estimated net cost of alirocumab to the PBS/RPBS: Non-familial hypercholesterolaemia (Effective price)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net cost of alirocumab to the PBS/RPBS: Non-familial hypercholesterolaemia (Effective price)"/>
      </w:tblPr>
      <w:tblGrid>
        <w:gridCol w:w="2405"/>
        <w:gridCol w:w="992"/>
        <w:gridCol w:w="1134"/>
        <w:gridCol w:w="1134"/>
        <w:gridCol w:w="1134"/>
        <w:gridCol w:w="1134"/>
        <w:gridCol w:w="1134"/>
      </w:tblGrid>
      <w:tr w:rsidR="009E75D8" w:rsidRPr="006E72A7" w:rsidTr="00944C66">
        <w:trPr>
          <w:tblHeader/>
        </w:trPr>
        <w:tc>
          <w:tcPr>
            <w:tcW w:w="2405" w:type="dxa"/>
            <w:shd w:val="clear" w:color="auto" w:fill="auto"/>
            <w:vAlign w:val="center"/>
          </w:tcPr>
          <w:p w:rsidR="009E75D8" w:rsidRPr="006E72A7" w:rsidRDefault="009E75D8" w:rsidP="006D3E39">
            <w:pPr>
              <w:pStyle w:val="Tabletext"/>
              <w:keepNext/>
              <w:keepLines/>
            </w:pPr>
          </w:p>
        </w:tc>
        <w:tc>
          <w:tcPr>
            <w:tcW w:w="992" w:type="dxa"/>
            <w:shd w:val="clear" w:color="auto" w:fill="auto"/>
            <w:vAlign w:val="center"/>
          </w:tcPr>
          <w:p w:rsidR="009E75D8" w:rsidRPr="006E72A7" w:rsidRDefault="009E75D8" w:rsidP="006D3E39">
            <w:pPr>
              <w:pStyle w:val="Tabletext"/>
              <w:keepNext/>
              <w:keepLines/>
              <w:jc w:val="center"/>
              <w:rPr>
                <w:b/>
              </w:rPr>
            </w:pPr>
            <w:r w:rsidRPr="006E72A7">
              <w:rPr>
                <w:b/>
              </w:rPr>
              <w:t>Year 1</w:t>
            </w:r>
          </w:p>
        </w:tc>
        <w:tc>
          <w:tcPr>
            <w:tcW w:w="1134" w:type="dxa"/>
            <w:shd w:val="clear" w:color="auto" w:fill="auto"/>
            <w:vAlign w:val="center"/>
          </w:tcPr>
          <w:p w:rsidR="009E75D8" w:rsidRPr="006E72A7" w:rsidRDefault="009E75D8" w:rsidP="006D3E39">
            <w:pPr>
              <w:pStyle w:val="Tabletext"/>
              <w:keepNext/>
              <w:keepLines/>
              <w:jc w:val="center"/>
              <w:rPr>
                <w:b/>
              </w:rPr>
            </w:pPr>
            <w:r w:rsidRPr="006E72A7">
              <w:rPr>
                <w:b/>
              </w:rPr>
              <w:t>Year 2</w:t>
            </w:r>
          </w:p>
        </w:tc>
        <w:tc>
          <w:tcPr>
            <w:tcW w:w="1134" w:type="dxa"/>
            <w:shd w:val="clear" w:color="auto" w:fill="auto"/>
            <w:vAlign w:val="center"/>
          </w:tcPr>
          <w:p w:rsidR="009E75D8" w:rsidRPr="006E72A7" w:rsidRDefault="009E75D8" w:rsidP="006D3E39">
            <w:pPr>
              <w:pStyle w:val="Tabletext"/>
              <w:keepNext/>
              <w:keepLines/>
              <w:jc w:val="center"/>
              <w:rPr>
                <w:b/>
              </w:rPr>
            </w:pPr>
            <w:r w:rsidRPr="006E72A7">
              <w:rPr>
                <w:b/>
              </w:rPr>
              <w:t>Year 3</w:t>
            </w:r>
          </w:p>
        </w:tc>
        <w:tc>
          <w:tcPr>
            <w:tcW w:w="1134" w:type="dxa"/>
            <w:shd w:val="clear" w:color="auto" w:fill="auto"/>
            <w:vAlign w:val="center"/>
          </w:tcPr>
          <w:p w:rsidR="009E75D8" w:rsidRPr="006E72A7" w:rsidRDefault="009E75D8" w:rsidP="006D3E39">
            <w:pPr>
              <w:pStyle w:val="Tabletext"/>
              <w:keepNext/>
              <w:keepLines/>
              <w:jc w:val="center"/>
              <w:rPr>
                <w:b/>
              </w:rPr>
            </w:pPr>
            <w:r w:rsidRPr="006E72A7">
              <w:rPr>
                <w:b/>
              </w:rPr>
              <w:t>Year 4</w:t>
            </w:r>
          </w:p>
        </w:tc>
        <w:tc>
          <w:tcPr>
            <w:tcW w:w="1134" w:type="dxa"/>
            <w:shd w:val="clear" w:color="auto" w:fill="auto"/>
            <w:vAlign w:val="center"/>
          </w:tcPr>
          <w:p w:rsidR="009E75D8" w:rsidRPr="006E72A7" w:rsidRDefault="009E75D8" w:rsidP="006D3E39">
            <w:pPr>
              <w:pStyle w:val="Tabletext"/>
              <w:keepNext/>
              <w:keepLines/>
              <w:jc w:val="center"/>
              <w:rPr>
                <w:b/>
              </w:rPr>
            </w:pPr>
            <w:r w:rsidRPr="006E72A7">
              <w:rPr>
                <w:b/>
              </w:rPr>
              <w:t>Year 5</w:t>
            </w:r>
          </w:p>
        </w:tc>
        <w:tc>
          <w:tcPr>
            <w:tcW w:w="1134" w:type="dxa"/>
            <w:shd w:val="clear" w:color="auto" w:fill="auto"/>
            <w:vAlign w:val="center"/>
          </w:tcPr>
          <w:p w:rsidR="009E75D8" w:rsidRPr="006E72A7" w:rsidRDefault="009E75D8" w:rsidP="006D3E39">
            <w:pPr>
              <w:pStyle w:val="Tabletext"/>
              <w:keepNext/>
              <w:keepLines/>
              <w:jc w:val="center"/>
              <w:rPr>
                <w:b/>
              </w:rPr>
            </w:pPr>
            <w:r w:rsidRPr="006E72A7">
              <w:rPr>
                <w:b/>
              </w:rPr>
              <w:t>Year 6</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Australian adult population</w:t>
            </w:r>
          </w:p>
        </w:tc>
        <w:tc>
          <w:tcPr>
            <w:tcW w:w="992"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ACS prevalence (3.6-4.0%)</w:t>
            </w:r>
          </w:p>
        </w:tc>
        <w:tc>
          <w:tcPr>
            <w:tcW w:w="992"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ACS and diabetes (27%)</w:t>
            </w:r>
          </w:p>
        </w:tc>
        <w:tc>
          <w:tcPr>
            <w:tcW w:w="992"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Ezetimibe use (19.1% - 38.3%)</w:t>
            </w:r>
          </w:p>
        </w:tc>
        <w:tc>
          <w:tcPr>
            <w:tcW w:w="992"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LDL ≥ 2.6 mmol/L (27.5%)</w:t>
            </w:r>
          </w:p>
        </w:tc>
        <w:tc>
          <w:tcPr>
            <w:tcW w:w="992"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Estimated uptake</w:t>
            </w:r>
          </w:p>
        </w:tc>
        <w:tc>
          <w:tcPr>
            <w:tcW w:w="992" w:type="dxa"/>
            <w:shd w:val="clear" w:color="auto" w:fill="auto"/>
            <w:vAlign w:val="center"/>
          </w:tcPr>
          <w:p w:rsidR="009E75D8" w:rsidRPr="00637CBB" w:rsidRDefault="004F3FD6" w:rsidP="006D3E39">
            <w:pPr>
              <w:pStyle w:val="Tabletext"/>
              <w:keepNext/>
              <w:keepLines/>
              <w:jc w:val="center"/>
            </w:pPr>
            <w:r>
              <w:rPr>
                <w:noProof/>
                <w:color w:val="000000"/>
                <w:highlight w:val="black"/>
              </w:rPr>
              <w:t>''''''''</w:t>
            </w:r>
            <w:r w:rsidR="00637CBB" w:rsidRPr="00637CBB">
              <w:t>%</w:t>
            </w:r>
          </w:p>
        </w:tc>
        <w:tc>
          <w:tcPr>
            <w:tcW w:w="1134" w:type="dxa"/>
            <w:shd w:val="clear" w:color="auto" w:fill="auto"/>
            <w:vAlign w:val="center"/>
          </w:tcPr>
          <w:p w:rsidR="009E75D8" w:rsidRPr="00637CBB" w:rsidRDefault="004F3FD6" w:rsidP="006D3E39">
            <w:pPr>
              <w:pStyle w:val="Tabletext"/>
              <w:keepNext/>
              <w:keepLines/>
              <w:jc w:val="center"/>
            </w:pPr>
            <w:r>
              <w:rPr>
                <w:noProof/>
                <w:color w:val="000000"/>
                <w:highlight w:val="black"/>
              </w:rPr>
              <w:t>'''''''''''</w:t>
            </w:r>
            <w:r w:rsidR="009E75D8" w:rsidRPr="00637CBB">
              <w:t>%</w:t>
            </w:r>
          </w:p>
        </w:tc>
        <w:tc>
          <w:tcPr>
            <w:tcW w:w="1134" w:type="dxa"/>
            <w:shd w:val="clear" w:color="auto" w:fill="auto"/>
            <w:vAlign w:val="center"/>
          </w:tcPr>
          <w:p w:rsidR="009E75D8" w:rsidRPr="006E72A7" w:rsidRDefault="004F3FD6" w:rsidP="006D3E39">
            <w:pPr>
              <w:pStyle w:val="Tabletext"/>
              <w:keepNext/>
              <w:keepLines/>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6D3E39">
            <w:pPr>
              <w:pStyle w:val="Tabletext"/>
              <w:keepNext/>
              <w:keepLines/>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6D3E39">
            <w:pPr>
              <w:pStyle w:val="Tabletext"/>
              <w:keepNext/>
              <w:keepLines/>
              <w:jc w:val="center"/>
            </w:pPr>
            <w:r>
              <w:rPr>
                <w:noProof/>
                <w:color w:val="000000"/>
                <w:highlight w:val="black"/>
              </w:rPr>
              <w:t>'''''''''''</w:t>
            </w:r>
            <w:r w:rsidR="009E75D8" w:rsidRPr="006E72A7">
              <w:t>%</w:t>
            </w:r>
          </w:p>
        </w:tc>
        <w:tc>
          <w:tcPr>
            <w:tcW w:w="1134" w:type="dxa"/>
            <w:shd w:val="clear" w:color="auto" w:fill="auto"/>
            <w:vAlign w:val="center"/>
          </w:tcPr>
          <w:p w:rsidR="009E75D8" w:rsidRPr="006E72A7" w:rsidRDefault="004F3FD6" w:rsidP="006D3E39">
            <w:pPr>
              <w:pStyle w:val="Tabletext"/>
              <w:keepNext/>
              <w:keepLines/>
              <w:jc w:val="center"/>
            </w:pPr>
            <w:r>
              <w:rPr>
                <w:noProof/>
                <w:color w:val="000000"/>
                <w:highlight w:val="black"/>
              </w:rPr>
              <w:t>''''''''''''</w:t>
            </w:r>
            <w:r w:rsidR="009E75D8" w:rsidRPr="006E72A7">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rPr>
                <w:b/>
              </w:rPr>
            </w:pPr>
            <w:r w:rsidRPr="006E72A7">
              <w:rPr>
                <w:b/>
              </w:rPr>
              <w:t>Total patients</w:t>
            </w:r>
          </w:p>
        </w:tc>
        <w:tc>
          <w:tcPr>
            <w:tcW w:w="992" w:type="dxa"/>
            <w:shd w:val="clear" w:color="auto" w:fill="auto"/>
            <w:vAlign w:val="center"/>
          </w:tcPr>
          <w:p w:rsidR="009E75D8" w:rsidRPr="004F3FD6" w:rsidRDefault="004F3FD6" w:rsidP="006D3E39">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b/>
                <w:highlight w:val="black"/>
              </w:rPr>
            </w:pPr>
            <w:r>
              <w:rPr>
                <w:b/>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rPr>
                <w:vertAlign w:val="superscript"/>
              </w:rPr>
            </w:pPr>
            <w:r w:rsidRPr="006E72A7">
              <w:t xml:space="preserve">75 mg/mL scripts (70%) </w:t>
            </w:r>
            <w:r w:rsidRPr="006E72A7">
              <w:rPr>
                <w:vertAlign w:val="superscript"/>
              </w:rPr>
              <w:t>a</w:t>
            </w:r>
          </w:p>
        </w:tc>
        <w:tc>
          <w:tcPr>
            <w:tcW w:w="992" w:type="dxa"/>
            <w:shd w:val="clear" w:color="auto" w:fill="auto"/>
            <w:vAlign w:val="center"/>
          </w:tcPr>
          <w:p w:rsidR="009E75D8" w:rsidRPr="004F3FD6" w:rsidRDefault="004F3FD6" w:rsidP="006D3E39">
            <w:pPr>
              <w:pStyle w:val="Tabletext"/>
              <w:keepNext/>
              <w:keepLines/>
              <w:jc w:val="center"/>
              <w:rPr>
                <w:rFonts w:cs="Arial"/>
                <w:color w:val="000000"/>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rFonts w:cs="Arial"/>
                <w:color w:val="000000"/>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rFonts w:cs="Arial"/>
                <w:color w:val="000000"/>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rFonts w:cs="Arial"/>
                <w:color w:val="000000"/>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rFonts w:cs="Arial"/>
                <w:color w:val="000000"/>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rFonts w:cs="Arial"/>
                <w:color w:val="000000"/>
                <w:highlight w:val="black"/>
              </w:rPr>
            </w:pPr>
            <w:r>
              <w:rPr>
                <w:noProof/>
                <w:color w:val="000000"/>
                <w:highlight w:val="black"/>
              </w:rPr>
              <w:t>'''''''''''''''</w:t>
            </w:r>
          </w:p>
        </w:tc>
      </w:tr>
      <w:tr w:rsidR="009E75D8" w:rsidRPr="006E72A7" w:rsidTr="00944C66">
        <w:trPr>
          <w:trHeight w:val="60"/>
        </w:trPr>
        <w:tc>
          <w:tcPr>
            <w:tcW w:w="2405" w:type="dxa"/>
            <w:shd w:val="clear" w:color="auto" w:fill="auto"/>
            <w:vAlign w:val="center"/>
          </w:tcPr>
          <w:p w:rsidR="009E75D8" w:rsidRPr="006E72A7" w:rsidRDefault="009E75D8" w:rsidP="006D3E39">
            <w:pPr>
              <w:pStyle w:val="Tabletext"/>
              <w:keepNext/>
              <w:keepLines/>
              <w:rPr>
                <w:vertAlign w:val="superscript"/>
              </w:rPr>
            </w:pPr>
            <w:r w:rsidRPr="006E72A7">
              <w:t xml:space="preserve">150 mg/mL scripts (30%) </w:t>
            </w:r>
            <w:r w:rsidRPr="006E72A7">
              <w:rPr>
                <w:vertAlign w:val="superscript"/>
              </w:rPr>
              <w:t>a</w:t>
            </w:r>
          </w:p>
        </w:tc>
        <w:tc>
          <w:tcPr>
            <w:tcW w:w="992" w:type="dxa"/>
            <w:shd w:val="clear" w:color="auto" w:fill="auto"/>
            <w:vAlign w:val="center"/>
          </w:tcPr>
          <w:p w:rsidR="009E75D8" w:rsidRPr="004F3FD6" w:rsidRDefault="004F3FD6" w:rsidP="006D3E39">
            <w:pPr>
              <w:pStyle w:val="Tabletext"/>
              <w:keepNext/>
              <w:keepLines/>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highlight w:val="black"/>
              </w:rPr>
            </w:pPr>
            <w:r>
              <w:rPr>
                <w:noProof/>
                <w:color w:val="000000"/>
                <w:highlight w:val="black"/>
              </w:rPr>
              <w:t>'''''''''''''''''</w:t>
            </w:r>
          </w:p>
        </w:tc>
        <w:tc>
          <w:tcPr>
            <w:tcW w:w="1134" w:type="dxa"/>
            <w:shd w:val="clear" w:color="auto" w:fill="auto"/>
            <w:vAlign w:val="center"/>
          </w:tcPr>
          <w:p w:rsidR="009E75D8" w:rsidRPr="004F3FD6" w:rsidRDefault="004F3FD6" w:rsidP="006D3E39">
            <w:pPr>
              <w:pStyle w:val="Tabletext"/>
              <w:keepNext/>
              <w:keepLines/>
              <w:jc w:val="center"/>
              <w:rPr>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Total scripts</w:t>
            </w:r>
          </w:p>
        </w:tc>
        <w:tc>
          <w:tcPr>
            <w:tcW w:w="992" w:type="dxa"/>
            <w:shd w:val="clear" w:color="auto" w:fill="auto"/>
          </w:tcPr>
          <w:p w:rsidR="009E75D8" w:rsidRPr="004F3FD6" w:rsidRDefault="004F3FD6" w:rsidP="006D3E39">
            <w:pPr>
              <w:pStyle w:val="Tabletext"/>
              <w:keepNext/>
              <w:keepLines/>
              <w:jc w:val="center"/>
              <w:rPr>
                <w:i/>
                <w:highlight w:val="black"/>
              </w:rPr>
            </w:pPr>
            <w:r>
              <w:rPr>
                <w:noProof/>
                <w:color w:val="000000"/>
                <w:highlight w:val="black"/>
              </w:rPr>
              <w:t>''''''''''''''</w:t>
            </w:r>
          </w:p>
        </w:tc>
        <w:tc>
          <w:tcPr>
            <w:tcW w:w="1134" w:type="dxa"/>
            <w:shd w:val="clear" w:color="auto" w:fill="auto"/>
          </w:tcPr>
          <w:p w:rsidR="009E75D8" w:rsidRPr="004F3FD6" w:rsidRDefault="004F3FD6" w:rsidP="006D3E39">
            <w:pPr>
              <w:pStyle w:val="Tabletext"/>
              <w:keepNext/>
              <w:keepLines/>
              <w:jc w:val="center"/>
              <w:rPr>
                <w:i/>
                <w:highlight w:val="black"/>
              </w:rPr>
            </w:pPr>
            <w:r>
              <w:rPr>
                <w:noProof/>
                <w:color w:val="000000"/>
                <w:highlight w:val="black"/>
              </w:rPr>
              <w:t>''''''''''''''''</w:t>
            </w:r>
          </w:p>
        </w:tc>
        <w:tc>
          <w:tcPr>
            <w:tcW w:w="1134" w:type="dxa"/>
            <w:shd w:val="clear" w:color="auto" w:fill="auto"/>
          </w:tcPr>
          <w:p w:rsidR="009E75D8" w:rsidRPr="004F3FD6" w:rsidRDefault="004F3FD6" w:rsidP="006D3E39">
            <w:pPr>
              <w:pStyle w:val="Tabletext"/>
              <w:keepNext/>
              <w:keepLines/>
              <w:jc w:val="center"/>
              <w:rPr>
                <w:i/>
                <w:highlight w:val="black"/>
              </w:rPr>
            </w:pPr>
            <w:r>
              <w:rPr>
                <w:noProof/>
                <w:color w:val="000000"/>
                <w:highlight w:val="black"/>
              </w:rPr>
              <w:t>''''''''''''''''</w:t>
            </w:r>
          </w:p>
        </w:tc>
        <w:tc>
          <w:tcPr>
            <w:tcW w:w="1134" w:type="dxa"/>
            <w:shd w:val="clear" w:color="auto" w:fill="auto"/>
          </w:tcPr>
          <w:p w:rsidR="009E75D8" w:rsidRPr="004F3FD6" w:rsidRDefault="004F3FD6" w:rsidP="006D3E39">
            <w:pPr>
              <w:pStyle w:val="Tabletext"/>
              <w:keepNext/>
              <w:keepLines/>
              <w:jc w:val="center"/>
              <w:rPr>
                <w:i/>
                <w:highlight w:val="black"/>
              </w:rPr>
            </w:pPr>
            <w:r>
              <w:rPr>
                <w:noProof/>
                <w:color w:val="000000"/>
                <w:highlight w:val="black"/>
              </w:rPr>
              <w:t>'''''''''''''''</w:t>
            </w:r>
          </w:p>
        </w:tc>
        <w:tc>
          <w:tcPr>
            <w:tcW w:w="1134" w:type="dxa"/>
            <w:shd w:val="clear" w:color="auto" w:fill="auto"/>
          </w:tcPr>
          <w:p w:rsidR="009E75D8" w:rsidRPr="004F3FD6" w:rsidRDefault="004F3FD6" w:rsidP="006D3E39">
            <w:pPr>
              <w:pStyle w:val="Tabletext"/>
              <w:keepNext/>
              <w:keepLines/>
              <w:jc w:val="center"/>
              <w:rPr>
                <w:i/>
                <w:highlight w:val="black"/>
              </w:rPr>
            </w:pPr>
            <w:r>
              <w:rPr>
                <w:noProof/>
                <w:color w:val="000000"/>
                <w:highlight w:val="black"/>
              </w:rPr>
              <w:t>'''''''''''''''</w:t>
            </w:r>
          </w:p>
        </w:tc>
        <w:tc>
          <w:tcPr>
            <w:tcW w:w="1134" w:type="dxa"/>
            <w:shd w:val="clear" w:color="auto" w:fill="auto"/>
          </w:tcPr>
          <w:p w:rsidR="009E75D8" w:rsidRPr="004F3FD6" w:rsidRDefault="004F3FD6" w:rsidP="006D3E39">
            <w:pPr>
              <w:pStyle w:val="Tabletext"/>
              <w:keepNext/>
              <w:keepLines/>
              <w:jc w:val="center"/>
              <w:rPr>
                <w:i/>
                <w:highlight w:val="black"/>
              </w:rPr>
            </w:pPr>
            <w:r>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rPr>
                <w:vertAlign w:val="superscript"/>
              </w:rPr>
            </w:pPr>
            <w:r w:rsidRPr="006E72A7">
              <w:t xml:space="preserve">Total cost </w:t>
            </w:r>
            <w:r w:rsidRPr="006E72A7">
              <w:rPr>
                <w:vertAlign w:val="superscript"/>
              </w:rPr>
              <w:t>b</w:t>
            </w:r>
          </w:p>
        </w:tc>
        <w:tc>
          <w:tcPr>
            <w:tcW w:w="992"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r>
      <w:tr w:rsidR="009E75D8" w:rsidRPr="006E72A7" w:rsidTr="00944C66">
        <w:tc>
          <w:tcPr>
            <w:tcW w:w="2405" w:type="dxa"/>
            <w:shd w:val="clear" w:color="auto" w:fill="auto"/>
            <w:vAlign w:val="center"/>
          </w:tcPr>
          <w:p w:rsidR="009E75D8" w:rsidRPr="006E72A7" w:rsidRDefault="009E75D8" w:rsidP="006D3E39">
            <w:pPr>
              <w:pStyle w:val="Tabletext"/>
              <w:keepNext/>
              <w:keepLines/>
            </w:pPr>
            <w:r w:rsidRPr="006E72A7">
              <w:t xml:space="preserve">Net cost to PBS less co-pay </w:t>
            </w:r>
          </w:p>
        </w:tc>
        <w:tc>
          <w:tcPr>
            <w:tcW w:w="992"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c>
          <w:tcPr>
            <w:tcW w:w="1134" w:type="dxa"/>
            <w:shd w:val="clear" w:color="auto" w:fill="auto"/>
            <w:vAlign w:val="center"/>
          </w:tcPr>
          <w:p w:rsidR="009E75D8" w:rsidRPr="006E72A7" w:rsidRDefault="009E75D8" w:rsidP="006D3E39">
            <w:pPr>
              <w:pStyle w:val="Tabletext"/>
              <w:keepNext/>
              <w:keepLines/>
              <w:jc w:val="center"/>
              <w:rPr>
                <w:rFonts w:cs="Arial"/>
                <w:i/>
              </w:rPr>
            </w:pPr>
            <w:r w:rsidRPr="006E72A7">
              <w:t>$</w:t>
            </w:r>
            <w:r w:rsidR="004F3FD6">
              <w:rPr>
                <w:noProof/>
                <w:color w:val="000000"/>
                <w:highlight w:val="black"/>
              </w:rPr>
              <w:t>'''''''''''''''''''''''''''</w:t>
            </w:r>
          </w:p>
        </w:tc>
      </w:tr>
    </w:tbl>
    <w:p w:rsidR="009E75D8" w:rsidRPr="006E72A7" w:rsidRDefault="009E75D8" w:rsidP="006D3E39">
      <w:pPr>
        <w:pStyle w:val="TableFooter"/>
        <w:keepNext/>
        <w:keepLines/>
        <w:widowControl/>
      </w:pPr>
      <w:r w:rsidRPr="006E72A7">
        <w:rPr>
          <w:vertAlign w:val="superscript"/>
        </w:rPr>
        <w:t xml:space="preserve">a </w:t>
      </w:r>
      <w:r w:rsidRPr="006E72A7">
        <w:t>Resubmission assumed 10.43 scripts/patient/year</w:t>
      </w:r>
    </w:p>
    <w:p w:rsidR="009E75D8" w:rsidRPr="006E72A7" w:rsidRDefault="009E75D8" w:rsidP="006D3E39">
      <w:pPr>
        <w:pStyle w:val="TableFooter"/>
        <w:keepNext/>
        <w:keepLines/>
        <w:widowControl/>
      </w:pPr>
      <w:r w:rsidRPr="006E72A7">
        <w:rPr>
          <w:vertAlign w:val="superscript"/>
        </w:rPr>
        <w:t xml:space="preserve">b </w:t>
      </w:r>
      <w:r w:rsidRPr="006E72A7">
        <w:t>There was a flat pricing structure proposed in  the resubmission for all dose strengths of alirocumab.</w:t>
      </w:r>
    </w:p>
    <w:p w:rsidR="009E75D8" w:rsidRPr="006E72A7" w:rsidRDefault="009E75D8" w:rsidP="006D3E39">
      <w:pPr>
        <w:pStyle w:val="TableFooter"/>
        <w:keepNext/>
        <w:keepLines/>
        <w:widowControl/>
      </w:pPr>
      <w:r w:rsidRPr="006E72A7">
        <w:t>Source: ALI_Section 4_BudgetImpact.xlsx</w:t>
      </w:r>
    </w:p>
    <w:p w:rsidR="009E75D8" w:rsidRPr="006E72A7" w:rsidRDefault="009E75D8" w:rsidP="006D3E39">
      <w:pPr>
        <w:pStyle w:val="TableFooter"/>
        <w:keepNext/>
        <w:keepLines/>
        <w:widowControl/>
      </w:pPr>
      <w:r w:rsidRPr="006E72A7">
        <w:t xml:space="preserve">Abbreviations: ACS, acute coronary syndrome; LDL, </w:t>
      </w:r>
      <w:r w:rsidR="00EE29DB" w:rsidRPr="006E72A7">
        <w:t>low-density</w:t>
      </w:r>
      <w:r w:rsidRPr="006E72A7">
        <w:t xml:space="preserve"> lipoprotein</w:t>
      </w:r>
    </w:p>
    <w:p w:rsidR="009E75D8" w:rsidRPr="006E72A7" w:rsidRDefault="009E75D8" w:rsidP="00FD355F">
      <w:pPr>
        <w:pStyle w:val="ListParagraph"/>
        <w:widowControl/>
        <w:numPr>
          <w:ilvl w:val="1"/>
          <w:numId w:val="1"/>
        </w:numPr>
        <w:spacing w:before="120" w:after="120"/>
      </w:pPr>
      <w:r w:rsidRPr="006E72A7">
        <w:t xml:space="preserve">The net cost to the PBS for the </w:t>
      </w:r>
      <w:r w:rsidR="00810291">
        <w:t>non-FH</w:t>
      </w:r>
      <w:r w:rsidRPr="006E72A7">
        <w:t xml:space="preserve"> indication for alirocumab (DPMQ less patient co-payment) was estimated at up to $</w:t>
      </w:r>
      <w:r w:rsidR="003E7BB5">
        <w:t>30 to $60</w:t>
      </w:r>
      <w:r w:rsidRPr="006E72A7">
        <w:t xml:space="preserve"> million (published) and $</w:t>
      </w:r>
      <w:r w:rsidR="003E7BB5">
        <w:t>30 $60</w:t>
      </w:r>
      <w:r w:rsidRPr="006E72A7">
        <w:t xml:space="preserve"> million (effective) in Year 6 of listing, a cumulative total of</w:t>
      </w:r>
      <w:r w:rsidR="003E7BB5">
        <w:t xml:space="preserve"> more than</w:t>
      </w:r>
      <w:r w:rsidRPr="006E72A7">
        <w:t xml:space="preserve"> $</w:t>
      </w:r>
      <w:r w:rsidR="003E7BB5">
        <w:t>100</w:t>
      </w:r>
      <w:r w:rsidRPr="006E72A7">
        <w:t xml:space="preserve"> million (published) and </w:t>
      </w:r>
      <w:r w:rsidR="003E7BB5">
        <w:t xml:space="preserve">more than </w:t>
      </w:r>
      <w:r w:rsidRPr="006E72A7">
        <w:t>$</w:t>
      </w:r>
      <w:r w:rsidR="003E7BB5" w:rsidRPr="006E72A7">
        <w:t>10</w:t>
      </w:r>
      <w:r w:rsidR="003E7BB5">
        <w:t>0</w:t>
      </w:r>
      <w:r w:rsidR="003E7BB5" w:rsidRPr="006E72A7">
        <w:t xml:space="preserve"> </w:t>
      </w:r>
      <w:r w:rsidRPr="006E72A7">
        <w:t>million (effective) in the first 6 years.</w:t>
      </w:r>
    </w:p>
    <w:p w:rsidR="00043908" w:rsidRPr="006E72A7" w:rsidRDefault="00043908" w:rsidP="00FD355F">
      <w:pPr>
        <w:pStyle w:val="ListParagraph"/>
        <w:widowControl/>
        <w:numPr>
          <w:ilvl w:val="1"/>
          <w:numId w:val="1"/>
        </w:numPr>
        <w:spacing w:before="120" w:after="120"/>
      </w:pPr>
      <w:r w:rsidRPr="006E72A7">
        <w:t xml:space="preserve">DUSC considered the estimates presented for patients with </w:t>
      </w:r>
      <w:r w:rsidR="00810291">
        <w:t>non-FH</w:t>
      </w:r>
      <w:r w:rsidRPr="006E72A7">
        <w:t xml:space="preserve"> with prior ACS, diabetes and elevated LDL levels to be uncertain but reasonable overall if the hospitalisation requirement is strictly applied. The main issues are:</w:t>
      </w:r>
    </w:p>
    <w:p w:rsidR="00043908" w:rsidRPr="006E72A7" w:rsidRDefault="00043908" w:rsidP="00FD355F">
      <w:pPr>
        <w:pStyle w:val="ListParagraph"/>
        <w:widowControl/>
        <w:numPr>
          <w:ilvl w:val="0"/>
          <w:numId w:val="17"/>
        </w:numPr>
        <w:spacing w:before="120" w:after="120"/>
        <w:contextualSpacing/>
        <w:rPr>
          <w:rFonts w:asciiTheme="minorHAnsi" w:hAnsiTheme="minorHAnsi" w:cstheme="minorHAnsi"/>
          <w:iCs/>
          <w:szCs w:val="24"/>
        </w:rPr>
      </w:pPr>
      <w:r w:rsidRPr="006E72A7">
        <w:rPr>
          <w:rFonts w:asciiTheme="minorHAnsi" w:hAnsiTheme="minorHAnsi" w:cstheme="minorHAnsi"/>
          <w:iCs/>
          <w:szCs w:val="24"/>
        </w:rPr>
        <w:t xml:space="preserve">The survey data used to estimate the proportion of people with ACS relied on self-report and may not have captured the same patients as would be eligible under the narrow definition (hospitalisation) in the requested restriction. </w:t>
      </w:r>
    </w:p>
    <w:p w:rsidR="00043908" w:rsidRPr="006E72A7" w:rsidRDefault="00043908" w:rsidP="00FD355F">
      <w:pPr>
        <w:pStyle w:val="ListParagraph"/>
        <w:widowControl/>
        <w:numPr>
          <w:ilvl w:val="0"/>
          <w:numId w:val="17"/>
        </w:numPr>
        <w:spacing w:before="120" w:after="120"/>
        <w:contextualSpacing/>
        <w:rPr>
          <w:rFonts w:asciiTheme="minorHAnsi" w:hAnsiTheme="minorHAnsi" w:cstheme="minorHAnsi"/>
          <w:iCs/>
          <w:szCs w:val="24"/>
        </w:rPr>
      </w:pPr>
      <w:r w:rsidRPr="006E72A7">
        <w:rPr>
          <w:rFonts w:asciiTheme="minorHAnsi" w:hAnsiTheme="minorHAnsi" w:cstheme="minorHAnsi"/>
          <w:iCs/>
          <w:szCs w:val="24"/>
        </w:rPr>
        <w:t xml:space="preserve">The proportion of patients with ACS and diabetes (27%) was applied to the ACS prevalent population in Australia. However, the patient numbers would differ if the proportion was applied to the prevalent diabetes population. </w:t>
      </w:r>
    </w:p>
    <w:p w:rsidR="00043908" w:rsidRPr="006E72A7" w:rsidRDefault="00043908" w:rsidP="00FD355F">
      <w:pPr>
        <w:pStyle w:val="ListParagraph"/>
        <w:widowControl/>
        <w:numPr>
          <w:ilvl w:val="0"/>
          <w:numId w:val="17"/>
        </w:numPr>
        <w:spacing w:before="120" w:after="120"/>
        <w:contextualSpacing/>
        <w:rPr>
          <w:rFonts w:asciiTheme="minorHAnsi" w:hAnsiTheme="minorHAnsi" w:cstheme="minorHAnsi"/>
          <w:iCs/>
          <w:szCs w:val="24"/>
        </w:rPr>
      </w:pPr>
      <w:r w:rsidRPr="006E72A7">
        <w:rPr>
          <w:rFonts w:asciiTheme="minorHAnsi" w:hAnsiTheme="minorHAnsi" w:cstheme="minorHAnsi"/>
          <w:iCs/>
          <w:szCs w:val="24"/>
        </w:rPr>
        <w:t xml:space="preserve">The estimated proportion of non-familial patients taking ezetimibe who qualified for alirocumab based on LDL thresholds was derived from the clinical trial and might not be applicable to the PBS population. </w:t>
      </w:r>
    </w:p>
    <w:p w:rsidR="00043908" w:rsidRPr="006E72A7" w:rsidRDefault="00043908" w:rsidP="00FD355F">
      <w:pPr>
        <w:pStyle w:val="ListParagraph"/>
        <w:widowControl/>
        <w:numPr>
          <w:ilvl w:val="0"/>
          <w:numId w:val="17"/>
        </w:numPr>
        <w:spacing w:before="120" w:after="120"/>
        <w:contextualSpacing/>
        <w:rPr>
          <w:rFonts w:asciiTheme="minorHAnsi" w:hAnsiTheme="minorHAnsi" w:cstheme="minorHAnsi"/>
          <w:iCs/>
          <w:szCs w:val="24"/>
        </w:rPr>
      </w:pPr>
      <w:r w:rsidRPr="006E72A7">
        <w:rPr>
          <w:rFonts w:asciiTheme="minorHAnsi" w:hAnsiTheme="minorHAnsi" w:cstheme="minorHAnsi"/>
          <w:iCs/>
          <w:szCs w:val="24"/>
        </w:rPr>
        <w:t>There may be potential for use outside the restriction in other high</w:t>
      </w:r>
      <w:r w:rsidRPr="006E72A7">
        <w:rPr>
          <w:rFonts w:asciiTheme="minorHAnsi" w:hAnsiTheme="minorHAnsi" w:cstheme="minorHAnsi"/>
          <w:iCs/>
          <w:szCs w:val="24"/>
        </w:rPr>
        <w:noBreakHyphen/>
        <w:t>risk populations who are not achieving target LDL levels with existing therapies.</w:t>
      </w:r>
    </w:p>
    <w:p w:rsidR="00043908" w:rsidRPr="006E72A7" w:rsidRDefault="00043908" w:rsidP="00FD355F">
      <w:pPr>
        <w:pStyle w:val="ListParagraph"/>
        <w:widowControl/>
        <w:numPr>
          <w:ilvl w:val="0"/>
          <w:numId w:val="17"/>
        </w:numPr>
        <w:spacing w:before="120" w:after="120"/>
        <w:contextualSpacing/>
        <w:rPr>
          <w:b/>
          <w:szCs w:val="24"/>
        </w:rPr>
      </w:pPr>
      <w:r w:rsidRPr="006E72A7">
        <w:rPr>
          <w:rFonts w:asciiTheme="minorHAnsi" w:hAnsiTheme="minorHAnsi" w:cstheme="minorHAnsi"/>
          <w:iCs/>
          <w:szCs w:val="24"/>
        </w:rPr>
        <w:t>ACS was not well defined in the requested restriction and may be open to interpretation</w:t>
      </w:r>
      <w:r w:rsidRPr="006E72A7">
        <w:rPr>
          <w:szCs w:val="24"/>
        </w:rPr>
        <w:t xml:space="preserve"> by prescribers.</w:t>
      </w:r>
    </w:p>
    <w:p w:rsidR="009E75D8" w:rsidRPr="006E72A7" w:rsidRDefault="009E75D8" w:rsidP="00FD355F">
      <w:pPr>
        <w:pStyle w:val="ListParagraph"/>
        <w:widowControl/>
        <w:numPr>
          <w:ilvl w:val="1"/>
          <w:numId w:val="1"/>
        </w:numPr>
        <w:spacing w:before="120" w:after="120"/>
      </w:pPr>
      <w:r w:rsidRPr="006E72A7">
        <w:t xml:space="preserve">The estimated use and total costs of listing alirocumab for both the familial and </w:t>
      </w:r>
      <w:r w:rsidR="00810291">
        <w:t>non-FH</w:t>
      </w:r>
      <w:r w:rsidRPr="006E72A7">
        <w:t xml:space="preserve"> populations are summarised in the table below. The estimated cost of the overlapping population was calculated during the evaluation based on half of the alirocumab uptake for secondary prevention in </w:t>
      </w:r>
      <w:r w:rsidR="00EE29DB">
        <w:t>he-FH</w:t>
      </w:r>
      <w:r w:rsidRPr="006E72A7">
        <w:t xml:space="preserve"> patients (3.5% to 10.5% over 6 years). </w:t>
      </w:r>
    </w:p>
    <w:p w:rsidR="009E75D8" w:rsidRPr="006E72A7" w:rsidRDefault="009E75D8" w:rsidP="009E75D8">
      <w:pPr>
        <w:widowControl/>
        <w:rPr>
          <w:rStyle w:val="CommentReference"/>
        </w:rPr>
      </w:pPr>
      <w:r w:rsidRPr="006E72A7">
        <w:rPr>
          <w:rStyle w:val="CommentReference"/>
        </w:rPr>
        <w:br w:type="column"/>
      </w:r>
      <w:r w:rsidRPr="006E72A7">
        <w:rPr>
          <w:rStyle w:val="CommentReference"/>
        </w:rPr>
        <w:lastRenderedPageBreak/>
        <w:t>Table 15: Estimated cost to the PBS of alirocumab in the first six years of listing (effective price)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cost to the PBS of alirocumab in the first six years of listing (effective price)"/>
      </w:tblPr>
      <w:tblGrid>
        <w:gridCol w:w="2972"/>
        <w:gridCol w:w="1015"/>
        <w:gridCol w:w="1016"/>
        <w:gridCol w:w="1016"/>
        <w:gridCol w:w="1016"/>
        <w:gridCol w:w="1016"/>
        <w:gridCol w:w="1016"/>
      </w:tblGrid>
      <w:tr w:rsidR="009E75D8" w:rsidRPr="006E72A7" w:rsidTr="00944C66">
        <w:trPr>
          <w:tblHeader/>
        </w:trPr>
        <w:tc>
          <w:tcPr>
            <w:tcW w:w="2972" w:type="dxa"/>
            <w:shd w:val="clear" w:color="auto" w:fill="auto"/>
            <w:vAlign w:val="center"/>
          </w:tcPr>
          <w:p w:rsidR="009E75D8" w:rsidRPr="006E72A7" w:rsidRDefault="009E75D8" w:rsidP="00944C66">
            <w:pPr>
              <w:pStyle w:val="Tabletext"/>
            </w:pPr>
          </w:p>
        </w:tc>
        <w:tc>
          <w:tcPr>
            <w:tcW w:w="1015" w:type="dxa"/>
            <w:shd w:val="clear" w:color="auto" w:fill="auto"/>
            <w:vAlign w:val="center"/>
          </w:tcPr>
          <w:p w:rsidR="009E75D8" w:rsidRPr="006E72A7" w:rsidRDefault="009E75D8" w:rsidP="00944C66">
            <w:pPr>
              <w:pStyle w:val="Tabletext"/>
              <w:jc w:val="center"/>
              <w:rPr>
                <w:b/>
              </w:rPr>
            </w:pPr>
            <w:r w:rsidRPr="006E72A7">
              <w:rPr>
                <w:b/>
              </w:rPr>
              <w:t>Year 1</w:t>
            </w:r>
          </w:p>
        </w:tc>
        <w:tc>
          <w:tcPr>
            <w:tcW w:w="1016" w:type="dxa"/>
            <w:shd w:val="clear" w:color="auto" w:fill="auto"/>
            <w:vAlign w:val="center"/>
          </w:tcPr>
          <w:p w:rsidR="009E75D8" w:rsidRPr="006E72A7" w:rsidRDefault="009E75D8" w:rsidP="00944C66">
            <w:pPr>
              <w:pStyle w:val="Tabletext"/>
              <w:jc w:val="center"/>
              <w:rPr>
                <w:b/>
              </w:rPr>
            </w:pPr>
            <w:r w:rsidRPr="006E72A7">
              <w:rPr>
                <w:b/>
              </w:rPr>
              <w:t>Year 2</w:t>
            </w:r>
          </w:p>
        </w:tc>
        <w:tc>
          <w:tcPr>
            <w:tcW w:w="1016" w:type="dxa"/>
            <w:shd w:val="clear" w:color="auto" w:fill="auto"/>
            <w:vAlign w:val="center"/>
          </w:tcPr>
          <w:p w:rsidR="009E75D8" w:rsidRPr="006E72A7" w:rsidRDefault="009E75D8" w:rsidP="00944C66">
            <w:pPr>
              <w:pStyle w:val="Tabletext"/>
              <w:jc w:val="center"/>
              <w:rPr>
                <w:b/>
              </w:rPr>
            </w:pPr>
            <w:r w:rsidRPr="006E72A7">
              <w:rPr>
                <w:b/>
              </w:rPr>
              <w:t>Year 3</w:t>
            </w:r>
          </w:p>
        </w:tc>
        <w:tc>
          <w:tcPr>
            <w:tcW w:w="1016" w:type="dxa"/>
            <w:shd w:val="clear" w:color="auto" w:fill="auto"/>
            <w:vAlign w:val="center"/>
          </w:tcPr>
          <w:p w:rsidR="009E75D8" w:rsidRPr="006E72A7" w:rsidRDefault="009E75D8" w:rsidP="00944C66">
            <w:pPr>
              <w:pStyle w:val="Tabletext"/>
              <w:jc w:val="center"/>
              <w:rPr>
                <w:b/>
              </w:rPr>
            </w:pPr>
            <w:r w:rsidRPr="006E72A7">
              <w:rPr>
                <w:b/>
              </w:rPr>
              <w:t>Year 4</w:t>
            </w:r>
          </w:p>
        </w:tc>
        <w:tc>
          <w:tcPr>
            <w:tcW w:w="1016" w:type="dxa"/>
            <w:shd w:val="clear" w:color="auto" w:fill="auto"/>
            <w:vAlign w:val="center"/>
          </w:tcPr>
          <w:p w:rsidR="009E75D8" w:rsidRPr="006E72A7" w:rsidRDefault="009E75D8" w:rsidP="00944C66">
            <w:pPr>
              <w:pStyle w:val="Tabletext"/>
              <w:jc w:val="center"/>
              <w:rPr>
                <w:b/>
              </w:rPr>
            </w:pPr>
            <w:r w:rsidRPr="006E72A7">
              <w:rPr>
                <w:b/>
              </w:rPr>
              <w:t>Year 5</w:t>
            </w:r>
          </w:p>
        </w:tc>
        <w:tc>
          <w:tcPr>
            <w:tcW w:w="1016" w:type="dxa"/>
            <w:shd w:val="clear" w:color="auto" w:fill="auto"/>
            <w:vAlign w:val="center"/>
          </w:tcPr>
          <w:p w:rsidR="009E75D8" w:rsidRPr="006E72A7" w:rsidRDefault="009E75D8" w:rsidP="00944C66">
            <w:pPr>
              <w:pStyle w:val="Tabletext"/>
              <w:jc w:val="center"/>
              <w:rPr>
                <w:b/>
              </w:rPr>
            </w:pPr>
            <w:r w:rsidRPr="006E72A7">
              <w:rPr>
                <w:b/>
              </w:rPr>
              <w:t>Year 6</w:t>
            </w:r>
          </w:p>
        </w:tc>
      </w:tr>
      <w:tr w:rsidR="009E75D8" w:rsidRPr="006E72A7" w:rsidTr="00944C66">
        <w:tc>
          <w:tcPr>
            <w:tcW w:w="2972" w:type="dxa"/>
            <w:shd w:val="clear" w:color="auto" w:fill="auto"/>
            <w:vAlign w:val="center"/>
          </w:tcPr>
          <w:p w:rsidR="009E75D8" w:rsidRPr="006E72A7" w:rsidRDefault="009E75D8" w:rsidP="00944C66">
            <w:pPr>
              <w:pStyle w:val="Tabletext"/>
            </w:pPr>
            <w:r w:rsidRPr="006E72A7">
              <w:t>HeFH</w:t>
            </w:r>
          </w:p>
        </w:tc>
        <w:tc>
          <w:tcPr>
            <w:tcW w:w="1015" w:type="dxa"/>
            <w:shd w:val="clear" w:color="auto" w:fill="auto"/>
            <w:vAlign w:val="center"/>
          </w:tcPr>
          <w:p w:rsidR="009E75D8" w:rsidRPr="006E72A7" w:rsidRDefault="009E75D8" w:rsidP="00944C66">
            <w:pPr>
              <w:pStyle w:val="Tabletext"/>
              <w:jc w:val="center"/>
            </w:pPr>
            <w:r w:rsidRPr="006E72A7">
              <w:rPr>
                <w:i/>
              </w:rPr>
              <w:t>$</w:t>
            </w:r>
            <w:r w:rsidR="004F3FD6">
              <w:rPr>
                <w:i/>
                <w:noProof/>
                <w:color w:val="000000"/>
                <w:highlight w:val="black"/>
              </w:rPr>
              <w:t>'''''''''''''''''''''''</w:t>
            </w:r>
          </w:p>
        </w:tc>
        <w:tc>
          <w:tcPr>
            <w:tcW w:w="1016" w:type="dxa"/>
            <w:shd w:val="clear" w:color="auto" w:fill="auto"/>
            <w:vAlign w:val="center"/>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vAlign w:val="center"/>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vAlign w:val="center"/>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vAlign w:val="center"/>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vAlign w:val="center"/>
          </w:tcPr>
          <w:p w:rsidR="009E75D8" w:rsidRPr="006E72A7" w:rsidRDefault="009E75D8" w:rsidP="00944C66">
            <w:pPr>
              <w:pStyle w:val="Tabletext"/>
              <w:jc w:val="center"/>
              <w:rPr>
                <w:i/>
              </w:rPr>
            </w:pPr>
            <w:r w:rsidRPr="006E72A7">
              <w:rPr>
                <w:i/>
              </w:rPr>
              <w:t>$</w:t>
            </w:r>
            <w:r w:rsidR="004F3FD6">
              <w:rPr>
                <w:i/>
                <w:noProof/>
                <w:color w:val="000000"/>
                <w:highlight w:val="black"/>
              </w:rPr>
              <w:t>'''''''''''''''''''''</w:t>
            </w:r>
          </w:p>
        </w:tc>
      </w:tr>
      <w:tr w:rsidR="009E75D8" w:rsidRPr="006E72A7" w:rsidTr="00944C66">
        <w:tc>
          <w:tcPr>
            <w:tcW w:w="2972" w:type="dxa"/>
            <w:shd w:val="clear" w:color="auto" w:fill="auto"/>
            <w:vAlign w:val="center"/>
          </w:tcPr>
          <w:p w:rsidR="009E75D8" w:rsidRPr="006E72A7" w:rsidRDefault="009E75D8" w:rsidP="00944C66">
            <w:pPr>
              <w:pStyle w:val="Tabletext"/>
            </w:pPr>
            <w:r w:rsidRPr="006E72A7">
              <w:t>ACS + diabetes</w:t>
            </w:r>
          </w:p>
        </w:tc>
        <w:tc>
          <w:tcPr>
            <w:tcW w:w="1015" w:type="dxa"/>
            <w:shd w:val="clear" w:color="auto" w:fill="auto"/>
          </w:tcPr>
          <w:p w:rsidR="009E75D8" w:rsidRPr="006E72A7" w:rsidRDefault="009E75D8" w:rsidP="00944C66">
            <w:pPr>
              <w:pStyle w:val="Tabletext"/>
              <w:jc w:val="center"/>
              <w:rPr>
                <w:i/>
              </w:rPr>
            </w:pPr>
            <w:r w:rsidRPr="006E72A7">
              <w:t>$</w:t>
            </w:r>
            <w:r w:rsidR="004F3FD6">
              <w:rPr>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t>$</w:t>
            </w:r>
            <w:r w:rsidR="004F3FD6">
              <w:rPr>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t>$</w:t>
            </w:r>
            <w:r w:rsidR="004F3FD6">
              <w:rPr>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t>$</w:t>
            </w:r>
            <w:r w:rsidR="004F3FD6">
              <w:rPr>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t>$</w:t>
            </w:r>
            <w:r w:rsidR="004F3FD6">
              <w:rPr>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t>$</w:t>
            </w:r>
            <w:r w:rsidR="004F3FD6">
              <w:rPr>
                <w:noProof/>
                <w:color w:val="000000"/>
                <w:highlight w:val="black"/>
              </w:rPr>
              <w:t>'''''''''''''''''''''''''''''</w:t>
            </w:r>
          </w:p>
        </w:tc>
      </w:tr>
      <w:tr w:rsidR="009E75D8" w:rsidRPr="006E72A7" w:rsidTr="00944C66">
        <w:tc>
          <w:tcPr>
            <w:tcW w:w="2972" w:type="dxa"/>
            <w:shd w:val="clear" w:color="auto" w:fill="auto"/>
            <w:vAlign w:val="center"/>
          </w:tcPr>
          <w:p w:rsidR="009E75D8" w:rsidRPr="006E72A7" w:rsidRDefault="009E75D8" w:rsidP="00944C66">
            <w:pPr>
              <w:pStyle w:val="Tabletext"/>
            </w:pPr>
            <w:r w:rsidRPr="006E72A7">
              <w:t>Overlapping population</w:t>
            </w:r>
          </w:p>
        </w:tc>
        <w:tc>
          <w:tcPr>
            <w:tcW w:w="1015" w:type="dxa"/>
            <w:shd w:val="clear" w:color="auto" w:fill="auto"/>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rPr>
                <w:i/>
              </w:rPr>
              <w:t>-$</w:t>
            </w:r>
            <w:r w:rsidR="004F3FD6">
              <w:rPr>
                <w:i/>
                <w:noProof/>
                <w:color w:val="000000"/>
                <w:highlight w:val="black"/>
              </w:rPr>
              <w:t>'''''''''''''''''''''''</w:t>
            </w:r>
          </w:p>
        </w:tc>
        <w:tc>
          <w:tcPr>
            <w:tcW w:w="1016" w:type="dxa"/>
            <w:shd w:val="clear" w:color="auto" w:fill="auto"/>
          </w:tcPr>
          <w:p w:rsidR="009E75D8" w:rsidRPr="006E72A7" w:rsidRDefault="009E75D8" w:rsidP="00944C66">
            <w:pPr>
              <w:pStyle w:val="Tabletext"/>
              <w:jc w:val="center"/>
              <w:rPr>
                <w:i/>
              </w:rPr>
            </w:pPr>
            <w:r w:rsidRPr="006E72A7">
              <w:rPr>
                <w:i/>
              </w:rPr>
              <w:t>-$</w:t>
            </w:r>
            <w:r w:rsidR="004F3FD6">
              <w:rPr>
                <w:i/>
                <w:noProof/>
                <w:color w:val="000000"/>
                <w:highlight w:val="black"/>
              </w:rPr>
              <w:t>'''''''''''''''''''''''</w:t>
            </w:r>
          </w:p>
        </w:tc>
      </w:tr>
      <w:tr w:rsidR="009E75D8" w:rsidRPr="006E72A7" w:rsidTr="00944C66">
        <w:tc>
          <w:tcPr>
            <w:tcW w:w="2972" w:type="dxa"/>
            <w:shd w:val="clear" w:color="auto" w:fill="auto"/>
            <w:vAlign w:val="center"/>
          </w:tcPr>
          <w:p w:rsidR="009E75D8" w:rsidRPr="006E72A7" w:rsidRDefault="009E75D8" w:rsidP="00944C66">
            <w:pPr>
              <w:pStyle w:val="Tabletext"/>
              <w:rPr>
                <w:b/>
              </w:rPr>
            </w:pPr>
            <w:r w:rsidRPr="006E72A7">
              <w:rPr>
                <w:b/>
              </w:rPr>
              <w:t>Net cost to the PBS less copay</w:t>
            </w:r>
          </w:p>
        </w:tc>
        <w:tc>
          <w:tcPr>
            <w:tcW w:w="1015" w:type="dxa"/>
            <w:shd w:val="clear" w:color="auto" w:fill="auto"/>
          </w:tcPr>
          <w:p w:rsidR="009E75D8" w:rsidRPr="006E72A7" w:rsidRDefault="009E75D8" w:rsidP="00944C66">
            <w:pPr>
              <w:pStyle w:val="Tabletext"/>
              <w:jc w:val="center"/>
              <w:rPr>
                <w:rFonts w:cs="Arial"/>
                <w:b/>
                <w:i/>
              </w:rPr>
            </w:pPr>
            <w:r w:rsidRPr="006E72A7">
              <w:rPr>
                <w:b/>
              </w:rPr>
              <w:t>$</w:t>
            </w:r>
            <w:r w:rsidR="004F3FD6">
              <w:rPr>
                <w:b/>
                <w:noProof/>
                <w:color w:val="000000"/>
                <w:highlight w:val="black"/>
              </w:rPr>
              <w:t>'''''''''''''''''</w:t>
            </w:r>
          </w:p>
        </w:tc>
        <w:tc>
          <w:tcPr>
            <w:tcW w:w="1016" w:type="dxa"/>
            <w:shd w:val="clear" w:color="auto" w:fill="auto"/>
          </w:tcPr>
          <w:p w:rsidR="009E75D8" w:rsidRPr="006E72A7" w:rsidRDefault="009E75D8" w:rsidP="00944C66">
            <w:pPr>
              <w:pStyle w:val="Tabletext"/>
              <w:jc w:val="center"/>
              <w:rPr>
                <w:rFonts w:cs="Arial"/>
                <w:b/>
                <w:i/>
              </w:rPr>
            </w:pPr>
            <w:r w:rsidRPr="006E72A7">
              <w:rPr>
                <w:b/>
              </w:rPr>
              <w:t>$</w:t>
            </w:r>
            <w:r w:rsidR="004F3FD6">
              <w:rPr>
                <w:b/>
                <w:noProof/>
                <w:color w:val="000000"/>
                <w:highlight w:val="black"/>
              </w:rPr>
              <w:t>'''''''''''''''''''''</w:t>
            </w:r>
          </w:p>
        </w:tc>
        <w:tc>
          <w:tcPr>
            <w:tcW w:w="1016" w:type="dxa"/>
            <w:shd w:val="clear" w:color="auto" w:fill="auto"/>
          </w:tcPr>
          <w:p w:rsidR="009E75D8" w:rsidRPr="006E72A7" w:rsidRDefault="009E75D8" w:rsidP="00944C66">
            <w:pPr>
              <w:pStyle w:val="Tabletext"/>
              <w:jc w:val="center"/>
              <w:rPr>
                <w:rFonts w:cs="Arial"/>
                <w:b/>
                <w:i/>
              </w:rPr>
            </w:pPr>
            <w:r w:rsidRPr="006E72A7">
              <w:rPr>
                <w:b/>
              </w:rPr>
              <w:t>$</w:t>
            </w:r>
            <w:r w:rsidR="004F3FD6">
              <w:rPr>
                <w:b/>
                <w:noProof/>
                <w:color w:val="000000"/>
                <w:highlight w:val="black"/>
              </w:rPr>
              <w:t>'''''''''''''''''''''</w:t>
            </w:r>
          </w:p>
        </w:tc>
        <w:tc>
          <w:tcPr>
            <w:tcW w:w="1016" w:type="dxa"/>
            <w:shd w:val="clear" w:color="auto" w:fill="auto"/>
          </w:tcPr>
          <w:p w:rsidR="009E75D8" w:rsidRPr="006E72A7" w:rsidRDefault="009E75D8" w:rsidP="00944C66">
            <w:pPr>
              <w:pStyle w:val="Tabletext"/>
              <w:jc w:val="center"/>
              <w:rPr>
                <w:rFonts w:cs="Arial"/>
                <w:b/>
                <w:i/>
              </w:rPr>
            </w:pPr>
            <w:r w:rsidRPr="006E72A7">
              <w:rPr>
                <w:b/>
              </w:rPr>
              <w:t>$</w:t>
            </w:r>
            <w:r w:rsidR="004F3FD6">
              <w:rPr>
                <w:b/>
                <w:noProof/>
                <w:color w:val="000000"/>
                <w:highlight w:val="black"/>
              </w:rPr>
              <w:t>'''''''''''''''''''''</w:t>
            </w:r>
          </w:p>
        </w:tc>
        <w:tc>
          <w:tcPr>
            <w:tcW w:w="1016" w:type="dxa"/>
            <w:shd w:val="clear" w:color="auto" w:fill="auto"/>
          </w:tcPr>
          <w:p w:rsidR="009E75D8" w:rsidRPr="006E72A7" w:rsidRDefault="009E75D8" w:rsidP="00944C66">
            <w:pPr>
              <w:pStyle w:val="Tabletext"/>
              <w:jc w:val="center"/>
              <w:rPr>
                <w:rFonts w:cs="Arial"/>
                <w:b/>
                <w:i/>
              </w:rPr>
            </w:pPr>
            <w:r w:rsidRPr="006E72A7">
              <w:rPr>
                <w:b/>
              </w:rPr>
              <w:t>$</w:t>
            </w:r>
            <w:r w:rsidR="004F3FD6">
              <w:rPr>
                <w:b/>
                <w:noProof/>
                <w:color w:val="000000"/>
                <w:highlight w:val="black"/>
              </w:rPr>
              <w:t>''''''''''''''''''''</w:t>
            </w:r>
          </w:p>
        </w:tc>
        <w:tc>
          <w:tcPr>
            <w:tcW w:w="1016" w:type="dxa"/>
            <w:shd w:val="clear" w:color="auto" w:fill="auto"/>
          </w:tcPr>
          <w:p w:rsidR="009E75D8" w:rsidRPr="006E72A7" w:rsidRDefault="009E75D8" w:rsidP="00944C66">
            <w:pPr>
              <w:pStyle w:val="Tabletext"/>
              <w:jc w:val="center"/>
              <w:rPr>
                <w:rFonts w:cs="Arial"/>
                <w:b/>
                <w:i/>
              </w:rPr>
            </w:pPr>
            <w:r w:rsidRPr="006E72A7">
              <w:rPr>
                <w:b/>
              </w:rPr>
              <w:t>$</w:t>
            </w:r>
            <w:r w:rsidR="004F3FD6">
              <w:rPr>
                <w:b/>
                <w:noProof/>
                <w:color w:val="000000"/>
                <w:highlight w:val="black"/>
              </w:rPr>
              <w:t>''''''''''''''''''''</w:t>
            </w:r>
          </w:p>
        </w:tc>
      </w:tr>
    </w:tbl>
    <w:p w:rsidR="009E75D8" w:rsidRPr="006E72A7" w:rsidRDefault="009E75D8" w:rsidP="009E75D8">
      <w:pPr>
        <w:pStyle w:val="TableFooter"/>
        <w:widowControl/>
      </w:pPr>
      <w:r w:rsidRPr="006E72A7">
        <w:rPr>
          <w:vertAlign w:val="superscript"/>
        </w:rPr>
        <w:t xml:space="preserve">a </w:t>
      </w:r>
      <w:r w:rsidRPr="006E72A7">
        <w:t>Note: There was a flat pricing structure proposed in the resubmission for all dose strengths of alirocumab.</w:t>
      </w:r>
    </w:p>
    <w:p w:rsidR="009E75D8" w:rsidRPr="006E72A7" w:rsidRDefault="009E75D8" w:rsidP="009E75D8">
      <w:pPr>
        <w:pStyle w:val="TableFooter"/>
        <w:widowControl/>
      </w:pPr>
      <w:r w:rsidRPr="006E72A7">
        <w:t>Source: ALI_Section 4_BudgetImpact.xlsx</w:t>
      </w:r>
    </w:p>
    <w:p w:rsidR="009E75D8" w:rsidRPr="006E72A7" w:rsidRDefault="009E75D8" w:rsidP="009E75D8">
      <w:pPr>
        <w:pStyle w:val="TableFooter"/>
        <w:widowControl/>
      </w:pPr>
      <w:r w:rsidRPr="006E72A7">
        <w:t>Abbreviations: ACS, acute coronary syndrome</w:t>
      </w:r>
    </w:p>
    <w:p w:rsidR="009E75D8" w:rsidRPr="006E72A7" w:rsidRDefault="009E75D8" w:rsidP="009E75D8">
      <w:pPr>
        <w:pStyle w:val="TableFooter"/>
        <w:widowControl/>
        <w:rPr>
          <w:i/>
        </w:rPr>
      </w:pPr>
      <w:r w:rsidRPr="006E72A7">
        <w:rPr>
          <w:i/>
        </w:rPr>
        <w:t>Italicised estimates were calculated during the evaluation</w:t>
      </w:r>
    </w:p>
    <w:p w:rsidR="009E75D8" w:rsidRPr="006E72A7" w:rsidRDefault="009E75D8" w:rsidP="00FD355F">
      <w:pPr>
        <w:pStyle w:val="ListParagraph"/>
        <w:widowControl/>
        <w:numPr>
          <w:ilvl w:val="1"/>
          <w:numId w:val="1"/>
        </w:numPr>
        <w:spacing w:before="120" w:after="120"/>
      </w:pPr>
      <w:r w:rsidRPr="006E72A7">
        <w:t>The total cost to the PBS for listing alirocumab (DPMQ less patient co</w:t>
      </w:r>
      <w:r w:rsidR="00810291">
        <w:t>-</w:t>
      </w:r>
      <w:r w:rsidRPr="006E72A7">
        <w:t>payment) was estimated at</w:t>
      </w:r>
      <w:r w:rsidR="003E7BB5">
        <w:t xml:space="preserve"> less than</w:t>
      </w:r>
      <w:r w:rsidRPr="006E72A7">
        <w:t xml:space="preserve"> $</w:t>
      </w:r>
      <w:r w:rsidR="003E7BB5">
        <w:t>10</w:t>
      </w:r>
      <w:r w:rsidRPr="006E72A7">
        <w:t xml:space="preserve"> million (published) and</w:t>
      </w:r>
      <w:r w:rsidR="003E7BB5">
        <w:t xml:space="preserve"> less than</w:t>
      </w:r>
      <w:r w:rsidRPr="006E72A7">
        <w:t xml:space="preserve"> $</w:t>
      </w:r>
      <w:r w:rsidR="003E7BB5">
        <w:t>10</w:t>
      </w:r>
      <w:r w:rsidRPr="006E72A7">
        <w:t xml:space="preserve"> million (effective) in Year 1 of listing, increasing to $</w:t>
      </w:r>
      <w:r w:rsidR="003E7BB5">
        <w:t>30 to $60</w:t>
      </w:r>
      <w:r w:rsidRPr="006E72A7">
        <w:t xml:space="preserve"> million (published) and $</w:t>
      </w:r>
      <w:r w:rsidR="003E7BB5">
        <w:t>30 to $60</w:t>
      </w:r>
      <w:r w:rsidRPr="006E72A7">
        <w:t xml:space="preserve"> million (effective) in Year 6, a total of </w:t>
      </w:r>
      <w:r w:rsidR="003E7BB5">
        <w:t xml:space="preserve">more than </w:t>
      </w:r>
      <w:r w:rsidRPr="006E72A7">
        <w:t>$</w:t>
      </w:r>
      <w:r w:rsidR="003E7BB5">
        <w:t>100</w:t>
      </w:r>
      <w:r w:rsidRPr="006E72A7">
        <w:t xml:space="preserve"> million (published) and </w:t>
      </w:r>
      <w:r w:rsidR="003E7BB5">
        <w:t xml:space="preserve">more than </w:t>
      </w:r>
      <w:r w:rsidRPr="006E72A7">
        <w:t>$</w:t>
      </w:r>
      <w:r w:rsidR="003E7BB5">
        <w:t>100</w:t>
      </w:r>
      <w:r w:rsidRPr="006E72A7">
        <w:t xml:space="preserve"> million (effective) in the first 6 years of listing.</w:t>
      </w:r>
    </w:p>
    <w:p w:rsidR="009E75D8" w:rsidRPr="006E72A7" w:rsidRDefault="009E75D8" w:rsidP="00FD355F">
      <w:pPr>
        <w:pStyle w:val="ListParagraph"/>
        <w:widowControl/>
        <w:numPr>
          <w:ilvl w:val="1"/>
          <w:numId w:val="1"/>
        </w:numPr>
        <w:spacing w:before="120" w:after="120"/>
      </w:pPr>
      <w:r w:rsidRPr="006E72A7">
        <w:t>The resubmission did not provide any justification for the extent of the assumed overlap in patient populations between the two requested indications. Increasing or decreasing the proportion of patients fitting both indications (secondary familial hypercholesterolaemia as well as ACS and diabetes), will affect overall utilisation estimates.</w:t>
      </w:r>
    </w:p>
    <w:p w:rsidR="00576972" w:rsidRPr="006E72A7" w:rsidRDefault="00576972" w:rsidP="00FD355F">
      <w:pPr>
        <w:pStyle w:val="Heading2"/>
        <w:widowControl/>
        <w:spacing w:before="120" w:after="120"/>
      </w:pPr>
      <w:r w:rsidRPr="006E72A7">
        <w:t>Quality Use of Medicines</w:t>
      </w:r>
      <w:bookmarkEnd w:id="18"/>
    </w:p>
    <w:p w:rsidR="00C44F14" w:rsidRPr="006E72A7" w:rsidRDefault="00C44F14" w:rsidP="00FD355F">
      <w:pPr>
        <w:pStyle w:val="ListParagraph"/>
        <w:widowControl/>
        <w:numPr>
          <w:ilvl w:val="1"/>
          <w:numId w:val="1"/>
        </w:numPr>
        <w:spacing w:before="120" w:after="120"/>
      </w:pPr>
      <w:r w:rsidRPr="006E72A7">
        <w:t>The resubmission detailed the sponsor’s plans to address quality use of medicines issues, particularly around the method of administration (injection) that may not be familiar for some health professionals managing hypercholesterolaemia in Australia.</w:t>
      </w:r>
    </w:p>
    <w:p w:rsidR="00C44F14" w:rsidRPr="006E72A7" w:rsidRDefault="00C44F14" w:rsidP="00FD355F">
      <w:pPr>
        <w:pStyle w:val="ListParagraph"/>
        <w:widowControl/>
        <w:numPr>
          <w:ilvl w:val="1"/>
          <w:numId w:val="1"/>
        </w:numPr>
        <w:spacing w:before="120" w:after="120"/>
      </w:pPr>
      <w:r w:rsidRPr="006E72A7">
        <w:t>The sponsor stated they have a Risk Management Plan approved by the TGA, as well as plans for specific training and materials for health car</w:t>
      </w:r>
      <w:r w:rsidR="00E74AF8" w:rsidRPr="006E72A7">
        <w:t>e professionals and patients on i</w:t>
      </w:r>
      <w:r w:rsidRPr="006E72A7">
        <w:t>dentifying appropriate patients</w:t>
      </w:r>
      <w:r w:rsidR="00E74AF8" w:rsidRPr="006E72A7">
        <w:t>, c</w:t>
      </w:r>
      <w:r w:rsidRPr="006E72A7">
        <w:t>orrect administration</w:t>
      </w:r>
      <w:r w:rsidR="00E74AF8" w:rsidRPr="006E72A7">
        <w:t>, p</w:t>
      </w:r>
      <w:r w:rsidRPr="006E72A7">
        <w:t>revention of medication errors</w:t>
      </w:r>
      <w:r w:rsidR="00E74AF8" w:rsidRPr="006E72A7">
        <w:t>, a</w:t>
      </w:r>
      <w:r w:rsidRPr="006E72A7">
        <w:t>ppropriate storage and handling</w:t>
      </w:r>
      <w:r w:rsidR="00E74AF8" w:rsidRPr="006E72A7">
        <w:t xml:space="preserve"> and p</w:t>
      </w:r>
      <w:r w:rsidRPr="006E72A7">
        <w:t>harmacovigilance.</w:t>
      </w:r>
    </w:p>
    <w:p w:rsidR="00576972" w:rsidRPr="006E72A7" w:rsidRDefault="00C44F14" w:rsidP="00FD355F">
      <w:pPr>
        <w:pStyle w:val="ListParagraph"/>
        <w:widowControl/>
        <w:numPr>
          <w:ilvl w:val="1"/>
          <w:numId w:val="1"/>
        </w:numPr>
        <w:spacing w:before="120" w:after="120"/>
      </w:pPr>
      <w:r w:rsidRPr="006E72A7">
        <w:t xml:space="preserve">The resubmission did not adequately consider the prevention of medication errors due to the range of dosing regimens available to patients. There may be potential for confusion </w:t>
      </w:r>
      <w:r w:rsidR="00084902" w:rsidRPr="006E72A7">
        <w:t xml:space="preserve">resulting from the starting doses recommended in the alirocumab product information: </w:t>
      </w:r>
      <w:r w:rsidRPr="006E72A7">
        <w:t xml:space="preserve">300 mg once monthly and 75 mg fortnightly. The 300 mg once monthly dose and 150 mg </w:t>
      </w:r>
      <w:r w:rsidR="00204194" w:rsidRPr="006E72A7">
        <w:t xml:space="preserve">maximum </w:t>
      </w:r>
      <w:r w:rsidRPr="006E72A7">
        <w:t>fortnightly dose are not equivalent.</w:t>
      </w:r>
      <w:r w:rsidR="00DA6BAB">
        <w:t xml:space="preserve"> There may also be confusion related to the need to up</w:t>
      </w:r>
      <w:r w:rsidR="008C71CF">
        <w:t>-</w:t>
      </w:r>
      <w:r w:rsidR="00DA6BAB">
        <w:t>titrate alirocumab dosing in some patients who fail to achieve the target levels with the starting dose (unlike evolocumab, in which up</w:t>
      </w:r>
      <w:r w:rsidR="008C71CF">
        <w:t>-</w:t>
      </w:r>
      <w:r w:rsidR="00DA6BAB">
        <w:t>titration is not required).</w:t>
      </w:r>
    </w:p>
    <w:p w:rsidR="00DE2F92" w:rsidRPr="006E72A7" w:rsidRDefault="00DE2F92" w:rsidP="00FD355F">
      <w:pPr>
        <w:pStyle w:val="ListParagraph"/>
        <w:widowControl/>
        <w:numPr>
          <w:ilvl w:val="1"/>
          <w:numId w:val="1"/>
        </w:numPr>
        <w:spacing w:before="120" w:after="120"/>
      </w:pPr>
      <w:r w:rsidRPr="006E72A7">
        <w:t>The DUSC considered the resubmission did not adequately consider the prevention of medication errors due to the range of dosing regimens available to patients. The</w:t>
      </w:r>
      <w:r w:rsidRPr="006E72A7">
        <w:rPr>
          <w:rFonts w:asciiTheme="minorHAnsi" w:hAnsiTheme="minorHAnsi" w:cstheme="minorHAnsi"/>
        </w:rPr>
        <w:t xml:space="preserve"> initial restriction is Authority Required – Written, and this will likely limit the initial prescribing of alirocumab to specialists. However, the continuing restriction is Authority Required – Telephone, and general practitioners (GPs) will likely be </w:t>
      </w:r>
      <w:r w:rsidRPr="006E72A7">
        <w:rPr>
          <w:rFonts w:asciiTheme="minorHAnsi" w:hAnsiTheme="minorHAnsi" w:cstheme="minorHAnsi"/>
        </w:rPr>
        <w:lastRenderedPageBreak/>
        <w:t>responsible for the ongoing management of the patient. The different starting doses may cause confusion for GPs, and this may present a QUM issue for ongoing therapy.</w:t>
      </w:r>
    </w:p>
    <w:p w:rsidR="00576972" w:rsidRPr="006E72A7" w:rsidRDefault="00576972" w:rsidP="00FD355F">
      <w:pPr>
        <w:pStyle w:val="Heading2"/>
        <w:widowControl/>
        <w:spacing w:before="120" w:after="120"/>
      </w:pPr>
      <w:bookmarkStart w:id="19" w:name="_Toc536003321"/>
      <w:r w:rsidRPr="006E72A7">
        <w:t>Financial Management – Risk Sharing Arrangements</w:t>
      </w:r>
      <w:bookmarkEnd w:id="19"/>
    </w:p>
    <w:p w:rsidR="00645EB8" w:rsidRPr="006E72A7" w:rsidRDefault="00C44F14" w:rsidP="00FD355F">
      <w:pPr>
        <w:pStyle w:val="ListParagraph"/>
        <w:widowControl/>
        <w:numPr>
          <w:ilvl w:val="1"/>
          <w:numId w:val="1"/>
        </w:numPr>
        <w:spacing w:before="120" w:after="120"/>
        <w:rPr>
          <w:i/>
        </w:rPr>
      </w:pPr>
      <w:r w:rsidRPr="006E72A7">
        <w:t>The resubmission stated that the sponsor was willing to undertake a risk sharing arrangement, but did not provide any details regarding the arrangement.</w:t>
      </w:r>
    </w:p>
    <w:p w:rsidR="00DD4DF0" w:rsidRPr="006E72A7" w:rsidRDefault="00DD4DF0" w:rsidP="00FD355F">
      <w:pPr>
        <w:pStyle w:val="ListParagraph"/>
        <w:widowControl/>
        <w:spacing w:before="120" w:after="120"/>
        <w:rPr>
          <w:i/>
        </w:rPr>
      </w:pPr>
      <w:r w:rsidRPr="006E72A7">
        <w:rPr>
          <w:i/>
        </w:rPr>
        <w:t>For more detail on PBAC’s view, see section 7 PBAC outcome.</w:t>
      </w:r>
    </w:p>
    <w:p w:rsidR="00DD4DF0" w:rsidRPr="006E72A7" w:rsidRDefault="00DD4DF0" w:rsidP="00FD355F">
      <w:pPr>
        <w:pStyle w:val="Heading1"/>
        <w:keepNext/>
        <w:keepLines/>
        <w:widowControl/>
        <w:numPr>
          <w:ilvl w:val="0"/>
          <w:numId w:val="1"/>
        </w:numPr>
        <w:spacing w:before="120" w:after="120"/>
        <w:ind w:left="709" w:hanging="709"/>
        <w:rPr>
          <w:rFonts w:asciiTheme="minorHAnsi" w:eastAsiaTheme="majorEastAsia" w:hAnsiTheme="minorHAnsi" w:cstheme="majorBidi"/>
          <w:caps w:val="0"/>
          <w:snapToGrid/>
          <w:szCs w:val="28"/>
        </w:rPr>
      </w:pPr>
      <w:r w:rsidRPr="006E72A7">
        <w:rPr>
          <w:rFonts w:asciiTheme="minorHAnsi" w:eastAsiaTheme="majorEastAsia" w:hAnsiTheme="minorHAnsi" w:cstheme="majorBidi"/>
          <w:caps w:val="0"/>
          <w:snapToGrid/>
          <w:szCs w:val="28"/>
        </w:rPr>
        <w:t>PBAC Outcome</w:t>
      </w:r>
    </w:p>
    <w:p w:rsidR="00DD4DF0" w:rsidRPr="006E72A7" w:rsidRDefault="00DD4DF0"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w:t>
      </w:r>
      <w:r w:rsidR="00542C54" w:rsidRPr="006E72A7">
        <w:rPr>
          <w:rFonts w:asciiTheme="minorHAnsi" w:hAnsiTheme="minorHAnsi"/>
          <w:bCs/>
          <w:szCs w:val="24"/>
        </w:rPr>
        <w:t>AC recommended an Authority Required listing of alirocumab for the treatment of patients with heterozygous familial hypercholesterolaemia</w:t>
      </w:r>
      <w:r w:rsidR="003D60D5" w:rsidRPr="006E72A7">
        <w:rPr>
          <w:rFonts w:asciiTheme="minorHAnsi" w:hAnsiTheme="minorHAnsi"/>
          <w:bCs/>
          <w:szCs w:val="24"/>
        </w:rPr>
        <w:t xml:space="preserve"> (he-FH) </w:t>
      </w:r>
      <w:r w:rsidR="00707C2D" w:rsidRPr="006E72A7">
        <w:rPr>
          <w:rFonts w:asciiTheme="minorHAnsi" w:hAnsiTheme="minorHAnsi"/>
          <w:bCs/>
          <w:szCs w:val="24"/>
        </w:rPr>
        <w:t xml:space="preserve">with </w:t>
      </w:r>
      <w:r w:rsidR="003D60D5" w:rsidRPr="006E72A7">
        <w:rPr>
          <w:rFonts w:asciiTheme="minorHAnsi" w:hAnsiTheme="minorHAnsi"/>
          <w:bCs/>
          <w:szCs w:val="24"/>
        </w:rPr>
        <w:t>high cardiovascular risk (patients with atherosclerotic disease and/or very high LDL levels)</w:t>
      </w:r>
      <w:r w:rsidR="00542C54" w:rsidRPr="006E72A7">
        <w:rPr>
          <w:rFonts w:asciiTheme="minorHAnsi" w:hAnsiTheme="minorHAnsi"/>
          <w:bCs/>
          <w:szCs w:val="24"/>
        </w:rPr>
        <w:t xml:space="preserve"> on a cost-minimisa</w:t>
      </w:r>
      <w:r w:rsidR="003D60D5" w:rsidRPr="006E72A7">
        <w:rPr>
          <w:rFonts w:asciiTheme="minorHAnsi" w:hAnsiTheme="minorHAnsi"/>
          <w:bCs/>
          <w:szCs w:val="24"/>
        </w:rPr>
        <w:t>tion basis to evolocuma</w:t>
      </w:r>
      <w:r w:rsidR="00265E9C" w:rsidRPr="006E72A7">
        <w:rPr>
          <w:rFonts w:asciiTheme="minorHAnsi" w:hAnsiTheme="minorHAnsi"/>
          <w:bCs/>
          <w:szCs w:val="24"/>
        </w:rPr>
        <w:t xml:space="preserve">b. </w:t>
      </w:r>
      <w:r w:rsidR="00542C54" w:rsidRPr="006E72A7">
        <w:rPr>
          <w:rFonts w:asciiTheme="minorHAnsi" w:hAnsiTheme="minorHAnsi"/>
          <w:bCs/>
          <w:szCs w:val="24"/>
        </w:rPr>
        <w:t xml:space="preserve">The PBAC did not recommend the listing of alirocumab for patients with non-familial hypercholesterolaemia </w:t>
      </w:r>
      <w:r w:rsidR="007D08C8" w:rsidRPr="006E72A7">
        <w:rPr>
          <w:rFonts w:asciiTheme="minorHAnsi" w:hAnsiTheme="minorHAnsi"/>
          <w:bCs/>
          <w:szCs w:val="24"/>
        </w:rPr>
        <w:t xml:space="preserve">(non-FH) </w:t>
      </w:r>
      <w:r w:rsidR="00707C2D" w:rsidRPr="006E72A7">
        <w:rPr>
          <w:rFonts w:asciiTheme="minorHAnsi" w:hAnsiTheme="minorHAnsi"/>
          <w:bCs/>
          <w:szCs w:val="24"/>
        </w:rPr>
        <w:t>with</w:t>
      </w:r>
      <w:r w:rsidR="007D08C8" w:rsidRPr="006E72A7">
        <w:rPr>
          <w:rFonts w:asciiTheme="minorHAnsi" w:hAnsiTheme="minorHAnsi"/>
          <w:bCs/>
          <w:szCs w:val="24"/>
        </w:rPr>
        <w:t xml:space="preserve"> acute corona</w:t>
      </w:r>
      <w:r w:rsidR="00707C2D" w:rsidRPr="006E72A7">
        <w:rPr>
          <w:rFonts w:asciiTheme="minorHAnsi" w:hAnsiTheme="minorHAnsi"/>
          <w:bCs/>
          <w:szCs w:val="24"/>
        </w:rPr>
        <w:t xml:space="preserve">ry syndrome (ACS) and diabetes </w:t>
      </w:r>
      <w:r w:rsidR="00810291" w:rsidRPr="006E72A7">
        <w:rPr>
          <w:rFonts w:asciiTheme="minorHAnsi" w:hAnsiTheme="minorHAnsi"/>
          <w:bCs/>
          <w:szCs w:val="24"/>
        </w:rPr>
        <w:t>based on</w:t>
      </w:r>
      <w:r w:rsidR="009D1327" w:rsidRPr="006E72A7">
        <w:rPr>
          <w:rFonts w:asciiTheme="minorHAnsi" w:hAnsiTheme="minorHAnsi"/>
          <w:bCs/>
          <w:szCs w:val="24"/>
        </w:rPr>
        <w:t xml:space="preserve"> an inadequately defined </w:t>
      </w:r>
      <w:r w:rsidR="00810291" w:rsidRPr="006E72A7">
        <w:rPr>
          <w:rFonts w:asciiTheme="minorHAnsi" w:hAnsiTheme="minorHAnsi"/>
          <w:bCs/>
          <w:szCs w:val="24"/>
        </w:rPr>
        <w:t>high-risk</w:t>
      </w:r>
      <w:r w:rsidR="009D1327" w:rsidRPr="006E72A7">
        <w:rPr>
          <w:rFonts w:asciiTheme="minorHAnsi" w:hAnsiTheme="minorHAnsi"/>
          <w:bCs/>
          <w:szCs w:val="24"/>
        </w:rPr>
        <w:t xml:space="preserve"> patient population, and a high and uncertain incremental cost-effectiveness ratio (ICER). </w:t>
      </w:r>
    </w:p>
    <w:p w:rsidR="00944C66" w:rsidRPr="006E72A7" w:rsidRDefault="00944C66" w:rsidP="00FD355F">
      <w:pPr>
        <w:widowControl/>
        <w:spacing w:before="120" w:after="120"/>
        <w:jc w:val="left"/>
        <w:rPr>
          <w:rFonts w:asciiTheme="minorHAnsi" w:hAnsiTheme="minorHAnsi"/>
          <w:b/>
          <w:bCs/>
          <w:i/>
          <w:sz w:val="28"/>
          <w:szCs w:val="28"/>
        </w:rPr>
      </w:pPr>
      <w:r w:rsidRPr="006E72A7">
        <w:rPr>
          <w:rFonts w:asciiTheme="minorHAnsi" w:hAnsiTheme="minorHAnsi"/>
          <w:b/>
          <w:bCs/>
          <w:i/>
          <w:sz w:val="28"/>
          <w:szCs w:val="28"/>
        </w:rPr>
        <w:t>Heterozygous familial hypercholesterolaemia (he-FH)</w:t>
      </w:r>
    </w:p>
    <w:p w:rsidR="003E4F76" w:rsidRPr="006E72A7" w:rsidRDefault="005020C8"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recommended the listing of alirocumab for he-FH patients with the same restriction wording </w:t>
      </w:r>
      <w:r w:rsidR="00CB03EF" w:rsidRPr="006E72A7">
        <w:rPr>
          <w:rFonts w:asciiTheme="minorHAnsi" w:hAnsiTheme="minorHAnsi"/>
          <w:bCs/>
          <w:szCs w:val="24"/>
        </w:rPr>
        <w:t>as evolocumab for this indication.</w:t>
      </w:r>
      <w:r w:rsidR="00B22C4C" w:rsidRPr="006E72A7">
        <w:rPr>
          <w:rFonts w:asciiTheme="minorHAnsi" w:hAnsiTheme="minorHAnsi"/>
          <w:bCs/>
          <w:szCs w:val="24"/>
        </w:rPr>
        <w:t xml:space="preserve"> The exception is an additional treatment criterion to highlight that treatment must com</w:t>
      </w:r>
      <w:r w:rsidR="000B5F53" w:rsidRPr="006E72A7">
        <w:rPr>
          <w:rFonts w:asciiTheme="minorHAnsi" w:hAnsiTheme="minorHAnsi"/>
          <w:bCs/>
          <w:szCs w:val="24"/>
        </w:rPr>
        <w:t xml:space="preserve">mence on a 75 mg fortnightly, </w:t>
      </w:r>
      <w:r w:rsidR="00B22C4C" w:rsidRPr="006E72A7">
        <w:rPr>
          <w:rFonts w:asciiTheme="minorHAnsi" w:hAnsiTheme="minorHAnsi"/>
          <w:bCs/>
          <w:szCs w:val="24"/>
        </w:rPr>
        <w:t>or 300 mg monthly</w:t>
      </w:r>
      <w:r w:rsidR="000B5F53" w:rsidRPr="006E72A7">
        <w:rPr>
          <w:rFonts w:asciiTheme="minorHAnsi" w:hAnsiTheme="minorHAnsi"/>
          <w:bCs/>
          <w:szCs w:val="24"/>
        </w:rPr>
        <w:t>,</w:t>
      </w:r>
      <w:r w:rsidR="00B22C4C" w:rsidRPr="006E72A7">
        <w:rPr>
          <w:rFonts w:asciiTheme="minorHAnsi" w:hAnsiTheme="minorHAnsi"/>
          <w:bCs/>
          <w:szCs w:val="24"/>
        </w:rPr>
        <w:t xml:space="preserve"> dose </w:t>
      </w:r>
      <w:r w:rsidR="00176F27">
        <w:rPr>
          <w:rFonts w:asciiTheme="minorHAnsi" w:hAnsiTheme="minorHAnsi"/>
          <w:bCs/>
          <w:szCs w:val="24"/>
        </w:rPr>
        <w:t xml:space="preserve">and </w:t>
      </w:r>
      <w:r w:rsidR="00DA6BAB">
        <w:rPr>
          <w:rFonts w:asciiTheme="minorHAnsi" w:hAnsiTheme="minorHAnsi"/>
          <w:bCs/>
          <w:szCs w:val="24"/>
        </w:rPr>
        <w:t>to indicate that there should be no</w:t>
      </w:r>
      <w:r w:rsidR="00176F27">
        <w:rPr>
          <w:rFonts w:asciiTheme="minorHAnsi" w:hAnsiTheme="minorHAnsi"/>
          <w:bCs/>
          <w:szCs w:val="24"/>
        </w:rPr>
        <w:t xml:space="preserve"> concomitant use with evolocumab.</w:t>
      </w:r>
    </w:p>
    <w:p w:rsidR="00385319" w:rsidRPr="006E72A7" w:rsidRDefault="00256298"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w:t>
      </w:r>
      <w:r w:rsidR="00B22C4C" w:rsidRPr="006E72A7">
        <w:rPr>
          <w:rFonts w:asciiTheme="minorHAnsi" w:hAnsiTheme="minorHAnsi"/>
          <w:bCs/>
          <w:szCs w:val="24"/>
        </w:rPr>
        <w:t>noted t</w:t>
      </w:r>
      <w:r w:rsidR="00B22C4C" w:rsidRPr="006E72A7">
        <w:t>he recommended starting dose in the product information is either 75 mg fortnightly or 300 mg every 4 weeks, with the potential to up-titrate to</w:t>
      </w:r>
      <w:r w:rsidR="00183FA4" w:rsidRPr="006E72A7">
        <w:t xml:space="preserve"> a maximum dose of</w:t>
      </w:r>
      <w:r w:rsidR="00B22C4C" w:rsidRPr="006E72A7">
        <w:t xml:space="preserve"> 150 mg fortnightly. Under the proposed listing, it is possible to administer the starting dose using either preparation (i.e. the 75 mg or 150 mg).</w:t>
      </w:r>
      <w:r w:rsidR="00183FA4" w:rsidRPr="006E72A7">
        <w:t xml:space="preserve"> </w:t>
      </w:r>
      <w:r w:rsidR="00DD055B" w:rsidRPr="006E72A7">
        <w:t>Base</w:t>
      </w:r>
      <w:r w:rsidR="00DB0D18" w:rsidRPr="006E72A7">
        <w:t>d</w:t>
      </w:r>
      <w:r w:rsidR="00DD055B" w:rsidRPr="006E72A7">
        <w:t xml:space="preserve"> on this, the</w:t>
      </w:r>
      <w:r w:rsidR="009A4C56" w:rsidRPr="006E72A7">
        <w:t xml:space="preserve"> PBAC</w:t>
      </w:r>
      <w:r w:rsidR="00DD055B" w:rsidRPr="006E72A7">
        <w:t xml:space="preserve"> </w:t>
      </w:r>
      <w:r w:rsidRPr="006E72A7">
        <w:rPr>
          <w:rFonts w:asciiTheme="minorHAnsi" w:hAnsiTheme="minorHAnsi"/>
          <w:bCs/>
          <w:szCs w:val="24"/>
        </w:rPr>
        <w:t xml:space="preserve">advised that the initial restriction for alirocumab should be </w:t>
      </w:r>
      <w:r w:rsidR="007B77E3" w:rsidRPr="006E72A7">
        <w:rPr>
          <w:rFonts w:asciiTheme="minorHAnsi" w:hAnsiTheme="minorHAnsi"/>
          <w:bCs/>
          <w:szCs w:val="24"/>
        </w:rPr>
        <w:t>a</w:t>
      </w:r>
      <w:r w:rsidR="00F97FC8">
        <w:rPr>
          <w:rFonts w:asciiTheme="minorHAnsi" w:hAnsiTheme="minorHAnsi"/>
          <w:bCs/>
          <w:szCs w:val="24"/>
        </w:rPr>
        <w:t>n</w:t>
      </w:r>
      <w:r w:rsidR="00201979" w:rsidRPr="006E72A7">
        <w:rPr>
          <w:rFonts w:asciiTheme="minorHAnsi" w:hAnsiTheme="minorHAnsi"/>
          <w:bCs/>
          <w:szCs w:val="24"/>
        </w:rPr>
        <w:t xml:space="preserve"> A</w:t>
      </w:r>
      <w:r w:rsidR="007B77E3" w:rsidRPr="006E72A7">
        <w:rPr>
          <w:rFonts w:asciiTheme="minorHAnsi" w:hAnsiTheme="minorHAnsi"/>
          <w:bCs/>
          <w:szCs w:val="24"/>
        </w:rPr>
        <w:t xml:space="preserve">uthority </w:t>
      </w:r>
      <w:r w:rsidR="00201979" w:rsidRPr="006E72A7">
        <w:rPr>
          <w:rFonts w:asciiTheme="minorHAnsi" w:hAnsiTheme="minorHAnsi"/>
          <w:bCs/>
          <w:szCs w:val="24"/>
        </w:rPr>
        <w:t>Required</w:t>
      </w:r>
      <w:r w:rsidR="00294F07">
        <w:rPr>
          <w:rFonts w:asciiTheme="minorHAnsi" w:hAnsiTheme="minorHAnsi"/>
          <w:bCs/>
          <w:szCs w:val="24"/>
        </w:rPr>
        <w:t xml:space="preserve"> (Written)</w:t>
      </w:r>
      <w:r w:rsidR="00201979" w:rsidRPr="006E72A7">
        <w:rPr>
          <w:rFonts w:asciiTheme="minorHAnsi" w:hAnsiTheme="minorHAnsi"/>
          <w:bCs/>
          <w:szCs w:val="24"/>
        </w:rPr>
        <w:t xml:space="preserve"> </w:t>
      </w:r>
      <w:r w:rsidRPr="006E72A7">
        <w:rPr>
          <w:rFonts w:asciiTheme="minorHAnsi" w:hAnsiTheme="minorHAnsi"/>
          <w:bCs/>
          <w:szCs w:val="24"/>
        </w:rPr>
        <w:t>for the 75 mg fortnightly</w:t>
      </w:r>
      <w:r w:rsidR="0098707C" w:rsidRPr="006E72A7">
        <w:rPr>
          <w:rFonts w:asciiTheme="minorHAnsi" w:hAnsiTheme="minorHAnsi"/>
          <w:bCs/>
          <w:szCs w:val="24"/>
        </w:rPr>
        <w:t xml:space="preserve"> </w:t>
      </w:r>
      <w:r w:rsidR="00B22C4C" w:rsidRPr="006E72A7">
        <w:rPr>
          <w:rFonts w:asciiTheme="minorHAnsi" w:hAnsiTheme="minorHAnsi"/>
          <w:bCs/>
          <w:szCs w:val="24"/>
        </w:rPr>
        <w:t xml:space="preserve">dose and the 150 mg dose (which could be used as </w:t>
      </w:r>
      <w:r w:rsidR="0098707C" w:rsidRPr="006E72A7">
        <w:rPr>
          <w:rFonts w:asciiTheme="minorHAnsi" w:hAnsiTheme="minorHAnsi"/>
          <w:bCs/>
          <w:szCs w:val="24"/>
        </w:rPr>
        <w:t>300 mg monthly</w:t>
      </w:r>
      <w:r w:rsidR="000B5F53" w:rsidRPr="006E72A7">
        <w:rPr>
          <w:rFonts w:asciiTheme="minorHAnsi" w:hAnsiTheme="minorHAnsi"/>
          <w:bCs/>
          <w:szCs w:val="24"/>
        </w:rPr>
        <w:t>)</w:t>
      </w:r>
      <w:r w:rsidR="00B22C4C" w:rsidRPr="006E72A7">
        <w:rPr>
          <w:rFonts w:asciiTheme="minorHAnsi" w:hAnsiTheme="minorHAnsi"/>
          <w:bCs/>
          <w:szCs w:val="24"/>
        </w:rPr>
        <w:t>.</w:t>
      </w:r>
      <w:r w:rsidRPr="006E72A7">
        <w:rPr>
          <w:rFonts w:asciiTheme="minorHAnsi" w:hAnsiTheme="minorHAnsi"/>
          <w:bCs/>
          <w:szCs w:val="24"/>
        </w:rPr>
        <w:t xml:space="preserve"> </w:t>
      </w:r>
      <w:r w:rsidR="00B22C4C" w:rsidRPr="006E72A7">
        <w:rPr>
          <w:rFonts w:asciiTheme="minorHAnsi" w:hAnsiTheme="minorHAnsi"/>
          <w:bCs/>
          <w:szCs w:val="24"/>
        </w:rPr>
        <w:t>The</w:t>
      </w:r>
      <w:r w:rsidRPr="006E72A7">
        <w:rPr>
          <w:rFonts w:asciiTheme="minorHAnsi" w:hAnsiTheme="minorHAnsi"/>
          <w:bCs/>
          <w:szCs w:val="24"/>
        </w:rPr>
        <w:t xml:space="preserve"> maximum quantity </w:t>
      </w:r>
      <w:r w:rsidR="00B22C4C" w:rsidRPr="006E72A7">
        <w:rPr>
          <w:rFonts w:asciiTheme="minorHAnsi" w:hAnsiTheme="minorHAnsi"/>
          <w:bCs/>
          <w:szCs w:val="24"/>
        </w:rPr>
        <w:t>for each strength would be</w:t>
      </w:r>
      <w:r w:rsidRPr="006E72A7">
        <w:rPr>
          <w:rFonts w:asciiTheme="minorHAnsi" w:hAnsiTheme="minorHAnsi"/>
          <w:bCs/>
          <w:szCs w:val="24"/>
        </w:rPr>
        <w:t xml:space="preserve"> 1 </w:t>
      </w:r>
      <w:r w:rsidR="00B22C4C" w:rsidRPr="006E72A7">
        <w:rPr>
          <w:rFonts w:asciiTheme="minorHAnsi" w:hAnsiTheme="minorHAnsi"/>
          <w:bCs/>
          <w:szCs w:val="24"/>
        </w:rPr>
        <w:t>with 5</w:t>
      </w:r>
      <w:r w:rsidRPr="006E72A7">
        <w:rPr>
          <w:rFonts w:asciiTheme="minorHAnsi" w:hAnsiTheme="minorHAnsi"/>
          <w:bCs/>
          <w:szCs w:val="24"/>
        </w:rPr>
        <w:t xml:space="preserve"> repeats. The PBAC also advised that the</w:t>
      </w:r>
      <w:r w:rsidR="0098707C" w:rsidRPr="006E72A7">
        <w:rPr>
          <w:rFonts w:asciiTheme="minorHAnsi" w:hAnsiTheme="minorHAnsi"/>
          <w:bCs/>
          <w:szCs w:val="24"/>
        </w:rPr>
        <w:t xml:space="preserve"> continuing restriction </w:t>
      </w:r>
      <w:r w:rsidR="007B77E3" w:rsidRPr="006E72A7">
        <w:rPr>
          <w:rFonts w:asciiTheme="minorHAnsi" w:hAnsiTheme="minorHAnsi"/>
          <w:bCs/>
          <w:szCs w:val="24"/>
        </w:rPr>
        <w:t xml:space="preserve">would be a </w:t>
      </w:r>
      <w:r w:rsidR="00201979" w:rsidRPr="006E72A7">
        <w:rPr>
          <w:rFonts w:asciiTheme="minorHAnsi" w:hAnsiTheme="minorHAnsi"/>
          <w:bCs/>
          <w:szCs w:val="24"/>
        </w:rPr>
        <w:t>A</w:t>
      </w:r>
      <w:r w:rsidR="007B77E3" w:rsidRPr="006E72A7">
        <w:rPr>
          <w:rFonts w:asciiTheme="minorHAnsi" w:hAnsiTheme="minorHAnsi"/>
          <w:bCs/>
          <w:szCs w:val="24"/>
        </w:rPr>
        <w:t>uthority</w:t>
      </w:r>
      <w:r w:rsidR="00201979" w:rsidRPr="006E72A7">
        <w:rPr>
          <w:rFonts w:asciiTheme="minorHAnsi" w:hAnsiTheme="minorHAnsi"/>
          <w:bCs/>
          <w:szCs w:val="24"/>
        </w:rPr>
        <w:t xml:space="preserve"> Required</w:t>
      </w:r>
      <w:r w:rsidR="007B77E3" w:rsidRPr="006E72A7">
        <w:rPr>
          <w:rFonts w:asciiTheme="minorHAnsi" w:hAnsiTheme="minorHAnsi"/>
          <w:bCs/>
          <w:szCs w:val="24"/>
        </w:rPr>
        <w:t xml:space="preserve"> </w:t>
      </w:r>
      <w:r w:rsidR="00810291" w:rsidRPr="006E72A7">
        <w:rPr>
          <w:rFonts w:asciiTheme="minorHAnsi" w:hAnsiTheme="minorHAnsi"/>
          <w:bCs/>
          <w:szCs w:val="24"/>
        </w:rPr>
        <w:t>(</w:t>
      </w:r>
      <w:r w:rsidR="00810291">
        <w:rPr>
          <w:rFonts w:asciiTheme="minorHAnsi" w:hAnsiTheme="minorHAnsi"/>
          <w:bCs/>
          <w:szCs w:val="24"/>
        </w:rPr>
        <w:t>T</w:t>
      </w:r>
      <w:r w:rsidR="00810291" w:rsidRPr="006E72A7">
        <w:rPr>
          <w:rFonts w:asciiTheme="minorHAnsi" w:hAnsiTheme="minorHAnsi"/>
          <w:bCs/>
          <w:szCs w:val="24"/>
        </w:rPr>
        <w:t xml:space="preserve">elephone) </w:t>
      </w:r>
      <w:r w:rsidR="007B77E3" w:rsidRPr="006E72A7">
        <w:rPr>
          <w:rFonts w:asciiTheme="minorHAnsi" w:hAnsiTheme="minorHAnsi"/>
          <w:bCs/>
          <w:szCs w:val="24"/>
        </w:rPr>
        <w:t>and w</w:t>
      </w:r>
      <w:r w:rsidR="0098707C" w:rsidRPr="006E72A7">
        <w:rPr>
          <w:rFonts w:asciiTheme="minorHAnsi" w:hAnsiTheme="minorHAnsi"/>
          <w:bCs/>
          <w:szCs w:val="24"/>
        </w:rPr>
        <w:t xml:space="preserve">ould include </w:t>
      </w:r>
      <w:r w:rsidR="007B77E3" w:rsidRPr="006E72A7">
        <w:rPr>
          <w:rFonts w:asciiTheme="minorHAnsi" w:hAnsiTheme="minorHAnsi"/>
          <w:bCs/>
          <w:szCs w:val="24"/>
        </w:rPr>
        <w:t xml:space="preserve">both the 75 mg and </w:t>
      </w:r>
      <w:r w:rsidR="0098707C" w:rsidRPr="006E72A7">
        <w:rPr>
          <w:rFonts w:asciiTheme="minorHAnsi" w:hAnsiTheme="minorHAnsi"/>
          <w:bCs/>
          <w:szCs w:val="24"/>
        </w:rPr>
        <w:t xml:space="preserve">the </w:t>
      </w:r>
      <w:r w:rsidRPr="006E72A7">
        <w:rPr>
          <w:rFonts w:asciiTheme="minorHAnsi" w:hAnsiTheme="minorHAnsi"/>
          <w:bCs/>
          <w:szCs w:val="24"/>
        </w:rPr>
        <w:t>150</w:t>
      </w:r>
      <w:r w:rsidR="0098707C" w:rsidRPr="006E72A7">
        <w:rPr>
          <w:rFonts w:asciiTheme="minorHAnsi" w:hAnsiTheme="minorHAnsi"/>
          <w:bCs/>
          <w:szCs w:val="24"/>
        </w:rPr>
        <w:t xml:space="preserve"> mg</w:t>
      </w:r>
      <w:r w:rsidRPr="006E72A7">
        <w:rPr>
          <w:rFonts w:asciiTheme="minorHAnsi" w:hAnsiTheme="minorHAnsi"/>
          <w:bCs/>
          <w:szCs w:val="24"/>
        </w:rPr>
        <w:t xml:space="preserve"> fortnightly dose, </w:t>
      </w:r>
      <w:r w:rsidR="00DB0D18" w:rsidRPr="006E72A7">
        <w:rPr>
          <w:rFonts w:asciiTheme="minorHAnsi" w:hAnsiTheme="minorHAnsi"/>
          <w:bCs/>
          <w:szCs w:val="24"/>
        </w:rPr>
        <w:t xml:space="preserve">to be individually determined </w:t>
      </w:r>
      <w:r w:rsidRPr="006E72A7">
        <w:rPr>
          <w:rFonts w:asciiTheme="minorHAnsi" w:hAnsiTheme="minorHAnsi"/>
          <w:bCs/>
          <w:szCs w:val="24"/>
        </w:rPr>
        <w:t xml:space="preserve">depending on the patient’s assessment </w:t>
      </w:r>
      <w:r w:rsidR="0098707C" w:rsidRPr="006E72A7">
        <w:rPr>
          <w:rFonts w:asciiTheme="minorHAnsi" w:hAnsiTheme="minorHAnsi"/>
          <w:bCs/>
          <w:szCs w:val="24"/>
        </w:rPr>
        <w:t xml:space="preserve">of response. </w:t>
      </w:r>
    </w:p>
    <w:p w:rsidR="00CC2A3D" w:rsidRPr="006E72A7" w:rsidRDefault="00CC2A3D"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w:t>
      </w:r>
      <w:r w:rsidR="00F97FC8">
        <w:rPr>
          <w:rFonts w:asciiTheme="minorHAnsi" w:hAnsiTheme="minorHAnsi"/>
          <w:bCs/>
          <w:szCs w:val="24"/>
        </w:rPr>
        <w:t>consider</w:t>
      </w:r>
      <w:r w:rsidR="00F97FC8" w:rsidRPr="006E72A7">
        <w:rPr>
          <w:rFonts w:asciiTheme="minorHAnsi" w:hAnsiTheme="minorHAnsi"/>
          <w:bCs/>
          <w:szCs w:val="24"/>
        </w:rPr>
        <w:t xml:space="preserve">ed </w:t>
      </w:r>
      <w:r w:rsidR="00F97FC8">
        <w:rPr>
          <w:rFonts w:asciiTheme="minorHAnsi" w:hAnsiTheme="minorHAnsi"/>
          <w:bCs/>
          <w:szCs w:val="24"/>
        </w:rPr>
        <w:t>the clinical need for another PCSK9 inhibitor in this setting was not high, but noted an</w:t>
      </w:r>
      <w:r w:rsidRPr="006E72A7">
        <w:rPr>
          <w:rFonts w:asciiTheme="minorHAnsi" w:hAnsiTheme="minorHAnsi"/>
          <w:bCs/>
          <w:szCs w:val="24"/>
        </w:rPr>
        <w:t xml:space="preserve"> additional effective therapy for patients with FH at high risk of cardiovascular disease</w:t>
      </w:r>
      <w:r w:rsidR="00F97FC8">
        <w:rPr>
          <w:rFonts w:asciiTheme="minorHAnsi" w:hAnsiTheme="minorHAnsi"/>
          <w:bCs/>
          <w:szCs w:val="24"/>
        </w:rPr>
        <w:t xml:space="preserve"> would provide an option for patients not</w:t>
      </w:r>
      <w:r w:rsidR="00DC449E">
        <w:rPr>
          <w:rFonts w:asciiTheme="minorHAnsi" w:hAnsiTheme="minorHAnsi"/>
          <w:bCs/>
          <w:szCs w:val="24"/>
        </w:rPr>
        <w:t xml:space="preserve"> respond</w:t>
      </w:r>
      <w:r w:rsidR="00F97FC8">
        <w:rPr>
          <w:rFonts w:asciiTheme="minorHAnsi" w:hAnsiTheme="minorHAnsi"/>
          <w:bCs/>
          <w:szCs w:val="24"/>
        </w:rPr>
        <w:t>ing</w:t>
      </w:r>
      <w:r w:rsidR="00DC449E">
        <w:rPr>
          <w:rFonts w:asciiTheme="minorHAnsi" w:hAnsiTheme="minorHAnsi"/>
          <w:bCs/>
          <w:szCs w:val="24"/>
        </w:rPr>
        <w:t xml:space="preserve"> to treatment with the already PBS-listed evolocumab. </w:t>
      </w:r>
      <w:r w:rsidRPr="006E72A7">
        <w:rPr>
          <w:rFonts w:asciiTheme="minorHAnsi" w:hAnsiTheme="minorHAnsi"/>
          <w:bCs/>
          <w:szCs w:val="24"/>
        </w:rPr>
        <w:t xml:space="preserve"> </w:t>
      </w:r>
    </w:p>
    <w:p w:rsidR="00CC2A3D" w:rsidRPr="006E72A7" w:rsidRDefault="00CC2A3D"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considered evolocumab, the nominated main comparator in patients with he-FH, to be appropriate</w:t>
      </w:r>
      <w:r w:rsidR="006E72A7">
        <w:rPr>
          <w:rFonts w:asciiTheme="minorHAnsi" w:hAnsiTheme="minorHAnsi"/>
          <w:bCs/>
          <w:szCs w:val="24"/>
        </w:rPr>
        <w:t xml:space="preserve">. </w:t>
      </w:r>
    </w:p>
    <w:p w:rsidR="009A7770" w:rsidRPr="006E72A7" w:rsidRDefault="009A7770"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lastRenderedPageBreak/>
        <w:t xml:space="preserve">The PBAC noted the key clinical trial evidence </w:t>
      </w:r>
      <w:r w:rsidR="005040E3" w:rsidRPr="006E72A7">
        <w:rPr>
          <w:rFonts w:asciiTheme="minorHAnsi" w:hAnsiTheme="minorHAnsi"/>
          <w:bCs/>
          <w:szCs w:val="24"/>
        </w:rPr>
        <w:t xml:space="preserve">supporting the he-FH listing </w:t>
      </w:r>
      <w:r w:rsidRPr="006E72A7">
        <w:rPr>
          <w:rFonts w:asciiTheme="minorHAnsi" w:hAnsiTheme="minorHAnsi"/>
          <w:bCs/>
          <w:szCs w:val="24"/>
        </w:rPr>
        <w:t xml:space="preserve">included </w:t>
      </w:r>
      <w:r w:rsidR="005040E3" w:rsidRPr="006E72A7">
        <w:rPr>
          <w:rFonts w:asciiTheme="minorHAnsi" w:hAnsiTheme="minorHAnsi"/>
          <w:bCs/>
          <w:szCs w:val="24"/>
        </w:rPr>
        <w:t xml:space="preserve">an indirect comparison of alirocumab and evolocumab using </w:t>
      </w:r>
      <w:r w:rsidRPr="006E72A7">
        <w:rPr>
          <w:rFonts w:asciiTheme="minorHAnsi" w:hAnsiTheme="minorHAnsi"/>
          <w:bCs/>
          <w:szCs w:val="24"/>
        </w:rPr>
        <w:t xml:space="preserve">cardiovascular outcomes </w:t>
      </w:r>
      <w:r w:rsidR="005040E3" w:rsidRPr="006E72A7">
        <w:rPr>
          <w:rFonts w:asciiTheme="minorHAnsi" w:hAnsiTheme="minorHAnsi"/>
          <w:bCs/>
          <w:szCs w:val="24"/>
        </w:rPr>
        <w:t>data from</w:t>
      </w:r>
      <w:r w:rsidRPr="006E72A7">
        <w:rPr>
          <w:rFonts w:asciiTheme="minorHAnsi" w:hAnsiTheme="minorHAnsi"/>
          <w:bCs/>
          <w:szCs w:val="24"/>
        </w:rPr>
        <w:t xml:space="preserve"> the ODYSSEY OUTCOMES and FOURIER trials. The PBAC noted this </w:t>
      </w:r>
      <w:r w:rsidR="005040E3" w:rsidRPr="006E72A7">
        <w:rPr>
          <w:rFonts w:asciiTheme="minorHAnsi" w:hAnsiTheme="minorHAnsi"/>
          <w:bCs/>
          <w:szCs w:val="24"/>
        </w:rPr>
        <w:t xml:space="preserve">ITC was </w:t>
      </w:r>
      <w:r w:rsidRPr="006E72A7">
        <w:rPr>
          <w:rFonts w:asciiTheme="minorHAnsi" w:hAnsiTheme="minorHAnsi"/>
          <w:bCs/>
          <w:szCs w:val="24"/>
        </w:rPr>
        <w:t xml:space="preserve">previously requested </w:t>
      </w:r>
      <w:r w:rsidR="00AB2F60" w:rsidRPr="006E72A7">
        <w:rPr>
          <w:rFonts w:asciiTheme="minorHAnsi" w:hAnsiTheme="minorHAnsi"/>
          <w:bCs/>
          <w:szCs w:val="24"/>
        </w:rPr>
        <w:t xml:space="preserve">by the Committee </w:t>
      </w:r>
      <w:r w:rsidRPr="006E72A7">
        <w:rPr>
          <w:rFonts w:asciiTheme="minorHAnsi" w:hAnsiTheme="minorHAnsi"/>
          <w:bCs/>
          <w:szCs w:val="24"/>
        </w:rPr>
        <w:t>in November 2017. Th</w:t>
      </w:r>
      <w:r w:rsidR="00AB2F60" w:rsidRPr="006E72A7">
        <w:rPr>
          <w:rFonts w:asciiTheme="minorHAnsi" w:hAnsiTheme="minorHAnsi"/>
          <w:bCs/>
          <w:szCs w:val="24"/>
        </w:rPr>
        <w:t>is</w:t>
      </w:r>
      <w:r w:rsidRPr="006E72A7">
        <w:rPr>
          <w:rFonts w:asciiTheme="minorHAnsi" w:hAnsiTheme="minorHAnsi"/>
          <w:bCs/>
          <w:szCs w:val="24"/>
        </w:rPr>
        <w:t xml:space="preserve"> indirect </w:t>
      </w:r>
      <w:r w:rsidR="004B71FC" w:rsidRPr="006E72A7">
        <w:rPr>
          <w:rFonts w:asciiTheme="minorHAnsi" w:hAnsiTheme="minorHAnsi"/>
          <w:bCs/>
          <w:szCs w:val="24"/>
        </w:rPr>
        <w:t>comparison</w:t>
      </w:r>
      <w:r w:rsidRPr="006E72A7">
        <w:rPr>
          <w:rFonts w:asciiTheme="minorHAnsi" w:hAnsiTheme="minorHAnsi"/>
          <w:bCs/>
          <w:szCs w:val="24"/>
        </w:rPr>
        <w:t xml:space="preserve"> was considered informative, although notably, there were </w:t>
      </w:r>
      <w:r w:rsidRPr="006E72A7">
        <w:rPr>
          <w:rStyle w:val="CommentReference"/>
          <w:rFonts w:ascii="Calibri" w:hAnsi="Calibri"/>
          <w:b w:val="0"/>
          <w:sz w:val="24"/>
          <w:szCs w:val="22"/>
        </w:rPr>
        <w:t xml:space="preserve">exchangeability </w:t>
      </w:r>
      <w:r w:rsidR="008D7B74" w:rsidRPr="006E72A7">
        <w:rPr>
          <w:rStyle w:val="CommentReference"/>
          <w:rFonts w:ascii="Calibri" w:hAnsi="Calibri"/>
          <w:b w:val="0"/>
          <w:sz w:val="24"/>
          <w:szCs w:val="22"/>
        </w:rPr>
        <w:t xml:space="preserve">issues </w:t>
      </w:r>
      <w:r w:rsidRPr="006E72A7">
        <w:rPr>
          <w:rStyle w:val="CommentReference"/>
          <w:rFonts w:ascii="Calibri" w:hAnsi="Calibri"/>
          <w:b w:val="0"/>
          <w:sz w:val="24"/>
          <w:szCs w:val="22"/>
        </w:rPr>
        <w:t>between the trials</w:t>
      </w:r>
      <w:r w:rsidRPr="006E72A7">
        <w:rPr>
          <w:rFonts w:asciiTheme="minorHAnsi" w:hAnsiTheme="minorHAnsi"/>
          <w:bCs/>
          <w:szCs w:val="24"/>
        </w:rPr>
        <w:t xml:space="preserve"> and the populations</w:t>
      </w:r>
      <w:r w:rsidR="008D7B74" w:rsidRPr="006E72A7">
        <w:rPr>
          <w:rFonts w:asciiTheme="minorHAnsi" w:hAnsiTheme="minorHAnsi"/>
          <w:bCs/>
          <w:szCs w:val="24"/>
        </w:rPr>
        <w:t xml:space="preserve"> in both trials were not h</w:t>
      </w:r>
      <w:r w:rsidR="000B5F53" w:rsidRPr="006E72A7">
        <w:rPr>
          <w:rFonts w:asciiTheme="minorHAnsi" w:hAnsiTheme="minorHAnsi"/>
          <w:bCs/>
          <w:szCs w:val="24"/>
        </w:rPr>
        <w:t>e-FH pat</w:t>
      </w:r>
      <w:r w:rsidRPr="006E72A7">
        <w:rPr>
          <w:rFonts w:asciiTheme="minorHAnsi" w:hAnsiTheme="minorHAnsi"/>
          <w:bCs/>
          <w:szCs w:val="24"/>
        </w:rPr>
        <w:t>i</w:t>
      </w:r>
      <w:r w:rsidR="000B5F53" w:rsidRPr="006E72A7">
        <w:rPr>
          <w:rFonts w:asciiTheme="minorHAnsi" w:hAnsiTheme="minorHAnsi"/>
          <w:bCs/>
          <w:szCs w:val="24"/>
        </w:rPr>
        <w:t>e</w:t>
      </w:r>
      <w:r w:rsidRPr="006E72A7">
        <w:rPr>
          <w:rFonts w:asciiTheme="minorHAnsi" w:hAnsiTheme="minorHAnsi"/>
          <w:bCs/>
          <w:szCs w:val="24"/>
        </w:rPr>
        <w:t>nts. There is no established non-</w:t>
      </w:r>
      <w:r w:rsidR="004B71FC" w:rsidRPr="006E72A7">
        <w:rPr>
          <w:rFonts w:asciiTheme="minorHAnsi" w:hAnsiTheme="minorHAnsi"/>
          <w:bCs/>
          <w:szCs w:val="24"/>
        </w:rPr>
        <w:t>inferiority</w:t>
      </w:r>
      <w:r w:rsidRPr="006E72A7">
        <w:rPr>
          <w:rFonts w:asciiTheme="minorHAnsi" w:hAnsiTheme="minorHAnsi"/>
          <w:bCs/>
          <w:szCs w:val="24"/>
        </w:rPr>
        <w:t xml:space="preserve"> margin for the MACE outcomes used in the ITC but </w:t>
      </w:r>
      <w:r w:rsidR="008D7B74" w:rsidRPr="006E72A7">
        <w:rPr>
          <w:rFonts w:asciiTheme="minorHAnsi" w:hAnsiTheme="minorHAnsi"/>
          <w:bCs/>
          <w:szCs w:val="24"/>
        </w:rPr>
        <w:t xml:space="preserve">the PBAC </w:t>
      </w:r>
      <w:r w:rsidRPr="006E72A7">
        <w:rPr>
          <w:rFonts w:asciiTheme="minorHAnsi" w:hAnsiTheme="minorHAnsi"/>
          <w:bCs/>
          <w:szCs w:val="24"/>
        </w:rPr>
        <w:t>considered the hazard ratio (HR) of 1.00 (95% CI, 0.89</w:t>
      </w:r>
      <w:r w:rsidRPr="00637CBB">
        <w:rPr>
          <w:rFonts w:asciiTheme="minorHAnsi" w:hAnsiTheme="minorHAnsi"/>
          <w:bCs/>
          <w:szCs w:val="24"/>
        </w:rPr>
        <w:t>-1.</w:t>
      </w:r>
      <w:r w:rsidR="00637CBB" w:rsidRPr="00637CBB">
        <w:rPr>
          <w:rFonts w:asciiTheme="minorHAnsi" w:hAnsiTheme="minorHAnsi"/>
          <w:bCs/>
          <w:szCs w:val="24"/>
        </w:rPr>
        <w:t>13</w:t>
      </w:r>
      <w:r w:rsidRPr="00637CBB">
        <w:rPr>
          <w:rFonts w:asciiTheme="minorHAnsi" w:hAnsiTheme="minorHAnsi"/>
          <w:bCs/>
          <w:szCs w:val="24"/>
        </w:rPr>
        <w:t>) for the</w:t>
      </w:r>
      <w:r w:rsidRPr="006E72A7">
        <w:rPr>
          <w:rFonts w:asciiTheme="minorHAnsi" w:hAnsiTheme="minorHAnsi"/>
          <w:bCs/>
          <w:szCs w:val="24"/>
        </w:rPr>
        <w:t xml:space="preserve"> primary composite endpoint </w:t>
      </w:r>
      <w:r w:rsidR="008D7B74" w:rsidRPr="006E72A7">
        <w:rPr>
          <w:rFonts w:asciiTheme="minorHAnsi" w:hAnsiTheme="minorHAnsi"/>
          <w:bCs/>
          <w:szCs w:val="24"/>
        </w:rPr>
        <w:t xml:space="preserve">supported </w:t>
      </w:r>
      <w:r w:rsidR="008701A9" w:rsidRPr="006E72A7">
        <w:rPr>
          <w:rFonts w:asciiTheme="minorHAnsi" w:hAnsiTheme="minorHAnsi"/>
          <w:bCs/>
          <w:szCs w:val="24"/>
        </w:rPr>
        <w:t>similar outcomes across the trials</w:t>
      </w:r>
      <w:r w:rsidRPr="006E72A7">
        <w:rPr>
          <w:rFonts w:asciiTheme="minorHAnsi" w:hAnsiTheme="minorHAnsi"/>
          <w:bCs/>
          <w:szCs w:val="24"/>
        </w:rPr>
        <w:t xml:space="preserve"> given the upper CI was within the</w:t>
      </w:r>
      <w:r w:rsidRPr="006E72A7">
        <w:rPr>
          <w:rStyle w:val="CommentReference"/>
          <w:rFonts w:ascii="Calibri" w:hAnsi="Calibri"/>
          <w:b w:val="0"/>
          <w:sz w:val="24"/>
          <w:szCs w:val="22"/>
        </w:rPr>
        <w:t xml:space="preserve"> estimated difference for both treatments compared to placebo (approximately 15% for both interventions)</w:t>
      </w:r>
      <w:r w:rsidRPr="006E72A7">
        <w:rPr>
          <w:rFonts w:asciiTheme="minorHAnsi" w:hAnsiTheme="minorHAnsi"/>
          <w:bCs/>
          <w:szCs w:val="24"/>
        </w:rPr>
        <w:t xml:space="preserve">. </w:t>
      </w:r>
      <w:r w:rsidR="008701A9" w:rsidRPr="006E72A7">
        <w:rPr>
          <w:rFonts w:asciiTheme="minorHAnsi" w:hAnsiTheme="minorHAnsi"/>
          <w:bCs/>
          <w:szCs w:val="24"/>
        </w:rPr>
        <w:t xml:space="preserve">Non-inferiority based on the CV outcomes </w:t>
      </w:r>
      <w:r w:rsidR="00A3143F" w:rsidRPr="006E72A7">
        <w:rPr>
          <w:rFonts w:asciiTheme="minorHAnsi" w:hAnsiTheme="minorHAnsi"/>
          <w:bCs/>
          <w:szCs w:val="24"/>
        </w:rPr>
        <w:t>for he-FH was</w:t>
      </w:r>
      <w:r w:rsidR="008701A9" w:rsidRPr="006E72A7">
        <w:rPr>
          <w:rFonts w:asciiTheme="minorHAnsi" w:hAnsiTheme="minorHAnsi"/>
          <w:bCs/>
          <w:szCs w:val="24"/>
        </w:rPr>
        <w:t xml:space="preserve"> not </w:t>
      </w:r>
      <w:r w:rsidR="00A3143F" w:rsidRPr="006E72A7">
        <w:rPr>
          <w:rFonts w:asciiTheme="minorHAnsi" w:hAnsiTheme="minorHAnsi"/>
          <w:bCs/>
          <w:szCs w:val="24"/>
        </w:rPr>
        <w:t>definitive given the l</w:t>
      </w:r>
      <w:r w:rsidR="008701A9" w:rsidRPr="006E72A7">
        <w:rPr>
          <w:rFonts w:asciiTheme="minorHAnsi" w:hAnsiTheme="minorHAnsi"/>
          <w:bCs/>
          <w:szCs w:val="24"/>
        </w:rPr>
        <w:t>imitations with the indirect analyses of the ODYSSEY OUTCOMES and FOURIER trials.</w:t>
      </w:r>
    </w:p>
    <w:p w:rsidR="00277996" w:rsidRPr="006E72A7" w:rsidRDefault="00CC2A3D"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noted the supportive indirect analyses of lipid </w:t>
      </w:r>
      <w:r w:rsidR="00223AB0" w:rsidRPr="006E72A7">
        <w:rPr>
          <w:rFonts w:asciiTheme="minorHAnsi" w:hAnsiTheme="minorHAnsi"/>
          <w:bCs/>
          <w:szCs w:val="24"/>
        </w:rPr>
        <w:t xml:space="preserve">outcomes </w:t>
      </w:r>
      <w:r w:rsidRPr="006E72A7">
        <w:rPr>
          <w:rFonts w:asciiTheme="minorHAnsi" w:hAnsiTheme="minorHAnsi"/>
          <w:bCs/>
          <w:szCs w:val="24"/>
        </w:rPr>
        <w:t>trials</w:t>
      </w:r>
      <w:r w:rsidR="00223AB0" w:rsidRPr="006E72A7">
        <w:rPr>
          <w:rFonts w:asciiTheme="minorHAnsi" w:hAnsiTheme="minorHAnsi"/>
          <w:bCs/>
          <w:szCs w:val="24"/>
        </w:rPr>
        <w:t xml:space="preserve"> (</w:t>
      </w:r>
      <w:r w:rsidR="00223AB0" w:rsidRPr="006E72A7">
        <w:rPr>
          <w:rStyle w:val="CommentReference"/>
          <w:rFonts w:ascii="Calibri" w:hAnsi="Calibri"/>
          <w:b w:val="0"/>
          <w:sz w:val="24"/>
          <w:szCs w:val="22"/>
        </w:rPr>
        <w:t>FH I, FH II, RUTHERFORD I, RUTHERFORD II)</w:t>
      </w:r>
      <w:r w:rsidR="00F42CA9" w:rsidRPr="006E72A7">
        <w:rPr>
          <w:rFonts w:asciiTheme="minorHAnsi" w:hAnsiTheme="minorHAnsi"/>
          <w:bCs/>
          <w:szCs w:val="24"/>
        </w:rPr>
        <w:t xml:space="preserve">, </w:t>
      </w:r>
      <w:r w:rsidRPr="006E72A7">
        <w:rPr>
          <w:rFonts w:asciiTheme="minorHAnsi" w:hAnsiTheme="minorHAnsi"/>
          <w:bCs/>
          <w:szCs w:val="24"/>
        </w:rPr>
        <w:t>presented in Section 6</w:t>
      </w:r>
      <w:r w:rsidR="004516B7" w:rsidRPr="006E72A7">
        <w:rPr>
          <w:rFonts w:asciiTheme="minorHAnsi" w:hAnsiTheme="minorHAnsi"/>
          <w:bCs/>
          <w:szCs w:val="24"/>
        </w:rPr>
        <w:t xml:space="preserve"> provided a b</w:t>
      </w:r>
      <w:r w:rsidR="008701A9" w:rsidRPr="006E72A7">
        <w:rPr>
          <w:rFonts w:asciiTheme="minorHAnsi" w:hAnsiTheme="minorHAnsi"/>
          <w:bCs/>
          <w:szCs w:val="24"/>
        </w:rPr>
        <w:t>a</w:t>
      </w:r>
      <w:r w:rsidR="004516B7" w:rsidRPr="006E72A7">
        <w:rPr>
          <w:rFonts w:asciiTheme="minorHAnsi" w:hAnsiTheme="minorHAnsi"/>
          <w:bCs/>
          <w:szCs w:val="24"/>
        </w:rPr>
        <w:t>sis for establishing comparative effectiveness of alirocumab with evolocumab in the he-FH population</w:t>
      </w:r>
      <w:r w:rsidR="00D10154" w:rsidRPr="006E72A7">
        <w:rPr>
          <w:rFonts w:asciiTheme="minorHAnsi" w:hAnsiTheme="minorHAnsi"/>
          <w:bCs/>
          <w:szCs w:val="24"/>
        </w:rPr>
        <w:t>.</w:t>
      </w:r>
      <w:r w:rsidRPr="006E72A7">
        <w:rPr>
          <w:rFonts w:asciiTheme="minorHAnsi" w:hAnsiTheme="minorHAnsi"/>
          <w:bCs/>
          <w:szCs w:val="24"/>
        </w:rPr>
        <w:t xml:space="preserve"> </w:t>
      </w:r>
      <w:r w:rsidR="00223AB0" w:rsidRPr="006E72A7">
        <w:rPr>
          <w:rFonts w:asciiTheme="minorHAnsi" w:hAnsiTheme="minorHAnsi"/>
          <w:bCs/>
          <w:szCs w:val="24"/>
        </w:rPr>
        <w:t xml:space="preserve">The PBAC considered the </w:t>
      </w:r>
      <w:r w:rsidR="00277996" w:rsidRPr="006E72A7">
        <w:rPr>
          <w:rStyle w:val="CommentReference"/>
          <w:rFonts w:ascii="Calibri" w:hAnsi="Calibri"/>
          <w:b w:val="0"/>
          <w:sz w:val="24"/>
          <w:szCs w:val="22"/>
        </w:rPr>
        <w:t xml:space="preserve">alternative indirect analyses conducted during the evaluation, including those with the </w:t>
      </w:r>
      <w:r w:rsidR="00DD5B5C" w:rsidRPr="006E72A7">
        <w:rPr>
          <w:rFonts w:asciiTheme="minorHAnsi" w:hAnsiTheme="minorHAnsi"/>
          <w:bCs/>
          <w:szCs w:val="24"/>
        </w:rPr>
        <w:t>additional</w:t>
      </w:r>
      <w:r w:rsidR="00223AB0" w:rsidRPr="006E72A7">
        <w:rPr>
          <w:rFonts w:asciiTheme="minorHAnsi" w:hAnsiTheme="minorHAnsi"/>
          <w:bCs/>
          <w:szCs w:val="24"/>
        </w:rPr>
        <w:t xml:space="preserve"> trials (</w:t>
      </w:r>
      <w:r w:rsidR="00223AB0" w:rsidRPr="006E72A7">
        <w:rPr>
          <w:rStyle w:val="CommentReference"/>
          <w:rFonts w:ascii="Calibri" w:hAnsi="Calibri"/>
          <w:b w:val="0"/>
          <w:sz w:val="24"/>
          <w:szCs w:val="22"/>
        </w:rPr>
        <w:t>ESCAPE, HIGH FH and Stein 2012)</w:t>
      </w:r>
      <w:r w:rsidR="00277996" w:rsidRPr="006E72A7">
        <w:rPr>
          <w:rStyle w:val="CommentReference"/>
          <w:rFonts w:ascii="Calibri" w:hAnsi="Calibri"/>
          <w:b w:val="0"/>
          <w:sz w:val="24"/>
          <w:szCs w:val="22"/>
        </w:rPr>
        <w:t xml:space="preserve"> were also informative</w:t>
      </w:r>
      <w:r w:rsidR="006E72A7">
        <w:rPr>
          <w:rStyle w:val="CommentReference"/>
          <w:rFonts w:ascii="Calibri" w:hAnsi="Calibri"/>
          <w:b w:val="0"/>
          <w:sz w:val="24"/>
          <w:szCs w:val="22"/>
        </w:rPr>
        <w:t xml:space="preserve">. </w:t>
      </w:r>
    </w:p>
    <w:p w:rsidR="00CC2A3D" w:rsidRPr="006E72A7" w:rsidRDefault="00223AB0"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n</w:t>
      </w:r>
      <w:r w:rsidR="00DB6CFC" w:rsidRPr="006E72A7">
        <w:rPr>
          <w:rFonts w:asciiTheme="minorHAnsi" w:hAnsiTheme="minorHAnsi"/>
          <w:bCs/>
          <w:szCs w:val="24"/>
        </w:rPr>
        <w:t>o</w:t>
      </w:r>
      <w:r w:rsidRPr="006E72A7">
        <w:rPr>
          <w:rFonts w:asciiTheme="minorHAnsi" w:hAnsiTheme="minorHAnsi"/>
          <w:bCs/>
          <w:szCs w:val="24"/>
        </w:rPr>
        <w:t>t</w:t>
      </w:r>
      <w:r w:rsidR="00DB6CFC" w:rsidRPr="006E72A7">
        <w:rPr>
          <w:rFonts w:asciiTheme="minorHAnsi" w:hAnsiTheme="minorHAnsi"/>
          <w:bCs/>
          <w:szCs w:val="24"/>
        </w:rPr>
        <w:t>ed the submission requested consideration of the pooled outcomes</w:t>
      </w:r>
      <w:r w:rsidRPr="006E72A7">
        <w:rPr>
          <w:rFonts w:asciiTheme="minorHAnsi" w:hAnsiTheme="minorHAnsi"/>
          <w:bCs/>
          <w:szCs w:val="24"/>
        </w:rPr>
        <w:t xml:space="preserve"> </w:t>
      </w:r>
      <w:r w:rsidR="00DB6CFC" w:rsidRPr="006E72A7">
        <w:rPr>
          <w:rFonts w:asciiTheme="minorHAnsi" w:hAnsiTheme="minorHAnsi"/>
          <w:bCs/>
          <w:szCs w:val="24"/>
        </w:rPr>
        <w:t>of the 75 mg and 150 mg fortnightly doses</w:t>
      </w:r>
      <w:r w:rsidR="00277996" w:rsidRPr="006E72A7">
        <w:rPr>
          <w:rFonts w:asciiTheme="minorHAnsi" w:hAnsiTheme="minorHAnsi"/>
          <w:bCs/>
          <w:szCs w:val="24"/>
        </w:rPr>
        <w:t xml:space="preserve"> in the lipid outcomes analyses</w:t>
      </w:r>
      <w:r w:rsidR="00DB6CFC" w:rsidRPr="006E72A7">
        <w:rPr>
          <w:rFonts w:asciiTheme="minorHAnsi" w:hAnsiTheme="minorHAnsi"/>
          <w:bCs/>
          <w:szCs w:val="24"/>
        </w:rPr>
        <w:t>.</w:t>
      </w:r>
      <w:r w:rsidR="00CC2A3D" w:rsidRPr="006E72A7">
        <w:rPr>
          <w:rFonts w:asciiTheme="minorHAnsi" w:hAnsiTheme="minorHAnsi"/>
          <w:bCs/>
          <w:szCs w:val="24"/>
        </w:rPr>
        <w:t xml:space="preserve"> </w:t>
      </w:r>
      <w:r w:rsidR="00D10154" w:rsidRPr="006E72A7">
        <w:rPr>
          <w:rFonts w:asciiTheme="minorHAnsi" w:hAnsiTheme="minorHAnsi"/>
          <w:bCs/>
          <w:szCs w:val="24"/>
        </w:rPr>
        <w:t xml:space="preserve">The PBAC </w:t>
      </w:r>
      <w:r w:rsidR="00DB6CFC" w:rsidRPr="006E72A7">
        <w:rPr>
          <w:rFonts w:asciiTheme="minorHAnsi" w:hAnsiTheme="minorHAnsi"/>
          <w:bCs/>
          <w:szCs w:val="24"/>
        </w:rPr>
        <w:t xml:space="preserve">noted </w:t>
      </w:r>
      <w:r w:rsidR="00DB6CFC" w:rsidRPr="006E72A7">
        <w:rPr>
          <w:rStyle w:val="CommentReference"/>
          <w:rFonts w:ascii="Calibri" w:hAnsi="Calibri"/>
          <w:b w:val="0"/>
          <w:sz w:val="24"/>
          <w:szCs w:val="22"/>
        </w:rPr>
        <w:t xml:space="preserve">there was an approximately </w:t>
      </w:r>
      <w:r w:rsidR="004F3FD6">
        <w:rPr>
          <w:rStyle w:val="CommentReference"/>
          <w:rFonts w:ascii="Calibri" w:hAnsi="Calibri"/>
          <w:b w:val="0"/>
          <w:noProof/>
          <w:color w:val="000000"/>
          <w:sz w:val="24"/>
          <w:szCs w:val="22"/>
          <w:highlight w:val="black"/>
        </w:rPr>
        <w:t>'''''</w:t>
      </w:r>
      <w:r w:rsidR="00DB6CFC" w:rsidRPr="006E72A7">
        <w:rPr>
          <w:rStyle w:val="CommentReference"/>
          <w:rFonts w:ascii="Calibri" w:hAnsi="Calibri"/>
          <w:b w:val="0"/>
          <w:sz w:val="24"/>
          <w:szCs w:val="22"/>
        </w:rPr>
        <w:t xml:space="preserve">% </w:t>
      </w:r>
      <w:r w:rsidR="00EA3C50" w:rsidRPr="007C3656">
        <w:rPr>
          <w:rStyle w:val="CommentReference"/>
          <w:rFonts w:ascii="Calibri" w:hAnsi="Calibri"/>
          <w:b w:val="0"/>
          <w:sz w:val="24"/>
          <w:szCs w:val="22"/>
        </w:rPr>
        <w:t>difference</w:t>
      </w:r>
      <w:r w:rsidR="00DB6CFC" w:rsidRPr="007C3656">
        <w:rPr>
          <w:rStyle w:val="CommentReference"/>
          <w:rFonts w:ascii="Calibri" w:hAnsi="Calibri"/>
          <w:b w:val="0"/>
          <w:sz w:val="24"/>
          <w:szCs w:val="22"/>
        </w:rPr>
        <w:t xml:space="preserve"> in LDL</w:t>
      </w:r>
      <w:r w:rsidR="00DB6CFC" w:rsidRPr="006E72A7">
        <w:rPr>
          <w:rStyle w:val="CommentReference"/>
          <w:rFonts w:ascii="Calibri" w:hAnsi="Calibri"/>
          <w:b w:val="0"/>
          <w:sz w:val="24"/>
          <w:szCs w:val="22"/>
        </w:rPr>
        <w:t xml:space="preserve"> reduction observed in subgroup analyses of patients receiving alirocumab who were up-titrated compared to those with no titration</w:t>
      </w:r>
      <w:r w:rsidR="008C6F99" w:rsidRPr="006E72A7">
        <w:rPr>
          <w:rStyle w:val="CommentReference"/>
          <w:rFonts w:ascii="Calibri" w:hAnsi="Calibri"/>
          <w:b w:val="0"/>
          <w:sz w:val="24"/>
          <w:szCs w:val="22"/>
        </w:rPr>
        <w:t>,</w:t>
      </w:r>
      <w:r w:rsidR="00DB6CFC" w:rsidRPr="006E72A7">
        <w:rPr>
          <w:rStyle w:val="CommentReference"/>
          <w:rFonts w:ascii="Calibri" w:hAnsi="Calibri"/>
          <w:b w:val="0"/>
          <w:sz w:val="24"/>
          <w:szCs w:val="22"/>
        </w:rPr>
        <w:t xml:space="preserve"> and that</w:t>
      </w:r>
      <w:r w:rsidR="00CC2A3D" w:rsidRPr="006E72A7">
        <w:rPr>
          <w:rFonts w:asciiTheme="minorHAnsi" w:hAnsiTheme="minorHAnsi"/>
          <w:bCs/>
          <w:szCs w:val="24"/>
        </w:rPr>
        <w:t xml:space="preserve"> the 75 mg fortnightly dose during </w:t>
      </w:r>
      <w:r w:rsidR="004B71FC" w:rsidRPr="006E72A7">
        <w:rPr>
          <w:rFonts w:asciiTheme="minorHAnsi" w:hAnsiTheme="minorHAnsi"/>
          <w:bCs/>
          <w:szCs w:val="24"/>
        </w:rPr>
        <w:t>initial</w:t>
      </w:r>
      <w:r w:rsidR="00CC2A3D" w:rsidRPr="006E72A7">
        <w:rPr>
          <w:rFonts w:asciiTheme="minorHAnsi" w:hAnsiTheme="minorHAnsi"/>
          <w:bCs/>
          <w:szCs w:val="24"/>
        </w:rPr>
        <w:t xml:space="preserve"> treatment phases, up to 24 weeks, may result in reduced effectiveness when compared to the higher strengths of alirocumab. </w:t>
      </w:r>
      <w:r w:rsidR="00D93471" w:rsidRPr="006E72A7">
        <w:rPr>
          <w:rFonts w:asciiTheme="minorHAnsi" w:hAnsiTheme="minorHAnsi"/>
          <w:bCs/>
          <w:szCs w:val="24"/>
        </w:rPr>
        <w:t>The PBAC was also concerned about the robustness of the non-</w:t>
      </w:r>
      <w:r w:rsidR="004B71FC" w:rsidRPr="006E72A7">
        <w:rPr>
          <w:rFonts w:asciiTheme="minorHAnsi" w:hAnsiTheme="minorHAnsi"/>
          <w:bCs/>
          <w:szCs w:val="24"/>
        </w:rPr>
        <w:t>inferiority</w:t>
      </w:r>
      <w:r w:rsidR="00D93471" w:rsidRPr="006E72A7">
        <w:rPr>
          <w:rFonts w:asciiTheme="minorHAnsi" w:hAnsiTheme="minorHAnsi"/>
          <w:bCs/>
          <w:szCs w:val="24"/>
        </w:rPr>
        <w:t xml:space="preserve"> claim given the wide confidence intervals and point estimates favouring evolocumab. </w:t>
      </w:r>
      <w:r w:rsidR="000B5F53" w:rsidRPr="006E72A7">
        <w:rPr>
          <w:rFonts w:asciiTheme="minorHAnsi" w:hAnsiTheme="minorHAnsi"/>
          <w:bCs/>
          <w:szCs w:val="24"/>
        </w:rPr>
        <w:t>T</w:t>
      </w:r>
      <w:r w:rsidR="00D93471" w:rsidRPr="006E72A7">
        <w:rPr>
          <w:rFonts w:asciiTheme="minorHAnsi" w:hAnsiTheme="minorHAnsi"/>
          <w:bCs/>
          <w:szCs w:val="24"/>
        </w:rPr>
        <w:t xml:space="preserve">he </w:t>
      </w:r>
      <w:r w:rsidR="000B5F53" w:rsidRPr="006E72A7">
        <w:rPr>
          <w:rFonts w:asciiTheme="minorHAnsi" w:hAnsiTheme="minorHAnsi"/>
          <w:bCs/>
          <w:szCs w:val="24"/>
        </w:rPr>
        <w:t>PBAC</w:t>
      </w:r>
      <w:r w:rsidR="00D93471" w:rsidRPr="006E72A7">
        <w:rPr>
          <w:rFonts w:asciiTheme="minorHAnsi" w:hAnsiTheme="minorHAnsi"/>
          <w:bCs/>
          <w:szCs w:val="24"/>
        </w:rPr>
        <w:t xml:space="preserve"> </w:t>
      </w:r>
      <w:r w:rsidR="008C6F99" w:rsidRPr="006E72A7">
        <w:rPr>
          <w:rFonts w:asciiTheme="minorHAnsi" w:hAnsiTheme="minorHAnsi"/>
          <w:bCs/>
          <w:szCs w:val="24"/>
        </w:rPr>
        <w:t>considered</w:t>
      </w:r>
      <w:r w:rsidR="000B5F53" w:rsidRPr="006E72A7">
        <w:rPr>
          <w:rFonts w:asciiTheme="minorHAnsi" w:hAnsiTheme="minorHAnsi"/>
          <w:bCs/>
          <w:szCs w:val="24"/>
        </w:rPr>
        <w:t xml:space="preserve"> alirocumab was less efficacious at</w:t>
      </w:r>
      <w:r w:rsidR="00D93471" w:rsidRPr="006E72A7">
        <w:rPr>
          <w:rFonts w:asciiTheme="minorHAnsi" w:hAnsiTheme="minorHAnsi"/>
          <w:bCs/>
          <w:szCs w:val="24"/>
        </w:rPr>
        <w:t xml:space="preserve"> </w:t>
      </w:r>
      <w:r w:rsidR="000B5F53" w:rsidRPr="006E72A7">
        <w:rPr>
          <w:rFonts w:asciiTheme="minorHAnsi" w:hAnsiTheme="minorHAnsi"/>
          <w:bCs/>
          <w:szCs w:val="24"/>
        </w:rPr>
        <w:t xml:space="preserve">the lower strength (75 mg fortnightly) but the uncertainty in the ITC did not preclude the option of cost-minimisation with evolocumab for the higher alirocumab strength (150 mg fortnightly). The PBAC concluded that </w:t>
      </w:r>
      <w:r w:rsidR="00AB2F60" w:rsidRPr="006E72A7">
        <w:rPr>
          <w:rFonts w:asciiTheme="minorHAnsi" w:hAnsiTheme="minorHAnsi"/>
          <w:bCs/>
          <w:szCs w:val="24"/>
        </w:rPr>
        <w:t>non-</w:t>
      </w:r>
      <w:r w:rsidR="004B71FC" w:rsidRPr="006E72A7">
        <w:rPr>
          <w:rFonts w:asciiTheme="minorHAnsi" w:hAnsiTheme="minorHAnsi"/>
          <w:bCs/>
          <w:szCs w:val="24"/>
        </w:rPr>
        <w:t>inferiority</w:t>
      </w:r>
      <w:r w:rsidR="00CC2A3D" w:rsidRPr="006E72A7">
        <w:rPr>
          <w:rFonts w:asciiTheme="minorHAnsi" w:hAnsiTheme="minorHAnsi"/>
          <w:bCs/>
          <w:szCs w:val="24"/>
        </w:rPr>
        <w:t xml:space="preserve"> </w:t>
      </w:r>
      <w:r w:rsidR="00AB2F60" w:rsidRPr="006E72A7">
        <w:rPr>
          <w:rFonts w:asciiTheme="minorHAnsi" w:hAnsiTheme="minorHAnsi"/>
          <w:bCs/>
          <w:szCs w:val="24"/>
        </w:rPr>
        <w:t xml:space="preserve">could only be supported for the </w:t>
      </w:r>
      <w:r w:rsidR="004B71FC" w:rsidRPr="006E72A7">
        <w:rPr>
          <w:rFonts w:asciiTheme="minorHAnsi" w:hAnsiTheme="minorHAnsi"/>
          <w:bCs/>
          <w:szCs w:val="24"/>
        </w:rPr>
        <w:t>up titrated</w:t>
      </w:r>
      <w:r w:rsidR="00AB2F60" w:rsidRPr="006E72A7">
        <w:rPr>
          <w:rFonts w:asciiTheme="minorHAnsi" w:hAnsiTheme="minorHAnsi"/>
          <w:bCs/>
          <w:szCs w:val="24"/>
        </w:rPr>
        <w:t xml:space="preserve"> dose of 150 mg fortnightly rather than on the analyses with the</w:t>
      </w:r>
      <w:r w:rsidR="00CC2A3D" w:rsidRPr="006E72A7">
        <w:rPr>
          <w:rFonts w:asciiTheme="minorHAnsi" w:hAnsiTheme="minorHAnsi"/>
          <w:bCs/>
          <w:szCs w:val="24"/>
        </w:rPr>
        <w:t xml:space="preserve"> pool</w:t>
      </w:r>
      <w:r w:rsidR="00AB2F60" w:rsidRPr="006E72A7">
        <w:rPr>
          <w:rFonts w:asciiTheme="minorHAnsi" w:hAnsiTheme="minorHAnsi"/>
          <w:bCs/>
          <w:szCs w:val="24"/>
        </w:rPr>
        <w:t>ed</w:t>
      </w:r>
      <w:r w:rsidR="00CC2A3D" w:rsidRPr="006E72A7">
        <w:rPr>
          <w:rFonts w:asciiTheme="minorHAnsi" w:hAnsiTheme="minorHAnsi"/>
          <w:bCs/>
          <w:szCs w:val="24"/>
        </w:rPr>
        <w:t xml:space="preserve"> doses of alirocumab</w:t>
      </w:r>
      <w:r w:rsidR="008C6F99" w:rsidRPr="006E72A7">
        <w:rPr>
          <w:rFonts w:asciiTheme="minorHAnsi" w:hAnsiTheme="minorHAnsi"/>
          <w:bCs/>
          <w:szCs w:val="24"/>
        </w:rPr>
        <w:t xml:space="preserve">. </w:t>
      </w:r>
    </w:p>
    <w:p w:rsidR="007B5EC2" w:rsidRPr="00F97FC8" w:rsidRDefault="00E01840"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advised </w:t>
      </w:r>
      <w:r w:rsidR="003E4F76" w:rsidRPr="00F97FC8">
        <w:rPr>
          <w:rFonts w:asciiTheme="minorHAnsi" w:hAnsiTheme="minorHAnsi"/>
          <w:bCs/>
          <w:szCs w:val="24"/>
        </w:rPr>
        <w:t xml:space="preserve">that alirocumab 150 mg fortnightly </w:t>
      </w:r>
      <w:r w:rsidR="007B5EC2" w:rsidRPr="00F97FC8">
        <w:rPr>
          <w:rFonts w:asciiTheme="minorHAnsi" w:hAnsiTheme="minorHAnsi"/>
          <w:bCs/>
          <w:szCs w:val="24"/>
        </w:rPr>
        <w:t xml:space="preserve">is equi-effective to evolocumab 140 mg fortnightly or 420 mg monthly. The PBAC, whilst noting the sponsor’s request for flat pricing, advised that a tiered pricing structure </w:t>
      </w:r>
      <w:r w:rsidR="00D53071" w:rsidRPr="00F97FC8">
        <w:rPr>
          <w:rFonts w:asciiTheme="minorHAnsi" w:hAnsiTheme="minorHAnsi"/>
          <w:bCs/>
          <w:szCs w:val="24"/>
        </w:rPr>
        <w:t xml:space="preserve">reflecting the recommended equi-effective doses would be appropriate </w:t>
      </w:r>
      <w:r w:rsidR="007B5EC2" w:rsidRPr="00F97FC8">
        <w:rPr>
          <w:rFonts w:asciiTheme="minorHAnsi" w:hAnsiTheme="minorHAnsi"/>
          <w:bCs/>
          <w:szCs w:val="24"/>
        </w:rPr>
        <w:t xml:space="preserve">in light of the </w:t>
      </w:r>
      <w:r w:rsidR="004B71FC" w:rsidRPr="00F97FC8">
        <w:rPr>
          <w:rFonts w:asciiTheme="minorHAnsi" w:hAnsiTheme="minorHAnsi"/>
          <w:bCs/>
          <w:szCs w:val="24"/>
        </w:rPr>
        <w:t>uncertainty</w:t>
      </w:r>
      <w:r w:rsidR="007B5EC2" w:rsidRPr="00F97FC8">
        <w:rPr>
          <w:rFonts w:asciiTheme="minorHAnsi" w:hAnsiTheme="minorHAnsi"/>
          <w:bCs/>
          <w:szCs w:val="24"/>
        </w:rPr>
        <w:t xml:space="preserve"> with the lower doses of alirocumab (75 mg fortnightly or 300 mg monthly). </w:t>
      </w:r>
    </w:p>
    <w:p w:rsidR="00F33036" w:rsidRPr="006E72A7" w:rsidRDefault="00CC2A3D"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noted that no </w:t>
      </w:r>
      <w:r w:rsidR="00D700D4" w:rsidRPr="006E72A7">
        <w:rPr>
          <w:rFonts w:asciiTheme="minorHAnsi" w:hAnsiTheme="minorHAnsi"/>
          <w:bCs/>
          <w:szCs w:val="24"/>
        </w:rPr>
        <w:t>significant safety issues were ide</w:t>
      </w:r>
      <w:r w:rsidR="007E0FB2" w:rsidRPr="006E72A7">
        <w:rPr>
          <w:rFonts w:asciiTheme="minorHAnsi" w:hAnsiTheme="minorHAnsi"/>
          <w:bCs/>
          <w:szCs w:val="24"/>
        </w:rPr>
        <w:t xml:space="preserve">ntified, with </w:t>
      </w:r>
      <w:r w:rsidR="00D700D4" w:rsidRPr="006E72A7">
        <w:rPr>
          <w:rFonts w:asciiTheme="minorHAnsi" w:hAnsiTheme="minorHAnsi"/>
          <w:bCs/>
          <w:szCs w:val="24"/>
        </w:rPr>
        <w:t>inj</w:t>
      </w:r>
      <w:r w:rsidR="007E0FB2" w:rsidRPr="006E72A7">
        <w:rPr>
          <w:rFonts w:asciiTheme="minorHAnsi" w:hAnsiTheme="minorHAnsi"/>
          <w:bCs/>
          <w:szCs w:val="24"/>
        </w:rPr>
        <w:t>ection site reactions being minor</w:t>
      </w:r>
      <w:r w:rsidR="00D700D4" w:rsidRPr="006E72A7">
        <w:rPr>
          <w:rFonts w:asciiTheme="minorHAnsi" w:hAnsiTheme="minorHAnsi"/>
          <w:bCs/>
          <w:szCs w:val="24"/>
        </w:rPr>
        <w:t xml:space="preserve">, and therefore </w:t>
      </w:r>
      <w:r w:rsidR="004B71FC" w:rsidRPr="006E72A7">
        <w:rPr>
          <w:rFonts w:asciiTheme="minorHAnsi" w:hAnsiTheme="minorHAnsi"/>
          <w:bCs/>
          <w:szCs w:val="24"/>
        </w:rPr>
        <w:t>considered</w:t>
      </w:r>
      <w:r w:rsidR="00D700D4" w:rsidRPr="006E72A7">
        <w:rPr>
          <w:rFonts w:asciiTheme="minorHAnsi" w:hAnsiTheme="minorHAnsi"/>
          <w:bCs/>
          <w:szCs w:val="24"/>
        </w:rPr>
        <w:t xml:space="preserve"> that non-inferior safety of alirocumab vers</w:t>
      </w:r>
      <w:r w:rsidR="007E0FB2" w:rsidRPr="006E72A7">
        <w:rPr>
          <w:rFonts w:asciiTheme="minorHAnsi" w:hAnsiTheme="minorHAnsi"/>
          <w:bCs/>
          <w:szCs w:val="24"/>
        </w:rPr>
        <w:t xml:space="preserve">us evolocumab was reasonable. </w:t>
      </w:r>
    </w:p>
    <w:p w:rsidR="000B5F53" w:rsidRPr="006E72A7" w:rsidRDefault="000B5F53"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lastRenderedPageBreak/>
        <w:t>The PBA</w:t>
      </w:r>
      <w:r w:rsidR="00645EB8" w:rsidRPr="006E72A7">
        <w:rPr>
          <w:rFonts w:asciiTheme="minorHAnsi" w:hAnsiTheme="minorHAnsi"/>
          <w:bCs/>
          <w:szCs w:val="24"/>
        </w:rPr>
        <w:t>C</w:t>
      </w:r>
      <w:r w:rsidRPr="006E72A7">
        <w:rPr>
          <w:rFonts w:asciiTheme="minorHAnsi" w:hAnsiTheme="minorHAnsi"/>
          <w:bCs/>
          <w:szCs w:val="24"/>
        </w:rPr>
        <w:t xml:space="preserve"> </w:t>
      </w:r>
      <w:r w:rsidR="0063551F" w:rsidRPr="006E72A7">
        <w:rPr>
          <w:rFonts w:asciiTheme="minorHAnsi" w:hAnsiTheme="minorHAnsi"/>
          <w:bCs/>
          <w:szCs w:val="24"/>
        </w:rPr>
        <w:t>noted the DUSC concerns about u</w:t>
      </w:r>
      <w:r w:rsidRPr="006E72A7">
        <w:rPr>
          <w:rFonts w:asciiTheme="minorHAnsi" w:hAnsiTheme="minorHAnsi"/>
          <w:bCs/>
          <w:szCs w:val="24"/>
        </w:rPr>
        <w:t>n</w:t>
      </w:r>
      <w:r w:rsidR="0063551F" w:rsidRPr="006E72A7">
        <w:rPr>
          <w:rFonts w:asciiTheme="minorHAnsi" w:hAnsiTheme="minorHAnsi"/>
          <w:bCs/>
          <w:szCs w:val="24"/>
        </w:rPr>
        <w:t>d</w:t>
      </w:r>
      <w:r w:rsidRPr="006E72A7">
        <w:rPr>
          <w:rFonts w:asciiTheme="minorHAnsi" w:hAnsiTheme="minorHAnsi"/>
          <w:bCs/>
          <w:szCs w:val="24"/>
        </w:rPr>
        <w:t>erestimat</w:t>
      </w:r>
      <w:r w:rsidR="00645EB8" w:rsidRPr="006E72A7">
        <w:rPr>
          <w:rFonts w:asciiTheme="minorHAnsi" w:hAnsiTheme="minorHAnsi"/>
          <w:bCs/>
          <w:szCs w:val="24"/>
        </w:rPr>
        <w:t>ion of</w:t>
      </w:r>
      <w:r w:rsidRPr="006E72A7">
        <w:rPr>
          <w:rFonts w:asciiTheme="minorHAnsi" w:hAnsiTheme="minorHAnsi"/>
          <w:bCs/>
          <w:szCs w:val="24"/>
        </w:rPr>
        <w:t xml:space="preserve"> the</w:t>
      </w:r>
      <w:r w:rsidR="00645EB8" w:rsidRPr="006E72A7">
        <w:rPr>
          <w:rFonts w:asciiTheme="minorHAnsi" w:hAnsiTheme="minorHAnsi"/>
          <w:bCs/>
          <w:szCs w:val="24"/>
        </w:rPr>
        <w:t xml:space="preserve"> he-FH population and considered alirocumab should join the evolocumab risk sharing arrangement</w:t>
      </w:r>
      <w:r w:rsidR="00DE2F92" w:rsidRPr="006E72A7">
        <w:rPr>
          <w:rFonts w:asciiTheme="minorHAnsi" w:hAnsiTheme="minorHAnsi"/>
          <w:bCs/>
          <w:szCs w:val="24"/>
        </w:rPr>
        <w:t xml:space="preserve"> and that there should be no </w:t>
      </w:r>
      <w:r w:rsidR="003E1BF0" w:rsidRPr="006E72A7">
        <w:rPr>
          <w:rFonts w:asciiTheme="minorHAnsi" w:hAnsiTheme="minorHAnsi"/>
          <w:bCs/>
          <w:szCs w:val="24"/>
        </w:rPr>
        <w:t>net cost to Government</w:t>
      </w:r>
      <w:r w:rsidR="00645EB8" w:rsidRPr="006E72A7">
        <w:rPr>
          <w:rFonts w:asciiTheme="minorHAnsi" w:hAnsiTheme="minorHAnsi"/>
          <w:bCs/>
          <w:szCs w:val="24"/>
        </w:rPr>
        <w:t>.</w:t>
      </w:r>
      <w:r w:rsidRPr="006E72A7">
        <w:rPr>
          <w:rFonts w:asciiTheme="minorHAnsi" w:hAnsiTheme="minorHAnsi"/>
          <w:bCs/>
          <w:szCs w:val="24"/>
        </w:rPr>
        <w:t xml:space="preserve"> </w:t>
      </w:r>
    </w:p>
    <w:p w:rsidR="00D700D4" w:rsidRPr="006E72A7" w:rsidRDefault="00D700D4"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advised that, like evolocumab, alirocumab is not suitable for prescribing by Nurse </w:t>
      </w:r>
      <w:r w:rsidR="00DE2F92" w:rsidRPr="006E72A7">
        <w:rPr>
          <w:rFonts w:asciiTheme="minorHAnsi" w:hAnsiTheme="minorHAnsi"/>
          <w:bCs/>
          <w:szCs w:val="24"/>
        </w:rPr>
        <w:t>Practitioners</w:t>
      </w:r>
      <w:r w:rsidRPr="006E72A7">
        <w:rPr>
          <w:rFonts w:asciiTheme="minorHAnsi" w:hAnsiTheme="minorHAnsi"/>
          <w:bCs/>
          <w:szCs w:val="24"/>
        </w:rPr>
        <w:t xml:space="preserve">. </w:t>
      </w:r>
    </w:p>
    <w:p w:rsidR="00D700D4" w:rsidRPr="006E72A7" w:rsidRDefault="00D700D4"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advised that alirocumab should not be exempt fro</w:t>
      </w:r>
      <w:r w:rsidR="00DE2F92" w:rsidRPr="006E72A7">
        <w:rPr>
          <w:rFonts w:asciiTheme="minorHAnsi" w:hAnsiTheme="minorHAnsi"/>
          <w:bCs/>
          <w:szCs w:val="24"/>
        </w:rPr>
        <w:t>m</w:t>
      </w:r>
      <w:r w:rsidRPr="006E72A7">
        <w:rPr>
          <w:rFonts w:asciiTheme="minorHAnsi" w:hAnsiTheme="minorHAnsi"/>
          <w:bCs/>
          <w:szCs w:val="24"/>
        </w:rPr>
        <w:t xml:space="preserve"> the Early Supply Rule.</w:t>
      </w:r>
    </w:p>
    <w:p w:rsidR="00D700D4" w:rsidRPr="006E72A7" w:rsidRDefault="00D700D4"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advised, under section 101 (3BA) of the National Health Act</w:t>
      </w:r>
      <w:r w:rsidR="007D4042" w:rsidRPr="006E72A7">
        <w:rPr>
          <w:rFonts w:asciiTheme="minorHAnsi" w:hAnsiTheme="minorHAnsi"/>
          <w:bCs/>
          <w:szCs w:val="24"/>
        </w:rPr>
        <w:t>,</w:t>
      </w:r>
      <w:r w:rsidRPr="006E72A7">
        <w:rPr>
          <w:rFonts w:asciiTheme="minorHAnsi" w:hAnsiTheme="minorHAnsi"/>
          <w:bCs/>
          <w:szCs w:val="24"/>
        </w:rPr>
        <w:t xml:space="preserve"> that alirocumab </w:t>
      </w:r>
      <w:r w:rsidR="00425E14" w:rsidRPr="006E72A7">
        <w:rPr>
          <w:rFonts w:asciiTheme="minorHAnsi" w:hAnsiTheme="minorHAnsi"/>
          <w:bCs/>
          <w:szCs w:val="24"/>
        </w:rPr>
        <w:t>should be treated as interchangeable on an individual patient basis with evolocumab</w:t>
      </w:r>
      <w:r w:rsidR="00B4463E">
        <w:rPr>
          <w:rFonts w:asciiTheme="minorHAnsi" w:hAnsiTheme="minorHAnsi"/>
          <w:bCs/>
          <w:szCs w:val="24"/>
        </w:rPr>
        <w:t xml:space="preserve"> at the recommended equi-effective doses of </w:t>
      </w:r>
      <w:r w:rsidR="00B4463E" w:rsidRPr="00F97FC8">
        <w:rPr>
          <w:rFonts w:asciiTheme="minorHAnsi" w:hAnsiTheme="minorHAnsi"/>
          <w:bCs/>
          <w:szCs w:val="24"/>
        </w:rPr>
        <w:t xml:space="preserve">alirocumab 150 mg fortnightly </w:t>
      </w:r>
      <w:r w:rsidR="00B4463E">
        <w:rPr>
          <w:rFonts w:asciiTheme="minorHAnsi" w:hAnsiTheme="minorHAnsi"/>
          <w:bCs/>
          <w:szCs w:val="24"/>
        </w:rPr>
        <w:t>being</w:t>
      </w:r>
      <w:r w:rsidR="00B4463E" w:rsidRPr="00F97FC8">
        <w:rPr>
          <w:rFonts w:asciiTheme="minorHAnsi" w:hAnsiTheme="minorHAnsi"/>
          <w:bCs/>
          <w:szCs w:val="24"/>
        </w:rPr>
        <w:t xml:space="preserve"> equi-effective to evolocumab 140 mg fortnightly or 420 mg monthly</w:t>
      </w:r>
      <w:r w:rsidR="00425E14" w:rsidRPr="006E72A7">
        <w:rPr>
          <w:rFonts w:asciiTheme="minorHAnsi" w:hAnsiTheme="minorHAnsi"/>
          <w:bCs/>
          <w:szCs w:val="24"/>
        </w:rPr>
        <w:t xml:space="preserve">. </w:t>
      </w:r>
    </w:p>
    <w:p w:rsidR="00DD4DF0" w:rsidRPr="006E72A7" w:rsidRDefault="00DD4DF0" w:rsidP="00FD355F">
      <w:pPr>
        <w:widowControl/>
        <w:spacing w:before="120" w:after="120"/>
        <w:jc w:val="left"/>
        <w:rPr>
          <w:rFonts w:asciiTheme="minorHAnsi" w:hAnsiTheme="minorHAnsi"/>
          <w:b/>
          <w:bCs/>
          <w:szCs w:val="24"/>
        </w:rPr>
      </w:pPr>
      <w:r w:rsidRPr="006E72A7">
        <w:rPr>
          <w:rFonts w:asciiTheme="minorHAnsi" w:hAnsiTheme="minorHAnsi"/>
          <w:b/>
          <w:bCs/>
          <w:szCs w:val="24"/>
        </w:rPr>
        <w:t>Outcome:</w:t>
      </w:r>
    </w:p>
    <w:p w:rsidR="00DD4DF0" w:rsidRPr="006E72A7" w:rsidRDefault="00DD4DF0" w:rsidP="00FD355F">
      <w:pPr>
        <w:widowControl/>
        <w:spacing w:before="120" w:after="120"/>
        <w:rPr>
          <w:rFonts w:asciiTheme="minorHAnsi" w:hAnsiTheme="minorHAnsi"/>
          <w:bCs/>
          <w:szCs w:val="24"/>
        </w:rPr>
      </w:pPr>
      <w:r w:rsidRPr="006E72A7">
        <w:rPr>
          <w:rFonts w:asciiTheme="minorHAnsi" w:hAnsiTheme="minorHAnsi"/>
          <w:bCs/>
          <w:szCs w:val="24"/>
        </w:rPr>
        <w:t>R</w:t>
      </w:r>
      <w:r w:rsidR="007D08C8" w:rsidRPr="006E72A7">
        <w:rPr>
          <w:rFonts w:asciiTheme="minorHAnsi" w:hAnsiTheme="minorHAnsi"/>
          <w:bCs/>
          <w:szCs w:val="24"/>
        </w:rPr>
        <w:t>ecommended</w:t>
      </w:r>
    </w:p>
    <w:p w:rsidR="00944C66" w:rsidRPr="006E72A7" w:rsidRDefault="00944C66" w:rsidP="00FD355F">
      <w:pPr>
        <w:widowControl/>
        <w:spacing w:before="120" w:after="120"/>
        <w:jc w:val="left"/>
        <w:rPr>
          <w:rFonts w:asciiTheme="minorHAnsi" w:hAnsiTheme="minorHAnsi"/>
          <w:b/>
          <w:bCs/>
          <w:i/>
          <w:sz w:val="28"/>
          <w:szCs w:val="28"/>
        </w:rPr>
      </w:pPr>
      <w:r w:rsidRPr="006E72A7">
        <w:rPr>
          <w:rFonts w:asciiTheme="minorHAnsi" w:hAnsiTheme="minorHAnsi"/>
          <w:b/>
          <w:bCs/>
          <w:i/>
          <w:sz w:val="28"/>
          <w:szCs w:val="28"/>
        </w:rPr>
        <w:t>Non-Familial hype</w:t>
      </w:r>
      <w:r w:rsidR="007D08C8" w:rsidRPr="006E72A7">
        <w:rPr>
          <w:rFonts w:asciiTheme="minorHAnsi" w:hAnsiTheme="minorHAnsi"/>
          <w:b/>
          <w:bCs/>
          <w:i/>
          <w:sz w:val="28"/>
          <w:szCs w:val="28"/>
        </w:rPr>
        <w:t xml:space="preserve">rcholesterolaemia (non-FH) with acute coronary syndrome (ACS) and diabetes </w:t>
      </w:r>
    </w:p>
    <w:p w:rsidR="006F24E8" w:rsidRPr="002D0859" w:rsidRDefault="006F24E8"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acknowledged there is a high unmet clinical n</w:t>
      </w:r>
      <w:r w:rsidR="005B38FB" w:rsidRPr="006E72A7">
        <w:rPr>
          <w:rFonts w:asciiTheme="minorHAnsi" w:hAnsiTheme="minorHAnsi"/>
          <w:bCs/>
          <w:szCs w:val="24"/>
        </w:rPr>
        <w:t>eed for patients with non-FH with</w:t>
      </w:r>
      <w:r w:rsidRPr="006E72A7">
        <w:rPr>
          <w:rFonts w:asciiTheme="minorHAnsi" w:hAnsiTheme="minorHAnsi"/>
          <w:bCs/>
          <w:szCs w:val="24"/>
        </w:rPr>
        <w:t xml:space="preserve"> high cardiovascular risk who are not adequately controlled with available lipid-lowering therapies, but considered that this population remains inadequately defined. </w:t>
      </w:r>
      <w:r w:rsidRPr="002D0859">
        <w:rPr>
          <w:rFonts w:asciiTheme="minorHAnsi" w:hAnsiTheme="minorHAnsi"/>
          <w:bCs/>
          <w:szCs w:val="24"/>
        </w:rPr>
        <w:t>The</w:t>
      </w:r>
      <w:r w:rsidR="007E0FB2" w:rsidRPr="002D0859">
        <w:rPr>
          <w:rFonts w:asciiTheme="minorHAnsi" w:hAnsiTheme="minorHAnsi"/>
          <w:bCs/>
          <w:szCs w:val="24"/>
        </w:rPr>
        <w:t xml:space="preserve"> PBAC </w:t>
      </w:r>
      <w:r w:rsidR="001E59C4" w:rsidRPr="002D0859">
        <w:rPr>
          <w:rFonts w:asciiTheme="minorHAnsi" w:hAnsiTheme="minorHAnsi"/>
          <w:bCs/>
          <w:szCs w:val="24"/>
        </w:rPr>
        <w:t>reiterated</w:t>
      </w:r>
      <w:r w:rsidR="007E0FB2" w:rsidRPr="002D0859">
        <w:rPr>
          <w:rFonts w:asciiTheme="minorHAnsi" w:hAnsiTheme="minorHAnsi"/>
          <w:bCs/>
          <w:szCs w:val="24"/>
        </w:rPr>
        <w:t xml:space="preserve"> its previous advice </w:t>
      </w:r>
      <w:r w:rsidRPr="002D0859">
        <w:rPr>
          <w:rFonts w:asciiTheme="minorHAnsi" w:hAnsiTheme="minorHAnsi"/>
          <w:bCs/>
          <w:szCs w:val="24"/>
        </w:rPr>
        <w:t xml:space="preserve">that a PBS restriction for the non-FH population would require specific definitions of ASCVD and statin intolerance. </w:t>
      </w:r>
    </w:p>
    <w:p w:rsidR="001A347B" w:rsidRPr="002D0859" w:rsidRDefault="001A347B" w:rsidP="00FD355F">
      <w:pPr>
        <w:widowControl/>
        <w:numPr>
          <w:ilvl w:val="1"/>
          <w:numId w:val="1"/>
        </w:numPr>
        <w:spacing w:before="120" w:after="120"/>
        <w:rPr>
          <w:rFonts w:asciiTheme="minorHAnsi" w:hAnsiTheme="minorHAnsi"/>
          <w:bCs/>
          <w:szCs w:val="24"/>
        </w:rPr>
      </w:pPr>
      <w:r w:rsidRPr="002D0859">
        <w:rPr>
          <w:rFonts w:asciiTheme="minorHAnsi" w:hAnsiTheme="minorHAnsi"/>
          <w:bCs/>
          <w:szCs w:val="24"/>
        </w:rPr>
        <w:t>The PBAC considered the subgroup identified in this submission with ACS</w:t>
      </w:r>
      <w:r w:rsidR="00FB7238" w:rsidRPr="002D0859">
        <w:rPr>
          <w:rFonts w:asciiTheme="minorHAnsi" w:hAnsiTheme="minorHAnsi"/>
          <w:bCs/>
          <w:szCs w:val="24"/>
        </w:rPr>
        <w:t xml:space="preserve"> (previous ACS and recent ACS)</w:t>
      </w:r>
      <w:r w:rsidRPr="002D0859">
        <w:rPr>
          <w:rFonts w:asciiTheme="minorHAnsi" w:hAnsiTheme="minorHAnsi"/>
          <w:bCs/>
          <w:szCs w:val="24"/>
        </w:rPr>
        <w:t xml:space="preserve">, diabetes and LDL-C </w:t>
      </w:r>
      <w:r w:rsidRPr="002D0859">
        <w:t>≥ 2.6 mmol/L</w:t>
      </w:r>
      <w:r w:rsidRPr="002D0859">
        <w:rPr>
          <w:rFonts w:asciiTheme="minorHAnsi" w:hAnsiTheme="minorHAnsi"/>
          <w:bCs/>
          <w:szCs w:val="24"/>
        </w:rPr>
        <w:t xml:space="preserve"> were at relatively high risk of a CV event compared to the broader ITT population in the ODYSSEY OUTCOMES </w:t>
      </w:r>
      <w:r w:rsidR="009C3090" w:rsidRPr="002D0859">
        <w:rPr>
          <w:rFonts w:asciiTheme="minorHAnsi" w:hAnsiTheme="minorHAnsi"/>
          <w:bCs/>
          <w:szCs w:val="24"/>
        </w:rPr>
        <w:t>trial</w:t>
      </w:r>
      <w:r w:rsidRPr="002D0859">
        <w:rPr>
          <w:rFonts w:asciiTheme="minorHAnsi" w:hAnsiTheme="minorHAnsi"/>
          <w:bCs/>
          <w:szCs w:val="24"/>
        </w:rPr>
        <w:t xml:space="preserve">. However, </w:t>
      </w:r>
      <w:r w:rsidR="009C3090" w:rsidRPr="002D0859">
        <w:rPr>
          <w:rFonts w:asciiTheme="minorHAnsi" w:hAnsiTheme="minorHAnsi"/>
          <w:bCs/>
          <w:szCs w:val="24"/>
        </w:rPr>
        <w:t>a</w:t>
      </w:r>
      <w:r w:rsidRPr="002D0859">
        <w:rPr>
          <w:rFonts w:asciiTheme="minorHAnsi" w:hAnsiTheme="minorHAnsi"/>
          <w:bCs/>
          <w:szCs w:val="24"/>
        </w:rPr>
        <w:t xml:space="preserve"> more directly defined </w:t>
      </w:r>
      <w:r w:rsidR="009C3090" w:rsidRPr="002D0859">
        <w:rPr>
          <w:rFonts w:asciiTheme="minorHAnsi" w:hAnsiTheme="minorHAnsi"/>
          <w:bCs/>
          <w:szCs w:val="24"/>
        </w:rPr>
        <w:t>population</w:t>
      </w:r>
      <w:r w:rsidRPr="002D0859">
        <w:rPr>
          <w:rFonts w:asciiTheme="minorHAnsi" w:hAnsiTheme="minorHAnsi"/>
          <w:bCs/>
          <w:szCs w:val="24"/>
        </w:rPr>
        <w:t xml:space="preserve"> </w:t>
      </w:r>
      <w:r w:rsidR="009C3090" w:rsidRPr="002D0859">
        <w:rPr>
          <w:rFonts w:asciiTheme="minorHAnsi" w:hAnsiTheme="minorHAnsi"/>
          <w:bCs/>
          <w:szCs w:val="24"/>
        </w:rPr>
        <w:t xml:space="preserve">at </w:t>
      </w:r>
      <w:r w:rsidRPr="002D0859">
        <w:rPr>
          <w:rFonts w:asciiTheme="minorHAnsi" w:hAnsiTheme="minorHAnsi"/>
          <w:bCs/>
          <w:szCs w:val="24"/>
        </w:rPr>
        <w:t xml:space="preserve">high CV risk, </w:t>
      </w:r>
      <w:r w:rsidR="00304662" w:rsidRPr="002D0859">
        <w:rPr>
          <w:rFonts w:asciiTheme="minorHAnsi" w:hAnsiTheme="minorHAnsi"/>
          <w:bCs/>
          <w:szCs w:val="24"/>
        </w:rPr>
        <w:t>considered to be</w:t>
      </w:r>
      <w:r w:rsidR="009C3090" w:rsidRPr="002D0859">
        <w:rPr>
          <w:rFonts w:asciiTheme="minorHAnsi" w:hAnsiTheme="minorHAnsi"/>
          <w:bCs/>
          <w:szCs w:val="24"/>
        </w:rPr>
        <w:t xml:space="preserve"> an</w:t>
      </w:r>
      <w:r w:rsidRPr="002D0859">
        <w:rPr>
          <w:rFonts w:asciiTheme="minorHAnsi" w:hAnsiTheme="minorHAnsi"/>
          <w:bCs/>
          <w:szCs w:val="24"/>
        </w:rPr>
        <w:t xml:space="preserve"> approximate </w:t>
      </w:r>
      <w:r w:rsidR="00304662" w:rsidRPr="002D0859">
        <w:rPr>
          <w:rFonts w:asciiTheme="minorHAnsi" w:hAnsiTheme="minorHAnsi"/>
          <w:bCs/>
          <w:szCs w:val="24"/>
        </w:rPr>
        <w:t>25</w:t>
      </w:r>
      <w:r w:rsidRPr="002D0859">
        <w:rPr>
          <w:rFonts w:asciiTheme="minorHAnsi" w:hAnsiTheme="minorHAnsi"/>
          <w:bCs/>
          <w:szCs w:val="24"/>
        </w:rPr>
        <w:t xml:space="preserve">% risk of a major CV event over </w:t>
      </w:r>
      <w:r w:rsidR="00304662" w:rsidRPr="002D0859">
        <w:rPr>
          <w:rFonts w:asciiTheme="minorHAnsi" w:hAnsiTheme="minorHAnsi"/>
          <w:bCs/>
          <w:szCs w:val="24"/>
        </w:rPr>
        <w:t>3</w:t>
      </w:r>
      <w:r w:rsidRPr="002D0859">
        <w:rPr>
          <w:rFonts w:asciiTheme="minorHAnsi" w:hAnsiTheme="minorHAnsi"/>
          <w:bCs/>
          <w:szCs w:val="24"/>
        </w:rPr>
        <w:t xml:space="preserve"> years</w:t>
      </w:r>
      <w:r w:rsidR="009C3090" w:rsidRPr="002D0859">
        <w:rPr>
          <w:rFonts w:asciiTheme="minorHAnsi" w:hAnsiTheme="minorHAnsi"/>
          <w:bCs/>
          <w:szCs w:val="24"/>
        </w:rPr>
        <w:t>,</w:t>
      </w:r>
      <w:r w:rsidRPr="002D0859">
        <w:rPr>
          <w:rFonts w:asciiTheme="minorHAnsi" w:hAnsiTheme="minorHAnsi"/>
          <w:bCs/>
          <w:szCs w:val="24"/>
        </w:rPr>
        <w:t xml:space="preserve"> should be the</w:t>
      </w:r>
      <w:r w:rsidR="009C3090" w:rsidRPr="002D0859">
        <w:rPr>
          <w:rFonts w:asciiTheme="minorHAnsi" w:hAnsiTheme="minorHAnsi"/>
          <w:bCs/>
          <w:szCs w:val="24"/>
        </w:rPr>
        <w:t xml:space="preserve"> identified. The PBAC suggested exploring outcomes and cost-effectiveness for patients </w:t>
      </w:r>
      <w:r w:rsidR="003E1BF0" w:rsidRPr="002D0859">
        <w:rPr>
          <w:rFonts w:asciiTheme="minorHAnsi" w:hAnsiTheme="minorHAnsi"/>
          <w:bCs/>
          <w:szCs w:val="24"/>
        </w:rPr>
        <w:t>who</w:t>
      </w:r>
      <w:r w:rsidR="00235264" w:rsidRPr="002D0859">
        <w:rPr>
          <w:rFonts w:asciiTheme="minorHAnsi" w:hAnsiTheme="minorHAnsi"/>
          <w:bCs/>
          <w:szCs w:val="24"/>
        </w:rPr>
        <w:t>:</w:t>
      </w:r>
      <w:r w:rsidR="003E1BF0" w:rsidRPr="002D0859">
        <w:rPr>
          <w:rFonts w:asciiTheme="minorHAnsi" w:hAnsiTheme="minorHAnsi"/>
          <w:bCs/>
          <w:szCs w:val="24"/>
        </w:rPr>
        <w:t xml:space="preserve"> have experienced ≥2 events in ≥2 </w:t>
      </w:r>
      <w:r w:rsidR="00235264" w:rsidRPr="002D0859">
        <w:rPr>
          <w:rFonts w:asciiTheme="minorHAnsi" w:hAnsiTheme="minorHAnsi"/>
          <w:bCs/>
          <w:szCs w:val="24"/>
        </w:rPr>
        <w:t xml:space="preserve">vascular </w:t>
      </w:r>
      <w:r w:rsidR="003E1BF0" w:rsidRPr="002D0859">
        <w:rPr>
          <w:rFonts w:asciiTheme="minorHAnsi" w:hAnsiTheme="minorHAnsi"/>
          <w:bCs/>
          <w:szCs w:val="24"/>
        </w:rPr>
        <w:t>territories</w:t>
      </w:r>
      <w:r w:rsidR="00FB7238" w:rsidRPr="002D0859">
        <w:rPr>
          <w:rFonts w:asciiTheme="minorHAnsi" w:hAnsiTheme="minorHAnsi"/>
          <w:bCs/>
          <w:szCs w:val="24"/>
        </w:rPr>
        <w:t xml:space="preserve"> over a short period of time</w:t>
      </w:r>
      <w:r w:rsidR="003E1BF0" w:rsidRPr="002D0859">
        <w:rPr>
          <w:rFonts w:asciiTheme="minorHAnsi" w:hAnsiTheme="minorHAnsi"/>
          <w:bCs/>
          <w:szCs w:val="24"/>
        </w:rPr>
        <w:t xml:space="preserve">; </w:t>
      </w:r>
      <w:r w:rsidR="00C17920" w:rsidRPr="002D0859">
        <w:rPr>
          <w:rFonts w:asciiTheme="minorHAnsi" w:hAnsiTheme="minorHAnsi"/>
          <w:bCs/>
          <w:szCs w:val="24"/>
        </w:rPr>
        <w:t>or</w:t>
      </w:r>
      <w:r w:rsidR="00CC4D3A" w:rsidRPr="002D0859">
        <w:rPr>
          <w:rFonts w:asciiTheme="minorHAnsi" w:hAnsiTheme="minorHAnsi"/>
          <w:bCs/>
          <w:szCs w:val="24"/>
        </w:rPr>
        <w:t xml:space="preserve"> </w:t>
      </w:r>
      <w:r w:rsidR="00235264" w:rsidRPr="002D0859">
        <w:rPr>
          <w:rFonts w:asciiTheme="minorHAnsi" w:hAnsiTheme="minorHAnsi"/>
          <w:bCs/>
          <w:szCs w:val="24"/>
        </w:rPr>
        <w:t xml:space="preserve">have </w:t>
      </w:r>
      <w:r w:rsidR="00FB7238" w:rsidRPr="002D0859">
        <w:rPr>
          <w:rFonts w:asciiTheme="minorHAnsi" w:hAnsiTheme="minorHAnsi"/>
          <w:bCs/>
          <w:szCs w:val="24"/>
        </w:rPr>
        <w:t>recent ACS</w:t>
      </w:r>
      <w:r w:rsidR="00235264" w:rsidRPr="002D0859">
        <w:rPr>
          <w:rFonts w:asciiTheme="minorHAnsi" w:hAnsiTheme="minorHAnsi"/>
          <w:bCs/>
          <w:szCs w:val="24"/>
        </w:rPr>
        <w:t xml:space="preserve"> and other high risk criteria such as </w:t>
      </w:r>
      <w:r w:rsidR="003E1BF0" w:rsidRPr="002D0859">
        <w:rPr>
          <w:rFonts w:asciiTheme="minorHAnsi" w:hAnsiTheme="minorHAnsi"/>
          <w:bCs/>
          <w:szCs w:val="24"/>
        </w:rPr>
        <w:t>diabetes mellitus</w:t>
      </w:r>
      <w:r w:rsidR="00235264" w:rsidRPr="002D0859">
        <w:rPr>
          <w:rFonts w:asciiTheme="minorHAnsi" w:hAnsiTheme="minorHAnsi"/>
          <w:bCs/>
          <w:szCs w:val="24"/>
        </w:rPr>
        <w:t>; or who have other combinations of high risk criteria such as those identified in the current PBS listing for ezetimibe.</w:t>
      </w:r>
      <w:r w:rsidR="00ED47F9" w:rsidRPr="002D0859">
        <w:rPr>
          <w:rFonts w:asciiTheme="minorHAnsi" w:hAnsiTheme="minorHAnsi"/>
          <w:bCs/>
          <w:szCs w:val="24"/>
        </w:rPr>
        <w:t xml:space="preserve"> The PBAC also considered that e</w:t>
      </w:r>
      <w:r w:rsidR="00235264" w:rsidRPr="002D0859">
        <w:rPr>
          <w:rFonts w:asciiTheme="minorHAnsi" w:hAnsiTheme="minorHAnsi"/>
          <w:bCs/>
          <w:szCs w:val="24"/>
        </w:rPr>
        <w:t>xploration of secondary prevention predictive models</w:t>
      </w:r>
      <w:r w:rsidR="00CC4D3A" w:rsidRPr="002D0859">
        <w:rPr>
          <w:rFonts w:asciiTheme="minorHAnsi" w:hAnsiTheme="minorHAnsi"/>
          <w:bCs/>
          <w:szCs w:val="24"/>
        </w:rPr>
        <w:t>, such as the PRE</w:t>
      </w:r>
      <w:r w:rsidR="00E07E47" w:rsidRPr="002D0859">
        <w:rPr>
          <w:rFonts w:asciiTheme="minorHAnsi" w:hAnsiTheme="minorHAnsi"/>
          <w:bCs/>
          <w:szCs w:val="24"/>
        </w:rPr>
        <w:t>D</w:t>
      </w:r>
      <w:r w:rsidR="00CC4D3A" w:rsidRPr="002D0859">
        <w:rPr>
          <w:rFonts w:asciiTheme="minorHAnsi" w:hAnsiTheme="minorHAnsi"/>
          <w:bCs/>
          <w:szCs w:val="24"/>
        </w:rPr>
        <w:t>ICT CVD secondary prevention score,</w:t>
      </w:r>
      <w:r w:rsidR="00235264" w:rsidRPr="002D0859">
        <w:rPr>
          <w:rFonts w:asciiTheme="minorHAnsi" w:hAnsiTheme="minorHAnsi"/>
          <w:bCs/>
          <w:szCs w:val="24"/>
        </w:rPr>
        <w:t xml:space="preserve"> that predict a risk </w:t>
      </w:r>
      <w:r w:rsidR="00B86876" w:rsidRPr="002D0859">
        <w:rPr>
          <w:rFonts w:asciiTheme="minorHAnsi" w:hAnsiTheme="minorHAnsi"/>
          <w:bCs/>
          <w:szCs w:val="24"/>
        </w:rPr>
        <w:t xml:space="preserve">of </w:t>
      </w:r>
      <w:r w:rsidR="00235264" w:rsidRPr="002D0859">
        <w:rPr>
          <w:rFonts w:asciiTheme="minorHAnsi" w:hAnsiTheme="minorHAnsi"/>
          <w:bCs/>
          <w:szCs w:val="24"/>
        </w:rPr>
        <w:t>&gt;25% over 3 years is an alternative or complementary approach.</w:t>
      </w:r>
    </w:p>
    <w:p w:rsidR="009072CF" w:rsidRPr="006E72A7" w:rsidRDefault="007E0FB2"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considered</w:t>
      </w:r>
      <w:r w:rsidR="00876F1E" w:rsidRPr="006E72A7">
        <w:rPr>
          <w:rFonts w:asciiTheme="minorHAnsi" w:hAnsiTheme="minorHAnsi"/>
          <w:bCs/>
          <w:szCs w:val="24"/>
        </w:rPr>
        <w:t xml:space="preserve"> placebo, the nominated main </w:t>
      </w:r>
      <w:r w:rsidRPr="006E72A7">
        <w:rPr>
          <w:rFonts w:asciiTheme="minorHAnsi" w:hAnsiTheme="minorHAnsi"/>
          <w:bCs/>
          <w:szCs w:val="24"/>
        </w:rPr>
        <w:t>comparator</w:t>
      </w:r>
      <w:r w:rsidR="00876F1E" w:rsidRPr="006E72A7">
        <w:rPr>
          <w:rFonts w:asciiTheme="minorHAnsi" w:hAnsiTheme="minorHAnsi"/>
          <w:bCs/>
          <w:szCs w:val="24"/>
        </w:rPr>
        <w:t xml:space="preserve"> in patients with non-FH with previous ACS and concomitant diabetes, to be appropriate. The PBAC agreed with the ESC that, whilst the resubmission did not consider evolocumab as a potential near market comparator, the ITC of the CV outcomes trials (in patients with non-FH) was informative</w:t>
      </w:r>
      <w:r w:rsidR="001E59C4" w:rsidRPr="006E72A7">
        <w:rPr>
          <w:rFonts w:asciiTheme="minorHAnsi" w:hAnsiTheme="minorHAnsi"/>
          <w:bCs/>
          <w:szCs w:val="24"/>
        </w:rPr>
        <w:t xml:space="preserve"> and in</w:t>
      </w:r>
      <w:r w:rsidR="001A347B" w:rsidRPr="006E72A7">
        <w:rPr>
          <w:rFonts w:asciiTheme="minorHAnsi" w:hAnsiTheme="minorHAnsi"/>
          <w:bCs/>
          <w:szCs w:val="24"/>
        </w:rPr>
        <w:t>dicated</w:t>
      </w:r>
      <w:r w:rsidR="001E59C4" w:rsidRPr="006E72A7">
        <w:rPr>
          <w:rFonts w:asciiTheme="minorHAnsi" w:hAnsiTheme="minorHAnsi"/>
          <w:bCs/>
          <w:szCs w:val="24"/>
        </w:rPr>
        <w:t xml:space="preserve"> similar </w:t>
      </w:r>
      <w:r w:rsidR="00DD5B5C" w:rsidRPr="006E72A7">
        <w:rPr>
          <w:rFonts w:asciiTheme="minorHAnsi" w:hAnsiTheme="minorHAnsi"/>
          <w:bCs/>
          <w:szCs w:val="24"/>
        </w:rPr>
        <w:t xml:space="preserve">results for the </w:t>
      </w:r>
      <w:r w:rsidR="001E59C4" w:rsidRPr="006E72A7">
        <w:rPr>
          <w:rFonts w:asciiTheme="minorHAnsi" w:hAnsiTheme="minorHAnsi"/>
          <w:bCs/>
          <w:szCs w:val="24"/>
        </w:rPr>
        <w:t>composite CV outcomes across the ODYSSEY OUTCOMES and FOURIER trials</w:t>
      </w:r>
      <w:r w:rsidR="006E72A7">
        <w:rPr>
          <w:rFonts w:asciiTheme="minorHAnsi" w:hAnsiTheme="minorHAnsi"/>
          <w:bCs/>
          <w:szCs w:val="24"/>
        </w:rPr>
        <w:t xml:space="preserve">. </w:t>
      </w:r>
    </w:p>
    <w:p w:rsidR="004D281D" w:rsidRPr="006E72A7" w:rsidRDefault="00C06411"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noted the ODYSSEY OUTCOMES trial provi</w:t>
      </w:r>
      <w:r w:rsidR="00581AAE" w:rsidRPr="006E72A7">
        <w:rPr>
          <w:rFonts w:asciiTheme="minorHAnsi" w:hAnsiTheme="minorHAnsi"/>
          <w:bCs/>
          <w:szCs w:val="24"/>
        </w:rPr>
        <w:t>ded direct outcomes data for the</w:t>
      </w:r>
      <w:r w:rsidRPr="006E72A7">
        <w:rPr>
          <w:rFonts w:asciiTheme="minorHAnsi" w:hAnsiTheme="minorHAnsi"/>
          <w:bCs/>
          <w:szCs w:val="24"/>
        </w:rPr>
        <w:t xml:space="preserve"> non-FH population and considered th</w:t>
      </w:r>
      <w:r w:rsidR="007D4042" w:rsidRPr="006E72A7">
        <w:rPr>
          <w:rFonts w:asciiTheme="minorHAnsi" w:hAnsiTheme="minorHAnsi"/>
          <w:bCs/>
          <w:szCs w:val="24"/>
        </w:rPr>
        <w:t xml:space="preserve">at the data </w:t>
      </w:r>
      <w:r w:rsidRPr="006E72A7">
        <w:rPr>
          <w:rFonts w:asciiTheme="minorHAnsi" w:hAnsiTheme="minorHAnsi"/>
          <w:bCs/>
          <w:szCs w:val="24"/>
        </w:rPr>
        <w:t>support</w:t>
      </w:r>
      <w:r w:rsidR="007D4042" w:rsidRPr="006E72A7">
        <w:rPr>
          <w:rFonts w:asciiTheme="minorHAnsi" w:hAnsiTheme="minorHAnsi"/>
          <w:bCs/>
          <w:szCs w:val="24"/>
        </w:rPr>
        <w:t>s</w:t>
      </w:r>
      <w:r w:rsidRPr="006E72A7">
        <w:rPr>
          <w:rFonts w:asciiTheme="minorHAnsi" w:hAnsiTheme="minorHAnsi"/>
          <w:bCs/>
          <w:szCs w:val="24"/>
        </w:rPr>
        <w:t xml:space="preserve"> the claim of s</w:t>
      </w:r>
      <w:r w:rsidR="00581AAE" w:rsidRPr="006E72A7">
        <w:rPr>
          <w:rFonts w:asciiTheme="minorHAnsi" w:hAnsiTheme="minorHAnsi"/>
          <w:bCs/>
          <w:szCs w:val="24"/>
        </w:rPr>
        <w:t xml:space="preserve">uperior efficacy versus placebo, despite some concerns over convergence in cardiovascular </w:t>
      </w:r>
      <w:r w:rsidR="00581AAE" w:rsidRPr="006E72A7">
        <w:rPr>
          <w:rFonts w:asciiTheme="minorHAnsi" w:hAnsiTheme="minorHAnsi"/>
          <w:bCs/>
          <w:szCs w:val="24"/>
        </w:rPr>
        <w:lastRenderedPageBreak/>
        <w:t xml:space="preserve">event rates and attenuation of LDL reduction over time. </w:t>
      </w:r>
      <w:r w:rsidR="004314A4" w:rsidRPr="006E72A7">
        <w:t xml:space="preserve">The pre-PBAC response presented additional analyses of time to first occurrence of MACE using the subgroup of </w:t>
      </w:r>
      <w:r w:rsidR="001E59C4" w:rsidRPr="006E72A7">
        <w:t>patients</w:t>
      </w:r>
      <w:r w:rsidR="004314A4" w:rsidRPr="006E72A7">
        <w:t xml:space="preserve"> with LDL-C ≥ 2.6 mmol/L, which showed a continued divergence of the curves</w:t>
      </w:r>
      <w:r w:rsidR="006E72A7">
        <w:t xml:space="preserve">. </w:t>
      </w:r>
      <w:r w:rsidR="004314A4" w:rsidRPr="006E72A7">
        <w:rPr>
          <w:rFonts w:asciiTheme="minorHAnsi" w:hAnsiTheme="minorHAnsi"/>
          <w:bCs/>
          <w:szCs w:val="24"/>
        </w:rPr>
        <w:t>However, the PBAC agree</w:t>
      </w:r>
      <w:r w:rsidR="00F457B0" w:rsidRPr="006E72A7">
        <w:rPr>
          <w:rFonts w:asciiTheme="minorHAnsi" w:hAnsiTheme="minorHAnsi"/>
          <w:bCs/>
          <w:szCs w:val="24"/>
        </w:rPr>
        <w:t>d</w:t>
      </w:r>
      <w:r w:rsidR="004314A4" w:rsidRPr="006E72A7">
        <w:rPr>
          <w:rFonts w:asciiTheme="minorHAnsi" w:hAnsiTheme="minorHAnsi"/>
          <w:bCs/>
          <w:szCs w:val="24"/>
        </w:rPr>
        <w:t xml:space="preserve"> with the ESC that the pattern of convergence in the ITT population remained </w:t>
      </w:r>
      <w:r w:rsidR="0022264D">
        <w:rPr>
          <w:rFonts w:asciiTheme="minorHAnsi" w:hAnsiTheme="minorHAnsi"/>
          <w:bCs/>
          <w:szCs w:val="24"/>
        </w:rPr>
        <w:t>inadequately explained</w:t>
      </w:r>
      <w:r w:rsidR="004314A4" w:rsidRPr="006E72A7">
        <w:rPr>
          <w:rFonts w:asciiTheme="minorHAnsi" w:hAnsiTheme="minorHAnsi"/>
          <w:bCs/>
          <w:szCs w:val="24"/>
        </w:rPr>
        <w:t>.</w:t>
      </w:r>
      <w:r w:rsidR="000F1547" w:rsidRPr="006E72A7">
        <w:rPr>
          <w:rFonts w:asciiTheme="minorHAnsi" w:hAnsiTheme="minorHAnsi"/>
          <w:bCs/>
          <w:szCs w:val="24"/>
        </w:rPr>
        <w:t xml:space="preserve"> There was no </w:t>
      </w:r>
      <w:r w:rsidR="0022264D">
        <w:rPr>
          <w:rFonts w:asciiTheme="minorHAnsi" w:hAnsiTheme="minorHAnsi"/>
          <w:bCs/>
          <w:szCs w:val="24"/>
        </w:rPr>
        <w:t xml:space="preserve">similar </w:t>
      </w:r>
      <w:r w:rsidR="000F1547" w:rsidRPr="006E72A7">
        <w:rPr>
          <w:rFonts w:asciiTheme="minorHAnsi" w:hAnsiTheme="minorHAnsi"/>
          <w:bCs/>
          <w:szCs w:val="24"/>
        </w:rPr>
        <w:t>convergence observed in the FOURIER trial</w:t>
      </w:r>
      <w:r w:rsidR="006E72A7">
        <w:rPr>
          <w:rFonts w:asciiTheme="minorHAnsi" w:hAnsiTheme="minorHAnsi"/>
          <w:bCs/>
          <w:szCs w:val="24"/>
        </w:rPr>
        <w:t xml:space="preserve">. </w:t>
      </w:r>
      <w:r w:rsidR="00585601" w:rsidRPr="006E72A7">
        <w:rPr>
          <w:rFonts w:asciiTheme="minorHAnsi" w:hAnsiTheme="minorHAnsi"/>
          <w:bCs/>
          <w:szCs w:val="24"/>
        </w:rPr>
        <w:t>The PBAC considered t</w:t>
      </w:r>
      <w:r w:rsidR="000F1547" w:rsidRPr="006E72A7">
        <w:rPr>
          <w:rFonts w:asciiTheme="minorHAnsi" w:hAnsiTheme="minorHAnsi"/>
          <w:bCs/>
          <w:szCs w:val="24"/>
        </w:rPr>
        <w:t xml:space="preserve">he alirocumab findings </w:t>
      </w:r>
      <w:r w:rsidR="00A21F91" w:rsidRPr="006E72A7">
        <w:rPr>
          <w:rFonts w:asciiTheme="minorHAnsi" w:hAnsiTheme="minorHAnsi"/>
          <w:bCs/>
          <w:szCs w:val="24"/>
        </w:rPr>
        <w:t>w</w:t>
      </w:r>
      <w:r w:rsidR="00B22490" w:rsidRPr="006E72A7">
        <w:rPr>
          <w:rFonts w:asciiTheme="minorHAnsi" w:hAnsiTheme="minorHAnsi"/>
          <w:bCs/>
          <w:szCs w:val="24"/>
        </w:rPr>
        <w:t>ere</w:t>
      </w:r>
      <w:r w:rsidR="000F1547" w:rsidRPr="006E72A7">
        <w:rPr>
          <w:rFonts w:asciiTheme="minorHAnsi" w:hAnsiTheme="minorHAnsi"/>
          <w:bCs/>
          <w:szCs w:val="24"/>
        </w:rPr>
        <w:t xml:space="preserve"> not adequately explained by </w:t>
      </w:r>
      <w:r w:rsidR="00A21F91" w:rsidRPr="006E72A7">
        <w:rPr>
          <w:rFonts w:asciiTheme="minorHAnsi" w:hAnsiTheme="minorHAnsi"/>
          <w:bCs/>
          <w:szCs w:val="24"/>
        </w:rPr>
        <w:t xml:space="preserve">the </w:t>
      </w:r>
      <w:r w:rsidR="00A21F91" w:rsidRPr="006E72A7">
        <w:rPr>
          <w:rStyle w:val="CommentReference"/>
          <w:rFonts w:ascii="Calibri" w:hAnsi="Calibri"/>
          <w:b w:val="0"/>
          <w:sz w:val="24"/>
          <w:szCs w:val="22"/>
        </w:rPr>
        <w:t xml:space="preserve">dosing algorithm that allowed for down-titrations and/or switching to placebo and the use of LDL targets (between 0.78 to 1.29 mmol/L) in the </w:t>
      </w:r>
      <w:r w:rsidR="00A21F91" w:rsidRPr="006E72A7">
        <w:rPr>
          <w:rFonts w:asciiTheme="minorHAnsi" w:hAnsiTheme="minorHAnsi"/>
          <w:bCs/>
          <w:szCs w:val="24"/>
        </w:rPr>
        <w:t>ODYSSEY OUTCOMES trial</w:t>
      </w:r>
      <w:r w:rsidR="000F1547" w:rsidRPr="006E72A7">
        <w:rPr>
          <w:rFonts w:asciiTheme="minorHAnsi" w:hAnsiTheme="minorHAnsi"/>
          <w:bCs/>
          <w:szCs w:val="24"/>
        </w:rPr>
        <w:t>.</w:t>
      </w:r>
    </w:p>
    <w:p w:rsidR="006F24E8" w:rsidRPr="006E72A7" w:rsidRDefault="00CC18DD"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noted the h</w:t>
      </w:r>
      <w:r w:rsidR="00B715B9" w:rsidRPr="006E72A7">
        <w:rPr>
          <w:rFonts w:asciiTheme="minorHAnsi" w:hAnsiTheme="minorHAnsi"/>
          <w:bCs/>
          <w:szCs w:val="24"/>
        </w:rPr>
        <w:t>igh and uncertain ICER (</w:t>
      </w:r>
      <w:r w:rsidR="006F24E8" w:rsidRPr="006E72A7">
        <w:rPr>
          <w:rFonts w:asciiTheme="minorHAnsi" w:hAnsiTheme="minorHAnsi"/>
          <w:bCs/>
          <w:szCs w:val="24"/>
        </w:rPr>
        <w:t>$</w:t>
      </w:r>
      <w:r w:rsidR="003E7BB5">
        <w:rPr>
          <w:rFonts w:asciiTheme="minorHAnsi" w:hAnsiTheme="minorHAnsi"/>
          <w:bCs/>
          <w:szCs w:val="24"/>
        </w:rPr>
        <w:t>45,000/QALY to $75,000/QALY</w:t>
      </w:r>
      <w:r w:rsidR="00B715B9" w:rsidRPr="006E72A7">
        <w:rPr>
          <w:rFonts w:asciiTheme="minorHAnsi" w:hAnsiTheme="minorHAnsi"/>
          <w:bCs/>
          <w:szCs w:val="24"/>
        </w:rPr>
        <w:t>)</w:t>
      </w:r>
      <w:r w:rsidRPr="006E72A7">
        <w:rPr>
          <w:rFonts w:asciiTheme="minorHAnsi" w:hAnsiTheme="minorHAnsi"/>
          <w:bCs/>
          <w:szCs w:val="24"/>
        </w:rPr>
        <w:t xml:space="preserve"> gained in the bas</w:t>
      </w:r>
      <w:r w:rsidR="006F24E8" w:rsidRPr="006E72A7">
        <w:rPr>
          <w:rFonts w:asciiTheme="minorHAnsi" w:hAnsiTheme="minorHAnsi"/>
          <w:bCs/>
          <w:szCs w:val="24"/>
        </w:rPr>
        <w:t>e case comparison with placebo</w:t>
      </w:r>
      <w:r w:rsidRPr="006E72A7">
        <w:rPr>
          <w:rFonts w:asciiTheme="minorHAnsi" w:hAnsiTheme="minorHAnsi"/>
          <w:bCs/>
          <w:szCs w:val="24"/>
        </w:rPr>
        <w:t>. The PBAC had concerns regarding the validity of the model</w:t>
      </w:r>
      <w:r w:rsidR="0081164C" w:rsidRPr="006E72A7">
        <w:rPr>
          <w:rFonts w:asciiTheme="minorHAnsi" w:hAnsiTheme="minorHAnsi"/>
          <w:bCs/>
          <w:szCs w:val="24"/>
        </w:rPr>
        <w:t xml:space="preserve"> </w:t>
      </w:r>
      <w:r w:rsidR="007146AE" w:rsidRPr="006E72A7">
        <w:rPr>
          <w:rFonts w:asciiTheme="minorHAnsi" w:hAnsiTheme="minorHAnsi"/>
          <w:bCs/>
          <w:szCs w:val="24"/>
        </w:rPr>
        <w:t>given the following:</w:t>
      </w:r>
    </w:p>
    <w:p w:rsidR="00FE7729" w:rsidRPr="006E72A7" w:rsidRDefault="007E0FB2" w:rsidP="00FD355F">
      <w:pPr>
        <w:pStyle w:val="ListParagraph"/>
        <w:widowControl/>
        <w:numPr>
          <w:ilvl w:val="0"/>
          <w:numId w:val="19"/>
        </w:numPr>
        <w:spacing w:before="120" w:after="120"/>
        <w:rPr>
          <w:rFonts w:asciiTheme="minorHAnsi" w:hAnsiTheme="minorHAnsi"/>
          <w:bCs/>
          <w:szCs w:val="24"/>
        </w:rPr>
      </w:pPr>
      <w:r w:rsidRPr="006E72A7">
        <w:rPr>
          <w:rFonts w:asciiTheme="minorHAnsi" w:hAnsiTheme="minorHAnsi"/>
          <w:bCs/>
          <w:szCs w:val="24"/>
        </w:rPr>
        <w:t xml:space="preserve">The proposed subgroup population </w:t>
      </w:r>
      <w:r w:rsidR="00FE7729" w:rsidRPr="006E72A7">
        <w:rPr>
          <w:rFonts w:asciiTheme="minorHAnsi" w:hAnsiTheme="minorHAnsi"/>
          <w:bCs/>
          <w:szCs w:val="24"/>
        </w:rPr>
        <w:t xml:space="preserve">(with a higher baseline risk than the overall trial population) </w:t>
      </w:r>
      <w:r w:rsidRPr="006E72A7">
        <w:rPr>
          <w:rFonts w:asciiTheme="minorHAnsi" w:hAnsiTheme="minorHAnsi"/>
          <w:bCs/>
          <w:szCs w:val="24"/>
        </w:rPr>
        <w:t>was a k</w:t>
      </w:r>
      <w:r w:rsidR="00FE7729" w:rsidRPr="006E72A7">
        <w:rPr>
          <w:rFonts w:asciiTheme="minorHAnsi" w:hAnsiTheme="minorHAnsi"/>
          <w:bCs/>
          <w:szCs w:val="24"/>
        </w:rPr>
        <w:t xml:space="preserve">ey driver of the model, whilst the additional patient subgroup from the proposed indication that were statin intolerant were excluded. </w:t>
      </w:r>
    </w:p>
    <w:p w:rsidR="007146AE" w:rsidRPr="006E72A7" w:rsidRDefault="008A3649" w:rsidP="00FD355F">
      <w:pPr>
        <w:pStyle w:val="ListParagraph"/>
        <w:widowControl/>
        <w:numPr>
          <w:ilvl w:val="0"/>
          <w:numId w:val="19"/>
        </w:numPr>
        <w:spacing w:before="120" w:after="120"/>
        <w:rPr>
          <w:rFonts w:asciiTheme="minorHAnsi" w:hAnsiTheme="minorHAnsi"/>
          <w:bCs/>
          <w:szCs w:val="24"/>
        </w:rPr>
      </w:pPr>
      <w:r w:rsidRPr="006E72A7">
        <w:rPr>
          <w:rFonts w:asciiTheme="minorHAnsi" w:hAnsiTheme="minorHAnsi"/>
          <w:bCs/>
          <w:szCs w:val="24"/>
        </w:rPr>
        <w:t>Use of the l</w:t>
      </w:r>
      <w:r w:rsidR="007146AE" w:rsidRPr="006E72A7">
        <w:rPr>
          <w:rFonts w:asciiTheme="minorHAnsi" w:hAnsiTheme="minorHAnsi"/>
          <w:bCs/>
          <w:szCs w:val="24"/>
        </w:rPr>
        <w:t>ower HR</w:t>
      </w:r>
      <w:r w:rsidRPr="006E72A7">
        <w:rPr>
          <w:rFonts w:asciiTheme="minorHAnsi" w:hAnsiTheme="minorHAnsi"/>
          <w:bCs/>
          <w:szCs w:val="24"/>
        </w:rPr>
        <w:t xml:space="preserve"> of</w:t>
      </w:r>
      <w:r w:rsidR="007146AE" w:rsidRPr="006E72A7">
        <w:rPr>
          <w:rFonts w:asciiTheme="minorHAnsi" w:hAnsiTheme="minorHAnsi"/>
          <w:bCs/>
          <w:szCs w:val="24"/>
        </w:rPr>
        <w:t xml:space="preserve"> </w:t>
      </w:r>
      <w:r w:rsidR="004F3FD6">
        <w:rPr>
          <w:rFonts w:asciiTheme="minorHAnsi" w:hAnsiTheme="minorHAnsi"/>
          <w:bCs/>
          <w:noProof/>
          <w:color w:val="000000"/>
          <w:szCs w:val="24"/>
          <w:highlight w:val="black"/>
        </w:rPr>
        <w:t>'''''''''</w:t>
      </w:r>
      <w:r w:rsidR="007146AE" w:rsidRPr="006E72A7">
        <w:rPr>
          <w:rFonts w:asciiTheme="minorHAnsi" w:hAnsiTheme="minorHAnsi"/>
          <w:bCs/>
          <w:szCs w:val="24"/>
        </w:rPr>
        <w:t xml:space="preserve">, rather than </w:t>
      </w:r>
      <w:r w:rsidR="007146AE" w:rsidRPr="00EA3C50">
        <w:rPr>
          <w:rFonts w:asciiTheme="minorHAnsi" w:hAnsiTheme="minorHAnsi"/>
          <w:bCs/>
          <w:szCs w:val="24"/>
        </w:rPr>
        <w:t>0.</w:t>
      </w:r>
      <w:r w:rsidR="00EA3C50" w:rsidRPr="00EA3C50">
        <w:rPr>
          <w:rFonts w:asciiTheme="minorHAnsi" w:hAnsiTheme="minorHAnsi"/>
          <w:bCs/>
          <w:szCs w:val="24"/>
        </w:rPr>
        <w:t>85</w:t>
      </w:r>
      <w:r w:rsidRPr="00EA3C50">
        <w:rPr>
          <w:rFonts w:asciiTheme="minorHAnsi" w:hAnsiTheme="minorHAnsi"/>
          <w:bCs/>
          <w:szCs w:val="24"/>
        </w:rPr>
        <w:t>, which</w:t>
      </w:r>
      <w:r w:rsidRPr="006E72A7">
        <w:rPr>
          <w:rFonts w:asciiTheme="minorHAnsi" w:hAnsiTheme="minorHAnsi"/>
          <w:bCs/>
          <w:szCs w:val="24"/>
        </w:rPr>
        <w:t xml:space="preserve"> was </w:t>
      </w:r>
      <w:r w:rsidR="00D769F0" w:rsidRPr="006E72A7">
        <w:rPr>
          <w:rFonts w:asciiTheme="minorHAnsi" w:hAnsiTheme="minorHAnsi"/>
          <w:bCs/>
          <w:szCs w:val="24"/>
        </w:rPr>
        <w:t>uncertain</w:t>
      </w:r>
      <w:r w:rsidR="00FE7729" w:rsidRPr="006E72A7">
        <w:rPr>
          <w:rFonts w:asciiTheme="minorHAnsi" w:hAnsiTheme="minorHAnsi"/>
          <w:bCs/>
          <w:szCs w:val="24"/>
        </w:rPr>
        <w:t xml:space="preserve">; the confidence intervals </w:t>
      </w:r>
      <w:r w:rsidR="00D769F0" w:rsidRPr="006E72A7">
        <w:rPr>
          <w:rFonts w:asciiTheme="minorHAnsi" w:hAnsiTheme="minorHAnsi"/>
          <w:bCs/>
          <w:szCs w:val="24"/>
        </w:rPr>
        <w:t xml:space="preserve">were relatively wide given this is a post-hoc subgroup analysis making the point estimate less </w:t>
      </w:r>
      <w:r w:rsidR="00482707" w:rsidRPr="006E72A7">
        <w:rPr>
          <w:rFonts w:asciiTheme="minorHAnsi" w:hAnsiTheme="minorHAnsi"/>
          <w:bCs/>
          <w:szCs w:val="24"/>
        </w:rPr>
        <w:t>reliable</w:t>
      </w:r>
      <w:r w:rsidR="00FE7729" w:rsidRPr="006E72A7">
        <w:rPr>
          <w:rFonts w:asciiTheme="minorHAnsi" w:hAnsiTheme="minorHAnsi"/>
          <w:bCs/>
          <w:szCs w:val="24"/>
        </w:rPr>
        <w:t xml:space="preserve">. </w:t>
      </w:r>
    </w:p>
    <w:p w:rsidR="007146AE" w:rsidRPr="006E72A7" w:rsidRDefault="00FE7729" w:rsidP="00FD355F">
      <w:pPr>
        <w:pStyle w:val="ListParagraph"/>
        <w:widowControl/>
        <w:numPr>
          <w:ilvl w:val="0"/>
          <w:numId w:val="19"/>
        </w:numPr>
        <w:spacing w:before="120" w:after="120"/>
        <w:rPr>
          <w:rFonts w:asciiTheme="minorHAnsi" w:hAnsiTheme="minorHAnsi"/>
          <w:bCs/>
          <w:szCs w:val="24"/>
        </w:rPr>
      </w:pPr>
      <w:r w:rsidRPr="006E72A7">
        <w:rPr>
          <w:rFonts w:asciiTheme="minorHAnsi" w:hAnsiTheme="minorHAnsi"/>
          <w:bCs/>
          <w:szCs w:val="24"/>
        </w:rPr>
        <w:t>Inappropriate u</w:t>
      </w:r>
      <w:r w:rsidR="008A3649" w:rsidRPr="006E72A7">
        <w:rPr>
          <w:rFonts w:asciiTheme="minorHAnsi" w:hAnsiTheme="minorHAnsi"/>
          <w:bCs/>
          <w:szCs w:val="24"/>
        </w:rPr>
        <w:t>se of Framingham risk equations</w:t>
      </w:r>
      <w:r w:rsidRPr="006E72A7">
        <w:rPr>
          <w:rFonts w:asciiTheme="minorHAnsi" w:hAnsiTheme="minorHAnsi"/>
          <w:bCs/>
          <w:szCs w:val="24"/>
        </w:rPr>
        <w:t xml:space="preserve"> to estimate the distribution of cardiac events</w:t>
      </w:r>
      <w:r w:rsidR="00B5787C" w:rsidRPr="006E72A7">
        <w:rPr>
          <w:rFonts w:asciiTheme="minorHAnsi" w:hAnsiTheme="minorHAnsi"/>
          <w:bCs/>
          <w:szCs w:val="24"/>
        </w:rPr>
        <w:t xml:space="preserve"> in secondary prevention</w:t>
      </w:r>
      <w:r w:rsidRPr="006E72A7">
        <w:rPr>
          <w:rFonts w:asciiTheme="minorHAnsi" w:hAnsiTheme="minorHAnsi"/>
          <w:bCs/>
          <w:szCs w:val="24"/>
        </w:rPr>
        <w:t xml:space="preserve">. </w:t>
      </w:r>
    </w:p>
    <w:p w:rsidR="007146AE" w:rsidRPr="006E72A7" w:rsidRDefault="00585601" w:rsidP="00FD355F">
      <w:pPr>
        <w:pStyle w:val="ListParagraph"/>
        <w:widowControl/>
        <w:numPr>
          <w:ilvl w:val="0"/>
          <w:numId w:val="19"/>
        </w:numPr>
        <w:spacing w:before="120" w:after="120"/>
        <w:rPr>
          <w:rFonts w:asciiTheme="minorHAnsi" w:hAnsiTheme="minorHAnsi"/>
          <w:bCs/>
          <w:szCs w:val="24"/>
        </w:rPr>
      </w:pPr>
      <w:r w:rsidRPr="006E72A7">
        <w:rPr>
          <w:rFonts w:asciiTheme="minorHAnsi" w:hAnsiTheme="minorHAnsi"/>
          <w:bCs/>
          <w:szCs w:val="24"/>
        </w:rPr>
        <w:t>The extrapolated treatment benefit out to 41 years was optimistic</w:t>
      </w:r>
      <w:r w:rsidR="00FE7729" w:rsidRPr="006E72A7">
        <w:rPr>
          <w:rFonts w:asciiTheme="minorHAnsi" w:hAnsiTheme="minorHAnsi"/>
          <w:bCs/>
          <w:szCs w:val="24"/>
        </w:rPr>
        <w:t xml:space="preserve">, </w:t>
      </w:r>
      <w:r w:rsidRPr="006E72A7">
        <w:rPr>
          <w:rFonts w:asciiTheme="minorHAnsi" w:hAnsiTheme="minorHAnsi"/>
          <w:bCs/>
          <w:szCs w:val="24"/>
        </w:rPr>
        <w:t>with the</w:t>
      </w:r>
      <w:r w:rsidR="00FE7729" w:rsidRPr="006E72A7">
        <w:rPr>
          <w:rFonts w:asciiTheme="minorHAnsi" w:hAnsiTheme="minorHAnsi"/>
          <w:bCs/>
          <w:szCs w:val="24"/>
        </w:rPr>
        <w:t xml:space="preserve"> </w:t>
      </w:r>
      <w:r w:rsidR="007146AE" w:rsidRPr="006E72A7">
        <w:rPr>
          <w:rFonts w:asciiTheme="minorHAnsi" w:hAnsiTheme="minorHAnsi"/>
          <w:bCs/>
          <w:szCs w:val="24"/>
        </w:rPr>
        <w:t>ICER at 20 years</w:t>
      </w:r>
      <w:r w:rsidR="00FE7729" w:rsidRPr="006E72A7">
        <w:rPr>
          <w:rFonts w:asciiTheme="minorHAnsi" w:hAnsiTheme="minorHAnsi"/>
          <w:bCs/>
          <w:szCs w:val="24"/>
        </w:rPr>
        <w:t xml:space="preserve"> </w:t>
      </w:r>
      <w:r w:rsidR="0081164C" w:rsidRPr="006E72A7">
        <w:rPr>
          <w:rFonts w:asciiTheme="minorHAnsi" w:hAnsiTheme="minorHAnsi"/>
          <w:bCs/>
          <w:szCs w:val="24"/>
        </w:rPr>
        <w:t xml:space="preserve">being </w:t>
      </w:r>
      <w:r w:rsidR="00FE7729" w:rsidRPr="006E72A7">
        <w:rPr>
          <w:rFonts w:asciiTheme="minorHAnsi" w:hAnsiTheme="minorHAnsi"/>
          <w:bCs/>
          <w:szCs w:val="24"/>
        </w:rPr>
        <w:t>$</w:t>
      </w:r>
      <w:r w:rsidR="003E7BB5">
        <w:rPr>
          <w:rFonts w:asciiTheme="minorHAnsi" w:hAnsiTheme="minorHAnsi"/>
          <w:bCs/>
          <w:szCs w:val="24"/>
        </w:rPr>
        <w:t>45,000 to $75,000</w:t>
      </w:r>
      <w:r w:rsidR="006E72A7">
        <w:rPr>
          <w:rFonts w:asciiTheme="minorHAnsi" w:hAnsiTheme="minorHAnsi"/>
          <w:bCs/>
          <w:szCs w:val="24"/>
        </w:rPr>
        <w:t>.</w:t>
      </w:r>
      <w:r w:rsidR="009417DC">
        <w:rPr>
          <w:rFonts w:asciiTheme="minorHAnsi" w:hAnsiTheme="minorHAnsi"/>
          <w:bCs/>
          <w:szCs w:val="24"/>
        </w:rPr>
        <w:t xml:space="preserve">  </w:t>
      </w:r>
      <w:r w:rsidR="00B86876">
        <w:rPr>
          <w:rFonts w:asciiTheme="minorHAnsi" w:hAnsiTheme="minorHAnsi"/>
          <w:bCs/>
          <w:szCs w:val="24"/>
        </w:rPr>
        <w:t>The PBAC considered that a</w:t>
      </w:r>
      <w:r w:rsidR="009417DC">
        <w:rPr>
          <w:rFonts w:asciiTheme="minorHAnsi" w:hAnsiTheme="minorHAnsi"/>
          <w:bCs/>
          <w:szCs w:val="24"/>
        </w:rPr>
        <w:t xml:space="preserve"> time horizon of 30 years would be more appropriate.</w:t>
      </w:r>
      <w:r w:rsidR="006E72A7">
        <w:rPr>
          <w:rFonts w:asciiTheme="minorHAnsi" w:hAnsiTheme="minorHAnsi"/>
          <w:bCs/>
          <w:szCs w:val="24"/>
        </w:rPr>
        <w:t xml:space="preserve"> </w:t>
      </w:r>
    </w:p>
    <w:p w:rsidR="007146AE" w:rsidRPr="006E72A7" w:rsidRDefault="00BD59B3" w:rsidP="00FD355F">
      <w:pPr>
        <w:pStyle w:val="ListParagraph"/>
        <w:widowControl/>
        <w:numPr>
          <w:ilvl w:val="0"/>
          <w:numId w:val="19"/>
        </w:numPr>
        <w:spacing w:before="120" w:after="120"/>
        <w:rPr>
          <w:rFonts w:asciiTheme="minorHAnsi" w:hAnsiTheme="minorHAnsi"/>
          <w:bCs/>
          <w:szCs w:val="24"/>
        </w:rPr>
      </w:pPr>
      <w:r w:rsidRPr="006E72A7">
        <w:rPr>
          <w:rFonts w:asciiTheme="minorHAnsi" w:hAnsiTheme="minorHAnsi"/>
          <w:bCs/>
        </w:rPr>
        <w:t>As for the evolocumab resubmission in July 2018, while there is a biological plausibility of a reduction in CV mortality, there was no direct data to support the length of the time lag or the magnitude of the reduction in cardiovascular mortality in secondary prevention of CAD</w:t>
      </w:r>
      <w:r w:rsidR="00FE7729" w:rsidRPr="006E72A7">
        <w:rPr>
          <w:rFonts w:asciiTheme="minorHAnsi" w:hAnsiTheme="minorHAnsi"/>
          <w:bCs/>
          <w:szCs w:val="24"/>
        </w:rPr>
        <w:t>,</w:t>
      </w:r>
      <w:r w:rsidRPr="006E72A7">
        <w:rPr>
          <w:rFonts w:asciiTheme="minorHAnsi" w:hAnsiTheme="minorHAnsi"/>
          <w:bCs/>
          <w:szCs w:val="24"/>
        </w:rPr>
        <w:t xml:space="preserve"> and the approach to modelling of this outcome was questionable</w:t>
      </w:r>
      <w:r w:rsidR="00FE7729" w:rsidRPr="006E72A7">
        <w:rPr>
          <w:rFonts w:asciiTheme="minorHAnsi" w:hAnsiTheme="minorHAnsi"/>
          <w:bCs/>
          <w:szCs w:val="24"/>
        </w:rPr>
        <w:t xml:space="preserve">. </w:t>
      </w:r>
    </w:p>
    <w:p w:rsidR="00195CA2" w:rsidRPr="006E72A7" w:rsidRDefault="00195CA2"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 xml:space="preserve">The PBAC noted the difficulties in defining a </w:t>
      </w:r>
      <w:r w:rsidR="00BD0A94" w:rsidRPr="006E72A7">
        <w:rPr>
          <w:rFonts w:asciiTheme="minorHAnsi" w:hAnsiTheme="minorHAnsi"/>
          <w:bCs/>
          <w:szCs w:val="24"/>
        </w:rPr>
        <w:t>high-risk</w:t>
      </w:r>
      <w:r w:rsidRPr="006E72A7">
        <w:rPr>
          <w:rFonts w:asciiTheme="minorHAnsi" w:hAnsiTheme="minorHAnsi"/>
          <w:bCs/>
          <w:szCs w:val="24"/>
        </w:rPr>
        <w:t xml:space="preserve"> non-FH population</w:t>
      </w:r>
      <w:r w:rsidR="004D281D" w:rsidRPr="006E72A7">
        <w:rPr>
          <w:rFonts w:asciiTheme="minorHAnsi" w:hAnsiTheme="minorHAnsi"/>
          <w:bCs/>
          <w:szCs w:val="24"/>
        </w:rPr>
        <w:t xml:space="preserve"> with greatest benefit</w:t>
      </w:r>
      <w:r w:rsidRPr="006E72A7">
        <w:rPr>
          <w:rFonts w:asciiTheme="minorHAnsi" w:hAnsiTheme="minorHAnsi"/>
          <w:bCs/>
          <w:szCs w:val="24"/>
        </w:rPr>
        <w:t xml:space="preserve"> as outlined by the DUSC and considered revised financial estimates for the non-FH population</w:t>
      </w:r>
      <w:r w:rsidR="006F24E8" w:rsidRPr="006E72A7">
        <w:rPr>
          <w:rFonts w:asciiTheme="minorHAnsi" w:hAnsiTheme="minorHAnsi"/>
          <w:bCs/>
          <w:szCs w:val="24"/>
        </w:rPr>
        <w:t xml:space="preserve"> only, including a</w:t>
      </w:r>
      <w:r w:rsidR="00DD5B5C" w:rsidRPr="006E72A7">
        <w:rPr>
          <w:rFonts w:asciiTheme="minorHAnsi" w:hAnsiTheme="minorHAnsi"/>
          <w:bCs/>
          <w:szCs w:val="24"/>
        </w:rPr>
        <w:t xml:space="preserve"> more targeted high risk eligible population</w:t>
      </w:r>
      <w:r w:rsidR="006F24E8" w:rsidRPr="006E72A7">
        <w:rPr>
          <w:rFonts w:asciiTheme="minorHAnsi" w:hAnsiTheme="minorHAnsi"/>
          <w:bCs/>
          <w:szCs w:val="24"/>
        </w:rPr>
        <w:t xml:space="preserve"> </w:t>
      </w:r>
      <w:r w:rsidR="00DD5B5C" w:rsidRPr="006E72A7">
        <w:rPr>
          <w:rFonts w:asciiTheme="minorHAnsi" w:hAnsiTheme="minorHAnsi"/>
          <w:bCs/>
          <w:szCs w:val="24"/>
        </w:rPr>
        <w:t xml:space="preserve">and </w:t>
      </w:r>
      <w:r w:rsidR="006F24E8" w:rsidRPr="006E72A7">
        <w:rPr>
          <w:rFonts w:asciiTheme="minorHAnsi" w:hAnsiTheme="minorHAnsi"/>
          <w:bCs/>
          <w:szCs w:val="24"/>
        </w:rPr>
        <w:t>reduced price</w:t>
      </w:r>
      <w:r w:rsidR="00DD5B5C" w:rsidRPr="006E72A7">
        <w:rPr>
          <w:rFonts w:asciiTheme="minorHAnsi" w:hAnsiTheme="minorHAnsi"/>
          <w:bCs/>
          <w:szCs w:val="24"/>
        </w:rPr>
        <w:t xml:space="preserve"> to achieve a lower ICER</w:t>
      </w:r>
      <w:r w:rsidR="006F24E8" w:rsidRPr="006E72A7">
        <w:rPr>
          <w:rFonts w:asciiTheme="minorHAnsi" w:hAnsiTheme="minorHAnsi"/>
          <w:bCs/>
          <w:szCs w:val="24"/>
        </w:rPr>
        <w:t>, would need to address these concerns</w:t>
      </w:r>
      <w:r w:rsidR="006E72A7">
        <w:rPr>
          <w:rFonts w:asciiTheme="minorHAnsi" w:hAnsiTheme="minorHAnsi"/>
          <w:bCs/>
          <w:szCs w:val="24"/>
        </w:rPr>
        <w:t xml:space="preserve">. </w:t>
      </w:r>
    </w:p>
    <w:p w:rsidR="00767B87" w:rsidRPr="006E72A7" w:rsidRDefault="00195CA2" w:rsidP="00FD355F">
      <w:pPr>
        <w:widowControl/>
        <w:numPr>
          <w:ilvl w:val="1"/>
          <w:numId w:val="1"/>
        </w:numPr>
        <w:spacing w:before="120" w:after="120"/>
        <w:rPr>
          <w:rFonts w:asciiTheme="minorHAnsi" w:hAnsiTheme="minorHAnsi"/>
          <w:bCs/>
          <w:szCs w:val="24"/>
        </w:rPr>
      </w:pPr>
      <w:r w:rsidRPr="006E72A7">
        <w:rPr>
          <w:rFonts w:asciiTheme="minorHAnsi" w:hAnsiTheme="minorHAnsi"/>
          <w:bCs/>
          <w:szCs w:val="24"/>
        </w:rPr>
        <w:t>The PBAC considered a resubmissio</w:t>
      </w:r>
      <w:r w:rsidR="00DA6007" w:rsidRPr="006E72A7">
        <w:rPr>
          <w:rFonts w:asciiTheme="minorHAnsi" w:hAnsiTheme="minorHAnsi"/>
          <w:bCs/>
          <w:szCs w:val="24"/>
        </w:rPr>
        <w:t>n should include the following:</w:t>
      </w:r>
    </w:p>
    <w:p w:rsidR="005F1BDC" w:rsidRPr="006E72A7" w:rsidRDefault="00767B87" w:rsidP="00FD355F">
      <w:pPr>
        <w:pStyle w:val="PBACHeading1"/>
        <w:numPr>
          <w:ilvl w:val="0"/>
          <w:numId w:val="21"/>
        </w:numPr>
        <w:spacing w:before="120" w:after="120"/>
        <w:jc w:val="both"/>
        <w:rPr>
          <w:b w:val="0"/>
          <w:sz w:val="24"/>
          <w:szCs w:val="24"/>
        </w:rPr>
      </w:pPr>
      <w:r w:rsidRPr="006E72A7">
        <w:rPr>
          <w:b w:val="0"/>
          <w:sz w:val="24"/>
          <w:szCs w:val="24"/>
        </w:rPr>
        <w:t>Adjust</w:t>
      </w:r>
      <w:r w:rsidR="00DA6007" w:rsidRPr="006E72A7">
        <w:rPr>
          <w:b w:val="0"/>
          <w:sz w:val="24"/>
          <w:szCs w:val="24"/>
        </w:rPr>
        <w:t>ment of</w:t>
      </w:r>
      <w:r w:rsidRPr="006E72A7">
        <w:rPr>
          <w:b w:val="0"/>
          <w:sz w:val="24"/>
          <w:szCs w:val="24"/>
        </w:rPr>
        <w:t xml:space="preserve"> the economic model based on the concerns raised in paragraph </w:t>
      </w:r>
      <w:r w:rsidR="007A4777" w:rsidRPr="005B6F56">
        <w:rPr>
          <w:b w:val="0"/>
          <w:sz w:val="24"/>
          <w:szCs w:val="24"/>
        </w:rPr>
        <w:t>7.1</w:t>
      </w:r>
      <w:r w:rsidR="003E1BF0" w:rsidRPr="005B6F56">
        <w:rPr>
          <w:b w:val="0"/>
          <w:sz w:val="24"/>
          <w:szCs w:val="24"/>
        </w:rPr>
        <w:t>9</w:t>
      </w:r>
      <w:r w:rsidR="007A4777" w:rsidRPr="006E72A7">
        <w:rPr>
          <w:b w:val="0"/>
          <w:sz w:val="24"/>
          <w:szCs w:val="24"/>
        </w:rPr>
        <w:t xml:space="preserve"> </w:t>
      </w:r>
      <w:r w:rsidRPr="006E72A7">
        <w:rPr>
          <w:b w:val="0"/>
          <w:sz w:val="24"/>
          <w:szCs w:val="24"/>
        </w:rPr>
        <w:t xml:space="preserve">in order to determine how to adjust the price. </w:t>
      </w:r>
      <w:r w:rsidR="00DD5B5C" w:rsidRPr="006E72A7">
        <w:rPr>
          <w:b w:val="0"/>
          <w:sz w:val="24"/>
          <w:szCs w:val="24"/>
        </w:rPr>
        <w:t>The PBAC considered the ICER would need to be lower than proposed in the current submission given the inherent uncertainties associated with estimating the number of events, including deaths, beyond the trial follow-up.</w:t>
      </w:r>
    </w:p>
    <w:p w:rsidR="00BF4D3D" w:rsidRPr="006E72A7" w:rsidRDefault="007A4777" w:rsidP="00FD355F">
      <w:pPr>
        <w:pStyle w:val="PBACHeading1"/>
        <w:numPr>
          <w:ilvl w:val="0"/>
          <w:numId w:val="21"/>
        </w:numPr>
        <w:spacing w:before="120" w:after="120"/>
        <w:jc w:val="both"/>
        <w:rPr>
          <w:rFonts w:asciiTheme="minorHAnsi" w:hAnsiTheme="minorHAnsi" w:cstheme="minorHAnsi"/>
          <w:b w:val="0"/>
          <w:sz w:val="24"/>
          <w:szCs w:val="24"/>
        </w:rPr>
      </w:pPr>
      <w:r w:rsidRPr="006E72A7">
        <w:rPr>
          <w:b w:val="0"/>
          <w:sz w:val="24"/>
          <w:szCs w:val="24"/>
        </w:rPr>
        <w:lastRenderedPageBreak/>
        <w:t>Refine</w:t>
      </w:r>
      <w:r w:rsidR="00DA6007" w:rsidRPr="006E72A7">
        <w:rPr>
          <w:b w:val="0"/>
          <w:sz w:val="24"/>
          <w:szCs w:val="24"/>
        </w:rPr>
        <w:t>ment of</w:t>
      </w:r>
      <w:r w:rsidRPr="006E72A7">
        <w:rPr>
          <w:b w:val="0"/>
          <w:sz w:val="24"/>
          <w:szCs w:val="24"/>
        </w:rPr>
        <w:t xml:space="preserve"> </w:t>
      </w:r>
      <w:r w:rsidR="00437C21" w:rsidRPr="006E72A7">
        <w:rPr>
          <w:b w:val="0"/>
          <w:sz w:val="24"/>
          <w:szCs w:val="24"/>
        </w:rPr>
        <w:t>the proposed non-FH population</w:t>
      </w:r>
      <w:r w:rsidRPr="006E72A7">
        <w:rPr>
          <w:b w:val="0"/>
          <w:sz w:val="24"/>
          <w:szCs w:val="24"/>
        </w:rPr>
        <w:t xml:space="preserve"> to include those at </w:t>
      </w:r>
      <w:r w:rsidR="00437C21" w:rsidRPr="006E72A7">
        <w:rPr>
          <w:b w:val="0"/>
          <w:sz w:val="24"/>
          <w:szCs w:val="24"/>
        </w:rPr>
        <w:t>highest risk</w:t>
      </w:r>
      <w:r w:rsidRPr="006E72A7">
        <w:rPr>
          <w:b w:val="0"/>
          <w:sz w:val="24"/>
          <w:szCs w:val="24"/>
        </w:rPr>
        <w:t xml:space="preserve"> of a cardiovascular event</w:t>
      </w:r>
      <w:r w:rsidR="00BF4D3D" w:rsidRPr="006E72A7">
        <w:rPr>
          <w:b w:val="0"/>
          <w:sz w:val="24"/>
          <w:szCs w:val="24"/>
        </w:rPr>
        <w:t xml:space="preserve"> with an established risk level of </w:t>
      </w:r>
      <w:r w:rsidR="00B86876">
        <w:rPr>
          <w:b w:val="0"/>
          <w:sz w:val="24"/>
          <w:szCs w:val="24"/>
        </w:rPr>
        <w:t>25</w:t>
      </w:r>
      <w:r w:rsidR="00BF4D3D" w:rsidRPr="006E72A7">
        <w:rPr>
          <w:b w:val="0"/>
          <w:sz w:val="24"/>
          <w:szCs w:val="24"/>
        </w:rPr>
        <w:t xml:space="preserve">% over </w:t>
      </w:r>
      <w:r w:rsidR="00B86876">
        <w:rPr>
          <w:b w:val="0"/>
          <w:sz w:val="24"/>
          <w:szCs w:val="24"/>
        </w:rPr>
        <w:t>3</w:t>
      </w:r>
      <w:r w:rsidR="00BF4D3D" w:rsidRPr="006E72A7">
        <w:rPr>
          <w:b w:val="0"/>
          <w:sz w:val="24"/>
          <w:szCs w:val="24"/>
        </w:rPr>
        <w:t xml:space="preserve"> years. The PBAC advised that the </w:t>
      </w:r>
      <w:r w:rsidR="00BD0A94" w:rsidRPr="006E72A7">
        <w:rPr>
          <w:b w:val="0"/>
          <w:sz w:val="24"/>
          <w:szCs w:val="24"/>
        </w:rPr>
        <w:t>high-risk</w:t>
      </w:r>
      <w:r w:rsidR="00BF4D3D" w:rsidRPr="006E72A7">
        <w:rPr>
          <w:b w:val="0"/>
          <w:sz w:val="24"/>
          <w:szCs w:val="24"/>
        </w:rPr>
        <w:t xml:space="preserve"> group </w:t>
      </w:r>
      <w:r w:rsidR="00554EAB">
        <w:rPr>
          <w:b w:val="0"/>
          <w:sz w:val="24"/>
          <w:szCs w:val="24"/>
        </w:rPr>
        <w:t>may</w:t>
      </w:r>
      <w:r w:rsidR="00BF4D3D" w:rsidRPr="006E72A7">
        <w:rPr>
          <w:b w:val="0"/>
          <w:sz w:val="24"/>
          <w:szCs w:val="24"/>
        </w:rPr>
        <w:t xml:space="preserve"> include patients who have experienced</w:t>
      </w:r>
      <w:r w:rsidR="00C17920">
        <w:rPr>
          <w:b w:val="0"/>
          <w:sz w:val="24"/>
          <w:szCs w:val="24"/>
        </w:rPr>
        <w:t xml:space="preserve"> </w:t>
      </w:r>
      <w:r w:rsidR="00C17920" w:rsidRPr="00C17920">
        <w:rPr>
          <w:b w:val="0"/>
          <w:sz w:val="24"/>
          <w:szCs w:val="24"/>
        </w:rPr>
        <w:t>≥2 events in ≥2 vascular territories</w:t>
      </w:r>
      <w:r w:rsidR="002D0859">
        <w:rPr>
          <w:b w:val="0"/>
          <w:sz w:val="24"/>
          <w:szCs w:val="24"/>
        </w:rPr>
        <w:t xml:space="preserve"> over a short period of time</w:t>
      </w:r>
      <w:r w:rsidR="00C17920" w:rsidRPr="00C17920">
        <w:rPr>
          <w:b w:val="0"/>
          <w:sz w:val="24"/>
          <w:szCs w:val="24"/>
        </w:rPr>
        <w:t xml:space="preserve">; or have </w:t>
      </w:r>
      <w:r w:rsidR="002D0859">
        <w:rPr>
          <w:b w:val="0"/>
          <w:sz w:val="24"/>
          <w:szCs w:val="24"/>
        </w:rPr>
        <w:t xml:space="preserve">recent ACS </w:t>
      </w:r>
      <w:r w:rsidR="00C17920" w:rsidRPr="00C17920">
        <w:rPr>
          <w:b w:val="0"/>
          <w:sz w:val="24"/>
          <w:szCs w:val="24"/>
        </w:rPr>
        <w:t>and other high risk criteria such as diabetes mellitus; or who have other combinations of high risk criteria such as those identified in the current PBS listing for ezetimibe</w:t>
      </w:r>
      <w:r w:rsidR="00BF4D3D" w:rsidRPr="006E72A7">
        <w:rPr>
          <w:rFonts w:asciiTheme="minorHAnsi" w:hAnsiTheme="minorHAnsi" w:cstheme="minorHAnsi"/>
          <w:b w:val="0"/>
          <w:sz w:val="24"/>
          <w:szCs w:val="24"/>
        </w:rPr>
        <w:t xml:space="preserve">. </w:t>
      </w:r>
    </w:p>
    <w:p w:rsidR="009D447D" w:rsidRPr="006E72A7" w:rsidRDefault="000C6051" w:rsidP="00FD355F">
      <w:pPr>
        <w:pStyle w:val="PBACHeading1"/>
        <w:numPr>
          <w:ilvl w:val="0"/>
          <w:numId w:val="21"/>
        </w:numPr>
        <w:spacing w:before="120" w:after="120"/>
        <w:jc w:val="both"/>
        <w:rPr>
          <w:b w:val="0"/>
          <w:sz w:val="24"/>
          <w:szCs w:val="24"/>
        </w:rPr>
      </w:pPr>
      <w:r w:rsidRPr="006E72A7">
        <w:rPr>
          <w:rFonts w:asciiTheme="minorHAnsi" w:hAnsiTheme="minorHAnsi" w:cstheme="minorHAnsi"/>
          <w:b w:val="0"/>
          <w:sz w:val="24"/>
          <w:szCs w:val="24"/>
        </w:rPr>
        <w:t>Alternative</w:t>
      </w:r>
      <w:r w:rsidR="00DD5B5C" w:rsidRPr="006E72A7">
        <w:rPr>
          <w:rFonts w:asciiTheme="minorHAnsi" w:hAnsiTheme="minorHAnsi" w:cstheme="minorHAnsi"/>
          <w:b w:val="0"/>
          <w:sz w:val="24"/>
          <w:szCs w:val="24"/>
        </w:rPr>
        <w:t xml:space="preserve"> modelling approaches </w:t>
      </w:r>
      <w:r w:rsidRPr="006E72A7">
        <w:rPr>
          <w:rFonts w:asciiTheme="minorHAnsi" w:hAnsiTheme="minorHAnsi" w:cstheme="minorHAnsi"/>
          <w:b w:val="0"/>
          <w:sz w:val="24"/>
          <w:szCs w:val="24"/>
        </w:rPr>
        <w:t>that</w:t>
      </w:r>
      <w:r w:rsidR="00DD5B5C" w:rsidRPr="006E72A7">
        <w:rPr>
          <w:rFonts w:asciiTheme="minorHAnsi" w:hAnsiTheme="minorHAnsi" w:cstheme="minorHAnsi"/>
          <w:b w:val="0"/>
          <w:sz w:val="24"/>
          <w:szCs w:val="24"/>
        </w:rPr>
        <w:t xml:space="preserve"> are not informed by the primary prevention Framingham risk equations should be considered in any resubmission</w:t>
      </w:r>
      <w:r w:rsidR="00DD5B5C" w:rsidRPr="006E72A7">
        <w:rPr>
          <w:b w:val="0"/>
          <w:sz w:val="24"/>
          <w:szCs w:val="24"/>
        </w:rPr>
        <w:t>. This may include using a secondary prevention risk database with a predictive equation, or a robust subgroup from the outcome studies</w:t>
      </w:r>
      <w:r w:rsidR="006E72A7">
        <w:rPr>
          <w:b w:val="0"/>
          <w:sz w:val="24"/>
          <w:szCs w:val="24"/>
        </w:rPr>
        <w:t xml:space="preserve">. </w:t>
      </w:r>
    </w:p>
    <w:p w:rsidR="00A528A3" w:rsidRPr="006E72A7" w:rsidRDefault="00A528A3" w:rsidP="00FD355F">
      <w:pPr>
        <w:pStyle w:val="PBACHeading1"/>
        <w:numPr>
          <w:ilvl w:val="0"/>
          <w:numId w:val="21"/>
        </w:numPr>
        <w:spacing w:before="120" w:after="120"/>
        <w:jc w:val="both"/>
        <w:rPr>
          <w:b w:val="0"/>
          <w:sz w:val="24"/>
          <w:szCs w:val="24"/>
        </w:rPr>
      </w:pPr>
      <w:r w:rsidRPr="006E72A7">
        <w:rPr>
          <w:b w:val="0"/>
          <w:sz w:val="24"/>
          <w:szCs w:val="24"/>
        </w:rPr>
        <w:t>The model structure should allow changes in baseline risk and treatment effect to be assessed more readily in sensitivity analyses</w:t>
      </w:r>
      <w:r w:rsidR="006E72A7">
        <w:rPr>
          <w:b w:val="0"/>
          <w:sz w:val="24"/>
          <w:szCs w:val="24"/>
        </w:rPr>
        <w:t xml:space="preserve">. </w:t>
      </w:r>
    </w:p>
    <w:p w:rsidR="007559AD" w:rsidRPr="006E72A7" w:rsidRDefault="007559AD" w:rsidP="00FD355F">
      <w:pPr>
        <w:pStyle w:val="PBACHeading1"/>
        <w:numPr>
          <w:ilvl w:val="0"/>
          <w:numId w:val="0"/>
        </w:numPr>
        <w:spacing w:before="120" w:after="120"/>
        <w:ind w:left="1515"/>
        <w:rPr>
          <w:b w:val="0"/>
          <w:sz w:val="24"/>
          <w:szCs w:val="24"/>
        </w:rPr>
      </w:pPr>
    </w:p>
    <w:p w:rsidR="00944C66" w:rsidRPr="006E72A7" w:rsidRDefault="006F24E8" w:rsidP="00FD355F">
      <w:pPr>
        <w:widowControl/>
        <w:numPr>
          <w:ilvl w:val="1"/>
          <w:numId w:val="1"/>
        </w:numPr>
        <w:spacing w:before="120" w:after="120"/>
        <w:jc w:val="left"/>
        <w:rPr>
          <w:rFonts w:asciiTheme="minorHAnsi" w:hAnsiTheme="minorHAnsi"/>
          <w:bCs/>
          <w:szCs w:val="24"/>
        </w:rPr>
      </w:pPr>
      <w:r w:rsidRPr="006E72A7">
        <w:rPr>
          <w:rFonts w:asciiTheme="minorHAnsi" w:hAnsiTheme="minorHAnsi"/>
          <w:bCs/>
          <w:szCs w:val="24"/>
        </w:rPr>
        <w:t xml:space="preserve">The PBAC noted that this submission is </w:t>
      </w:r>
      <w:r w:rsidR="00DA7B11" w:rsidRPr="006E72A7">
        <w:rPr>
          <w:rFonts w:asciiTheme="minorHAnsi" w:hAnsiTheme="minorHAnsi"/>
          <w:bCs/>
          <w:szCs w:val="24"/>
        </w:rPr>
        <w:t xml:space="preserve">not </w:t>
      </w:r>
      <w:r w:rsidRPr="006E72A7">
        <w:rPr>
          <w:rFonts w:asciiTheme="minorHAnsi" w:hAnsiTheme="minorHAnsi"/>
          <w:bCs/>
          <w:szCs w:val="24"/>
        </w:rPr>
        <w:t>eli</w:t>
      </w:r>
      <w:r w:rsidR="00876F1E" w:rsidRPr="006E72A7">
        <w:rPr>
          <w:rFonts w:asciiTheme="minorHAnsi" w:hAnsiTheme="minorHAnsi"/>
          <w:bCs/>
          <w:szCs w:val="24"/>
        </w:rPr>
        <w:t>gible for an Independent review.</w:t>
      </w:r>
      <w:r w:rsidR="00DA7B11" w:rsidRPr="006E72A7">
        <w:rPr>
          <w:rFonts w:asciiTheme="minorHAnsi" w:hAnsiTheme="minorHAnsi"/>
          <w:bCs/>
          <w:szCs w:val="24"/>
        </w:rPr>
        <w:t xml:space="preserve"> Where a submission is made to PBAC for multiple indications and PBAC recommends any of the requested indications, those indications not recommended by PBAC will not be eligible for independent review on that occasion</w:t>
      </w:r>
      <w:r w:rsidR="00876F1E" w:rsidRPr="006E72A7">
        <w:rPr>
          <w:rFonts w:asciiTheme="minorHAnsi" w:hAnsiTheme="minorHAnsi"/>
          <w:bCs/>
          <w:szCs w:val="24"/>
        </w:rPr>
        <w:t xml:space="preserve"> </w:t>
      </w:r>
    </w:p>
    <w:p w:rsidR="00195CA2" w:rsidRPr="006E72A7" w:rsidRDefault="00195CA2" w:rsidP="00FD355F">
      <w:pPr>
        <w:widowControl/>
        <w:spacing w:before="120" w:after="120"/>
        <w:jc w:val="left"/>
        <w:rPr>
          <w:rFonts w:asciiTheme="minorHAnsi" w:hAnsiTheme="minorHAnsi"/>
          <w:b/>
          <w:bCs/>
          <w:szCs w:val="24"/>
        </w:rPr>
      </w:pPr>
      <w:r w:rsidRPr="006E72A7">
        <w:rPr>
          <w:rFonts w:asciiTheme="minorHAnsi" w:hAnsiTheme="minorHAnsi"/>
          <w:b/>
          <w:bCs/>
          <w:szCs w:val="24"/>
        </w:rPr>
        <w:t>Outcome:</w:t>
      </w:r>
    </w:p>
    <w:p w:rsidR="00195CA2" w:rsidRPr="006E72A7" w:rsidRDefault="00195CA2" w:rsidP="00FD355F">
      <w:pPr>
        <w:widowControl/>
        <w:spacing w:before="120" w:after="120"/>
        <w:rPr>
          <w:rFonts w:asciiTheme="minorHAnsi" w:hAnsiTheme="minorHAnsi"/>
          <w:bCs/>
          <w:szCs w:val="24"/>
        </w:rPr>
      </w:pPr>
      <w:r w:rsidRPr="006E72A7">
        <w:rPr>
          <w:rFonts w:asciiTheme="minorHAnsi" w:hAnsiTheme="minorHAnsi"/>
          <w:bCs/>
          <w:szCs w:val="24"/>
        </w:rPr>
        <w:t xml:space="preserve">Rejected </w:t>
      </w:r>
    </w:p>
    <w:p w:rsidR="00DD4DF0" w:rsidRPr="00110317" w:rsidRDefault="00110317" w:rsidP="00AF2D5F">
      <w:pPr>
        <w:spacing w:before="120" w:after="120"/>
        <w:rPr>
          <w:rFonts w:asciiTheme="minorHAnsi" w:eastAsiaTheme="majorEastAsia" w:hAnsiTheme="minorHAnsi" w:cstheme="majorBidi"/>
          <w:caps/>
          <w:snapToGrid/>
          <w:szCs w:val="28"/>
        </w:rPr>
      </w:pPr>
      <w:r>
        <w:rPr>
          <w:rFonts w:asciiTheme="minorHAnsi" w:hAnsiTheme="minorHAnsi"/>
          <w:b/>
          <w:bCs/>
          <w:szCs w:val="24"/>
        </w:rPr>
        <w:br w:type="column"/>
      </w:r>
      <w:r w:rsidR="00DD4DF0" w:rsidRPr="00110317">
        <w:rPr>
          <w:rFonts w:asciiTheme="minorHAnsi" w:eastAsiaTheme="majorEastAsia" w:hAnsiTheme="minorHAnsi" w:cstheme="majorBidi"/>
          <w:snapToGrid/>
          <w:szCs w:val="28"/>
        </w:rPr>
        <w:lastRenderedPageBreak/>
        <w:t>Recommended listing</w:t>
      </w:r>
    </w:p>
    <w:p w:rsidR="00DD4DF0" w:rsidRPr="006E72A7" w:rsidRDefault="00195CA2" w:rsidP="00AF2D5F">
      <w:pPr>
        <w:pStyle w:val="PBACHeading1"/>
        <w:numPr>
          <w:ilvl w:val="0"/>
          <w:numId w:val="0"/>
        </w:numPr>
        <w:spacing w:before="120" w:after="120"/>
        <w:rPr>
          <w:rFonts w:asciiTheme="minorHAnsi" w:hAnsiTheme="minorHAnsi"/>
          <w:bCs/>
          <w:szCs w:val="24"/>
        </w:rPr>
      </w:pPr>
      <w:r w:rsidRPr="006E72A7">
        <w:rPr>
          <w:i/>
          <w:sz w:val="28"/>
          <w:szCs w:val="28"/>
        </w:rPr>
        <w:t>Heterozygous familial hypercholesterolaemia (he-FH)</w:t>
      </w:r>
      <w:r w:rsidRPr="006E72A7">
        <w:rPr>
          <w:i/>
          <w:sz w:val="28"/>
          <w:szCs w:val="28"/>
        </w:rPr>
        <w:br/>
      </w:r>
      <w:r w:rsidR="00294F07">
        <w:rPr>
          <w:rFonts w:asciiTheme="minorHAnsi" w:hAnsiTheme="minorHAnsi"/>
          <w:bCs/>
          <w:szCs w:val="24"/>
        </w:rPr>
        <w:t>Add new item</w:t>
      </w:r>
      <w:r w:rsidR="007B4026">
        <w:rPr>
          <w:rFonts w:asciiTheme="minorHAnsi" w:hAnsiTheme="minorHAnsi"/>
          <w:bCs/>
          <w:szCs w:val="24"/>
        </w:rPr>
        <w:t xml:space="preserve"> and amend evol</w:t>
      </w:r>
      <w:r w:rsidR="008F150E">
        <w:rPr>
          <w:rFonts w:asciiTheme="minorHAnsi" w:hAnsiTheme="minorHAnsi"/>
          <w:bCs/>
          <w:szCs w:val="24"/>
        </w:rPr>
        <w:t>o</w:t>
      </w:r>
      <w:r w:rsidR="007B4026">
        <w:rPr>
          <w:rFonts w:asciiTheme="minorHAnsi" w:hAnsiTheme="minorHAnsi"/>
          <w:bCs/>
          <w:szCs w:val="24"/>
        </w:rPr>
        <w:t>cumab restriction for He-FH</w:t>
      </w:r>
      <w:r w:rsidR="00876F1E" w:rsidRPr="006E72A7">
        <w:rPr>
          <w:rFonts w:asciiTheme="minorHAnsi" w:hAnsiTheme="minorHAnsi"/>
          <w:bCs/>
          <w:szCs w:val="24"/>
        </w:rPr>
        <w:t>:</w:t>
      </w:r>
      <w:r w:rsidRPr="006E72A7">
        <w:rPr>
          <w:rFonts w:asciiTheme="minorHAnsi" w:hAnsiTheme="minorHAnsi"/>
          <w:bCs/>
          <w:szCs w:val="24"/>
        </w:rPr>
        <w:t xml:space="preserve"> </w:t>
      </w:r>
      <w:r w:rsidR="00DD4DF0" w:rsidRPr="006E72A7">
        <w:rPr>
          <w:rFonts w:asciiTheme="minorHAnsi" w:hAnsiTheme="minorHAnsi"/>
          <w:bCs/>
          <w:szCs w:val="24"/>
        </w:rPr>
        <w:t xml:space="preserve"> </w:t>
      </w:r>
    </w:p>
    <w:tbl>
      <w:tblPr>
        <w:tblW w:w="5003" w:type="pct"/>
        <w:tblInd w:w="-5" w:type="dxa"/>
        <w:tblLook w:val="0000" w:firstRow="0" w:lastRow="0" w:firstColumn="0" w:lastColumn="0" w:noHBand="0" w:noVBand="0"/>
        <w:tblCaption w:val="Recommended listing"/>
      </w:tblPr>
      <w:tblGrid>
        <w:gridCol w:w="13"/>
        <w:gridCol w:w="2251"/>
        <w:gridCol w:w="927"/>
        <w:gridCol w:w="43"/>
        <w:gridCol w:w="891"/>
        <w:gridCol w:w="58"/>
        <w:gridCol w:w="807"/>
        <w:gridCol w:w="1479"/>
        <w:gridCol w:w="2563"/>
      </w:tblGrid>
      <w:tr w:rsidR="001C709A" w:rsidRPr="006E72A7" w:rsidTr="00110317">
        <w:trPr>
          <w:trHeight w:val="471"/>
        </w:trPr>
        <w:tc>
          <w:tcPr>
            <w:tcW w:w="1766" w:type="pct"/>
            <w:gridSpan w:val="3"/>
            <w:tcBorders>
              <w:bottom w:val="single" w:sz="4" w:space="0" w:color="auto"/>
            </w:tcBorders>
          </w:tcPr>
          <w:p w:rsidR="001C709A" w:rsidRPr="006E72A7" w:rsidRDefault="001C709A" w:rsidP="00256298">
            <w:pPr>
              <w:keepNext/>
              <w:widowControl/>
              <w:ind w:left="-108"/>
              <w:rPr>
                <w:rFonts w:ascii="Arial Narrow" w:hAnsi="Arial Narrow"/>
                <w:b/>
                <w:sz w:val="20"/>
                <w:szCs w:val="20"/>
              </w:rPr>
            </w:pPr>
            <w:r w:rsidRPr="006E72A7">
              <w:rPr>
                <w:rFonts w:ascii="Arial Narrow" w:hAnsi="Arial Narrow"/>
                <w:b/>
                <w:sz w:val="20"/>
                <w:szCs w:val="20"/>
              </w:rPr>
              <w:t>Name, Restriction,</w:t>
            </w:r>
          </w:p>
          <w:p w:rsidR="001C709A" w:rsidRPr="006E72A7" w:rsidRDefault="001C709A" w:rsidP="00256298">
            <w:pPr>
              <w:keepNext/>
              <w:widowControl/>
              <w:ind w:left="-108"/>
              <w:rPr>
                <w:rFonts w:ascii="Arial Narrow" w:hAnsi="Arial Narrow"/>
                <w:b/>
                <w:sz w:val="20"/>
                <w:szCs w:val="20"/>
              </w:rPr>
            </w:pPr>
            <w:r w:rsidRPr="006E72A7">
              <w:rPr>
                <w:rFonts w:ascii="Arial Narrow" w:hAnsi="Arial Narrow"/>
                <w:b/>
                <w:sz w:val="20"/>
                <w:szCs w:val="20"/>
              </w:rPr>
              <w:t>Manner of administration and form</w:t>
            </w:r>
          </w:p>
        </w:tc>
        <w:tc>
          <w:tcPr>
            <w:tcW w:w="517" w:type="pct"/>
            <w:gridSpan w:val="2"/>
            <w:tcBorders>
              <w:bottom w:val="single" w:sz="4" w:space="0" w:color="auto"/>
            </w:tcBorders>
            <w:vAlign w:val="center"/>
          </w:tcPr>
          <w:p w:rsidR="001C709A" w:rsidRPr="006E72A7" w:rsidRDefault="001C709A" w:rsidP="00110317">
            <w:pPr>
              <w:keepNext/>
              <w:widowControl/>
              <w:ind w:left="-108"/>
              <w:jc w:val="center"/>
              <w:rPr>
                <w:rFonts w:ascii="Arial Narrow" w:hAnsi="Arial Narrow"/>
                <w:b/>
                <w:sz w:val="20"/>
                <w:szCs w:val="20"/>
              </w:rPr>
            </w:pPr>
            <w:r w:rsidRPr="006E72A7">
              <w:rPr>
                <w:rFonts w:ascii="Arial Narrow" w:hAnsi="Arial Narrow"/>
                <w:b/>
                <w:sz w:val="20"/>
                <w:szCs w:val="20"/>
              </w:rPr>
              <w:t>Max. Qty (pack)</w:t>
            </w:r>
          </w:p>
        </w:tc>
        <w:tc>
          <w:tcPr>
            <w:tcW w:w="479" w:type="pct"/>
            <w:gridSpan w:val="2"/>
            <w:tcBorders>
              <w:bottom w:val="single" w:sz="4" w:space="0" w:color="auto"/>
            </w:tcBorders>
            <w:vAlign w:val="center"/>
          </w:tcPr>
          <w:p w:rsidR="001C709A" w:rsidRPr="006E72A7" w:rsidRDefault="001C709A" w:rsidP="00110317">
            <w:pPr>
              <w:keepNext/>
              <w:widowControl/>
              <w:ind w:left="-108"/>
              <w:jc w:val="center"/>
              <w:rPr>
                <w:rFonts w:ascii="Arial Narrow" w:hAnsi="Arial Narrow"/>
                <w:b/>
                <w:sz w:val="20"/>
                <w:szCs w:val="20"/>
              </w:rPr>
            </w:pPr>
            <w:r w:rsidRPr="006E72A7">
              <w:rPr>
                <w:rFonts w:ascii="Arial Narrow" w:hAnsi="Arial Narrow"/>
                <w:b/>
                <w:sz w:val="20"/>
                <w:szCs w:val="20"/>
              </w:rPr>
              <w:t>№.of</w:t>
            </w:r>
          </w:p>
          <w:p w:rsidR="001C709A" w:rsidRPr="006E72A7" w:rsidRDefault="001C709A" w:rsidP="00110317">
            <w:pPr>
              <w:keepNext/>
              <w:widowControl/>
              <w:ind w:left="-108"/>
              <w:jc w:val="center"/>
              <w:rPr>
                <w:rFonts w:ascii="Arial Narrow" w:hAnsi="Arial Narrow"/>
                <w:b/>
                <w:sz w:val="20"/>
                <w:szCs w:val="20"/>
              </w:rPr>
            </w:pPr>
            <w:r w:rsidRPr="006E72A7">
              <w:rPr>
                <w:rFonts w:ascii="Arial Narrow" w:hAnsi="Arial Narrow"/>
                <w:b/>
                <w:sz w:val="20"/>
                <w:szCs w:val="20"/>
              </w:rPr>
              <w:t>Rpts</w:t>
            </w:r>
          </w:p>
        </w:tc>
        <w:tc>
          <w:tcPr>
            <w:tcW w:w="2238" w:type="pct"/>
            <w:gridSpan w:val="2"/>
            <w:tcBorders>
              <w:bottom w:val="single" w:sz="4" w:space="0" w:color="auto"/>
            </w:tcBorders>
          </w:tcPr>
          <w:p w:rsidR="001C709A" w:rsidRPr="006E72A7" w:rsidRDefault="001C709A" w:rsidP="00256298">
            <w:pPr>
              <w:keepNext/>
              <w:widowControl/>
              <w:rPr>
                <w:rFonts w:ascii="Arial Narrow" w:hAnsi="Arial Narrow"/>
                <w:b/>
                <w:sz w:val="20"/>
                <w:szCs w:val="20"/>
              </w:rPr>
            </w:pPr>
            <w:r w:rsidRPr="006E72A7">
              <w:rPr>
                <w:rFonts w:ascii="Arial Narrow" w:hAnsi="Arial Narrow"/>
                <w:b/>
                <w:sz w:val="20"/>
                <w:szCs w:val="20"/>
              </w:rPr>
              <w:t>Proprietary Name and Manufacturer</w:t>
            </w:r>
          </w:p>
        </w:tc>
      </w:tr>
      <w:tr w:rsidR="0005536D" w:rsidRPr="006E72A7" w:rsidTr="00110317">
        <w:trPr>
          <w:trHeight w:val="440"/>
        </w:trPr>
        <w:tc>
          <w:tcPr>
            <w:tcW w:w="1790" w:type="pct"/>
            <w:gridSpan w:val="4"/>
          </w:tcPr>
          <w:p w:rsidR="0005536D" w:rsidRPr="006E72A7" w:rsidRDefault="0005536D" w:rsidP="00907CE2">
            <w:pPr>
              <w:pStyle w:val="KMC16-Tablecontent"/>
              <w:keepNext/>
              <w:spacing w:before="0" w:after="0" w:line="252" w:lineRule="auto"/>
              <w:ind w:hanging="108"/>
              <w:rPr>
                <w:lang w:val="en-AU"/>
              </w:rPr>
            </w:pPr>
            <w:r w:rsidRPr="006E72A7">
              <w:rPr>
                <w:lang w:val="en-AU"/>
              </w:rPr>
              <w:t>ALIROCUMAB</w:t>
            </w:r>
          </w:p>
          <w:p w:rsidR="0005536D" w:rsidRPr="006E72A7" w:rsidRDefault="0005536D" w:rsidP="00907CE2">
            <w:pPr>
              <w:keepNext/>
              <w:widowControl/>
              <w:ind w:left="-108"/>
              <w:rPr>
                <w:rFonts w:ascii="Arial Narrow" w:hAnsi="Arial Narrow"/>
                <w:sz w:val="20"/>
                <w:szCs w:val="20"/>
              </w:rPr>
            </w:pPr>
            <w:r w:rsidRPr="006E72A7">
              <w:rPr>
                <w:rFonts w:ascii="Arial Narrow" w:hAnsi="Arial Narrow"/>
                <w:sz w:val="20"/>
                <w:szCs w:val="20"/>
              </w:rPr>
              <w:t>75mg/mL injection, 2 x 1mL pre-filled pen</w:t>
            </w:r>
          </w:p>
        </w:tc>
        <w:tc>
          <w:tcPr>
            <w:tcW w:w="525" w:type="pct"/>
            <w:gridSpan w:val="2"/>
          </w:tcPr>
          <w:p w:rsidR="0005536D" w:rsidRPr="006E72A7" w:rsidRDefault="0005536D" w:rsidP="00110317">
            <w:pPr>
              <w:keepNext/>
              <w:widowControl/>
              <w:ind w:left="-108"/>
              <w:jc w:val="center"/>
              <w:rPr>
                <w:rFonts w:ascii="Arial Narrow" w:hAnsi="Arial Narrow"/>
                <w:sz w:val="20"/>
                <w:szCs w:val="20"/>
              </w:rPr>
            </w:pPr>
          </w:p>
          <w:p w:rsidR="0005536D" w:rsidRPr="006E72A7" w:rsidRDefault="0005536D" w:rsidP="00110317">
            <w:pPr>
              <w:keepNext/>
              <w:widowControl/>
              <w:ind w:left="-108"/>
              <w:jc w:val="center"/>
              <w:rPr>
                <w:rFonts w:ascii="Arial Narrow" w:hAnsi="Arial Narrow"/>
                <w:sz w:val="20"/>
                <w:szCs w:val="20"/>
              </w:rPr>
            </w:pPr>
            <w:r w:rsidRPr="006E72A7">
              <w:rPr>
                <w:rFonts w:ascii="Arial Narrow" w:hAnsi="Arial Narrow"/>
                <w:sz w:val="20"/>
                <w:szCs w:val="20"/>
              </w:rPr>
              <w:t>1</w:t>
            </w:r>
          </w:p>
        </w:tc>
        <w:tc>
          <w:tcPr>
            <w:tcW w:w="447" w:type="pct"/>
          </w:tcPr>
          <w:p w:rsidR="0005536D" w:rsidRPr="006E72A7" w:rsidRDefault="0005536D" w:rsidP="00110317">
            <w:pPr>
              <w:keepNext/>
              <w:widowControl/>
              <w:ind w:left="-108"/>
              <w:jc w:val="center"/>
              <w:rPr>
                <w:rFonts w:ascii="Arial Narrow" w:hAnsi="Arial Narrow"/>
                <w:sz w:val="20"/>
                <w:szCs w:val="20"/>
              </w:rPr>
            </w:pPr>
          </w:p>
          <w:p w:rsidR="0005536D" w:rsidRPr="006E72A7" w:rsidRDefault="0005536D" w:rsidP="00110317">
            <w:pPr>
              <w:keepNext/>
              <w:widowControl/>
              <w:ind w:left="-108"/>
              <w:jc w:val="center"/>
              <w:rPr>
                <w:rFonts w:ascii="Arial Narrow" w:hAnsi="Arial Narrow"/>
                <w:sz w:val="20"/>
                <w:szCs w:val="20"/>
              </w:rPr>
            </w:pPr>
            <w:r w:rsidRPr="006E72A7">
              <w:rPr>
                <w:rFonts w:ascii="Arial Narrow" w:hAnsi="Arial Narrow"/>
                <w:sz w:val="20"/>
                <w:szCs w:val="20"/>
              </w:rPr>
              <w:t>5</w:t>
            </w:r>
          </w:p>
        </w:tc>
        <w:tc>
          <w:tcPr>
            <w:tcW w:w="819" w:type="pct"/>
          </w:tcPr>
          <w:p w:rsidR="0005536D" w:rsidRPr="006E72A7" w:rsidRDefault="0005536D" w:rsidP="00907CE2">
            <w:pPr>
              <w:keepNext/>
              <w:widowControl/>
              <w:rPr>
                <w:rFonts w:ascii="Arial Narrow" w:hAnsi="Arial Narrow"/>
                <w:sz w:val="20"/>
                <w:szCs w:val="20"/>
              </w:rPr>
            </w:pPr>
            <w:r w:rsidRPr="006E72A7">
              <w:rPr>
                <w:rFonts w:ascii="Arial Narrow" w:hAnsi="Arial Narrow"/>
                <w:sz w:val="20"/>
                <w:szCs w:val="20"/>
              </w:rPr>
              <w:t>Praluent</w:t>
            </w:r>
          </w:p>
        </w:tc>
        <w:tc>
          <w:tcPr>
            <w:tcW w:w="1419" w:type="pct"/>
          </w:tcPr>
          <w:p w:rsidR="0005536D" w:rsidRPr="006E72A7" w:rsidRDefault="0005536D" w:rsidP="00907CE2">
            <w:pPr>
              <w:keepNext/>
              <w:widowControl/>
              <w:rPr>
                <w:rFonts w:ascii="Arial Narrow" w:hAnsi="Arial Narrow"/>
                <w:sz w:val="20"/>
                <w:szCs w:val="20"/>
              </w:rPr>
            </w:pPr>
            <w:r w:rsidRPr="006E72A7">
              <w:rPr>
                <w:rFonts w:ascii="Arial Narrow" w:hAnsi="Arial Narrow"/>
                <w:sz w:val="20"/>
                <w:szCs w:val="20"/>
              </w:rPr>
              <w:t>Sanofi-Aventis</w:t>
            </w:r>
          </w:p>
        </w:tc>
      </w:tr>
      <w:tr w:rsidR="0005536D" w:rsidRPr="006E72A7" w:rsidTr="00110317">
        <w:trPr>
          <w:trHeight w:val="440"/>
        </w:trPr>
        <w:tc>
          <w:tcPr>
            <w:tcW w:w="1790" w:type="pct"/>
            <w:gridSpan w:val="4"/>
          </w:tcPr>
          <w:p w:rsidR="0005536D" w:rsidRPr="006E72A7" w:rsidRDefault="0005536D" w:rsidP="00907CE2">
            <w:pPr>
              <w:pStyle w:val="KMC16-Tablecontent"/>
              <w:keepNext/>
              <w:spacing w:before="0" w:after="0" w:line="252" w:lineRule="auto"/>
              <w:ind w:hanging="108"/>
              <w:rPr>
                <w:lang w:val="en-AU"/>
              </w:rPr>
            </w:pPr>
            <w:r w:rsidRPr="006E72A7">
              <w:rPr>
                <w:lang w:val="en-AU"/>
              </w:rPr>
              <w:t>ALIROCUMAB</w:t>
            </w:r>
          </w:p>
          <w:p w:rsidR="0005536D" w:rsidRPr="006E72A7" w:rsidRDefault="0005536D" w:rsidP="00907CE2">
            <w:pPr>
              <w:keepNext/>
              <w:widowControl/>
              <w:ind w:left="-108"/>
              <w:rPr>
                <w:rFonts w:ascii="Arial Narrow" w:hAnsi="Arial Narrow"/>
                <w:sz w:val="20"/>
                <w:szCs w:val="20"/>
              </w:rPr>
            </w:pPr>
            <w:r w:rsidRPr="006E72A7">
              <w:rPr>
                <w:rFonts w:ascii="Arial Narrow" w:hAnsi="Arial Narrow"/>
                <w:sz w:val="20"/>
                <w:szCs w:val="20"/>
              </w:rPr>
              <w:t>150mg/mL injection, 2 x 1mL pre-filled pen</w:t>
            </w:r>
          </w:p>
        </w:tc>
        <w:tc>
          <w:tcPr>
            <w:tcW w:w="525" w:type="pct"/>
            <w:gridSpan w:val="2"/>
          </w:tcPr>
          <w:p w:rsidR="0005536D" w:rsidRPr="006E72A7" w:rsidRDefault="0005536D" w:rsidP="00110317">
            <w:pPr>
              <w:keepNext/>
              <w:widowControl/>
              <w:ind w:left="-108"/>
              <w:jc w:val="center"/>
              <w:rPr>
                <w:rFonts w:ascii="Arial Narrow" w:hAnsi="Arial Narrow"/>
                <w:sz w:val="20"/>
                <w:szCs w:val="20"/>
              </w:rPr>
            </w:pPr>
          </w:p>
          <w:p w:rsidR="0005536D" w:rsidRPr="006E72A7" w:rsidRDefault="0005536D" w:rsidP="00110317">
            <w:pPr>
              <w:keepNext/>
              <w:widowControl/>
              <w:ind w:left="-108"/>
              <w:jc w:val="center"/>
              <w:rPr>
                <w:rFonts w:ascii="Arial Narrow" w:hAnsi="Arial Narrow"/>
                <w:sz w:val="20"/>
                <w:szCs w:val="20"/>
              </w:rPr>
            </w:pPr>
            <w:r w:rsidRPr="006E72A7">
              <w:rPr>
                <w:rFonts w:ascii="Arial Narrow" w:hAnsi="Arial Narrow"/>
                <w:sz w:val="20"/>
                <w:szCs w:val="20"/>
              </w:rPr>
              <w:t>1</w:t>
            </w:r>
          </w:p>
        </w:tc>
        <w:tc>
          <w:tcPr>
            <w:tcW w:w="447" w:type="pct"/>
          </w:tcPr>
          <w:p w:rsidR="0005536D" w:rsidRPr="006E72A7" w:rsidRDefault="0005536D" w:rsidP="00110317">
            <w:pPr>
              <w:keepNext/>
              <w:widowControl/>
              <w:ind w:left="-108"/>
              <w:jc w:val="center"/>
              <w:rPr>
                <w:rFonts w:ascii="Arial Narrow" w:hAnsi="Arial Narrow"/>
                <w:sz w:val="20"/>
                <w:szCs w:val="20"/>
              </w:rPr>
            </w:pPr>
          </w:p>
          <w:p w:rsidR="0005536D" w:rsidRPr="006E72A7" w:rsidRDefault="0005536D" w:rsidP="00110317">
            <w:pPr>
              <w:keepNext/>
              <w:widowControl/>
              <w:ind w:left="-108"/>
              <w:jc w:val="center"/>
              <w:rPr>
                <w:rFonts w:ascii="Arial Narrow" w:hAnsi="Arial Narrow"/>
                <w:sz w:val="20"/>
                <w:szCs w:val="20"/>
              </w:rPr>
            </w:pPr>
            <w:r w:rsidRPr="006E72A7">
              <w:rPr>
                <w:rFonts w:ascii="Arial Narrow" w:hAnsi="Arial Narrow"/>
                <w:sz w:val="20"/>
                <w:szCs w:val="20"/>
              </w:rPr>
              <w:t>5</w:t>
            </w:r>
          </w:p>
        </w:tc>
        <w:tc>
          <w:tcPr>
            <w:tcW w:w="819" w:type="pct"/>
          </w:tcPr>
          <w:p w:rsidR="0005536D" w:rsidRPr="006E72A7" w:rsidRDefault="0005536D" w:rsidP="00907CE2">
            <w:pPr>
              <w:keepNext/>
              <w:widowControl/>
              <w:rPr>
                <w:rFonts w:ascii="Arial Narrow" w:hAnsi="Arial Narrow"/>
                <w:sz w:val="20"/>
                <w:szCs w:val="20"/>
              </w:rPr>
            </w:pPr>
            <w:r w:rsidRPr="006E72A7">
              <w:rPr>
                <w:rFonts w:ascii="Arial Narrow" w:hAnsi="Arial Narrow"/>
                <w:sz w:val="20"/>
                <w:szCs w:val="20"/>
              </w:rPr>
              <w:t>Praluent</w:t>
            </w:r>
          </w:p>
        </w:tc>
        <w:tc>
          <w:tcPr>
            <w:tcW w:w="1419" w:type="pct"/>
          </w:tcPr>
          <w:p w:rsidR="0005536D" w:rsidRPr="006E72A7" w:rsidRDefault="0005536D" w:rsidP="00907CE2">
            <w:pPr>
              <w:keepNext/>
              <w:widowControl/>
              <w:rPr>
                <w:rFonts w:ascii="Arial Narrow" w:hAnsi="Arial Narrow"/>
                <w:sz w:val="20"/>
                <w:szCs w:val="20"/>
              </w:rPr>
            </w:pPr>
            <w:r w:rsidRPr="006E72A7">
              <w:rPr>
                <w:rFonts w:ascii="Arial Narrow" w:hAnsi="Arial Narrow"/>
                <w:sz w:val="20"/>
                <w:szCs w:val="20"/>
              </w:rPr>
              <w:t>Sanofi-Aventis</w:t>
            </w:r>
          </w:p>
        </w:tc>
      </w:tr>
      <w:tr w:rsidR="00110317" w:rsidRPr="006E72A7" w:rsidTr="00110317">
        <w:trPr>
          <w:trHeight w:val="440"/>
        </w:trPr>
        <w:tc>
          <w:tcPr>
            <w:tcW w:w="5000" w:type="pct"/>
            <w:gridSpan w:val="9"/>
          </w:tcPr>
          <w:p w:rsidR="00110317" w:rsidRPr="006E72A7" w:rsidRDefault="00110317" w:rsidP="00256298">
            <w:pPr>
              <w:keepNext/>
              <w:widowControl/>
              <w:rPr>
                <w:rFonts w:ascii="Arial Narrow" w:hAnsi="Arial Narrow"/>
                <w:sz w:val="20"/>
                <w:szCs w:val="20"/>
              </w:rPr>
            </w:pPr>
          </w:p>
        </w:tc>
      </w:tr>
      <w:tr w:rsidR="009D447D" w:rsidRPr="006E72A7" w:rsidTr="00AF2D5F">
        <w:trPr>
          <w:gridBefore w:val="1"/>
          <w:wBefore w:w="7" w:type="pct"/>
          <w:trHeight w:val="360"/>
        </w:trPr>
        <w:tc>
          <w:tcPr>
            <w:tcW w:w="1246"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rPr>
                <w:b/>
              </w:rPr>
            </w:pPr>
            <w:r w:rsidRPr="006E72A7">
              <w:rPr>
                <w:b/>
              </w:rPr>
              <w:t xml:space="preserve">Category / Program </w:t>
            </w:r>
          </w:p>
        </w:tc>
        <w:tc>
          <w:tcPr>
            <w:tcW w:w="3747" w:type="pct"/>
            <w:gridSpan w:val="7"/>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pPr>
            <w:r w:rsidRPr="006E72A7">
              <w:t>GENERAL – General Schedule (Code GE)</w:t>
            </w:r>
          </w:p>
        </w:tc>
      </w:tr>
      <w:tr w:rsidR="009D447D" w:rsidRPr="006E72A7" w:rsidTr="00AF2D5F">
        <w:trPr>
          <w:gridBefore w:val="1"/>
          <w:wBefore w:w="7" w:type="pct"/>
          <w:trHeight w:val="360"/>
        </w:trPr>
        <w:tc>
          <w:tcPr>
            <w:tcW w:w="1246"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rPr>
                <w:b/>
              </w:rPr>
            </w:pPr>
            <w:r w:rsidRPr="006E72A7">
              <w:rPr>
                <w:b/>
              </w:rPr>
              <w:t>Prescriber type:</w:t>
            </w:r>
          </w:p>
        </w:tc>
        <w:tc>
          <w:tcPr>
            <w:tcW w:w="3747" w:type="pct"/>
            <w:gridSpan w:val="7"/>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pPr>
            <w:r w:rsidRPr="006E72A7">
              <w:fldChar w:fldCharType="begin">
                <w:ffData>
                  <w:name w:val="Check1"/>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 xml:space="preserve">Dental  </w:t>
            </w:r>
          </w:p>
          <w:p w:rsidR="009D447D" w:rsidRPr="006E72A7" w:rsidRDefault="009D447D" w:rsidP="00256298">
            <w:pPr>
              <w:pStyle w:val="Tabletext"/>
              <w:keepNext/>
              <w:keepLines/>
              <w:spacing w:before="20" w:after="20"/>
            </w:pPr>
            <w:r w:rsidRPr="006E72A7">
              <w:fldChar w:fldCharType="begin">
                <w:ffData>
                  <w:name w:val=""/>
                  <w:enabled/>
                  <w:calcOnExit w:val="0"/>
                  <w:checkBox>
                    <w:sizeAuto/>
                    <w:default w:val="1"/>
                  </w:checkBox>
                </w:ffData>
              </w:fldChar>
            </w:r>
            <w:r w:rsidRPr="006E72A7">
              <w:instrText xml:space="preserve"> FORMCHECKBOX </w:instrText>
            </w:r>
            <w:r w:rsidR="008E296C">
              <w:fldChar w:fldCharType="separate"/>
            </w:r>
            <w:r w:rsidRPr="006E72A7">
              <w:fldChar w:fldCharType="end"/>
            </w:r>
            <w:r w:rsidRPr="006E72A7">
              <w:t xml:space="preserve">Medical Practitioners </w:t>
            </w:r>
          </w:p>
          <w:p w:rsidR="009D447D" w:rsidRPr="006E72A7" w:rsidRDefault="009D447D" w:rsidP="00256298">
            <w:pPr>
              <w:pStyle w:val="Tabletext"/>
              <w:keepNext/>
              <w:keepLines/>
              <w:spacing w:before="20" w:after="20"/>
            </w:pPr>
            <w:r w:rsidRPr="006E72A7">
              <w:fldChar w:fldCharType="begin">
                <w:ffData>
                  <w:name w:val="Check3"/>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 xml:space="preserve">Nurse practitioners </w:t>
            </w:r>
          </w:p>
          <w:p w:rsidR="009D447D" w:rsidRPr="006E72A7" w:rsidRDefault="009D447D" w:rsidP="00256298">
            <w:pPr>
              <w:pStyle w:val="Tabletext"/>
              <w:keepNext/>
              <w:keepLines/>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Optometrists</w:t>
            </w:r>
          </w:p>
          <w:p w:rsidR="009D447D" w:rsidRPr="006E72A7" w:rsidRDefault="009D447D" w:rsidP="00256298">
            <w:pPr>
              <w:pStyle w:val="Tabletext"/>
              <w:keepNext/>
              <w:keepLines/>
              <w:spacing w:before="20" w:after="20"/>
            </w:pPr>
            <w:r w:rsidRPr="006E72A7">
              <w:fldChar w:fldCharType="begin">
                <w:ffData>
                  <w:name w:val="Check5"/>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Midwives</w:t>
            </w:r>
          </w:p>
        </w:tc>
      </w:tr>
      <w:tr w:rsidR="009D447D" w:rsidRPr="006E72A7" w:rsidTr="00AF2D5F">
        <w:trPr>
          <w:gridBefore w:val="1"/>
          <w:wBefore w:w="7" w:type="pct"/>
          <w:trHeight w:val="70"/>
        </w:trPr>
        <w:tc>
          <w:tcPr>
            <w:tcW w:w="1246"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rPr>
                <w:b/>
              </w:rPr>
            </w:pPr>
            <w:r w:rsidRPr="006E72A7">
              <w:rPr>
                <w:b/>
              </w:rPr>
              <w:t>PBS Indication:</w:t>
            </w:r>
          </w:p>
        </w:tc>
        <w:tc>
          <w:tcPr>
            <w:tcW w:w="3747" w:type="pct"/>
            <w:gridSpan w:val="7"/>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pPr>
            <w:r w:rsidRPr="006E72A7">
              <w:t>Familial heterozygous hypercholesterolaemia</w:t>
            </w:r>
          </w:p>
        </w:tc>
      </w:tr>
      <w:tr w:rsidR="009D447D" w:rsidRPr="006E72A7" w:rsidTr="00AF2D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trHeight w:val="225"/>
        </w:trPr>
        <w:tc>
          <w:tcPr>
            <w:tcW w:w="1246" w:type="pct"/>
          </w:tcPr>
          <w:p w:rsidR="009D447D" w:rsidRPr="006E72A7" w:rsidRDefault="009D447D" w:rsidP="00256298">
            <w:pPr>
              <w:pStyle w:val="Tabletext"/>
              <w:spacing w:before="20" w:after="20"/>
              <w:rPr>
                <w:b/>
              </w:rPr>
            </w:pPr>
            <w:r w:rsidRPr="006E72A7">
              <w:rPr>
                <w:b/>
              </w:rPr>
              <w:t>Treatment phase:</w:t>
            </w:r>
          </w:p>
        </w:tc>
        <w:tc>
          <w:tcPr>
            <w:tcW w:w="3747" w:type="pct"/>
            <w:gridSpan w:val="7"/>
            <w:shd w:val="clear" w:color="auto" w:fill="auto"/>
          </w:tcPr>
          <w:p w:rsidR="009D447D" w:rsidRPr="006E72A7" w:rsidRDefault="009D447D" w:rsidP="00256298">
            <w:pPr>
              <w:pStyle w:val="Tabletext"/>
              <w:spacing w:before="20" w:after="20"/>
            </w:pPr>
            <w:r w:rsidRPr="006E72A7">
              <w:t xml:space="preserve">Initial </w:t>
            </w:r>
            <w:r w:rsidR="008B5662" w:rsidRPr="006E72A7">
              <w:t>t</w:t>
            </w:r>
            <w:r w:rsidRPr="006E72A7">
              <w:t>reatment</w:t>
            </w:r>
          </w:p>
        </w:tc>
      </w:tr>
      <w:tr w:rsidR="009D447D" w:rsidRPr="006E72A7" w:rsidTr="00AF2D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pct"/>
          <w:trHeight w:val="360"/>
        </w:trPr>
        <w:tc>
          <w:tcPr>
            <w:tcW w:w="1246" w:type="pct"/>
          </w:tcPr>
          <w:p w:rsidR="009D447D" w:rsidRPr="006E72A7" w:rsidRDefault="009D447D" w:rsidP="00256298">
            <w:pPr>
              <w:pStyle w:val="Tabletext"/>
              <w:spacing w:before="20" w:after="20"/>
              <w:rPr>
                <w:b/>
              </w:rPr>
            </w:pPr>
            <w:r w:rsidRPr="006E72A7">
              <w:rPr>
                <w:b/>
              </w:rPr>
              <w:t>Restriction Level / Method:</w:t>
            </w:r>
          </w:p>
        </w:tc>
        <w:tc>
          <w:tcPr>
            <w:tcW w:w="3747" w:type="pct"/>
            <w:gridSpan w:val="7"/>
            <w:shd w:val="clear" w:color="auto" w:fill="auto"/>
          </w:tcPr>
          <w:p w:rsidR="009D447D" w:rsidRPr="006E72A7" w:rsidRDefault="009D447D" w:rsidP="00256298">
            <w:pPr>
              <w:pStyle w:val="Tabletext"/>
              <w:spacing w:before="20" w:after="20"/>
            </w:pPr>
            <w:r w:rsidRPr="006E72A7">
              <w:fldChar w:fldCharType="begin">
                <w:ffData>
                  <w:name w:val="Check1"/>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Restricted benefit</w:t>
            </w:r>
          </w:p>
          <w:p w:rsidR="009D447D" w:rsidRPr="006E72A7" w:rsidRDefault="009D447D" w:rsidP="00256298">
            <w:pPr>
              <w:pStyle w:val="Tabletext"/>
              <w:spacing w:before="20" w:after="20"/>
            </w:pPr>
            <w:r w:rsidRPr="006E72A7">
              <w:fldChar w:fldCharType="begin">
                <w:ffData>
                  <w:name w:val=""/>
                  <w:enabled/>
                  <w:calcOnExit w:val="0"/>
                  <w:checkBox>
                    <w:sizeAuto/>
                    <w:default w:val="1"/>
                  </w:checkBox>
                </w:ffData>
              </w:fldChar>
            </w:r>
            <w:r w:rsidRPr="006E72A7">
              <w:instrText xml:space="preserve"> FORMCHECKBOX </w:instrText>
            </w:r>
            <w:r w:rsidR="008E296C">
              <w:fldChar w:fldCharType="separate"/>
            </w:r>
            <w:r w:rsidRPr="006E72A7">
              <w:fldChar w:fldCharType="end"/>
            </w:r>
            <w:r w:rsidRPr="006E72A7">
              <w:t>Authority Required – In Writing</w:t>
            </w:r>
          </w:p>
          <w:p w:rsidR="009D447D" w:rsidRPr="006E72A7" w:rsidRDefault="009D447D" w:rsidP="00256298">
            <w:pPr>
              <w:pStyle w:val="Tabletext"/>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Authority Required – Telephone</w:t>
            </w:r>
          </w:p>
          <w:p w:rsidR="009D447D" w:rsidRPr="006E72A7" w:rsidRDefault="009D447D" w:rsidP="00256298">
            <w:pPr>
              <w:pStyle w:val="Tabletext"/>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Authority Required – Emergency</w:t>
            </w:r>
          </w:p>
          <w:p w:rsidR="009D447D" w:rsidRPr="006E72A7" w:rsidRDefault="009D447D" w:rsidP="00256298">
            <w:pPr>
              <w:pStyle w:val="Tabletext"/>
              <w:spacing w:before="20" w:after="20"/>
            </w:pPr>
            <w:r w:rsidRPr="006E72A7">
              <w:fldChar w:fldCharType="begin">
                <w:ffData>
                  <w:name w:val=""/>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Authority Required – Electronic</w:t>
            </w:r>
          </w:p>
          <w:p w:rsidR="009D447D" w:rsidRPr="006E72A7" w:rsidRDefault="009D447D" w:rsidP="00256298">
            <w:pPr>
              <w:pStyle w:val="Tabletext"/>
              <w:spacing w:before="20" w:after="20"/>
            </w:pPr>
            <w:r w:rsidRPr="006E72A7">
              <w:fldChar w:fldCharType="begin">
                <w:ffData>
                  <w:name w:val="Check5"/>
                  <w:enabled/>
                  <w:calcOnExit w:val="0"/>
                  <w:checkBox>
                    <w:sizeAuto/>
                    <w:default w:val="0"/>
                  </w:checkBox>
                </w:ffData>
              </w:fldChar>
            </w:r>
            <w:r w:rsidRPr="006E72A7">
              <w:instrText xml:space="preserve"> FORMCHECKBOX </w:instrText>
            </w:r>
            <w:r w:rsidR="008E296C">
              <w:fldChar w:fldCharType="separate"/>
            </w:r>
            <w:r w:rsidRPr="006E72A7">
              <w:fldChar w:fldCharType="end"/>
            </w:r>
            <w:r w:rsidRPr="006E72A7">
              <w:t>Streamlined</w:t>
            </w:r>
          </w:p>
        </w:tc>
      </w:tr>
      <w:tr w:rsidR="009D447D" w:rsidRPr="006E72A7" w:rsidTr="00AF2D5F">
        <w:trPr>
          <w:gridBefore w:val="1"/>
          <w:wBefore w:w="7" w:type="pct"/>
          <w:trHeight w:val="360"/>
        </w:trPr>
        <w:tc>
          <w:tcPr>
            <w:tcW w:w="1246"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spacing w:before="20" w:after="20"/>
              <w:rPr>
                <w:b/>
              </w:rPr>
            </w:pPr>
            <w:r w:rsidRPr="006E72A7">
              <w:rPr>
                <w:b/>
              </w:rPr>
              <w:t>Clinical criteria:</w:t>
            </w:r>
          </w:p>
        </w:tc>
        <w:tc>
          <w:tcPr>
            <w:tcW w:w="3747" w:type="pct"/>
            <w:gridSpan w:val="7"/>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The treatment must be in conjunction with dietary therapy and exercise</w:t>
            </w:r>
          </w:p>
          <w:p w:rsidR="009D447D" w:rsidRPr="006E72A7" w:rsidRDefault="009D447D" w:rsidP="00256298">
            <w:pPr>
              <w:pStyle w:val="Default"/>
              <w:rPr>
                <w:rFonts w:ascii="Arial Narrow" w:hAnsi="Arial Narrow"/>
              </w:rPr>
            </w:pPr>
            <w:r w:rsidRPr="006E72A7">
              <w:rPr>
                <w:rFonts w:ascii="Arial Narrow" w:hAnsi="Arial Narrow"/>
                <w:b/>
                <w:sz w:val="20"/>
                <w:szCs w:val="20"/>
              </w:rPr>
              <w:t>AND</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 xml:space="preserve">The condition must have been confirmed by genetic testing; OR </w:t>
            </w:r>
          </w:p>
          <w:p w:rsidR="009D447D" w:rsidRPr="006E72A7" w:rsidRDefault="009D447D" w:rsidP="00256298">
            <w:pPr>
              <w:pStyle w:val="Default"/>
              <w:rPr>
                <w:rFonts w:ascii="Arial Narrow" w:hAnsi="Arial Narrow"/>
              </w:rPr>
            </w:pPr>
            <w:r w:rsidRPr="006E72A7">
              <w:rPr>
                <w:rFonts w:ascii="Arial Narrow" w:hAnsi="Arial Narrow"/>
                <w:sz w:val="20"/>
                <w:szCs w:val="20"/>
              </w:rPr>
              <w:t xml:space="preserve">The condition must have been confirmed by a Dutch Lipid Clinic Network Score of at least 6, </w:t>
            </w:r>
            <w:r w:rsidRPr="006E72A7">
              <w:rPr>
                <w:rFonts w:ascii="Arial Narrow" w:hAnsi="Arial Narrow"/>
                <w:sz w:val="20"/>
                <w:szCs w:val="20"/>
              </w:rPr>
              <w:br/>
            </w:r>
            <w:r w:rsidRPr="006E72A7">
              <w:rPr>
                <w:rFonts w:ascii="Arial Narrow" w:hAnsi="Arial Narrow"/>
                <w:b/>
                <w:sz w:val="20"/>
                <w:szCs w:val="20"/>
              </w:rPr>
              <w:t>AND</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 xml:space="preserve">Patient must have an LDL cholesterol level in excess of 3.3 millimoles per litre in the presence of symptomatic atherosclerotic cardiovascular disease; OR </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Patient must have an LDL cholesterol level in excess of 5 millimoles per litre,</w:t>
            </w:r>
            <w:r w:rsidRPr="006E72A7">
              <w:rPr>
                <w:rFonts w:ascii="Arial Narrow" w:hAnsi="Arial Narrow"/>
                <w:bCs/>
                <w:sz w:val="20"/>
                <w:szCs w:val="20"/>
              </w:rPr>
              <w:t xml:space="preserve"> </w:t>
            </w:r>
          </w:p>
          <w:p w:rsidR="009D447D" w:rsidRPr="006E72A7" w:rsidRDefault="009D447D" w:rsidP="00256298">
            <w:pPr>
              <w:pStyle w:val="Tabletext"/>
              <w:spacing w:before="20" w:after="20"/>
              <w:rPr>
                <w:b/>
              </w:rPr>
            </w:pPr>
            <w:r w:rsidRPr="006E72A7">
              <w:rPr>
                <w:b/>
                <w:bCs/>
              </w:rPr>
              <w:t>AND</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 xml:space="preserve">Patient must have been treated with the maximum recommended dose of atorvastatin or rosuvastatin according to the TGA-approved Product Information for at least 3 months in conjunction with dietary therapy and exercise; OR </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 xml:space="preserve">Patient must have developed clinically important product-related adverse events necessitating withdrawal of statin treatment to trials of each of atorvastatin and rosuvastatin; OR </w:t>
            </w:r>
          </w:p>
          <w:p w:rsidR="00764048" w:rsidRPr="006E72A7" w:rsidRDefault="009D447D" w:rsidP="00256298">
            <w:pPr>
              <w:pStyle w:val="Default"/>
              <w:rPr>
                <w:rFonts w:ascii="Arial Narrow" w:hAnsi="Arial Narrow"/>
                <w:b/>
                <w:sz w:val="20"/>
                <w:szCs w:val="20"/>
              </w:rPr>
            </w:pPr>
            <w:r w:rsidRPr="006E72A7">
              <w:rPr>
                <w:rFonts w:ascii="Arial Narrow" w:hAnsi="Arial Narrow"/>
                <w:sz w:val="20"/>
                <w:szCs w:val="20"/>
              </w:rPr>
              <w:t>Patient must be contraindicated to treatment with a HMG CoA reductase inhibitor (statin) as defined in the TGA-approved Product Information,</w:t>
            </w:r>
          </w:p>
          <w:p w:rsidR="009D447D" w:rsidRPr="006E72A7" w:rsidRDefault="009D447D" w:rsidP="00256298">
            <w:pPr>
              <w:pStyle w:val="Default"/>
              <w:rPr>
                <w:rFonts w:ascii="Arial Narrow" w:hAnsi="Arial Narrow"/>
                <w:sz w:val="20"/>
                <w:szCs w:val="20"/>
              </w:rPr>
            </w:pPr>
            <w:r w:rsidRPr="006E72A7">
              <w:rPr>
                <w:rFonts w:ascii="Arial Narrow" w:hAnsi="Arial Narrow"/>
                <w:b/>
                <w:bCs/>
                <w:sz w:val="20"/>
                <w:szCs w:val="20"/>
              </w:rPr>
              <w:t>AND</w:t>
            </w:r>
            <w:r w:rsidRPr="006E72A7">
              <w:rPr>
                <w:rFonts w:ascii="Arial Narrow" w:hAnsi="Arial Narrow"/>
                <w:bCs/>
                <w:sz w:val="20"/>
                <w:szCs w:val="20"/>
              </w:rPr>
              <w:t xml:space="preserve"> </w:t>
            </w:r>
          </w:p>
          <w:p w:rsidR="009D447D" w:rsidRDefault="009D447D" w:rsidP="00256298">
            <w:pPr>
              <w:pStyle w:val="Default"/>
              <w:rPr>
                <w:rFonts w:ascii="Arial Narrow" w:hAnsi="Arial Narrow"/>
                <w:sz w:val="20"/>
                <w:szCs w:val="20"/>
              </w:rPr>
            </w:pPr>
            <w:r w:rsidRPr="006E72A7">
              <w:rPr>
                <w:rFonts w:ascii="Arial Narrow" w:hAnsi="Arial Narrow"/>
                <w:sz w:val="20"/>
                <w:szCs w:val="20"/>
              </w:rPr>
              <w:t xml:space="preserve">Patient must have been treated with ezetimibe for at least 3 months in conjunction with dietary therapy and exercise. </w:t>
            </w:r>
          </w:p>
          <w:p w:rsidR="00294F07" w:rsidRDefault="00294F07" w:rsidP="00294F07">
            <w:pPr>
              <w:pStyle w:val="Default"/>
              <w:rPr>
                <w:rFonts w:ascii="Arial Narrow" w:hAnsi="Arial Narrow"/>
                <w:b/>
                <w:sz w:val="20"/>
                <w:szCs w:val="20"/>
              </w:rPr>
            </w:pPr>
            <w:r>
              <w:rPr>
                <w:rFonts w:ascii="Arial Narrow" w:hAnsi="Arial Narrow"/>
                <w:b/>
                <w:sz w:val="20"/>
                <w:szCs w:val="20"/>
              </w:rPr>
              <w:t xml:space="preserve">AND </w:t>
            </w:r>
          </w:p>
          <w:p w:rsidR="009D447D" w:rsidRDefault="00294F07" w:rsidP="00256298">
            <w:pPr>
              <w:pStyle w:val="Default"/>
              <w:rPr>
                <w:rFonts w:ascii="Arial Narrow" w:hAnsi="Arial Narrow"/>
                <w:sz w:val="20"/>
                <w:szCs w:val="20"/>
              </w:rPr>
            </w:pPr>
            <w:r>
              <w:rPr>
                <w:rFonts w:ascii="Arial Narrow" w:hAnsi="Arial Narrow"/>
                <w:sz w:val="20"/>
                <w:szCs w:val="20"/>
              </w:rPr>
              <w:t>Patient must commence initial treatment on a dose of 75mg per fortnight or 300mg per month</w:t>
            </w:r>
            <w:r w:rsidR="00CA2F91">
              <w:rPr>
                <w:rFonts w:ascii="Arial Narrow" w:hAnsi="Arial Narrow"/>
                <w:sz w:val="20"/>
                <w:szCs w:val="20"/>
              </w:rPr>
              <w:t>.</w:t>
            </w:r>
            <w:r>
              <w:rPr>
                <w:rFonts w:ascii="Arial Narrow" w:hAnsi="Arial Narrow"/>
                <w:sz w:val="20"/>
                <w:szCs w:val="20"/>
              </w:rPr>
              <w:t xml:space="preserve"> </w:t>
            </w:r>
          </w:p>
          <w:p w:rsidR="00CA2F91" w:rsidRDefault="00CA2F91" w:rsidP="00256298">
            <w:pPr>
              <w:pStyle w:val="Default"/>
              <w:rPr>
                <w:rFonts w:ascii="Arial Narrow" w:hAnsi="Arial Narrow"/>
                <w:b/>
                <w:sz w:val="20"/>
                <w:szCs w:val="20"/>
              </w:rPr>
            </w:pPr>
            <w:r>
              <w:rPr>
                <w:rFonts w:ascii="Arial Narrow" w:hAnsi="Arial Narrow"/>
                <w:b/>
                <w:sz w:val="20"/>
                <w:szCs w:val="20"/>
              </w:rPr>
              <w:t>AND</w:t>
            </w:r>
          </w:p>
          <w:p w:rsidR="00CA2F91" w:rsidRPr="00CA2F91" w:rsidRDefault="00CA2F91" w:rsidP="00CA2F91">
            <w:pPr>
              <w:pStyle w:val="Default"/>
              <w:rPr>
                <w:rFonts w:ascii="Arial Narrow" w:hAnsi="Arial Narrow"/>
                <w:sz w:val="20"/>
                <w:szCs w:val="20"/>
              </w:rPr>
            </w:pPr>
            <w:r w:rsidRPr="00CA2F91">
              <w:rPr>
                <w:rFonts w:ascii="Arial Narrow" w:hAnsi="Arial Narrow"/>
                <w:sz w:val="20"/>
                <w:szCs w:val="20"/>
              </w:rPr>
              <w:t xml:space="preserve">Patient must not be receiving concomitant PBS-subsidised </w:t>
            </w:r>
            <w:r>
              <w:rPr>
                <w:rFonts w:ascii="Arial Narrow" w:hAnsi="Arial Narrow"/>
                <w:sz w:val="20"/>
                <w:szCs w:val="20"/>
              </w:rPr>
              <w:t>evolocumab.</w:t>
            </w:r>
          </w:p>
        </w:tc>
      </w:tr>
      <w:tr w:rsidR="009D447D" w:rsidRPr="006E72A7" w:rsidTr="00AF2D5F">
        <w:trPr>
          <w:gridBefore w:val="1"/>
          <w:wBefore w:w="7" w:type="pct"/>
          <w:trHeight w:val="360"/>
        </w:trPr>
        <w:tc>
          <w:tcPr>
            <w:tcW w:w="1246"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spacing w:before="20" w:after="20"/>
              <w:rPr>
                <w:b/>
                <w:strike/>
              </w:rPr>
            </w:pPr>
            <w:r w:rsidRPr="006E72A7">
              <w:rPr>
                <w:b/>
              </w:rPr>
              <w:lastRenderedPageBreak/>
              <w:t>Treatment criteria:</w:t>
            </w:r>
          </w:p>
        </w:tc>
        <w:tc>
          <w:tcPr>
            <w:tcW w:w="3747" w:type="pct"/>
            <w:gridSpan w:val="7"/>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0"/>
              <w:spacing w:before="20" w:after="20"/>
              <w:rPr>
                <w:strike/>
                <w:szCs w:val="20"/>
              </w:rPr>
            </w:pPr>
            <w:r w:rsidRPr="006E72A7">
              <w:rPr>
                <w:szCs w:val="20"/>
              </w:rPr>
              <w:t>Must be treated by a specialist physician</w:t>
            </w:r>
            <w:r w:rsidR="00764048" w:rsidRPr="006E72A7">
              <w:rPr>
                <w:szCs w:val="20"/>
              </w:rPr>
              <w:t>.</w:t>
            </w:r>
          </w:p>
          <w:p w:rsidR="009D447D" w:rsidRPr="006E72A7" w:rsidRDefault="009D447D" w:rsidP="00256298">
            <w:pPr>
              <w:pStyle w:val="TableText0"/>
              <w:spacing w:before="20" w:after="20"/>
              <w:rPr>
                <w:szCs w:val="20"/>
              </w:rPr>
            </w:pPr>
          </w:p>
          <w:p w:rsidR="007E420D" w:rsidRPr="006E72A7" w:rsidRDefault="007E420D" w:rsidP="00256298">
            <w:pPr>
              <w:pStyle w:val="Tabletext"/>
              <w:spacing w:before="20" w:after="20"/>
            </w:pPr>
          </w:p>
          <w:p w:rsidR="009D447D" w:rsidRPr="006E72A7" w:rsidRDefault="009D447D" w:rsidP="00294F07">
            <w:pPr>
              <w:pStyle w:val="Default"/>
              <w:rPr>
                <w:strike/>
              </w:rPr>
            </w:pPr>
          </w:p>
        </w:tc>
      </w:tr>
      <w:tr w:rsidR="00294F07" w:rsidRPr="006E72A7" w:rsidTr="00AF2D5F">
        <w:trPr>
          <w:gridBefore w:val="1"/>
          <w:wBefore w:w="7" w:type="pct"/>
          <w:trHeight w:val="360"/>
        </w:trPr>
        <w:tc>
          <w:tcPr>
            <w:tcW w:w="1246" w:type="pct"/>
            <w:tcBorders>
              <w:top w:val="single" w:sz="4" w:space="0" w:color="auto"/>
              <w:left w:val="single" w:sz="4" w:space="0" w:color="auto"/>
              <w:bottom w:val="single" w:sz="4" w:space="0" w:color="auto"/>
              <w:right w:val="single" w:sz="4" w:space="0" w:color="auto"/>
            </w:tcBorders>
          </w:tcPr>
          <w:p w:rsidR="00294F07" w:rsidRPr="006E72A7" w:rsidRDefault="00294F07" w:rsidP="00294F07">
            <w:pPr>
              <w:pStyle w:val="Tabletext"/>
              <w:spacing w:before="20" w:after="20"/>
              <w:rPr>
                <w:b/>
              </w:rPr>
            </w:pPr>
            <w:r>
              <w:rPr>
                <w:b/>
              </w:rPr>
              <w:t>Prescriber Instructions</w:t>
            </w:r>
          </w:p>
        </w:tc>
        <w:tc>
          <w:tcPr>
            <w:tcW w:w="3747" w:type="pct"/>
            <w:gridSpan w:val="7"/>
            <w:tcBorders>
              <w:top w:val="single" w:sz="4" w:space="0" w:color="auto"/>
              <w:left w:val="single" w:sz="4" w:space="0" w:color="auto"/>
              <w:bottom w:val="single" w:sz="4" w:space="0" w:color="auto"/>
              <w:right w:val="single" w:sz="4" w:space="0" w:color="auto"/>
            </w:tcBorders>
          </w:tcPr>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A clinically important product-related adverse event is defined as follows: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 Severe myalgia (muscle symptoms without creatine kinase elevation) which is proven to be temporally associated with statin treatment; or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294F07" w:rsidRDefault="00294F07" w:rsidP="00294F07">
            <w:pPr>
              <w:pStyle w:val="Default"/>
              <w:rPr>
                <w:rFonts w:ascii="Arial Narrow" w:hAnsi="Arial Narrow"/>
                <w:sz w:val="20"/>
                <w:szCs w:val="20"/>
              </w:rPr>
            </w:pPr>
            <w:r w:rsidRPr="006E72A7">
              <w:rPr>
                <w:rFonts w:ascii="Arial Narrow" w:hAnsi="Arial Narrow"/>
                <w:sz w:val="20"/>
                <w:szCs w:val="20"/>
              </w:rPr>
              <w:t xml:space="preserve">(iii) Unexplained, persistent elevations of serum transaminases (greater than 3 times the upper limit of normal) during treatment with a statin. </w:t>
            </w:r>
          </w:p>
          <w:p w:rsidR="00294F07" w:rsidRPr="006E72A7" w:rsidRDefault="00294F07" w:rsidP="00294F07">
            <w:pPr>
              <w:pStyle w:val="Default"/>
              <w:rPr>
                <w:rFonts w:ascii="Arial Narrow" w:hAnsi="Arial Narrow"/>
                <w:sz w:val="20"/>
                <w:szCs w:val="20"/>
              </w:rPr>
            </w:pP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Symptomatic atherosclerotic cardiovascular disease is defined as: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 the presence of symptomatic coronary artery disease; or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(ii) the presence of symptomatic cerebrovascular disease; or </w:t>
            </w:r>
          </w:p>
          <w:p w:rsidR="00294F07" w:rsidRPr="006E72A7" w:rsidRDefault="00294F07" w:rsidP="00294F07">
            <w:pPr>
              <w:pStyle w:val="Tabletext"/>
              <w:spacing w:before="20" w:after="20"/>
            </w:pPr>
            <w:r w:rsidRPr="006E72A7">
              <w:t>(iii) the presence of symptomatic peripheral vascular disease.</w:t>
            </w:r>
          </w:p>
          <w:p w:rsidR="00294F07" w:rsidRPr="006E72A7" w:rsidRDefault="00294F07" w:rsidP="00294F07">
            <w:pPr>
              <w:pStyle w:val="Tabletext"/>
              <w:spacing w:before="20" w:after="20"/>
            </w:pPr>
          </w:p>
          <w:p w:rsidR="00294F07" w:rsidRPr="006E72A7" w:rsidRDefault="00294F07" w:rsidP="00294F07">
            <w:pPr>
              <w:pStyle w:val="Tabletext"/>
              <w:spacing w:before="20" w:after="20"/>
            </w:pPr>
            <w:r w:rsidRPr="006E72A7">
              <w:t>The date of the consultation with a specialist physician must be no more than 6 months prior to the application date. The full name of the specialist physician consulted and the date of consultation are to be provided at the time of application.</w:t>
            </w:r>
          </w:p>
          <w:p w:rsidR="00294F07" w:rsidRPr="006E72A7" w:rsidRDefault="00294F07" w:rsidP="00294F07">
            <w:pPr>
              <w:pStyle w:val="Tabletext"/>
              <w:spacing w:before="20" w:after="20"/>
            </w:pPr>
          </w:p>
          <w:p w:rsidR="00294F07" w:rsidRPr="006E72A7" w:rsidRDefault="00294F07" w:rsidP="00294F07">
            <w:pPr>
              <w:pStyle w:val="Tabletext"/>
              <w:spacing w:before="20" w:after="20"/>
            </w:pPr>
            <w:r w:rsidRPr="006E72A7">
              <w:t xml:space="preserve">The qualifying LDL cholesterol level must be provided at the time of application and must be no more than 2 months old. </w:t>
            </w:r>
            <w:r w:rsidRPr="006E72A7">
              <w:br/>
            </w:r>
          </w:p>
          <w:p w:rsidR="00294F07" w:rsidRPr="006E72A7" w:rsidRDefault="00294F07" w:rsidP="00294F07">
            <w:pPr>
              <w:pStyle w:val="Tabletext"/>
              <w:spacing w:before="20" w:after="20"/>
            </w:pPr>
            <w:r w:rsidRPr="006E72A7">
              <w:t xml:space="preserve">The physician must attempt to treat the patient with the maximum recommended dose of atorvastatin (80 mg daily) or rosuvastatin (40 mg daily). </w:t>
            </w:r>
          </w:p>
          <w:p w:rsidR="00294F07" w:rsidRPr="006E72A7" w:rsidRDefault="00294F07" w:rsidP="00294F07">
            <w:pPr>
              <w:pStyle w:val="Tabletext"/>
              <w:spacing w:before="20" w:after="20"/>
            </w:pP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If treatment with atorvastatin or rosuvastatin results in development of a clinically important product-related adverse event resulting in treatment withdrawal, the patient must be treated with the alternative statin (atorvastatin or rosuvastatin). This retrial should occur after a washout period of at least 1 month, or if the creatine kinase (CK) level is elevated retrial should not occur until CK has returned to normal.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In the event of a trial of an alternative statin, it is recommended that the patient is started with the minimum dose of statin in conjunction with ezetimibe. The dose of the alternative statin should be increased not more often than every 4 weeks until the maximum tolerated dose has been reached or target LDL-c has been achieved. </w:t>
            </w:r>
          </w:p>
          <w:p w:rsidR="00294F07" w:rsidRPr="006E72A7" w:rsidRDefault="00294F07" w:rsidP="00294F07">
            <w:pPr>
              <w:pStyle w:val="Default"/>
              <w:rPr>
                <w:rFonts w:ascii="Arial Narrow" w:hAnsi="Arial Narrow"/>
                <w:sz w:val="20"/>
                <w:szCs w:val="20"/>
              </w:rPr>
            </w:pP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At the time of application, one of the following must be provided: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 Confirmation that the patient was treated with atorvastatin 80 mg or rosuvastatin 40 mg for 3 months; or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(ii) The doses and duration of treatment and adverse events experienced with trials with each of atorvastatin and rosuvastatin; or </w:t>
            </w:r>
          </w:p>
          <w:p w:rsidR="00294F07" w:rsidRDefault="00294F07" w:rsidP="00294F07">
            <w:pPr>
              <w:pStyle w:val="Default"/>
              <w:rPr>
                <w:rFonts w:ascii="Arial Narrow" w:hAnsi="Arial Narrow"/>
                <w:sz w:val="20"/>
                <w:szCs w:val="20"/>
              </w:rPr>
            </w:pPr>
            <w:r w:rsidRPr="006E72A7">
              <w:rPr>
                <w:rFonts w:ascii="Arial Narrow" w:hAnsi="Arial Narrow"/>
                <w:sz w:val="20"/>
                <w:szCs w:val="20"/>
              </w:rPr>
              <w:t xml:space="preserve">(iii) Confirmation that the patient is contraindicated to treatment with a statin as defined in the TGA-approved Product Information. </w:t>
            </w:r>
          </w:p>
          <w:p w:rsidR="00294F07" w:rsidRDefault="00294F07" w:rsidP="00294F07">
            <w:pPr>
              <w:pStyle w:val="Default"/>
              <w:rPr>
                <w:rFonts w:ascii="Arial Narrow" w:hAnsi="Arial Narrow"/>
                <w:sz w:val="20"/>
                <w:szCs w:val="20"/>
              </w:rPr>
            </w:pPr>
          </w:p>
          <w:p w:rsidR="00294F07" w:rsidRPr="006E72A7" w:rsidRDefault="00294F07" w:rsidP="00294F07">
            <w:pPr>
              <w:pStyle w:val="Tabletext"/>
              <w:spacing w:before="20" w:after="20"/>
            </w:pPr>
            <w:r w:rsidRPr="006E72A7">
              <w:t>The authority application must be made in writing and must include:</w:t>
            </w:r>
          </w:p>
          <w:p w:rsidR="00294F07" w:rsidRPr="006E72A7" w:rsidRDefault="00294F07" w:rsidP="00294F07">
            <w:pPr>
              <w:pStyle w:val="Tabletext"/>
              <w:spacing w:before="20" w:after="20"/>
            </w:pPr>
            <w:r w:rsidRPr="006E72A7">
              <w:t>a) A completed authority prescription form; and</w:t>
            </w:r>
          </w:p>
          <w:p w:rsidR="00294F07" w:rsidRPr="006E72A7" w:rsidRDefault="00294F07" w:rsidP="00294F07">
            <w:pPr>
              <w:pStyle w:val="Tabletext"/>
              <w:spacing w:before="20" w:after="20"/>
            </w:pPr>
            <w:r w:rsidRPr="006E72A7">
              <w:t>b) A completed Familial Hypercholesterolaemia Initial PBS Authority Application - Supporting Information Form; and</w:t>
            </w:r>
          </w:p>
          <w:p w:rsidR="00294F07" w:rsidRPr="006E72A7" w:rsidRDefault="00294F07" w:rsidP="00294F07">
            <w:pPr>
              <w:pStyle w:val="Tabletext"/>
              <w:spacing w:before="20" w:after="20"/>
            </w:pPr>
            <w:r w:rsidRPr="006E72A7">
              <w:t>c) The date of consultation and the full name of the consultant physician; and</w:t>
            </w:r>
          </w:p>
          <w:p w:rsidR="00294F07" w:rsidRPr="006E72A7" w:rsidRDefault="00294F07" w:rsidP="00294F07">
            <w:pPr>
              <w:pStyle w:val="Tabletext"/>
              <w:spacing w:before="20" w:after="20"/>
            </w:pPr>
            <w:r w:rsidRPr="006E72A7">
              <w:t>d) A copy of the qualifying Dutch Lipid Clinic Network Score or a copy of the result of genetic testing; and</w:t>
            </w:r>
          </w:p>
          <w:p w:rsidR="00294F07" w:rsidRDefault="00294F07" w:rsidP="00294F07">
            <w:pPr>
              <w:pStyle w:val="TableText0"/>
              <w:spacing w:before="20" w:after="20"/>
            </w:pPr>
            <w:r w:rsidRPr="006E72A7">
              <w:lastRenderedPageBreak/>
              <w:t>e) The result of LDL cholesterol level and one of the following where appropriate: statin treatment details including agent, dose and treatment duration; or details of adverse event or contraindication to treatment with a statin as defined in the TGA-approved Product Information.</w:t>
            </w:r>
          </w:p>
          <w:p w:rsidR="00294F07" w:rsidRPr="006E72A7" w:rsidRDefault="00294F07" w:rsidP="00294F07">
            <w:pPr>
              <w:pStyle w:val="TableText0"/>
              <w:spacing w:before="20" w:after="20"/>
              <w:rPr>
                <w:szCs w:val="20"/>
              </w:rPr>
            </w:pPr>
          </w:p>
        </w:tc>
      </w:tr>
      <w:tr w:rsidR="00294F07" w:rsidRPr="006E72A7" w:rsidTr="00AF2D5F">
        <w:trPr>
          <w:gridBefore w:val="1"/>
          <w:wBefore w:w="7" w:type="pct"/>
          <w:trHeight w:val="532"/>
        </w:trPr>
        <w:tc>
          <w:tcPr>
            <w:tcW w:w="1246" w:type="pct"/>
            <w:tcBorders>
              <w:top w:val="single" w:sz="4" w:space="0" w:color="auto"/>
              <w:left w:val="single" w:sz="4" w:space="0" w:color="auto"/>
              <w:bottom w:val="single" w:sz="4" w:space="0" w:color="auto"/>
              <w:right w:val="single" w:sz="4" w:space="0" w:color="auto"/>
            </w:tcBorders>
          </w:tcPr>
          <w:p w:rsidR="00294F07" w:rsidRPr="006E72A7" w:rsidRDefault="00294F07" w:rsidP="00294F07">
            <w:pPr>
              <w:pStyle w:val="Tabletext"/>
              <w:spacing w:before="20" w:after="20"/>
              <w:rPr>
                <w:b/>
              </w:rPr>
            </w:pPr>
            <w:r w:rsidRPr="006E72A7">
              <w:rPr>
                <w:b/>
              </w:rPr>
              <w:lastRenderedPageBreak/>
              <w:t>Administrative Advice</w:t>
            </w:r>
          </w:p>
        </w:tc>
        <w:tc>
          <w:tcPr>
            <w:tcW w:w="3747" w:type="pct"/>
            <w:gridSpan w:val="7"/>
            <w:tcBorders>
              <w:top w:val="single" w:sz="4" w:space="0" w:color="auto"/>
              <w:left w:val="single" w:sz="4" w:space="0" w:color="auto"/>
              <w:bottom w:val="single" w:sz="4" w:space="0" w:color="auto"/>
              <w:right w:val="single" w:sz="4" w:space="0" w:color="auto"/>
            </w:tcBorders>
          </w:tcPr>
          <w:p w:rsidR="00294F07" w:rsidRPr="006E72A7" w:rsidRDefault="00294F07" w:rsidP="00294F07">
            <w:pPr>
              <w:pStyle w:val="Tabletext"/>
              <w:spacing w:before="20" w:after="20"/>
            </w:pPr>
            <w:r w:rsidRPr="006E72A7">
              <w:t xml:space="preserve">No increase in the maximum quantity or number of units may be authorised. </w:t>
            </w:r>
          </w:p>
          <w:p w:rsidR="00294F07" w:rsidRPr="006E72A7" w:rsidRDefault="00294F07" w:rsidP="00294F07">
            <w:pPr>
              <w:pStyle w:val="Tabletext"/>
              <w:spacing w:before="20" w:after="20"/>
            </w:pPr>
            <w:r w:rsidRPr="006E72A7">
              <w:t xml:space="preserve">No increase in the maximum number of repeats may be authorised. </w:t>
            </w:r>
          </w:p>
          <w:p w:rsidR="00294F07" w:rsidRPr="006E72A7" w:rsidRDefault="00294F07" w:rsidP="00294F07">
            <w:pPr>
              <w:pStyle w:val="Tabletext"/>
              <w:spacing w:before="20" w:after="20"/>
            </w:pPr>
            <w:r w:rsidRPr="006E72A7">
              <w:t xml:space="preserve">Special Pricing Arrangements apply. </w:t>
            </w:r>
          </w:p>
          <w:p w:rsidR="00294F07" w:rsidRPr="006E72A7" w:rsidRDefault="00294F07" w:rsidP="00294F07">
            <w:pPr>
              <w:pStyle w:val="Tabletext"/>
              <w:spacing w:before="20" w:after="20"/>
              <w:rPr>
                <w:i/>
              </w:rPr>
            </w:pPr>
          </w:p>
          <w:p w:rsidR="00294F07" w:rsidRPr="006E72A7" w:rsidRDefault="00294F07" w:rsidP="00294F07">
            <w:pPr>
              <w:pStyle w:val="Tabletext"/>
              <w:spacing w:before="20" w:after="20"/>
              <w:rPr>
                <w:b/>
              </w:rPr>
            </w:pPr>
            <w:r w:rsidRPr="006E72A7">
              <w:rPr>
                <w:b/>
              </w:rPr>
              <w:t>Note</w:t>
            </w:r>
          </w:p>
          <w:p w:rsidR="00294F07" w:rsidRPr="006E72A7" w:rsidRDefault="00294F07" w:rsidP="00294F07">
            <w:pPr>
              <w:pStyle w:val="Tabletext"/>
              <w:spacing w:before="20" w:after="20"/>
            </w:pPr>
            <w:r w:rsidRPr="006E72A7">
              <w:t>Any queries concerning the arrangements to prescribe may be directed to the Department of Human Services on 1800 700 270 (hours of operation 8 a.m. to 5 p.m. EST Monday to Friday).</w:t>
            </w:r>
          </w:p>
          <w:p w:rsidR="00294F07" w:rsidRPr="006E72A7" w:rsidRDefault="00294F07" w:rsidP="00294F07">
            <w:pPr>
              <w:pStyle w:val="Tabletext"/>
              <w:spacing w:before="20" w:after="20"/>
            </w:pPr>
            <w:r w:rsidRPr="006E72A7">
              <w:t>Prescribing information (including Authority Application forms and other relevant documentation as applicable) is available on the Department of Human Services website at www.humanservices.gov.au</w:t>
            </w:r>
          </w:p>
          <w:p w:rsidR="00294F07" w:rsidRPr="006E72A7" w:rsidRDefault="00294F07" w:rsidP="00294F07">
            <w:pPr>
              <w:pStyle w:val="Tabletext"/>
              <w:spacing w:before="20" w:after="20"/>
            </w:pPr>
            <w:r w:rsidRPr="006E72A7">
              <w:t>Applications for authority to prescribe should be forwarded to:</w:t>
            </w:r>
          </w:p>
          <w:p w:rsidR="00294F07" w:rsidRPr="006E72A7" w:rsidRDefault="00294F07" w:rsidP="00294F07">
            <w:pPr>
              <w:pStyle w:val="Tabletext"/>
              <w:spacing w:before="20" w:after="20"/>
            </w:pPr>
            <w:r w:rsidRPr="006E72A7">
              <w:t>Department of Human Services</w:t>
            </w:r>
          </w:p>
          <w:p w:rsidR="00294F07" w:rsidRPr="006E72A7" w:rsidRDefault="00294F07" w:rsidP="00294F07">
            <w:pPr>
              <w:pStyle w:val="Tabletext"/>
              <w:spacing w:before="20" w:after="20"/>
            </w:pPr>
            <w:r w:rsidRPr="006E72A7">
              <w:t>Complex Drugs</w:t>
            </w:r>
          </w:p>
          <w:p w:rsidR="00294F07" w:rsidRPr="006E72A7" w:rsidRDefault="00294F07" w:rsidP="00294F07">
            <w:pPr>
              <w:pStyle w:val="Tabletext"/>
              <w:spacing w:before="20" w:after="20"/>
            </w:pPr>
            <w:r w:rsidRPr="006E72A7">
              <w:t>Reply Paid 9826</w:t>
            </w:r>
          </w:p>
          <w:p w:rsidR="00294F07" w:rsidRPr="006E72A7" w:rsidRDefault="00294F07" w:rsidP="00294F07">
            <w:pPr>
              <w:pStyle w:val="Tabletext"/>
              <w:spacing w:before="20" w:after="20"/>
            </w:pPr>
            <w:r w:rsidRPr="006E72A7">
              <w:t>HOBART TAS 7001</w:t>
            </w:r>
          </w:p>
          <w:p w:rsidR="00294F07" w:rsidRPr="006E72A7" w:rsidRDefault="00294F07" w:rsidP="00294F07">
            <w:pPr>
              <w:pStyle w:val="Tabletext"/>
              <w:spacing w:before="20" w:after="20"/>
              <w:rPr>
                <w:rFonts w:cs="Arial"/>
                <w:i/>
                <w:color w:val="222222"/>
                <w:lang w:eastAsia="en-AU"/>
              </w:rPr>
            </w:pPr>
          </w:p>
        </w:tc>
      </w:tr>
    </w:tbl>
    <w:p w:rsidR="009D447D" w:rsidRPr="006E72A7" w:rsidRDefault="009D447D" w:rsidP="009D447D">
      <w:pPr>
        <w:widowControl/>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734"/>
      </w:tblGrid>
      <w:tr w:rsidR="009D447D" w:rsidRPr="006E72A7" w:rsidTr="00256298">
        <w:trPr>
          <w:trHeight w:val="360"/>
        </w:trPr>
        <w:tc>
          <w:tcPr>
            <w:tcW w:w="1266" w:type="pct"/>
          </w:tcPr>
          <w:p w:rsidR="009D447D" w:rsidRPr="006E72A7" w:rsidRDefault="009D447D" w:rsidP="00256298">
            <w:pPr>
              <w:pStyle w:val="Tabletext"/>
              <w:keepNext/>
              <w:keepLines/>
              <w:spacing w:before="20" w:after="20"/>
              <w:rPr>
                <w:b/>
              </w:rPr>
            </w:pPr>
            <w:r w:rsidRPr="006E72A7">
              <w:rPr>
                <w:rFonts w:asciiTheme="minorHAnsi" w:hAnsiTheme="minorHAnsi" w:cstheme="minorHAnsi"/>
                <w:szCs w:val="24"/>
              </w:rPr>
              <w:br w:type="column"/>
            </w:r>
            <w:r w:rsidRPr="006E72A7">
              <w:rPr>
                <w:b/>
              </w:rPr>
              <w:t xml:space="preserve">Category / Program </w:t>
            </w:r>
          </w:p>
        </w:tc>
        <w:tc>
          <w:tcPr>
            <w:tcW w:w="3734" w:type="pct"/>
          </w:tcPr>
          <w:p w:rsidR="009D447D" w:rsidRPr="006E72A7" w:rsidRDefault="009D447D" w:rsidP="00256298">
            <w:pPr>
              <w:pStyle w:val="Tabletext"/>
              <w:keepNext/>
              <w:keepLines/>
              <w:spacing w:before="20" w:after="20"/>
            </w:pPr>
            <w:r w:rsidRPr="006E72A7">
              <w:t>GENERAL – General Schedule (Code GE)</w:t>
            </w:r>
          </w:p>
        </w:tc>
      </w:tr>
      <w:tr w:rsidR="009D447D" w:rsidRPr="006E72A7" w:rsidTr="00256298">
        <w:trPr>
          <w:trHeight w:val="360"/>
        </w:trPr>
        <w:tc>
          <w:tcPr>
            <w:tcW w:w="1266" w:type="pct"/>
          </w:tcPr>
          <w:p w:rsidR="009D447D" w:rsidRPr="006E72A7" w:rsidRDefault="009D447D" w:rsidP="00256298">
            <w:pPr>
              <w:keepNext/>
              <w:keepLines/>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Prescriber type:</w:t>
            </w:r>
          </w:p>
        </w:tc>
        <w:tc>
          <w:tcPr>
            <w:tcW w:w="3734" w:type="pct"/>
          </w:tcPr>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1"/>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 xml:space="preserve">Dental  </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1"/>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 xml:space="preserve">Medical Practitioners </w:t>
            </w:r>
          </w:p>
          <w:p w:rsidR="009D447D" w:rsidRPr="006E72A7" w:rsidRDefault="003548C0"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b/>
                <w:sz w:val="20"/>
                <w:szCs w:val="20"/>
                <w:lang w:eastAsia="zh-CN"/>
              </w:rPr>
              <w:fldChar w:fldCharType="begin">
                <w:ffData>
                  <w:name w:val=""/>
                  <w:enabled/>
                  <w:calcOnExit w:val="0"/>
                  <w:checkBox>
                    <w:sizeAuto/>
                    <w:default w:val="0"/>
                  </w:checkBox>
                </w:ffData>
              </w:fldChar>
            </w:r>
            <w:r w:rsidRPr="006E72A7">
              <w:rPr>
                <w:rFonts w:ascii="Arial Narrow" w:eastAsia="SimSun" w:hAnsi="Arial Narrow"/>
                <w:b/>
                <w:sz w:val="20"/>
                <w:szCs w:val="20"/>
                <w:lang w:eastAsia="zh-CN"/>
              </w:rPr>
              <w:instrText xml:space="preserve"> FORMCHECKBOX </w:instrText>
            </w:r>
            <w:r w:rsidR="008E296C">
              <w:rPr>
                <w:rFonts w:ascii="Arial Narrow" w:eastAsia="SimSun" w:hAnsi="Arial Narrow"/>
                <w:b/>
                <w:sz w:val="20"/>
                <w:szCs w:val="20"/>
                <w:lang w:eastAsia="zh-CN"/>
              </w:rPr>
            </w:r>
            <w:r w:rsidR="008E296C">
              <w:rPr>
                <w:rFonts w:ascii="Arial Narrow" w:eastAsia="SimSun" w:hAnsi="Arial Narrow"/>
                <w:b/>
                <w:sz w:val="20"/>
                <w:szCs w:val="20"/>
                <w:lang w:eastAsia="zh-CN"/>
              </w:rPr>
              <w:fldChar w:fldCharType="separate"/>
            </w:r>
            <w:r w:rsidRPr="006E72A7">
              <w:rPr>
                <w:rFonts w:ascii="Arial Narrow" w:eastAsia="SimSun" w:hAnsi="Arial Narrow"/>
                <w:b/>
                <w:sz w:val="20"/>
                <w:szCs w:val="20"/>
                <w:lang w:eastAsia="zh-CN"/>
              </w:rPr>
              <w:fldChar w:fldCharType="end"/>
            </w:r>
            <w:r w:rsidR="009D447D" w:rsidRPr="006E72A7">
              <w:rPr>
                <w:rFonts w:ascii="Arial Narrow" w:eastAsia="SimSun" w:hAnsi="Arial Narrow"/>
                <w:sz w:val="20"/>
                <w:szCs w:val="20"/>
                <w:lang w:eastAsia="zh-CN"/>
              </w:rPr>
              <w:t xml:space="preserve">Nurse practitioners </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Optometrists</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5"/>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Midwives</w:t>
            </w:r>
          </w:p>
        </w:tc>
      </w:tr>
      <w:tr w:rsidR="009D447D" w:rsidRPr="006E72A7" w:rsidTr="00256298">
        <w:trPr>
          <w:trHeight w:val="70"/>
        </w:trPr>
        <w:tc>
          <w:tcPr>
            <w:tcW w:w="1266" w:type="pct"/>
          </w:tcPr>
          <w:p w:rsidR="009D447D" w:rsidRPr="006E72A7" w:rsidRDefault="009D447D" w:rsidP="00256298">
            <w:pPr>
              <w:keepNext/>
              <w:keepLines/>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PBS Indication:</w:t>
            </w:r>
          </w:p>
        </w:tc>
        <w:tc>
          <w:tcPr>
            <w:tcW w:w="3734" w:type="pct"/>
          </w:tcPr>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hAnsi="Arial Narrow"/>
                <w:sz w:val="20"/>
                <w:szCs w:val="20"/>
              </w:rPr>
              <w:t>Familial heterozygous hypercholesterolaemia</w:t>
            </w:r>
          </w:p>
        </w:tc>
      </w:tr>
      <w:tr w:rsidR="009D447D" w:rsidRPr="006E72A7" w:rsidTr="00256298">
        <w:trPr>
          <w:trHeight w:val="70"/>
        </w:trPr>
        <w:tc>
          <w:tcPr>
            <w:tcW w:w="1266" w:type="pct"/>
          </w:tcPr>
          <w:p w:rsidR="009D447D" w:rsidRPr="006E72A7" w:rsidRDefault="009D447D" w:rsidP="00256298">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Treatment phase:</w:t>
            </w:r>
          </w:p>
        </w:tc>
        <w:tc>
          <w:tcPr>
            <w:tcW w:w="3734" w:type="pct"/>
            <w:shd w:val="clear" w:color="auto" w:fill="auto"/>
          </w:tcPr>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t xml:space="preserve">Continuing treatment </w:t>
            </w:r>
          </w:p>
        </w:tc>
      </w:tr>
      <w:tr w:rsidR="009D447D" w:rsidRPr="006E72A7" w:rsidTr="00256298">
        <w:trPr>
          <w:trHeight w:val="360"/>
        </w:trPr>
        <w:tc>
          <w:tcPr>
            <w:tcW w:w="1266" w:type="pct"/>
          </w:tcPr>
          <w:p w:rsidR="009D447D" w:rsidRPr="006E72A7" w:rsidRDefault="009D447D" w:rsidP="00256298">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Restriction Level / Method:</w:t>
            </w:r>
          </w:p>
          <w:p w:rsidR="009D447D" w:rsidRPr="006E72A7" w:rsidRDefault="009D447D" w:rsidP="00256298">
            <w:pPr>
              <w:widowControl/>
              <w:spacing w:before="20" w:after="20"/>
              <w:rPr>
                <w:rFonts w:ascii="Arial Narrow" w:eastAsia="SimSun" w:hAnsi="Arial Narrow"/>
                <w:b/>
                <w:sz w:val="20"/>
                <w:szCs w:val="20"/>
                <w:lang w:eastAsia="zh-CN"/>
              </w:rPr>
            </w:pPr>
          </w:p>
        </w:tc>
        <w:tc>
          <w:tcPr>
            <w:tcW w:w="3734" w:type="pct"/>
            <w:shd w:val="clear" w:color="auto" w:fill="auto"/>
          </w:tcPr>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1"/>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Restricted benefit</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In Writing</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1"/>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Telephone</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Emergency</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Electronic</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5"/>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Streamlined</w:t>
            </w:r>
          </w:p>
        </w:tc>
      </w:tr>
      <w:tr w:rsidR="009D447D" w:rsidRPr="006E72A7" w:rsidTr="00256298">
        <w:trPr>
          <w:trHeight w:val="360"/>
        </w:trPr>
        <w:tc>
          <w:tcPr>
            <w:tcW w:w="1266" w:type="pct"/>
          </w:tcPr>
          <w:p w:rsidR="009D447D" w:rsidRPr="006E72A7" w:rsidRDefault="009D447D" w:rsidP="00256298">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Clinical criteria:</w:t>
            </w:r>
          </w:p>
          <w:p w:rsidR="009D447D" w:rsidRPr="006E72A7" w:rsidRDefault="009D447D" w:rsidP="00256298">
            <w:pPr>
              <w:widowControl/>
              <w:spacing w:before="20" w:after="20"/>
              <w:rPr>
                <w:rFonts w:ascii="Arial Narrow" w:eastAsia="SimSun" w:hAnsi="Arial Narrow"/>
                <w:b/>
                <w:sz w:val="20"/>
                <w:szCs w:val="20"/>
                <w:lang w:eastAsia="zh-CN"/>
              </w:rPr>
            </w:pPr>
          </w:p>
        </w:tc>
        <w:tc>
          <w:tcPr>
            <w:tcW w:w="3734" w:type="pct"/>
          </w:tcPr>
          <w:p w:rsidR="009D447D" w:rsidRPr="006E72A7" w:rsidRDefault="009D447D" w:rsidP="00256298">
            <w:pPr>
              <w:widowControl/>
              <w:numPr>
                <w:ilvl w:val="0"/>
                <w:numId w:val="4"/>
              </w:numPr>
              <w:spacing w:before="20" w:after="20"/>
              <w:ind w:left="0"/>
              <w:jc w:val="left"/>
              <w:rPr>
                <w:rFonts w:ascii="Arial Narrow" w:eastAsia="SimSun" w:hAnsi="Arial Narrow"/>
                <w:sz w:val="20"/>
                <w:szCs w:val="20"/>
                <w:lang w:eastAsia="zh-CN"/>
              </w:rPr>
            </w:pPr>
            <w:r w:rsidRPr="006E72A7">
              <w:rPr>
                <w:rFonts w:ascii="Arial Narrow" w:eastAsia="SimSun" w:hAnsi="Arial Narrow"/>
                <w:sz w:val="20"/>
                <w:szCs w:val="20"/>
                <w:lang w:eastAsia="zh-CN"/>
              </w:rPr>
              <w:t xml:space="preserve">Patient must have previously received PBS-subsidised treatment with this drug for this condition, </w:t>
            </w:r>
            <w:r w:rsidRPr="006E72A7">
              <w:rPr>
                <w:rFonts w:ascii="Arial Narrow" w:eastAsia="SimSun" w:hAnsi="Arial Narrow"/>
                <w:b/>
                <w:sz w:val="20"/>
                <w:szCs w:val="20"/>
                <w:lang w:eastAsia="zh-CN"/>
              </w:rPr>
              <w:t xml:space="preserve">AND </w:t>
            </w:r>
          </w:p>
          <w:p w:rsidR="00764048" w:rsidRPr="006E72A7" w:rsidRDefault="009D447D" w:rsidP="00764048">
            <w:pPr>
              <w:widowControl/>
              <w:numPr>
                <w:ilvl w:val="0"/>
                <w:numId w:val="4"/>
              </w:numPr>
              <w:spacing w:before="20" w:after="20"/>
              <w:ind w:left="0"/>
              <w:jc w:val="left"/>
              <w:rPr>
                <w:strike/>
              </w:rPr>
            </w:pPr>
            <w:r w:rsidRPr="006E72A7">
              <w:rPr>
                <w:rFonts w:ascii="Arial Narrow" w:eastAsia="SimSun" w:hAnsi="Arial Narrow"/>
                <w:sz w:val="20"/>
                <w:szCs w:val="20"/>
                <w:lang w:eastAsia="zh-CN"/>
              </w:rPr>
              <w:t>The treatment must be in conjunction with dietary therapy and exercise</w:t>
            </w:r>
          </w:p>
          <w:p w:rsidR="009D447D" w:rsidRPr="006E72A7" w:rsidRDefault="009D447D" w:rsidP="00256298">
            <w:pPr>
              <w:pStyle w:val="Tabletext"/>
              <w:spacing w:before="20" w:after="20"/>
              <w:rPr>
                <w:strike/>
              </w:rPr>
            </w:pPr>
          </w:p>
        </w:tc>
      </w:tr>
      <w:tr w:rsidR="009D447D" w:rsidRPr="006E72A7" w:rsidTr="00256298">
        <w:trPr>
          <w:trHeight w:val="532"/>
        </w:trPr>
        <w:tc>
          <w:tcPr>
            <w:tcW w:w="1266" w:type="pct"/>
          </w:tcPr>
          <w:p w:rsidR="009D447D" w:rsidRPr="006E72A7" w:rsidRDefault="009D447D" w:rsidP="00256298">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Administrative Advice</w:t>
            </w:r>
          </w:p>
        </w:tc>
        <w:tc>
          <w:tcPr>
            <w:tcW w:w="3734" w:type="pct"/>
          </w:tcPr>
          <w:p w:rsidR="009D447D" w:rsidRPr="006E72A7" w:rsidRDefault="009D447D" w:rsidP="00256298">
            <w:pPr>
              <w:widowControl/>
              <w:shd w:val="clear" w:color="auto" w:fill="FFFFFF"/>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Note</w:t>
            </w:r>
          </w:p>
          <w:p w:rsidR="009D447D" w:rsidRDefault="009D447D" w:rsidP="00256298">
            <w:pPr>
              <w:widowControl/>
              <w:shd w:val="clear" w:color="auto" w:fill="FFFFFF"/>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t>Authority applications for continuing treatment may be made by telephone to the Department of Human Services on 1800 700 270 (hours of operation 8 a.m. to 5 p.m. EST Monday to Friday).</w:t>
            </w:r>
          </w:p>
          <w:p w:rsidR="00294F07" w:rsidRDefault="00294F07" w:rsidP="00256298">
            <w:pPr>
              <w:widowControl/>
              <w:shd w:val="clear" w:color="auto" w:fill="FFFFFF"/>
              <w:spacing w:before="20" w:after="20"/>
              <w:rPr>
                <w:rFonts w:ascii="Arial Narrow" w:eastAsia="SimSun" w:hAnsi="Arial Narrow"/>
                <w:sz w:val="20"/>
                <w:szCs w:val="20"/>
                <w:lang w:eastAsia="zh-CN"/>
              </w:rPr>
            </w:pPr>
          </w:p>
          <w:p w:rsidR="00294F07" w:rsidRPr="006E72A7" w:rsidRDefault="00294F07" w:rsidP="00294F07">
            <w:pPr>
              <w:pStyle w:val="Tabletext"/>
              <w:spacing w:before="20" w:after="20"/>
            </w:pPr>
            <w:r w:rsidRPr="006E72A7">
              <w:t xml:space="preserve">No increase in the maximum quantity or number of units may be authorised. </w:t>
            </w:r>
          </w:p>
          <w:p w:rsidR="00294F07" w:rsidRPr="006E72A7" w:rsidRDefault="00294F07" w:rsidP="00294F07">
            <w:pPr>
              <w:pStyle w:val="Tabletext"/>
              <w:spacing w:before="20" w:after="20"/>
            </w:pPr>
            <w:r w:rsidRPr="006E72A7">
              <w:t xml:space="preserve">No increase in the maximum number of repeats may be authorised. </w:t>
            </w:r>
          </w:p>
          <w:p w:rsidR="00294F07" w:rsidRPr="006E72A7" w:rsidRDefault="00294F07" w:rsidP="00294F07">
            <w:pPr>
              <w:pStyle w:val="Tabletext"/>
              <w:spacing w:before="20" w:after="20"/>
            </w:pPr>
            <w:r w:rsidRPr="006E72A7">
              <w:t xml:space="preserve">Special Pricing Arrangements apply. </w:t>
            </w:r>
          </w:p>
          <w:p w:rsidR="00294F07" w:rsidRPr="006E72A7" w:rsidRDefault="00294F07" w:rsidP="00256298">
            <w:pPr>
              <w:widowControl/>
              <w:shd w:val="clear" w:color="auto" w:fill="FFFFFF"/>
              <w:spacing w:before="20" w:after="20"/>
              <w:rPr>
                <w:rFonts w:ascii="Arial Narrow" w:hAnsi="Arial Narrow"/>
                <w:color w:val="222222"/>
                <w:sz w:val="20"/>
                <w:szCs w:val="20"/>
              </w:rPr>
            </w:pPr>
          </w:p>
        </w:tc>
      </w:tr>
    </w:tbl>
    <w:p w:rsidR="009D447D" w:rsidRPr="006E72A7" w:rsidRDefault="009D447D" w:rsidP="009D447D">
      <w:pPr>
        <w:widowControl/>
        <w:rPr>
          <w:rFonts w:ascii="Arial" w:hAnsi="Arial"/>
        </w:rPr>
      </w:pPr>
    </w:p>
    <w:tbl>
      <w:tblPr>
        <w:tblW w:w="5000" w:type="pct"/>
        <w:tblLook w:val="0000" w:firstRow="0" w:lastRow="0" w:firstColumn="0" w:lastColumn="0" w:noHBand="0" w:noVBand="0"/>
      </w:tblPr>
      <w:tblGrid>
        <w:gridCol w:w="2285"/>
        <w:gridCol w:w="6732"/>
      </w:tblGrid>
      <w:tr w:rsidR="009D447D" w:rsidRPr="006E72A7" w:rsidTr="00256298">
        <w:trPr>
          <w:trHeight w:val="360"/>
        </w:trPr>
        <w:tc>
          <w:tcPr>
            <w:tcW w:w="1267"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rPr>
                <w:b/>
              </w:rPr>
            </w:pPr>
            <w:r w:rsidRPr="006E72A7">
              <w:rPr>
                <w:b/>
              </w:rPr>
              <w:lastRenderedPageBreak/>
              <w:t xml:space="preserve">Category / Program </w:t>
            </w:r>
          </w:p>
        </w:tc>
        <w:tc>
          <w:tcPr>
            <w:tcW w:w="3733"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pPr>
            <w:r w:rsidRPr="006E72A7">
              <w:t>GENERAL – General Schedule (Code GE)</w:t>
            </w:r>
          </w:p>
        </w:tc>
      </w:tr>
      <w:tr w:rsidR="009D447D" w:rsidRPr="006E72A7" w:rsidTr="00256298">
        <w:trPr>
          <w:trHeight w:val="360"/>
        </w:trPr>
        <w:tc>
          <w:tcPr>
            <w:tcW w:w="1267"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keepNext/>
              <w:keepLines/>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Prescriber type:</w:t>
            </w:r>
          </w:p>
        </w:tc>
        <w:tc>
          <w:tcPr>
            <w:tcW w:w="3733"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1"/>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 xml:space="preserve">Dental  </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1"/>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 xml:space="preserve">Medical Practitioners </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b/>
                <w:sz w:val="20"/>
                <w:szCs w:val="20"/>
                <w:lang w:eastAsia="zh-CN"/>
              </w:rPr>
              <w:fldChar w:fldCharType="begin">
                <w:ffData>
                  <w:name w:val=""/>
                  <w:enabled/>
                  <w:calcOnExit w:val="0"/>
                  <w:checkBox>
                    <w:sizeAuto/>
                    <w:default w:val="0"/>
                  </w:checkBox>
                </w:ffData>
              </w:fldChar>
            </w:r>
            <w:r w:rsidRPr="006E72A7">
              <w:rPr>
                <w:rFonts w:ascii="Arial Narrow" w:eastAsia="SimSun" w:hAnsi="Arial Narrow"/>
                <w:b/>
                <w:sz w:val="20"/>
                <w:szCs w:val="20"/>
                <w:lang w:eastAsia="zh-CN"/>
              </w:rPr>
              <w:instrText xml:space="preserve"> FORMCHECKBOX </w:instrText>
            </w:r>
            <w:r w:rsidR="008E296C">
              <w:rPr>
                <w:rFonts w:ascii="Arial Narrow" w:eastAsia="SimSun" w:hAnsi="Arial Narrow"/>
                <w:b/>
                <w:sz w:val="20"/>
                <w:szCs w:val="20"/>
                <w:lang w:eastAsia="zh-CN"/>
              </w:rPr>
            </w:r>
            <w:r w:rsidR="008E296C">
              <w:rPr>
                <w:rFonts w:ascii="Arial Narrow" w:eastAsia="SimSun" w:hAnsi="Arial Narrow"/>
                <w:b/>
                <w:sz w:val="20"/>
                <w:szCs w:val="20"/>
                <w:lang w:eastAsia="zh-CN"/>
              </w:rPr>
              <w:fldChar w:fldCharType="separate"/>
            </w:r>
            <w:r w:rsidRPr="006E72A7">
              <w:rPr>
                <w:rFonts w:ascii="Arial Narrow" w:eastAsia="SimSun" w:hAnsi="Arial Narrow"/>
                <w:b/>
                <w:sz w:val="20"/>
                <w:szCs w:val="20"/>
                <w:lang w:eastAsia="zh-CN"/>
              </w:rPr>
              <w:fldChar w:fldCharType="end"/>
            </w:r>
            <w:r w:rsidRPr="006E72A7">
              <w:rPr>
                <w:rFonts w:ascii="Arial Narrow" w:eastAsia="SimSun" w:hAnsi="Arial Narrow"/>
                <w:sz w:val="20"/>
                <w:szCs w:val="20"/>
                <w:lang w:eastAsia="zh-CN"/>
              </w:rPr>
              <w:t xml:space="preserve">Nurse practitioners </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Optometrists</w:t>
            </w:r>
          </w:p>
          <w:p w:rsidR="009D447D" w:rsidRPr="006E72A7" w:rsidRDefault="009D447D" w:rsidP="00256298">
            <w:pPr>
              <w:keepNext/>
              <w:keepLines/>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5"/>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Midwives</w:t>
            </w:r>
          </w:p>
        </w:tc>
      </w:tr>
      <w:tr w:rsidR="009D447D" w:rsidRPr="006E72A7" w:rsidTr="00256298">
        <w:trPr>
          <w:trHeight w:val="70"/>
        </w:trPr>
        <w:tc>
          <w:tcPr>
            <w:tcW w:w="1267"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rPr>
                <w:b/>
              </w:rPr>
            </w:pPr>
            <w:r w:rsidRPr="006E72A7">
              <w:rPr>
                <w:b/>
              </w:rPr>
              <w:t>PBS Indication:</w:t>
            </w:r>
          </w:p>
        </w:tc>
        <w:tc>
          <w:tcPr>
            <w:tcW w:w="3733"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keepNext/>
              <w:keepLines/>
              <w:spacing w:before="20" w:after="20"/>
            </w:pPr>
            <w:r w:rsidRPr="006E72A7">
              <w:t>Familial heterozygous hypercholesterolaemia</w:t>
            </w:r>
          </w:p>
        </w:tc>
      </w:tr>
      <w:tr w:rsidR="009D447D" w:rsidRPr="006E72A7" w:rsidTr="00256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67" w:type="pct"/>
          </w:tcPr>
          <w:p w:rsidR="009D447D" w:rsidRPr="006E72A7" w:rsidRDefault="009D447D" w:rsidP="00256298">
            <w:pPr>
              <w:pStyle w:val="Tabletext"/>
              <w:spacing w:before="20" w:after="20"/>
              <w:rPr>
                <w:b/>
              </w:rPr>
            </w:pPr>
            <w:r w:rsidRPr="006E72A7">
              <w:rPr>
                <w:b/>
              </w:rPr>
              <w:t>Treatment phase:</w:t>
            </w:r>
          </w:p>
        </w:tc>
        <w:tc>
          <w:tcPr>
            <w:tcW w:w="3733" w:type="pct"/>
            <w:shd w:val="clear" w:color="auto" w:fill="auto"/>
          </w:tcPr>
          <w:p w:rsidR="009D447D" w:rsidRPr="006E72A7" w:rsidRDefault="009D447D" w:rsidP="00256298">
            <w:pPr>
              <w:pStyle w:val="Tabletext"/>
              <w:spacing w:before="20" w:after="20"/>
            </w:pPr>
            <w:r w:rsidRPr="006E72A7">
              <w:t>Grandfather treatment</w:t>
            </w:r>
          </w:p>
        </w:tc>
      </w:tr>
      <w:tr w:rsidR="009D447D" w:rsidRPr="006E72A7" w:rsidTr="00256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67" w:type="pct"/>
          </w:tcPr>
          <w:p w:rsidR="009D447D" w:rsidRPr="006E72A7" w:rsidRDefault="009D447D" w:rsidP="00256298">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Restriction Level / Method:</w:t>
            </w:r>
          </w:p>
          <w:p w:rsidR="009D447D" w:rsidRPr="006E72A7" w:rsidRDefault="009D447D" w:rsidP="00256298">
            <w:pPr>
              <w:widowControl/>
              <w:spacing w:before="20" w:after="20"/>
              <w:rPr>
                <w:rFonts w:ascii="Arial Narrow" w:eastAsia="SimSun" w:hAnsi="Arial Narrow"/>
                <w:b/>
                <w:sz w:val="20"/>
                <w:szCs w:val="20"/>
                <w:lang w:eastAsia="zh-CN"/>
              </w:rPr>
            </w:pPr>
          </w:p>
        </w:tc>
        <w:tc>
          <w:tcPr>
            <w:tcW w:w="3733" w:type="pct"/>
            <w:shd w:val="clear" w:color="auto" w:fill="auto"/>
          </w:tcPr>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1"/>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Restricted benefit</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1"/>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In Writing</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Telephone</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Emergency</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Authority Required – Electronic</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fldChar w:fldCharType="begin">
                <w:ffData>
                  <w:name w:val="Check5"/>
                  <w:enabled/>
                  <w:calcOnExit w:val="0"/>
                  <w:checkBox>
                    <w:sizeAuto/>
                    <w:default w:val="0"/>
                  </w:checkBox>
                </w:ffData>
              </w:fldChar>
            </w:r>
            <w:r w:rsidRPr="006E72A7">
              <w:rPr>
                <w:rFonts w:ascii="Arial Narrow" w:eastAsia="SimSun" w:hAnsi="Arial Narrow"/>
                <w:sz w:val="20"/>
                <w:szCs w:val="20"/>
                <w:lang w:eastAsia="zh-CN"/>
              </w:rPr>
              <w:instrText xml:space="preserve"> FORMCHECKBOX </w:instrText>
            </w:r>
            <w:r w:rsidR="008E296C">
              <w:rPr>
                <w:rFonts w:ascii="Arial Narrow" w:eastAsia="SimSun" w:hAnsi="Arial Narrow"/>
                <w:sz w:val="20"/>
                <w:szCs w:val="20"/>
                <w:lang w:eastAsia="zh-CN"/>
              </w:rPr>
            </w:r>
            <w:r w:rsidR="008E296C">
              <w:rPr>
                <w:rFonts w:ascii="Arial Narrow" w:eastAsia="SimSun" w:hAnsi="Arial Narrow"/>
                <w:sz w:val="20"/>
                <w:szCs w:val="20"/>
                <w:lang w:eastAsia="zh-CN"/>
              </w:rPr>
              <w:fldChar w:fldCharType="separate"/>
            </w:r>
            <w:r w:rsidRPr="006E72A7">
              <w:rPr>
                <w:rFonts w:ascii="Arial Narrow" w:eastAsia="SimSun" w:hAnsi="Arial Narrow"/>
                <w:sz w:val="20"/>
                <w:szCs w:val="20"/>
                <w:lang w:eastAsia="zh-CN"/>
              </w:rPr>
              <w:fldChar w:fldCharType="end"/>
            </w:r>
            <w:r w:rsidRPr="006E72A7">
              <w:rPr>
                <w:rFonts w:ascii="Arial Narrow" w:eastAsia="SimSun" w:hAnsi="Arial Narrow"/>
                <w:sz w:val="20"/>
                <w:szCs w:val="20"/>
                <w:lang w:eastAsia="zh-CN"/>
              </w:rPr>
              <w:t>Streamlined</w:t>
            </w:r>
          </w:p>
        </w:tc>
      </w:tr>
      <w:tr w:rsidR="009D447D" w:rsidRPr="006E72A7" w:rsidTr="002562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67" w:type="pct"/>
          </w:tcPr>
          <w:p w:rsidR="009D447D" w:rsidRPr="006E72A7" w:rsidRDefault="009D447D" w:rsidP="00256298">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Clinical criteria:</w:t>
            </w:r>
          </w:p>
          <w:p w:rsidR="009D447D" w:rsidRPr="006E72A7" w:rsidRDefault="009D447D" w:rsidP="00256298">
            <w:pPr>
              <w:widowControl/>
              <w:spacing w:before="20" w:after="20"/>
              <w:rPr>
                <w:rFonts w:ascii="Arial Narrow" w:eastAsia="SimSun" w:hAnsi="Arial Narrow"/>
                <w:b/>
                <w:sz w:val="20"/>
                <w:szCs w:val="20"/>
                <w:lang w:eastAsia="zh-CN"/>
              </w:rPr>
            </w:pPr>
          </w:p>
        </w:tc>
        <w:tc>
          <w:tcPr>
            <w:tcW w:w="3733" w:type="pct"/>
          </w:tcPr>
          <w:p w:rsidR="008B5662"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t>Patient must have previously received non-PBS subsidised treatment with this drug for this condition prior to [PBS listing date],</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b/>
                <w:sz w:val="20"/>
                <w:szCs w:val="20"/>
                <w:lang w:eastAsia="zh-CN"/>
              </w:rPr>
              <w:t>AND</w:t>
            </w:r>
          </w:p>
          <w:p w:rsidR="00764048" w:rsidRPr="006E72A7" w:rsidRDefault="009D447D" w:rsidP="00256298">
            <w:pPr>
              <w:widowControl/>
              <w:spacing w:before="20" w:after="20"/>
              <w:rPr>
                <w:rFonts w:ascii="Arial Narrow" w:eastAsia="SimSun" w:hAnsi="Arial Narrow"/>
                <w:sz w:val="20"/>
                <w:szCs w:val="20"/>
                <w:lang w:eastAsia="zh-CN"/>
              </w:rPr>
            </w:pPr>
            <w:r w:rsidRPr="006E72A7">
              <w:rPr>
                <w:rFonts w:ascii="Arial Narrow" w:eastAsia="SimSun" w:hAnsi="Arial Narrow"/>
                <w:sz w:val="20"/>
                <w:szCs w:val="20"/>
                <w:lang w:eastAsia="zh-CN"/>
              </w:rPr>
              <w:t xml:space="preserve">The treatment must be in conjunction with dietary therapy and exercise, </w:t>
            </w:r>
          </w:p>
          <w:p w:rsidR="009D447D" w:rsidRPr="006E72A7" w:rsidRDefault="009D447D" w:rsidP="00256298">
            <w:pPr>
              <w:widowControl/>
              <w:spacing w:before="20" w:after="20"/>
              <w:rPr>
                <w:rFonts w:ascii="Arial Narrow" w:eastAsia="SimSun" w:hAnsi="Arial Narrow"/>
                <w:sz w:val="20"/>
                <w:szCs w:val="20"/>
                <w:lang w:eastAsia="zh-CN"/>
              </w:rPr>
            </w:pPr>
            <w:r w:rsidRPr="006E72A7">
              <w:rPr>
                <w:rFonts w:ascii="Arial Narrow" w:hAnsi="Arial Narrow"/>
                <w:b/>
                <w:sz w:val="20"/>
                <w:szCs w:val="20"/>
              </w:rPr>
              <w:t>AND</w:t>
            </w:r>
          </w:p>
          <w:p w:rsidR="009D447D" w:rsidRPr="006E72A7" w:rsidRDefault="009D447D" w:rsidP="00256298">
            <w:pPr>
              <w:pStyle w:val="Tabletext"/>
              <w:spacing w:before="20" w:after="20"/>
            </w:pPr>
            <w:r w:rsidRPr="006E72A7">
              <w:t>The condition must have been confirmed by genetic testing; OR</w:t>
            </w:r>
          </w:p>
          <w:p w:rsidR="009D447D" w:rsidRPr="006E72A7" w:rsidRDefault="009D447D" w:rsidP="00256298">
            <w:pPr>
              <w:pStyle w:val="Tabletext"/>
              <w:spacing w:before="20" w:after="20"/>
            </w:pPr>
            <w:r w:rsidRPr="006E72A7">
              <w:t xml:space="preserve">The condition must have been confirmed by a Dutch Lipid Clinic Network Score of at least 6, </w:t>
            </w:r>
            <w:r w:rsidR="00764048" w:rsidRPr="006E72A7">
              <w:br/>
            </w:r>
            <w:r w:rsidRPr="006E72A7">
              <w:rPr>
                <w:b/>
              </w:rPr>
              <w:t>AND</w:t>
            </w:r>
          </w:p>
          <w:p w:rsidR="009D447D" w:rsidRPr="006E72A7" w:rsidRDefault="009D447D" w:rsidP="00256298">
            <w:pPr>
              <w:pStyle w:val="Tabletext"/>
              <w:spacing w:before="20" w:after="20"/>
            </w:pPr>
            <w:r w:rsidRPr="006E72A7">
              <w:t xml:space="preserve">Patient must have had an LDL cholesterol level in excess of 3.3 millimoles per litre in the presence of symptomatic atherosclerotic cardiovascular disease at the time non-PBS subsidised treatment with this drug for this condition was initiated; OR </w:t>
            </w:r>
          </w:p>
          <w:p w:rsidR="009D447D" w:rsidRPr="006E72A7" w:rsidRDefault="009D447D" w:rsidP="00256298">
            <w:pPr>
              <w:pStyle w:val="Tabletext"/>
              <w:spacing w:before="20" w:after="20"/>
              <w:rPr>
                <w:strike/>
              </w:rPr>
            </w:pPr>
            <w:r w:rsidRPr="006E72A7">
              <w:t>Patient must have had an LDL cholesterol level in excess of 5 millimoles per litre at the time non-PBS subsidised treatment with this drug for this condition was initiated</w:t>
            </w:r>
            <w:r w:rsidR="00764048" w:rsidRPr="006E72A7">
              <w:t>,</w:t>
            </w:r>
            <w:r w:rsidR="00764048" w:rsidRPr="006E72A7">
              <w:br/>
            </w:r>
            <w:r w:rsidRPr="006E72A7">
              <w:rPr>
                <w:b/>
              </w:rPr>
              <w:t>AND</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 xml:space="preserve">Patient must have been treated with the maximum tolerated dose of atorvastatin or rosuvastatin according to the TGA-approved Product Information for at least 3 months in conjunction with dietary therapy and exercise prior to initiating non-PBS subsidised treatment with this drug for this condition, OR </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 xml:space="preserve">Patient must have developed clinically important product-related adverse events necessitating withdrawal of statin treatment to trials of each of atorvastatin and rosuvastatin prior to initiating non-PBS subsidised treatment with this drug for this condition, OR </w:t>
            </w:r>
          </w:p>
          <w:p w:rsidR="009D447D" w:rsidRPr="006E72A7" w:rsidRDefault="009D447D" w:rsidP="00256298">
            <w:pPr>
              <w:pStyle w:val="Default"/>
              <w:rPr>
                <w:rFonts w:ascii="Arial Narrow" w:hAnsi="Arial Narrow"/>
                <w:sz w:val="20"/>
                <w:szCs w:val="20"/>
              </w:rPr>
            </w:pPr>
            <w:r w:rsidRPr="006E72A7">
              <w:rPr>
                <w:rFonts w:ascii="Arial Narrow" w:hAnsi="Arial Narrow"/>
                <w:sz w:val="20"/>
                <w:szCs w:val="20"/>
              </w:rPr>
              <w:t>Patient must be contraindicated to treatment with a HMG CoA reductase inhibitor (statin) as defined in the TGA-approved Product Information.</w:t>
            </w:r>
          </w:p>
          <w:p w:rsidR="009D447D" w:rsidRPr="006E72A7" w:rsidRDefault="009D447D" w:rsidP="00256298">
            <w:pPr>
              <w:pStyle w:val="Tabletext"/>
              <w:spacing w:before="20" w:after="20"/>
            </w:pPr>
          </w:p>
        </w:tc>
      </w:tr>
      <w:tr w:rsidR="009D447D" w:rsidRPr="006E72A7" w:rsidTr="00256298">
        <w:trPr>
          <w:trHeight w:val="360"/>
        </w:trPr>
        <w:tc>
          <w:tcPr>
            <w:tcW w:w="1267"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widowControl/>
              <w:spacing w:before="20" w:after="20"/>
              <w:rPr>
                <w:rFonts w:ascii="Arial Narrow" w:eastAsia="SimSun" w:hAnsi="Arial Narrow"/>
                <w:b/>
                <w:strike/>
                <w:sz w:val="20"/>
                <w:szCs w:val="20"/>
                <w:lang w:eastAsia="zh-CN"/>
              </w:rPr>
            </w:pPr>
            <w:r w:rsidRPr="006E72A7">
              <w:rPr>
                <w:rFonts w:ascii="Arial Narrow" w:eastAsia="SimSun" w:hAnsi="Arial Narrow"/>
                <w:b/>
                <w:sz w:val="20"/>
                <w:szCs w:val="20"/>
                <w:lang w:eastAsia="zh-CN"/>
              </w:rPr>
              <w:t>Treatment criteria:</w:t>
            </w:r>
          </w:p>
        </w:tc>
        <w:tc>
          <w:tcPr>
            <w:tcW w:w="3733" w:type="pct"/>
            <w:tcBorders>
              <w:top w:val="single" w:sz="4" w:space="0" w:color="auto"/>
              <w:left w:val="single" w:sz="4" w:space="0" w:color="auto"/>
              <w:bottom w:val="single" w:sz="4" w:space="0" w:color="auto"/>
              <w:right w:val="single" w:sz="4" w:space="0" w:color="auto"/>
            </w:tcBorders>
          </w:tcPr>
          <w:p w:rsidR="009D447D" w:rsidRPr="006E72A7" w:rsidRDefault="009D447D" w:rsidP="00256298">
            <w:pPr>
              <w:pStyle w:val="Tabletext"/>
              <w:spacing w:before="20" w:after="20"/>
            </w:pPr>
            <w:r w:rsidRPr="006E72A7">
              <w:t xml:space="preserve">Must be treated by a specialist physician. </w:t>
            </w:r>
          </w:p>
          <w:p w:rsidR="009D447D" w:rsidRPr="006E72A7" w:rsidRDefault="009D447D" w:rsidP="00256298">
            <w:pPr>
              <w:pStyle w:val="Tabletext"/>
              <w:spacing w:before="20" w:after="20"/>
            </w:pPr>
          </w:p>
          <w:p w:rsidR="009D447D" w:rsidRPr="006E72A7" w:rsidRDefault="009D447D" w:rsidP="00294F07">
            <w:pPr>
              <w:pStyle w:val="Tabletext"/>
              <w:spacing w:before="20" w:after="20"/>
              <w:rPr>
                <w:strike/>
              </w:rPr>
            </w:pPr>
          </w:p>
        </w:tc>
      </w:tr>
      <w:tr w:rsidR="00294F07" w:rsidRPr="006E72A7" w:rsidTr="00256298">
        <w:trPr>
          <w:trHeight w:val="360"/>
        </w:trPr>
        <w:tc>
          <w:tcPr>
            <w:tcW w:w="1267" w:type="pct"/>
            <w:tcBorders>
              <w:top w:val="single" w:sz="4" w:space="0" w:color="auto"/>
              <w:left w:val="single" w:sz="4" w:space="0" w:color="auto"/>
              <w:bottom w:val="single" w:sz="4" w:space="0" w:color="auto"/>
              <w:right w:val="single" w:sz="4" w:space="0" w:color="auto"/>
            </w:tcBorders>
          </w:tcPr>
          <w:p w:rsidR="00294F07" w:rsidRPr="006E72A7" w:rsidRDefault="00294F07" w:rsidP="00294F07">
            <w:pPr>
              <w:widowControl/>
              <w:spacing w:before="20" w:after="20"/>
              <w:rPr>
                <w:rFonts w:ascii="Arial Narrow" w:eastAsia="SimSun" w:hAnsi="Arial Narrow"/>
                <w:b/>
                <w:sz w:val="20"/>
                <w:szCs w:val="20"/>
                <w:lang w:eastAsia="zh-CN"/>
              </w:rPr>
            </w:pPr>
            <w:r>
              <w:rPr>
                <w:rFonts w:ascii="Arial Narrow" w:eastAsia="SimSun" w:hAnsi="Arial Narrow"/>
                <w:b/>
                <w:sz w:val="20"/>
                <w:szCs w:val="20"/>
                <w:lang w:eastAsia="zh-CN"/>
              </w:rPr>
              <w:t>Prescriber Instructions</w:t>
            </w:r>
          </w:p>
        </w:tc>
        <w:tc>
          <w:tcPr>
            <w:tcW w:w="3733" w:type="pct"/>
            <w:tcBorders>
              <w:top w:val="single" w:sz="4" w:space="0" w:color="auto"/>
              <w:left w:val="single" w:sz="4" w:space="0" w:color="auto"/>
              <w:bottom w:val="single" w:sz="4" w:space="0" w:color="auto"/>
              <w:right w:val="single" w:sz="4" w:space="0" w:color="auto"/>
            </w:tcBorders>
          </w:tcPr>
          <w:p w:rsidR="00294F07" w:rsidRPr="006E72A7" w:rsidRDefault="00294F07" w:rsidP="00294F07">
            <w:pPr>
              <w:pStyle w:val="TableText0"/>
              <w:spacing w:before="20" w:after="20"/>
              <w:rPr>
                <w:szCs w:val="20"/>
              </w:rPr>
            </w:pPr>
            <w:r w:rsidRPr="006E72A7">
              <w:rPr>
                <w:szCs w:val="20"/>
              </w:rPr>
              <w:t>A clinically important product-related adverse event is defined as follows:</w:t>
            </w:r>
          </w:p>
          <w:p w:rsidR="00294F07" w:rsidRPr="006E72A7" w:rsidRDefault="00294F07" w:rsidP="00294F07">
            <w:pPr>
              <w:pStyle w:val="TableText0"/>
              <w:spacing w:before="20" w:after="20"/>
              <w:rPr>
                <w:szCs w:val="20"/>
              </w:rPr>
            </w:pPr>
            <w:r w:rsidRPr="006E72A7">
              <w:rPr>
                <w:szCs w:val="20"/>
              </w:rPr>
              <w:t>(i) Severe myalgia (muscle symptoms without creatine kinase elevation) which is proven to be temporally associated with statin treatment; or</w:t>
            </w:r>
          </w:p>
          <w:p w:rsidR="00294F07" w:rsidRPr="006E72A7" w:rsidRDefault="00294F07" w:rsidP="00294F07">
            <w:pPr>
              <w:pStyle w:val="TableText0"/>
              <w:spacing w:before="20" w:after="20"/>
              <w:rPr>
                <w:szCs w:val="20"/>
              </w:rPr>
            </w:pPr>
            <w:r w:rsidRPr="006E72A7">
              <w:rPr>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rsidR="00294F07" w:rsidRPr="006E72A7" w:rsidRDefault="00294F07" w:rsidP="00294F07">
            <w:pPr>
              <w:widowControl/>
              <w:spacing w:before="20" w:after="20"/>
              <w:rPr>
                <w:rFonts w:ascii="Arial Narrow" w:hAnsi="Arial Narrow"/>
                <w:sz w:val="20"/>
                <w:szCs w:val="20"/>
              </w:rPr>
            </w:pPr>
            <w:r w:rsidRPr="006E72A7">
              <w:rPr>
                <w:rFonts w:ascii="Arial Narrow" w:hAnsi="Arial Narrow"/>
                <w:sz w:val="20"/>
                <w:szCs w:val="20"/>
              </w:rPr>
              <w:t>(iii) Unexplained, persistent elevations of serum transaminases (greater than 3 times the upper limit of normal) during treatment with a statin.</w:t>
            </w:r>
          </w:p>
          <w:p w:rsidR="00294F07" w:rsidRDefault="00294F07" w:rsidP="00294F07">
            <w:pPr>
              <w:pStyle w:val="Default"/>
              <w:rPr>
                <w:rFonts w:ascii="Arial Narrow" w:hAnsi="Arial Narrow"/>
                <w:sz w:val="20"/>
                <w:szCs w:val="20"/>
              </w:rPr>
            </w:pP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Symptomatic atherosclerotic cardiovascular disease is defined as: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 the presence of symptomatic coronary artery disease; or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(ii) the presence of symptomatic cerebrovascular disease; or </w:t>
            </w:r>
          </w:p>
          <w:p w:rsidR="00294F07" w:rsidRPr="006E72A7" w:rsidRDefault="00294F07" w:rsidP="00294F07">
            <w:pPr>
              <w:pStyle w:val="Tabletext"/>
              <w:spacing w:before="20" w:after="20"/>
            </w:pPr>
            <w:r w:rsidRPr="006E72A7">
              <w:t>(iii) the presence of symptomatic peripheral vascular disease.</w:t>
            </w:r>
          </w:p>
          <w:p w:rsidR="00294F07" w:rsidRDefault="00294F07" w:rsidP="00294F07">
            <w:pPr>
              <w:pStyle w:val="Tabletext"/>
              <w:spacing w:before="20" w:after="20"/>
            </w:pPr>
          </w:p>
          <w:p w:rsidR="00294F07" w:rsidRPr="006E72A7" w:rsidRDefault="00294F07" w:rsidP="00294F07">
            <w:pPr>
              <w:pStyle w:val="Tabletext"/>
              <w:spacing w:before="20" w:after="20"/>
            </w:pPr>
            <w:r w:rsidRPr="006E72A7">
              <w:t>The date of the consultation with a specialist physician must be no more than 6 months prior to the application date</w:t>
            </w:r>
            <w:r>
              <w:t xml:space="preserve">. </w:t>
            </w:r>
            <w:r w:rsidRPr="006E72A7">
              <w:t xml:space="preserve">The full name of the specialist physician consulted and the date of consultation are to be provided at the time of application. </w:t>
            </w:r>
          </w:p>
          <w:p w:rsidR="00294F07" w:rsidRPr="006E72A7" w:rsidRDefault="00294F07" w:rsidP="00294F07">
            <w:pPr>
              <w:pStyle w:val="Tabletext"/>
              <w:spacing w:before="20" w:after="20"/>
            </w:pPr>
          </w:p>
          <w:p w:rsidR="00294F07" w:rsidRPr="006E72A7" w:rsidRDefault="00294F07" w:rsidP="00294F07">
            <w:pPr>
              <w:pStyle w:val="Tabletext"/>
              <w:spacing w:before="20" w:after="20"/>
            </w:pPr>
            <w:r w:rsidRPr="006E72A7">
              <w:t>The qualifying LDL cholesterol level must be provided at the time of application and must have been no more than 2 months old at the time non-PBS subsidised treatment with this drug for this condition was initiated</w:t>
            </w:r>
            <w:r>
              <w:t xml:space="preserve">. </w:t>
            </w:r>
          </w:p>
          <w:p w:rsidR="00294F07" w:rsidRPr="006E72A7" w:rsidRDefault="00294F07" w:rsidP="00294F07">
            <w:pPr>
              <w:pStyle w:val="Tabletext"/>
              <w:spacing w:before="20" w:after="20"/>
              <w:rPr>
                <w:strike/>
              </w:rPr>
            </w:pPr>
          </w:p>
          <w:p w:rsidR="00294F07" w:rsidRDefault="00294F07" w:rsidP="00294F07">
            <w:pPr>
              <w:pStyle w:val="Default"/>
              <w:rPr>
                <w:rFonts w:ascii="Arial Narrow" w:hAnsi="Arial Narrow"/>
                <w:sz w:val="20"/>
                <w:szCs w:val="20"/>
              </w:rPr>
            </w:pPr>
            <w:r w:rsidRPr="006E72A7">
              <w:rPr>
                <w:rFonts w:ascii="Arial Narrow" w:hAnsi="Arial Narrow"/>
                <w:sz w:val="20"/>
                <w:szCs w:val="20"/>
              </w:rPr>
              <w:t xml:space="preserve">If the patient has developed a clinically important product-related adverse event, the clinician must confirm at the time of the application that the maximum tolerated dose of atorvastatin or rosuvastatin has been trialled and has resulted in the patient developing a clinically important product-related adverse event resulting in treatment withdrawal. </w:t>
            </w:r>
          </w:p>
          <w:p w:rsidR="00294F07" w:rsidRPr="006E72A7" w:rsidRDefault="00294F07" w:rsidP="00294F07">
            <w:pPr>
              <w:pStyle w:val="Default"/>
              <w:rPr>
                <w:rFonts w:ascii="Arial Narrow" w:hAnsi="Arial Narrow"/>
                <w:sz w:val="20"/>
                <w:szCs w:val="20"/>
              </w:rPr>
            </w:pP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If treatment with atorvastatin or rosuvastatin results in development of a clinically important product-related adverse event resulting in treatment withdrawal, the patient must be treated with the alternative statin (atorvastatin or rosuvastatin). This retrial should occur after a washout period of at least 1 month, or if the creatine kinase (CK) level is elevated retrial should not occur until CK has returned to normal. </w:t>
            </w:r>
          </w:p>
          <w:p w:rsidR="00294F07" w:rsidRPr="006E72A7" w:rsidRDefault="00294F07" w:rsidP="00294F07">
            <w:pPr>
              <w:pStyle w:val="Default"/>
              <w:rPr>
                <w:rFonts w:ascii="Arial Narrow" w:hAnsi="Arial Narrow"/>
                <w:sz w:val="20"/>
                <w:szCs w:val="20"/>
              </w:rPr>
            </w:pP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In the event of a trial of an alternative statin, the dose of the alternative statin should be increased not more often than every 4 weeks until the maximum tolerated dose has been reached or target LDL-c has been achieved. </w:t>
            </w:r>
          </w:p>
          <w:p w:rsidR="00294F07" w:rsidRPr="006E72A7" w:rsidRDefault="00294F07" w:rsidP="00294F07">
            <w:pPr>
              <w:pStyle w:val="Default"/>
              <w:rPr>
                <w:rFonts w:ascii="Arial Narrow" w:hAnsi="Arial Narrow"/>
                <w:sz w:val="20"/>
                <w:szCs w:val="20"/>
              </w:rPr>
            </w:pPr>
            <w:r w:rsidRPr="006E72A7">
              <w:rPr>
                <w:rFonts w:ascii="Arial Narrow" w:hAnsi="Arial Narrow"/>
                <w:sz w:val="20"/>
                <w:szCs w:val="20"/>
              </w:rPr>
              <w:t xml:space="preserve">With the exception of the situation where the patient is contraindicated to treatment with a statin, the doses and duration of treatment and adverse events experienced with trials with each of atorvastatin and rosuvastatin must be provided at the time of application. </w:t>
            </w:r>
          </w:p>
          <w:p w:rsidR="00294F07" w:rsidRDefault="00294F07" w:rsidP="00294F07">
            <w:pPr>
              <w:pStyle w:val="Tabletext"/>
              <w:spacing w:before="20" w:after="20"/>
            </w:pPr>
          </w:p>
          <w:p w:rsidR="00294F07" w:rsidRDefault="00294F07" w:rsidP="00294F07">
            <w:pPr>
              <w:pStyle w:val="Tabletext"/>
              <w:spacing w:before="20" w:after="20"/>
            </w:pPr>
            <w:r w:rsidRPr="006E72A7">
              <w:t>Contraindication to treatment with a statin is as defined in the TGA-approved Product Information.</w:t>
            </w:r>
          </w:p>
          <w:p w:rsidR="00294F07" w:rsidRDefault="00294F07" w:rsidP="00294F07">
            <w:pPr>
              <w:pStyle w:val="Tabletext"/>
              <w:spacing w:before="20" w:after="20"/>
            </w:pPr>
          </w:p>
          <w:p w:rsidR="00294F07" w:rsidRPr="006E72A7" w:rsidRDefault="00294F07" w:rsidP="00294F07">
            <w:pPr>
              <w:pStyle w:val="Tabletext"/>
              <w:spacing w:before="20" w:after="20"/>
            </w:pPr>
            <w:r w:rsidRPr="006E72A7">
              <w:t>The authority application must be made in writing and must include:</w:t>
            </w:r>
          </w:p>
          <w:p w:rsidR="00294F07" w:rsidRPr="006E72A7" w:rsidRDefault="00294F07" w:rsidP="00294F07">
            <w:pPr>
              <w:pStyle w:val="Tabletext"/>
              <w:spacing w:before="20" w:after="20"/>
            </w:pPr>
            <w:r w:rsidRPr="006E72A7">
              <w:t>a) A completed authority prescription form; and</w:t>
            </w:r>
          </w:p>
          <w:p w:rsidR="00294F07" w:rsidRPr="006E72A7" w:rsidRDefault="00294F07" w:rsidP="00294F07">
            <w:pPr>
              <w:pStyle w:val="Tabletext"/>
              <w:spacing w:before="20" w:after="20"/>
            </w:pPr>
            <w:r w:rsidRPr="006E72A7">
              <w:t xml:space="preserve">b) A completed Familial Hypercholesterolaemia </w:t>
            </w:r>
            <w:r>
              <w:t>Grandfather</w:t>
            </w:r>
            <w:r w:rsidRPr="006E72A7">
              <w:t xml:space="preserve"> PBS Authority Application - Supporting Information Form; and</w:t>
            </w:r>
          </w:p>
          <w:p w:rsidR="00294F07" w:rsidRPr="006E72A7" w:rsidRDefault="00294F07" w:rsidP="00294F07">
            <w:pPr>
              <w:pStyle w:val="Tabletext"/>
              <w:spacing w:before="20" w:after="20"/>
            </w:pPr>
            <w:r w:rsidRPr="006E72A7">
              <w:t>c) The date of consultation and the full name of the consultant physician; and</w:t>
            </w:r>
          </w:p>
          <w:p w:rsidR="00294F07" w:rsidRPr="006E72A7" w:rsidRDefault="00294F07" w:rsidP="00294F07">
            <w:pPr>
              <w:pStyle w:val="Tabletext"/>
              <w:spacing w:before="20" w:after="20"/>
            </w:pPr>
            <w:r w:rsidRPr="006E72A7">
              <w:t>d) A copy of the qualifying Dutch Lipid Clinic Network Score or a copy of the result of genetic testing; and</w:t>
            </w:r>
          </w:p>
          <w:p w:rsidR="00294F07" w:rsidRPr="006E72A7" w:rsidRDefault="00294F07" w:rsidP="00294F07">
            <w:pPr>
              <w:pStyle w:val="Tabletext"/>
              <w:spacing w:before="20" w:after="20"/>
            </w:pPr>
            <w:r w:rsidRPr="006E72A7">
              <w:t>e) The result of LDL cholesterol level and one of the following where appropriate: statin treatment details including agent and dose; or details of adverse event or contraindication to treatment with a statin as defined in the TGA-approved Product Information.</w:t>
            </w:r>
          </w:p>
          <w:p w:rsidR="00294F07" w:rsidRDefault="00294F07" w:rsidP="00294F07">
            <w:pPr>
              <w:pStyle w:val="Tabletext"/>
              <w:spacing w:before="20" w:after="20"/>
            </w:pPr>
          </w:p>
          <w:p w:rsidR="00294F07" w:rsidRPr="006E72A7" w:rsidRDefault="00294F07" w:rsidP="00294F07">
            <w:pPr>
              <w:pStyle w:val="Tabletext"/>
              <w:spacing w:before="20" w:after="20"/>
            </w:pPr>
            <w:r w:rsidRPr="006E72A7">
              <w:t>A patient may qualify for PBS-subsidised treatment under this restriction once only. For continuing PBS-subsidised treatment, a Grandfathered patient must qualify under the Continuing treatment criteria.</w:t>
            </w:r>
          </w:p>
          <w:p w:rsidR="00294F07" w:rsidRPr="006E72A7" w:rsidRDefault="00294F07" w:rsidP="00294F07">
            <w:pPr>
              <w:pStyle w:val="Tabletext"/>
              <w:spacing w:before="20" w:after="20"/>
            </w:pPr>
          </w:p>
        </w:tc>
      </w:tr>
      <w:tr w:rsidR="00294F07" w:rsidRPr="006E72A7" w:rsidTr="00256298">
        <w:trPr>
          <w:trHeight w:val="532"/>
        </w:trPr>
        <w:tc>
          <w:tcPr>
            <w:tcW w:w="1267" w:type="pct"/>
            <w:tcBorders>
              <w:top w:val="single" w:sz="4" w:space="0" w:color="auto"/>
              <w:left w:val="single" w:sz="4" w:space="0" w:color="auto"/>
              <w:bottom w:val="single" w:sz="4" w:space="0" w:color="auto"/>
              <w:right w:val="single" w:sz="4" w:space="0" w:color="auto"/>
            </w:tcBorders>
          </w:tcPr>
          <w:p w:rsidR="00294F07" w:rsidRPr="006E72A7" w:rsidRDefault="00294F07" w:rsidP="00294F07">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lastRenderedPageBreak/>
              <w:t>Administrative Advice</w:t>
            </w:r>
          </w:p>
        </w:tc>
        <w:tc>
          <w:tcPr>
            <w:tcW w:w="3733" w:type="pct"/>
            <w:tcBorders>
              <w:top w:val="single" w:sz="4" w:space="0" w:color="auto"/>
              <w:left w:val="single" w:sz="4" w:space="0" w:color="auto"/>
              <w:bottom w:val="single" w:sz="4" w:space="0" w:color="auto"/>
              <w:right w:val="single" w:sz="4" w:space="0" w:color="auto"/>
            </w:tcBorders>
          </w:tcPr>
          <w:p w:rsidR="00294F07" w:rsidRPr="006E72A7" w:rsidRDefault="00294F07" w:rsidP="00294F07">
            <w:pPr>
              <w:pStyle w:val="Tabletext"/>
              <w:spacing w:before="20" w:after="20"/>
              <w:rPr>
                <w:b/>
              </w:rPr>
            </w:pPr>
            <w:r w:rsidRPr="006E72A7">
              <w:rPr>
                <w:b/>
              </w:rPr>
              <w:t>Note</w:t>
            </w:r>
          </w:p>
          <w:p w:rsidR="00294F07" w:rsidRPr="006E72A7" w:rsidRDefault="00294F07" w:rsidP="00294F07">
            <w:pPr>
              <w:pStyle w:val="Tabletext"/>
              <w:spacing w:before="20" w:after="20"/>
            </w:pPr>
            <w:r w:rsidRPr="006E72A7">
              <w:t>Any queries concerning the arrangements to prescribe may be directed to the Department of Human Services on 1800 700 270 (hours of operation 8 a.m. to 5 p.m. EST Monday to Friday).</w:t>
            </w:r>
          </w:p>
          <w:p w:rsidR="00294F07" w:rsidRPr="006E72A7" w:rsidRDefault="00294F07" w:rsidP="00294F07">
            <w:pPr>
              <w:pStyle w:val="Tabletext"/>
              <w:spacing w:before="20" w:after="20"/>
            </w:pPr>
            <w:r w:rsidRPr="006E72A7">
              <w:lastRenderedPageBreak/>
              <w:t>Prescribing information (including Authority Application forms and other relevant documentation as applicable) is available on the Department of Human Services website at www.humanservices.gov.au</w:t>
            </w:r>
          </w:p>
          <w:p w:rsidR="00294F07" w:rsidRPr="006E72A7" w:rsidRDefault="00294F07" w:rsidP="00294F07">
            <w:pPr>
              <w:pStyle w:val="Tabletext"/>
              <w:spacing w:before="20" w:after="20"/>
            </w:pPr>
            <w:r w:rsidRPr="006E72A7">
              <w:t>Applications for authority to prescribe should be forwarded to:</w:t>
            </w:r>
          </w:p>
          <w:p w:rsidR="00294F07" w:rsidRPr="006E72A7" w:rsidRDefault="00294F07" w:rsidP="00294F07">
            <w:pPr>
              <w:pStyle w:val="Tabletext"/>
              <w:spacing w:before="20" w:after="20"/>
            </w:pPr>
            <w:r w:rsidRPr="006E72A7">
              <w:t>Department of Human Services</w:t>
            </w:r>
          </w:p>
          <w:p w:rsidR="00294F07" w:rsidRPr="006E72A7" w:rsidRDefault="00294F07" w:rsidP="00294F07">
            <w:pPr>
              <w:pStyle w:val="Tabletext"/>
              <w:spacing w:before="20" w:after="20"/>
            </w:pPr>
            <w:r w:rsidRPr="006E72A7">
              <w:t>Complex Drugs</w:t>
            </w:r>
          </w:p>
          <w:p w:rsidR="00294F07" w:rsidRPr="006E72A7" w:rsidRDefault="00294F07" w:rsidP="00294F07">
            <w:pPr>
              <w:pStyle w:val="Tabletext"/>
              <w:spacing w:before="20" w:after="20"/>
            </w:pPr>
            <w:r w:rsidRPr="006E72A7">
              <w:t>Reply Paid 9826</w:t>
            </w:r>
          </w:p>
          <w:p w:rsidR="00294F07" w:rsidRPr="006E72A7" w:rsidRDefault="00294F07" w:rsidP="00294F07">
            <w:pPr>
              <w:widowControl/>
              <w:shd w:val="clear" w:color="auto" w:fill="FFFFFF"/>
              <w:spacing w:before="20" w:after="20"/>
              <w:rPr>
                <w:rFonts w:ascii="Arial Narrow" w:eastAsia="SimSun" w:hAnsi="Arial Narrow"/>
                <w:b/>
                <w:sz w:val="20"/>
                <w:szCs w:val="20"/>
                <w:lang w:eastAsia="zh-CN"/>
              </w:rPr>
            </w:pPr>
            <w:r w:rsidRPr="006E72A7">
              <w:rPr>
                <w:rFonts w:ascii="Arial Narrow" w:hAnsi="Arial Narrow"/>
                <w:sz w:val="20"/>
                <w:szCs w:val="20"/>
              </w:rPr>
              <w:t>HOBART TAS 7001</w:t>
            </w:r>
          </w:p>
        </w:tc>
      </w:tr>
    </w:tbl>
    <w:p w:rsidR="00195CA2" w:rsidRPr="006E72A7" w:rsidRDefault="00195CA2" w:rsidP="00DD4DF0">
      <w:pPr>
        <w:widowControl/>
        <w:jc w:val="left"/>
        <w:rPr>
          <w:rFonts w:ascii="Times New Roman" w:hAnsi="Times New Roman" w:cs="Times New Roman"/>
          <w:snapToGrid/>
          <w:szCs w:val="24"/>
        </w:rPr>
      </w:pPr>
    </w:p>
    <w:p w:rsidR="009D447D" w:rsidRPr="005F501A" w:rsidRDefault="007B4026" w:rsidP="00110317">
      <w:pPr>
        <w:widowControl/>
        <w:numPr>
          <w:ilvl w:val="1"/>
          <w:numId w:val="1"/>
        </w:numPr>
        <w:spacing w:after="120"/>
        <w:rPr>
          <w:rFonts w:cs="Calibri"/>
          <w:snapToGrid/>
          <w:szCs w:val="24"/>
        </w:rPr>
      </w:pPr>
      <w:r w:rsidRPr="005F501A">
        <w:rPr>
          <w:rFonts w:cs="Calibri"/>
          <w:snapToGrid/>
          <w:szCs w:val="24"/>
        </w:rPr>
        <w:t>Add extra clinical criterion for evolocumab restriction for He-FH: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dd extra clinical criterion for evolocumab restriction for He-FH"/>
      </w:tblPr>
      <w:tblGrid>
        <w:gridCol w:w="2283"/>
        <w:gridCol w:w="6734"/>
      </w:tblGrid>
      <w:tr w:rsidR="007B4026" w:rsidRPr="006E72A7" w:rsidTr="00CD739C">
        <w:trPr>
          <w:trHeight w:val="360"/>
        </w:trPr>
        <w:tc>
          <w:tcPr>
            <w:tcW w:w="1266" w:type="pct"/>
          </w:tcPr>
          <w:p w:rsidR="007B4026" w:rsidRPr="006E72A7" w:rsidRDefault="007B4026" w:rsidP="00CD739C">
            <w:pPr>
              <w:widowControl/>
              <w:spacing w:before="20" w:after="20"/>
              <w:rPr>
                <w:rFonts w:ascii="Arial Narrow" w:eastAsia="SimSun" w:hAnsi="Arial Narrow"/>
                <w:b/>
                <w:sz w:val="20"/>
                <w:szCs w:val="20"/>
                <w:lang w:eastAsia="zh-CN"/>
              </w:rPr>
            </w:pPr>
            <w:r w:rsidRPr="006E72A7">
              <w:rPr>
                <w:rFonts w:ascii="Arial Narrow" w:eastAsia="SimSun" w:hAnsi="Arial Narrow"/>
                <w:b/>
                <w:sz w:val="20"/>
                <w:szCs w:val="20"/>
                <w:lang w:eastAsia="zh-CN"/>
              </w:rPr>
              <w:t>Clinical criteria:</w:t>
            </w:r>
          </w:p>
          <w:p w:rsidR="007B4026" w:rsidRPr="006E72A7" w:rsidRDefault="007B4026" w:rsidP="00CD739C">
            <w:pPr>
              <w:widowControl/>
              <w:spacing w:before="20" w:after="20"/>
              <w:rPr>
                <w:rFonts w:ascii="Arial Narrow" w:eastAsia="SimSun" w:hAnsi="Arial Narrow"/>
                <w:b/>
                <w:sz w:val="20"/>
                <w:szCs w:val="20"/>
                <w:lang w:eastAsia="zh-CN"/>
              </w:rPr>
            </w:pPr>
          </w:p>
        </w:tc>
        <w:tc>
          <w:tcPr>
            <w:tcW w:w="3734" w:type="pct"/>
          </w:tcPr>
          <w:p w:rsidR="007B4026" w:rsidRDefault="007B4026" w:rsidP="007B4026">
            <w:pPr>
              <w:pStyle w:val="Default"/>
              <w:rPr>
                <w:rFonts w:ascii="Arial Narrow" w:hAnsi="Arial Narrow"/>
                <w:b/>
                <w:sz w:val="20"/>
                <w:szCs w:val="20"/>
              </w:rPr>
            </w:pPr>
            <w:r>
              <w:rPr>
                <w:rFonts w:ascii="Arial Narrow" w:hAnsi="Arial Narrow"/>
                <w:b/>
                <w:sz w:val="20"/>
                <w:szCs w:val="20"/>
              </w:rPr>
              <w:t>AND</w:t>
            </w:r>
          </w:p>
          <w:p w:rsidR="007B4026" w:rsidRPr="007B4026" w:rsidRDefault="007B4026" w:rsidP="007B4026">
            <w:pPr>
              <w:widowControl/>
              <w:jc w:val="left"/>
              <w:rPr>
                <w:rFonts w:ascii="Times New Roman" w:hAnsi="Times New Roman" w:cs="Times New Roman"/>
                <w:snapToGrid/>
                <w:szCs w:val="24"/>
              </w:rPr>
            </w:pPr>
            <w:r w:rsidRPr="00CA2F91">
              <w:rPr>
                <w:rFonts w:ascii="Arial Narrow" w:hAnsi="Arial Narrow"/>
                <w:sz w:val="20"/>
                <w:szCs w:val="20"/>
              </w:rPr>
              <w:t xml:space="preserve">Patient must not be receiving concomitant PBS-subsidised </w:t>
            </w:r>
            <w:r>
              <w:rPr>
                <w:rFonts w:ascii="Arial Narrow" w:hAnsi="Arial Narrow"/>
                <w:sz w:val="20"/>
                <w:szCs w:val="20"/>
              </w:rPr>
              <w:t>alirocumab.</w:t>
            </w:r>
          </w:p>
        </w:tc>
      </w:tr>
    </w:tbl>
    <w:p w:rsidR="009271FB" w:rsidRPr="009271FB" w:rsidRDefault="009271FB" w:rsidP="009271FB">
      <w:pPr>
        <w:pStyle w:val="Heading1"/>
        <w:keepNext/>
        <w:keepLines/>
        <w:widowControl/>
        <w:numPr>
          <w:ilvl w:val="0"/>
          <w:numId w:val="1"/>
        </w:numPr>
        <w:ind w:left="709" w:hanging="709"/>
        <w:rPr>
          <w:rFonts w:asciiTheme="minorHAnsi" w:eastAsiaTheme="majorEastAsia" w:hAnsiTheme="minorHAnsi" w:cstheme="majorBidi"/>
          <w:caps w:val="0"/>
          <w:snapToGrid/>
          <w:szCs w:val="28"/>
        </w:rPr>
      </w:pPr>
      <w:r w:rsidRPr="009271FB">
        <w:rPr>
          <w:rFonts w:asciiTheme="minorHAnsi" w:eastAsiaTheme="majorEastAsia" w:hAnsiTheme="minorHAnsi" w:cstheme="majorBidi"/>
          <w:caps w:val="0"/>
          <w:snapToGrid/>
          <w:szCs w:val="28"/>
        </w:rPr>
        <w:t>Context for Decision</w:t>
      </w:r>
    </w:p>
    <w:p w:rsidR="009271FB" w:rsidRPr="009271FB" w:rsidRDefault="009271FB" w:rsidP="009271FB">
      <w:pPr>
        <w:widowControl/>
        <w:spacing w:line="276" w:lineRule="auto"/>
        <w:ind w:left="426"/>
        <w:rPr>
          <w:rFonts w:asciiTheme="minorHAnsi" w:eastAsiaTheme="minorHAnsi" w:hAnsiTheme="minorHAnsi"/>
          <w:snapToGrid/>
        </w:rPr>
      </w:pPr>
      <w:r w:rsidRPr="009271FB">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271FB" w:rsidRPr="009271FB" w:rsidRDefault="009271FB" w:rsidP="009271FB">
      <w:pPr>
        <w:pStyle w:val="Heading1"/>
        <w:keepNext/>
        <w:keepLines/>
        <w:widowControl/>
        <w:numPr>
          <w:ilvl w:val="0"/>
          <w:numId w:val="1"/>
        </w:numPr>
        <w:ind w:left="709" w:hanging="709"/>
        <w:rPr>
          <w:rFonts w:asciiTheme="minorHAnsi" w:eastAsiaTheme="majorEastAsia" w:hAnsiTheme="minorHAnsi" w:cstheme="majorBidi"/>
          <w:caps w:val="0"/>
          <w:snapToGrid/>
          <w:szCs w:val="28"/>
        </w:rPr>
      </w:pPr>
      <w:r w:rsidRPr="009271FB">
        <w:rPr>
          <w:rFonts w:asciiTheme="minorHAnsi" w:eastAsiaTheme="majorEastAsia" w:hAnsiTheme="minorHAnsi" w:cstheme="majorBidi"/>
          <w:caps w:val="0"/>
          <w:snapToGrid/>
          <w:szCs w:val="28"/>
        </w:rPr>
        <w:t>Sponsor’s Comment</w:t>
      </w:r>
    </w:p>
    <w:p w:rsidR="009271FB" w:rsidRPr="009271FB" w:rsidRDefault="00C70190" w:rsidP="009271FB">
      <w:pPr>
        <w:widowControl/>
        <w:spacing w:after="120" w:line="276" w:lineRule="auto"/>
        <w:ind w:left="426"/>
        <w:rPr>
          <w:rFonts w:asciiTheme="minorHAnsi" w:eastAsiaTheme="minorHAnsi" w:hAnsiTheme="minorHAnsi"/>
          <w:bCs/>
          <w:snapToGrid/>
          <w:szCs w:val="24"/>
        </w:rPr>
      </w:pPr>
      <w:r w:rsidRPr="00C70190">
        <w:rPr>
          <w:rFonts w:eastAsiaTheme="majorEastAsia"/>
        </w:rPr>
        <w:t xml:space="preserve">Sanofi welcomes the PBAC’s recommendation to list alirocumab for He-FH.   We will continue to work with the PBAC to obtain reimbursement for alirocumab for non-FH patients with high cardiovascular risk who are not adequately controlled with available lipid-lowering therapies in recognition of high unmet clinical need for effective treatments.  </w:t>
      </w:r>
    </w:p>
    <w:sectPr w:rsidR="009271FB" w:rsidRPr="009271FB" w:rsidSect="00E2135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9211D" w16cid:durableId="205061BB"/>
  <w16cid:commentId w16cid:paraId="2960950E" w16cid:durableId="205061F5"/>
  <w16cid:commentId w16cid:paraId="0FFA017B" w16cid:durableId="205061BC"/>
  <w16cid:commentId w16cid:paraId="198D9657" w16cid:durableId="205061BD"/>
  <w16cid:commentId w16cid:paraId="3B1FD31B" w16cid:durableId="204B30DE"/>
  <w16cid:commentId w16cid:paraId="069E5B7E" w16cid:durableId="205061BF"/>
  <w16cid:commentId w16cid:paraId="6C510F5A" w16cid:durableId="205061C0"/>
  <w16cid:commentId w16cid:paraId="538C4835" w16cid:durableId="204B326F"/>
  <w16cid:commentId w16cid:paraId="6450EAD8" w16cid:durableId="205061C2"/>
  <w16cid:commentId w16cid:paraId="01DE223B" w16cid:durableId="205061C3"/>
  <w16cid:commentId w16cid:paraId="3B568B78" w16cid:durableId="205061C4"/>
  <w16cid:commentId w16cid:paraId="2A8CBD1E" w16cid:durableId="205061C5"/>
  <w16cid:commentId w16cid:paraId="29D04DD2" w16cid:durableId="205061C6"/>
  <w16cid:commentId w16cid:paraId="339773C0" w16cid:durableId="205061C7"/>
  <w16cid:commentId w16cid:paraId="5392B904" w16cid:durableId="205061C8"/>
  <w16cid:commentId w16cid:paraId="051D941A" w16cid:durableId="205061C9"/>
  <w16cid:commentId w16cid:paraId="05BEB17E" w16cid:durableId="205061CA"/>
  <w16cid:commentId w16cid:paraId="1515A209" w16cid:durableId="205061CB"/>
  <w16cid:commentId w16cid:paraId="3A04A3F6" w16cid:durableId="204B358F"/>
  <w16cid:commentId w16cid:paraId="061E4A02" w16cid:durableId="205061CD"/>
  <w16cid:commentId w16cid:paraId="5EEE4EE3" w16cid:durableId="205061CE"/>
  <w16cid:commentId w16cid:paraId="01FFE406" w16cid:durableId="204B38AC"/>
  <w16cid:commentId w16cid:paraId="574E98CC" w16cid:durableId="205061D0"/>
  <w16cid:commentId w16cid:paraId="5AB0C840" w16cid:durableId="204B37FC"/>
  <w16cid:commentId w16cid:paraId="40299E03" w16cid:durableId="204B39F2"/>
  <w16cid:commentId w16cid:paraId="056B9CDA" w16cid:durableId="205061D3"/>
  <w16cid:commentId w16cid:paraId="08598647" w16cid:durableId="205061D4"/>
  <w16cid:commentId w16cid:paraId="5A8D429B" w16cid:durableId="204B3AE5"/>
  <w16cid:commentId w16cid:paraId="43AEC9BF" w16cid:durableId="204B3BBD"/>
  <w16cid:commentId w16cid:paraId="5D1BE543" w16cid:durableId="205061D7"/>
  <w16cid:commentId w16cid:paraId="588A693E" w16cid:durableId="204B3BF6"/>
  <w16cid:commentId w16cid:paraId="4C04A337" w16cid:durableId="205061D9"/>
  <w16cid:commentId w16cid:paraId="719C0804" w16cid:durableId="205061DA"/>
  <w16cid:commentId w16cid:paraId="7FE5B516" w16cid:durableId="204B3CD9"/>
  <w16cid:commentId w16cid:paraId="77820B83" w16cid:durableId="205061DC"/>
  <w16cid:commentId w16cid:paraId="0D04BCDC" w16cid:durableId="205061DD"/>
  <w16cid:commentId w16cid:paraId="5E79FCED" w16cid:durableId="204B2F1F"/>
  <w16cid:commentId w16cid:paraId="6818C0C7" w16cid:durableId="204B3EB3"/>
  <w16cid:commentId w16cid:paraId="293FD679" w16cid:durableId="205061E0"/>
  <w16cid:commentId w16cid:paraId="6F80362A" w16cid:durableId="204B3EF2"/>
  <w16cid:commentId w16cid:paraId="7EF449EC" w16cid:durableId="204B3F0D"/>
  <w16cid:commentId w16cid:paraId="494369FF" w16cid:durableId="205061E3"/>
  <w16cid:commentId w16cid:paraId="0A8E1A8C" w16cid:durableId="205061E4"/>
  <w16cid:commentId w16cid:paraId="754C5579" w16cid:durableId="204B2F20"/>
  <w16cid:commentId w16cid:paraId="2688D482" w16cid:durableId="204B3F6D"/>
  <w16cid:commentId w16cid:paraId="702814FC" w16cid:durableId="204B3FE2"/>
  <w16cid:commentId w16cid:paraId="31B4241F" w16cid:durableId="205061E8"/>
  <w16cid:commentId w16cid:paraId="18682C73" w16cid:durableId="204B2F21"/>
  <w16cid:commentId w16cid:paraId="721F72F4" w16cid:durableId="204B402E"/>
  <w16cid:commentId w16cid:paraId="309F0AFC" w16cid:durableId="205061EB"/>
  <w16cid:commentId w16cid:paraId="3718B35D" w16cid:durableId="20506430"/>
  <w16cid:commentId w16cid:paraId="53C93680" w16cid:durableId="205061EC"/>
  <w16cid:commentId w16cid:paraId="680C27F8" w16cid:durableId="204B2F22"/>
  <w16cid:commentId w16cid:paraId="77AD84CA" w16cid:durableId="204B423D"/>
  <w16cid:commentId w16cid:paraId="5760F905" w16cid:durableId="204B425C"/>
  <w16cid:commentId w16cid:paraId="0E01C8A5" w16cid:durableId="205061F0"/>
  <w16cid:commentId w16cid:paraId="4E4B1BB9" w16cid:durableId="205061F1"/>
  <w16cid:commentId w16cid:paraId="38F379BD" w16cid:durableId="204B2F23"/>
  <w16cid:commentId w16cid:paraId="464159C9" w16cid:durableId="205061F3"/>
  <w16cid:commentId w16cid:paraId="6D124F08" w16cid:durableId="204B42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5F" w:rsidRDefault="00AF2D5F" w:rsidP="00124A51">
      <w:r>
        <w:separator/>
      </w:r>
    </w:p>
    <w:p w:rsidR="00AF2D5F" w:rsidRDefault="00AF2D5F"/>
  </w:endnote>
  <w:endnote w:type="continuationSeparator" w:id="0">
    <w:p w:rsidR="00AF2D5F" w:rsidRDefault="00AF2D5F" w:rsidP="00124A51">
      <w:r>
        <w:continuationSeparator/>
      </w:r>
    </w:p>
    <w:p w:rsidR="00AF2D5F" w:rsidRDefault="00AF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5F" w:rsidRDefault="00AF2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638006"/>
      <w:docPartObj>
        <w:docPartGallery w:val="Page Numbers (Bottom of Page)"/>
        <w:docPartUnique/>
      </w:docPartObj>
    </w:sdtPr>
    <w:sdtEndPr>
      <w:rPr>
        <w:b/>
        <w:noProof/>
        <w:szCs w:val="24"/>
      </w:rPr>
    </w:sdtEndPr>
    <w:sdtContent>
      <w:p w:rsidR="00AF2D5F" w:rsidRPr="00DD4DF0" w:rsidRDefault="00AF2D5F" w:rsidP="00DD4DF0">
        <w:pPr>
          <w:pStyle w:val="Footer"/>
          <w:jc w:val="center"/>
          <w:rPr>
            <w:b/>
            <w:szCs w:val="24"/>
          </w:rPr>
        </w:pPr>
        <w:r w:rsidRPr="005622AA">
          <w:rPr>
            <w:b/>
            <w:szCs w:val="24"/>
          </w:rPr>
          <w:fldChar w:fldCharType="begin"/>
        </w:r>
        <w:r w:rsidRPr="005622AA">
          <w:rPr>
            <w:b/>
            <w:szCs w:val="24"/>
          </w:rPr>
          <w:instrText xml:space="preserve"> PAGE   \* MERGEFORMAT </w:instrText>
        </w:r>
        <w:r w:rsidRPr="005622AA">
          <w:rPr>
            <w:b/>
            <w:szCs w:val="24"/>
          </w:rPr>
          <w:fldChar w:fldCharType="separate"/>
        </w:r>
        <w:r w:rsidR="008E296C">
          <w:rPr>
            <w:b/>
            <w:noProof/>
            <w:szCs w:val="24"/>
          </w:rPr>
          <w:t>2</w:t>
        </w:r>
        <w:r w:rsidRPr="005622AA">
          <w:rPr>
            <w:b/>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5F" w:rsidRDefault="00AF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5F" w:rsidRDefault="00AF2D5F" w:rsidP="00124A51">
      <w:r>
        <w:separator/>
      </w:r>
    </w:p>
    <w:p w:rsidR="00AF2D5F" w:rsidRDefault="00AF2D5F"/>
  </w:footnote>
  <w:footnote w:type="continuationSeparator" w:id="0">
    <w:p w:rsidR="00AF2D5F" w:rsidRDefault="00AF2D5F" w:rsidP="00124A51">
      <w:r>
        <w:continuationSeparator/>
      </w:r>
    </w:p>
    <w:p w:rsidR="00AF2D5F" w:rsidRDefault="00AF2D5F"/>
  </w:footnote>
  <w:footnote w:id="1">
    <w:p w:rsidR="00AF2D5F" w:rsidRPr="006A53A7" w:rsidRDefault="00AF2D5F" w:rsidP="009C2D0E">
      <w:pPr>
        <w:pStyle w:val="FootnoteText"/>
        <w:rPr>
          <w:i/>
        </w:rPr>
      </w:pPr>
      <w:r w:rsidRPr="006A53A7">
        <w:rPr>
          <w:rStyle w:val="FootnoteReference"/>
          <w:i/>
        </w:rPr>
        <w:footnoteRef/>
      </w:r>
      <w:r w:rsidRPr="006A53A7">
        <w:rPr>
          <w:i/>
        </w:rPr>
        <w:t>(Eriksson et al 2011, Saku et al 2011, Zhao and Peng 2017, see Table 2.4.14, p98 of the resubmission).</w:t>
      </w:r>
    </w:p>
  </w:footnote>
  <w:footnote w:id="2">
    <w:p w:rsidR="00AF2D5F" w:rsidRPr="00F41CA1" w:rsidRDefault="00AF2D5F" w:rsidP="0062752D">
      <w:pPr>
        <w:pStyle w:val="FootnoteText"/>
        <w:rPr>
          <w:rFonts w:ascii="Arial" w:hAnsi="Arial"/>
          <w:b/>
          <w:bCs/>
          <w:sz w:val="17"/>
          <w:szCs w:val="17"/>
          <w:shd w:val="clear" w:color="auto" w:fill="FFFFFF"/>
        </w:rPr>
      </w:pPr>
      <w:r w:rsidRPr="00F41CA1">
        <w:rPr>
          <w:rStyle w:val="FootnoteReference"/>
        </w:rPr>
        <w:footnoteRef/>
      </w:r>
      <w:r w:rsidRPr="00F41CA1">
        <w:t xml:space="preserve"> </w:t>
      </w:r>
      <w:r w:rsidRPr="00D47179">
        <w:rPr>
          <w:rFonts w:asciiTheme="minorHAnsi" w:hAnsiTheme="minorHAnsi" w:cstheme="minorHAnsi"/>
          <w:sz w:val="17"/>
          <w:szCs w:val="17"/>
          <w:shd w:val="clear" w:color="auto" w:fill="FFFFFF"/>
        </w:rPr>
        <w:t>Szarek M</w:t>
      </w:r>
      <w:r w:rsidRPr="00F41CA1">
        <w:rPr>
          <w:rFonts w:asciiTheme="minorHAnsi" w:hAnsiTheme="minorHAnsi" w:cstheme="minorHAnsi"/>
          <w:sz w:val="17"/>
          <w:szCs w:val="17"/>
          <w:shd w:val="clear" w:color="auto" w:fill="FFFFFF"/>
        </w:rPr>
        <w:t>, </w:t>
      </w:r>
      <w:r w:rsidRPr="00D47179">
        <w:rPr>
          <w:rFonts w:asciiTheme="minorHAnsi" w:hAnsiTheme="minorHAnsi" w:cstheme="minorHAnsi"/>
          <w:sz w:val="17"/>
          <w:szCs w:val="17"/>
          <w:shd w:val="clear" w:color="auto" w:fill="FFFFFF"/>
        </w:rPr>
        <w:t>White HD</w:t>
      </w:r>
      <w:r w:rsidRPr="00F41CA1">
        <w:rPr>
          <w:rFonts w:asciiTheme="minorHAnsi" w:hAnsiTheme="minorHAnsi" w:cstheme="minorHAnsi"/>
          <w:sz w:val="17"/>
          <w:szCs w:val="17"/>
          <w:shd w:val="clear" w:color="auto" w:fill="FFFFFF"/>
        </w:rPr>
        <w:t>, </w:t>
      </w:r>
      <w:hyperlink r:id="rId1" w:history="1">
        <w:r w:rsidRPr="00F41CA1">
          <w:rPr>
            <w:rStyle w:val="Hyperlink"/>
            <w:rFonts w:asciiTheme="minorHAnsi" w:hAnsiTheme="minorHAnsi" w:cstheme="minorHAnsi"/>
            <w:color w:val="auto"/>
            <w:sz w:val="17"/>
            <w:szCs w:val="17"/>
            <w:shd w:val="clear" w:color="auto" w:fill="FFFFFF"/>
          </w:rPr>
          <w:t>Schwartz GG</w:t>
        </w:r>
      </w:hyperlink>
      <w:r w:rsidRPr="00F41CA1">
        <w:rPr>
          <w:rFonts w:asciiTheme="minorHAnsi" w:hAnsiTheme="minorHAnsi" w:cstheme="minorHAnsi"/>
          <w:sz w:val="17"/>
          <w:szCs w:val="17"/>
          <w:shd w:val="clear" w:color="auto" w:fill="FFFFFF"/>
        </w:rPr>
        <w:t>, </w:t>
      </w:r>
      <w:hyperlink r:id="rId2" w:history="1">
        <w:r w:rsidRPr="00F41CA1">
          <w:rPr>
            <w:rStyle w:val="Hyperlink"/>
            <w:rFonts w:asciiTheme="minorHAnsi" w:hAnsiTheme="minorHAnsi" w:cstheme="minorHAnsi"/>
            <w:color w:val="auto"/>
            <w:sz w:val="17"/>
            <w:szCs w:val="17"/>
            <w:shd w:val="clear" w:color="auto" w:fill="FFFFFF"/>
          </w:rPr>
          <w:t>Alings M</w:t>
        </w:r>
      </w:hyperlink>
      <w:r w:rsidRPr="00F41CA1">
        <w:rPr>
          <w:rFonts w:asciiTheme="minorHAnsi" w:hAnsiTheme="minorHAnsi" w:cstheme="minorHAnsi"/>
          <w:sz w:val="17"/>
          <w:szCs w:val="17"/>
          <w:shd w:val="clear" w:color="auto" w:fill="FFFFFF"/>
        </w:rPr>
        <w:t>, </w:t>
      </w:r>
      <w:hyperlink r:id="rId3" w:history="1">
        <w:r w:rsidRPr="00F41CA1">
          <w:rPr>
            <w:rStyle w:val="Hyperlink"/>
            <w:rFonts w:asciiTheme="minorHAnsi" w:hAnsiTheme="minorHAnsi" w:cstheme="minorHAnsi"/>
            <w:color w:val="auto"/>
            <w:sz w:val="17"/>
            <w:szCs w:val="17"/>
            <w:shd w:val="clear" w:color="auto" w:fill="FFFFFF"/>
          </w:rPr>
          <w:t>Bhatt DL</w:t>
        </w:r>
      </w:hyperlink>
      <w:r w:rsidRPr="00F41CA1">
        <w:rPr>
          <w:rFonts w:asciiTheme="minorHAnsi" w:hAnsiTheme="minorHAnsi" w:cstheme="minorHAnsi"/>
          <w:sz w:val="17"/>
          <w:szCs w:val="17"/>
          <w:shd w:val="clear" w:color="auto" w:fill="FFFFFF"/>
        </w:rPr>
        <w:t>, </w:t>
      </w:r>
      <w:r w:rsidRPr="00D47179">
        <w:rPr>
          <w:rFonts w:asciiTheme="minorHAnsi" w:hAnsiTheme="minorHAnsi" w:cstheme="minorHAnsi"/>
          <w:sz w:val="17"/>
          <w:szCs w:val="17"/>
          <w:shd w:val="clear" w:color="auto" w:fill="FFFFFF"/>
        </w:rPr>
        <w:t>Bittner VA</w:t>
      </w:r>
      <w:r w:rsidRPr="00F41CA1">
        <w:rPr>
          <w:rFonts w:asciiTheme="minorHAnsi" w:hAnsiTheme="minorHAnsi" w:cstheme="minorHAnsi"/>
          <w:sz w:val="17"/>
          <w:szCs w:val="17"/>
          <w:shd w:val="clear" w:color="auto" w:fill="FFFFFF"/>
        </w:rPr>
        <w:t>, </w:t>
      </w:r>
      <w:hyperlink r:id="rId4" w:history="1">
        <w:r w:rsidRPr="00F41CA1">
          <w:rPr>
            <w:rStyle w:val="Hyperlink"/>
            <w:rFonts w:asciiTheme="minorHAnsi" w:hAnsiTheme="minorHAnsi" w:cstheme="minorHAnsi"/>
            <w:color w:val="auto"/>
            <w:sz w:val="17"/>
            <w:szCs w:val="17"/>
            <w:shd w:val="clear" w:color="auto" w:fill="FFFFFF"/>
          </w:rPr>
          <w:t>Chiang CE</w:t>
        </w:r>
      </w:hyperlink>
      <w:r w:rsidRPr="00F41CA1">
        <w:rPr>
          <w:rFonts w:asciiTheme="minorHAnsi" w:hAnsiTheme="minorHAnsi" w:cstheme="minorHAnsi"/>
          <w:sz w:val="17"/>
          <w:szCs w:val="17"/>
          <w:shd w:val="clear" w:color="auto" w:fill="FFFFFF"/>
        </w:rPr>
        <w:t>, </w:t>
      </w:r>
      <w:hyperlink r:id="rId5" w:history="1">
        <w:r w:rsidRPr="00F41CA1">
          <w:rPr>
            <w:rStyle w:val="Hyperlink"/>
            <w:rFonts w:asciiTheme="minorHAnsi" w:hAnsiTheme="minorHAnsi" w:cstheme="minorHAnsi"/>
            <w:color w:val="auto"/>
            <w:sz w:val="17"/>
            <w:szCs w:val="17"/>
            <w:shd w:val="clear" w:color="auto" w:fill="FFFFFF"/>
          </w:rPr>
          <w:t>Diaz R</w:t>
        </w:r>
      </w:hyperlink>
      <w:r w:rsidRPr="00F41CA1">
        <w:rPr>
          <w:rFonts w:asciiTheme="minorHAnsi" w:hAnsiTheme="minorHAnsi" w:cstheme="minorHAnsi"/>
          <w:sz w:val="17"/>
          <w:szCs w:val="17"/>
          <w:shd w:val="clear" w:color="auto" w:fill="FFFFFF"/>
        </w:rPr>
        <w:t>, </w:t>
      </w:r>
      <w:hyperlink r:id="rId6" w:history="1">
        <w:r w:rsidRPr="00F41CA1">
          <w:rPr>
            <w:rStyle w:val="Hyperlink"/>
            <w:rFonts w:asciiTheme="minorHAnsi" w:hAnsiTheme="minorHAnsi" w:cstheme="minorHAnsi"/>
            <w:color w:val="auto"/>
            <w:sz w:val="17"/>
            <w:szCs w:val="17"/>
            <w:shd w:val="clear" w:color="auto" w:fill="FFFFFF"/>
          </w:rPr>
          <w:t>Edelberg JM</w:t>
        </w:r>
      </w:hyperlink>
      <w:r w:rsidRPr="00F41CA1">
        <w:rPr>
          <w:rFonts w:asciiTheme="minorHAnsi" w:hAnsiTheme="minorHAnsi" w:cstheme="minorHAnsi"/>
          <w:sz w:val="17"/>
          <w:szCs w:val="17"/>
          <w:shd w:val="clear" w:color="auto" w:fill="FFFFFF"/>
        </w:rPr>
        <w:t>, </w:t>
      </w:r>
      <w:hyperlink r:id="rId7" w:history="1">
        <w:r w:rsidRPr="00F41CA1">
          <w:rPr>
            <w:rStyle w:val="Hyperlink"/>
            <w:rFonts w:asciiTheme="minorHAnsi" w:hAnsiTheme="minorHAnsi" w:cstheme="minorHAnsi"/>
            <w:color w:val="auto"/>
            <w:sz w:val="17"/>
            <w:szCs w:val="17"/>
            <w:shd w:val="clear" w:color="auto" w:fill="FFFFFF"/>
          </w:rPr>
          <w:t>Goodman SG</w:t>
        </w:r>
      </w:hyperlink>
      <w:r w:rsidRPr="00F41CA1">
        <w:rPr>
          <w:rFonts w:asciiTheme="minorHAnsi" w:hAnsiTheme="minorHAnsi" w:cstheme="minorHAnsi"/>
          <w:sz w:val="17"/>
          <w:szCs w:val="17"/>
          <w:shd w:val="clear" w:color="auto" w:fill="FFFFFF"/>
        </w:rPr>
        <w:t>, </w:t>
      </w:r>
      <w:hyperlink r:id="rId8" w:history="1">
        <w:r w:rsidRPr="00F41CA1">
          <w:rPr>
            <w:rStyle w:val="Hyperlink"/>
            <w:rFonts w:asciiTheme="minorHAnsi" w:hAnsiTheme="minorHAnsi" w:cstheme="minorHAnsi"/>
            <w:color w:val="auto"/>
            <w:sz w:val="17"/>
            <w:szCs w:val="17"/>
            <w:shd w:val="clear" w:color="auto" w:fill="FFFFFF"/>
          </w:rPr>
          <w:t>Hanotin C</w:t>
        </w:r>
      </w:hyperlink>
      <w:r w:rsidRPr="00F41CA1">
        <w:rPr>
          <w:rFonts w:asciiTheme="minorHAnsi" w:hAnsiTheme="minorHAnsi" w:cstheme="minorHAnsi"/>
          <w:sz w:val="17"/>
          <w:szCs w:val="17"/>
          <w:shd w:val="clear" w:color="auto" w:fill="FFFFFF"/>
        </w:rPr>
        <w:t>, </w:t>
      </w:r>
      <w:r w:rsidRPr="00D47179">
        <w:rPr>
          <w:rFonts w:asciiTheme="minorHAnsi" w:hAnsiTheme="minorHAnsi" w:cstheme="minorHAnsi"/>
          <w:sz w:val="17"/>
          <w:szCs w:val="17"/>
          <w:shd w:val="clear" w:color="auto" w:fill="FFFFFF"/>
        </w:rPr>
        <w:t>Harrington RA</w:t>
      </w:r>
      <w:r w:rsidRPr="00F41CA1">
        <w:rPr>
          <w:rFonts w:asciiTheme="minorHAnsi" w:hAnsiTheme="minorHAnsi" w:cstheme="minorHAnsi"/>
          <w:sz w:val="17"/>
          <w:szCs w:val="17"/>
          <w:shd w:val="clear" w:color="auto" w:fill="FFFFFF"/>
        </w:rPr>
        <w:t>, </w:t>
      </w:r>
      <w:hyperlink r:id="rId9" w:history="1">
        <w:r w:rsidRPr="00F41CA1">
          <w:rPr>
            <w:rStyle w:val="Hyperlink"/>
            <w:rFonts w:asciiTheme="minorHAnsi" w:hAnsiTheme="minorHAnsi" w:cstheme="minorHAnsi"/>
            <w:color w:val="auto"/>
            <w:sz w:val="17"/>
            <w:szCs w:val="17"/>
            <w:shd w:val="clear" w:color="auto" w:fill="FFFFFF"/>
          </w:rPr>
          <w:t>Jukema JW</w:t>
        </w:r>
      </w:hyperlink>
      <w:r w:rsidRPr="00F41CA1">
        <w:rPr>
          <w:rFonts w:asciiTheme="minorHAnsi" w:hAnsiTheme="minorHAnsi" w:cstheme="minorHAnsi"/>
          <w:sz w:val="17"/>
          <w:szCs w:val="17"/>
          <w:shd w:val="clear" w:color="auto" w:fill="FFFFFF"/>
        </w:rPr>
        <w:t>, </w:t>
      </w:r>
      <w:hyperlink r:id="rId10" w:history="1">
        <w:r w:rsidRPr="00F41CA1">
          <w:rPr>
            <w:rStyle w:val="Hyperlink"/>
            <w:rFonts w:asciiTheme="minorHAnsi" w:hAnsiTheme="minorHAnsi" w:cstheme="minorHAnsi"/>
            <w:color w:val="auto"/>
            <w:sz w:val="17"/>
            <w:szCs w:val="17"/>
            <w:shd w:val="clear" w:color="auto" w:fill="FFFFFF"/>
          </w:rPr>
          <w:t>Kimura T</w:t>
        </w:r>
      </w:hyperlink>
      <w:r w:rsidRPr="00F41CA1">
        <w:rPr>
          <w:rFonts w:asciiTheme="minorHAnsi" w:hAnsiTheme="minorHAnsi" w:cstheme="minorHAnsi"/>
          <w:sz w:val="17"/>
          <w:szCs w:val="17"/>
          <w:shd w:val="clear" w:color="auto" w:fill="FFFFFF"/>
        </w:rPr>
        <w:t>, </w:t>
      </w:r>
      <w:hyperlink r:id="rId11" w:history="1">
        <w:r w:rsidRPr="00F41CA1">
          <w:rPr>
            <w:rStyle w:val="Hyperlink"/>
            <w:rFonts w:asciiTheme="minorHAnsi" w:hAnsiTheme="minorHAnsi" w:cstheme="minorHAnsi"/>
            <w:color w:val="auto"/>
            <w:sz w:val="17"/>
            <w:szCs w:val="17"/>
            <w:shd w:val="clear" w:color="auto" w:fill="FFFFFF"/>
          </w:rPr>
          <w:t>Kiss RG</w:t>
        </w:r>
      </w:hyperlink>
      <w:r w:rsidRPr="00F41CA1">
        <w:rPr>
          <w:rFonts w:asciiTheme="minorHAnsi" w:hAnsiTheme="minorHAnsi" w:cstheme="minorHAnsi"/>
          <w:sz w:val="17"/>
          <w:szCs w:val="17"/>
          <w:shd w:val="clear" w:color="auto" w:fill="FFFFFF"/>
          <w:vertAlign w:val="superscript"/>
        </w:rPr>
        <w:t>,</w:t>
      </w:r>
      <w:r w:rsidRPr="00F41CA1">
        <w:rPr>
          <w:rFonts w:asciiTheme="minorHAnsi" w:hAnsiTheme="minorHAnsi" w:cstheme="minorHAnsi"/>
          <w:sz w:val="17"/>
          <w:szCs w:val="17"/>
          <w:shd w:val="clear" w:color="auto" w:fill="FFFFFF"/>
        </w:rPr>
        <w:t> </w:t>
      </w:r>
      <w:hyperlink r:id="rId12" w:history="1">
        <w:r w:rsidRPr="00F41CA1">
          <w:rPr>
            <w:rStyle w:val="Hyperlink"/>
            <w:rFonts w:asciiTheme="minorHAnsi" w:hAnsiTheme="minorHAnsi" w:cstheme="minorHAnsi"/>
            <w:color w:val="auto"/>
            <w:sz w:val="17"/>
            <w:szCs w:val="17"/>
            <w:shd w:val="clear" w:color="auto" w:fill="FFFFFF"/>
          </w:rPr>
          <w:t>Lecorps G</w:t>
        </w:r>
      </w:hyperlink>
      <w:r w:rsidRPr="00F41CA1">
        <w:rPr>
          <w:rFonts w:asciiTheme="minorHAnsi" w:hAnsiTheme="minorHAnsi" w:cstheme="minorHAnsi"/>
          <w:sz w:val="17"/>
          <w:szCs w:val="17"/>
          <w:shd w:val="clear" w:color="auto" w:fill="FFFFFF"/>
        </w:rPr>
        <w:t>, </w:t>
      </w:r>
      <w:hyperlink r:id="rId13" w:history="1">
        <w:r w:rsidRPr="00F41CA1">
          <w:rPr>
            <w:rStyle w:val="Hyperlink"/>
            <w:rFonts w:asciiTheme="minorHAnsi" w:hAnsiTheme="minorHAnsi" w:cstheme="minorHAnsi"/>
            <w:color w:val="auto"/>
            <w:sz w:val="17"/>
            <w:szCs w:val="17"/>
            <w:shd w:val="clear" w:color="auto" w:fill="FFFFFF"/>
          </w:rPr>
          <w:t>Mahaffey KW</w:t>
        </w:r>
      </w:hyperlink>
      <w:r w:rsidRPr="00F41CA1">
        <w:rPr>
          <w:rFonts w:asciiTheme="minorHAnsi" w:hAnsiTheme="minorHAnsi" w:cstheme="minorHAnsi"/>
          <w:sz w:val="17"/>
          <w:szCs w:val="17"/>
          <w:shd w:val="clear" w:color="auto" w:fill="FFFFFF"/>
        </w:rPr>
        <w:t>, </w:t>
      </w:r>
      <w:hyperlink r:id="rId14" w:history="1">
        <w:r w:rsidRPr="00F41CA1">
          <w:rPr>
            <w:rStyle w:val="Hyperlink"/>
            <w:rFonts w:asciiTheme="minorHAnsi" w:hAnsiTheme="minorHAnsi" w:cstheme="minorHAnsi"/>
            <w:color w:val="auto"/>
            <w:sz w:val="17"/>
            <w:szCs w:val="17"/>
            <w:shd w:val="clear" w:color="auto" w:fill="FFFFFF"/>
          </w:rPr>
          <w:t>Moryusef A</w:t>
        </w:r>
      </w:hyperlink>
      <w:r w:rsidRPr="00F41CA1">
        <w:rPr>
          <w:rFonts w:asciiTheme="minorHAnsi" w:hAnsiTheme="minorHAnsi" w:cstheme="minorHAnsi"/>
          <w:sz w:val="17"/>
          <w:szCs w:val="17"/>
          <w:shd w:val="clear" w:color="auto" w:fill="FFFFFF"/>
        </w:rPr>
        <w:t>, </w:t>
      </w:r>
      <w:hyperlink r:id="rId15" w:history="1">
        <w:r w:rsidRPr="00F41CA1">
          <w:rPr>
            <w:rStyle w:val="Hyperlink"/>
            <w:rFonts w:asciiTheme="minorHAnsi" w:hAnsiTheme="minorHAnsi" w:cstheme="minorHAnsi"/>
            <w:color w:val="auto"/>
            <w:sz w:val="17"/>
            <w:szCs w:val="17"/>
            <w:shd w:val="clear" w:color="auto" w:fill="FFFFFF"/>
          </w:rPr>
          <w:t>Pordy R</w:t>
        </w:r>
      </w:hyperlink>
      <w:r w:rsidRPr="00F41CA1">
        <w:rPr>
          <w:rFonts w:asciiTheme="minorHAnsi" w:hAnsiTheme="minorHAnsi" w:cstheme="minorHAnsi"/>
          <w:sz w:val="17"/>
          <w:szCs w:val="17"/>
          <w:shd w:val="clear" w:color="auto" w:fill="FFFFFF"/>
        </w:rPr>
        <w:t>, </w:t>
      </w:r>
      <w:hyperlink r:id="rId16" w:history="1">
        <w:r w:rsidRPr="00F41CA1">
          <w:rPr>
            <w:rStyle w:val="Hyperlink"/>
            <w:rFonts w:asciiTheme="minorHAnsi" w:hAnsiTheme="minorHAnsi" w:cstheme="minorHAnsi"/>
            <w:color w:val="auto"/>
            <w:sz w:val="17"/>
            <w:szCs w:val="17"/>
            <w:shd w:val="clear" w:color="auto" w:fill="FFFFFF"/>
          </w:rPr>
          <w:t>Roe MT</w:t>
        </w:r>
      </w:hyperlink>
      <w:r w:rsidRPr="00F41CA1">
        <w:rPr>
          <w:rFonts w:asciiTheme="minorHAnsi" w:hAnsiTheme="minorHAnsi" w:cstheme="minorHAnsi"/>
          <w:sz w:val="17"/>
          <w:szCs w:val="17"/>
          <w:shd w:val="clear" w:color="auto" w:fill="FFFFFF"/>
        </w:rPr>
        <w:t>, </w:t>
      </w:r>
      <w:hyperlink r:id="rId17" w:history="1">
        <w:r w:rsidRPr="00F41CA1">
          <w:rPr>
            <w:rStyle w:val="Hyperlink"/>
            <w:rFonts w:asciiTheme="minorHAnsi" w:hAnsiTheme="minorHAnsi" w:cstheme="minorHAnsi"/>
            <w:color w:val="auto"/>
            <w:sz w:val="17"/>
            <w:szCs w:val="17"/>
            <w:shd w:val="clear" w:color="auto" w:fill="FFFFFF"/>
          </w:rPr>
          <w:t>Tricoci P</w:t>
        </w:r>
      </w:hyperlink>
      <w:r w:rsidRPr="00F41CA1">
        <w:rPr>
          <w:rFonts w:asciiTheme="minorHAnsi" w:hAnsiTheme="minorHAnsi" w:cstheme="minorHAnsi"/>
          <w:sz w:val="17"/>
          <w:szCs w:val="17"/>
          <w:shd w:val="clear" w:color="auto" w:fill="FFFFFF"/>
        </w:rPr>
        <w:t>, </w:t>
      </w:r>
      <w:hyperlink r:id="rId18" w:history="1">
        <w:r w:rsidRPr="00F41CA1">
          <w:rPr>
            <w:rStyle w:val="Hyperlink"/>
            <w:rFonts w:asciiTheme="minorHAnsi" w:hAnsiTheme="minorHAnsi" w:cstheme="minorHAnsi"/>
            <w:color w:val="auto"/>
            <w:sz w:val="17"/>
            <w:szCs w:val="17"/>
            <w:shd w:val="clear" w:color="auto" w:fill="FFFFFF"/>
          </w:rPr>
          <w:t>Xavier D</w:t>
        </w:r>
      </w:hyperlink>
      <w:r w:rsidRPr="00F41CA1">
        <w:rPr>
          <w:rFonts w:asciiTheme="minorHAnsi" w:hAnsiTheme="minorHAnsi" w:cstheme="minorHAnsi"/>
          <w:sz w:val="17"/>
          <w:szCs w:val="17"/>
          <w:shd w:val="clear" w:color="auto" w:fill="FFFFFF"/>
        </w:rPr>
        <w:t>, </w:t>
      </w:r>
      <w:hyperlink r:id="rId19" w:history="1">
        <w:r w:rsidRPr="00F41CA1">
          <w:rPr>
            <w:rStyle w:val="Hyperlink"/>
            <w:rFonts w:asciiTheme="minorHAnsi" w:hAnsiTheme="minorHAnsi" w:cstheme="minorHAnsi"/>
            <w:color w:val="auto"/>
            <w:sz w:val="17"/>
            <w:szCs w:val="17"/>
            <w:shd w:val="clear" w:color="auto" w:fill="FFFFFF"/>
          </w:rPr>
          <w:t>Zeiher AM</w:t>
        </w:r>
      </w:hyperlink>
      <w:r w:rsidRPr="00F41CA1">
        <w:rPr>
          <w:rFonts w:asciiTheme="minorHAnsi" w:hAnsiTheme="minorHAnsi" w:cstheme="minorHAnsi"/>
          <w:sz w:val="17"/>
          <w:szCs w:val="17"/>
          <w:shd w:val="clear" w:color="auto" w:fill="FFFFFF"/>
        </w:rPr>
        <w:t>, </w:t>
      </w:r>
      <w:r w:rsidRPr="00D47179">
        <w:rPr>
          <w:rFonts w:asciiTheme="minorHAnsi" w:hAnsiTheme="minorHAnsi" w:cstheme="minorHAnsi"/>
          <w:sz w:val="17"/>
          <w:szCs w:val="17"/>
          <w:shd w:val="clear" w:color="auto" w:fill="FFFFFF"/>
        </w:rPr>
        <w:t>Steg PG</w:t>
      </w:r>
      <w:r w:rsidRPr="00F41CA1">
        <w:rPr>
          <w:rFonts w:asciiTheme="minorHAnsi" w:hAnsiTheme="minorHAnsi" w:cstheme="minorHAnsi"/>
          <w:sz w:val="17"/>
          <w:szCs w:val="17"/>
          <w:shd w:val="clear" w:color="auto" w:fill="FFFFFF"/>
        </w:rPr>
        <w:t>. (2019) ‘</w:t>
      </w:r>
      <w:r w:rsidRPr="00F41CA1">
        <w:rPr>
          <w:rFonts w:asciiTheme="minorHAnsi" w:hAnsiTheme="minorHAnsi" w:cstheme="minorHAnsi"/>
          <w:bCs/>
          <w:sz w:val="17"/>
          <w:szCs w:val="17"/>
          <w:shd w:val="clear" w:color="auto" w:fill="FFFFFF"/>
        </w:rPr>
        <w:t xml:space="preserve">Alirocumab Reduces Total Nonfatal Cardiovascular and Fatal Events: The ODYSSEY OUTCOMES Trial’. </w:t>
      </w:r>
      <w:r w:rsidRPr="00D47179">
        <w:rPr>
          <w:rFonts w:asciiTheme="minorHAnsi" w:hAnsiTheme="minorHAnsi" w:cstheme="minorHAnsi"/>
          <w:i/>
          <w:sz w:val="17"/>
          <w:szCs w:val="17"/>
          <w:shd w:val="clear" w:color="auto" w:fill="FFFFFF"/>
        </w:rPr>
        <w:t>Journal of the American College of Cardiology</w:t>
      </w:r>
      <w:r w:rsidRPr="00D47179">
        <w:rPr>
          <w:rFonts w:asciiTheme="minorHAnsi" w:hAnsiTheme="minorHAnsi" w:cstheme="minorHAnsi"/>
          <w:sz w:val="17"/>
          <w:szCs w:val="17"/>
          <w:shd w:val="clear" w:color="auto" w:fill="FFFFFF"/>
        </w:rPr>
        <w:t>.</w:t>
      </w:r>
      <w:r w:rsidRPr="00F41CA1">
        <w:rPr>
          <w:rFonts w:asciiTheme="minorHAnsi" w:hAnsiTheme="minorHAnsi" w:cstheme="minorHAnsi"/>
          <w:sz w:val="17"/>
          <w:szCs w:val="17"/>
          <w:shd w:val="clear" w:color="auto" w:fill="FFFFFF"/>
        </w:rPr>
        <w:t> 73(4):387-396.</w:t>
      </w:r>
      <w:r w:rsidRPr="00F41CA1">
        <w:rPr>
          <w:rFonts w:ascii="Arial" w:hAnsi="Arial"/>
          <w:sz w:val="17"/>
          <w:szCs w:val="17"/>
          <w:shd w:val="clear" w:color="auto" w:fill="FFFFFF"/>
        </w:rPr>
        <w:t xml:space="preserve"> </w:t>
      </w:r>
    </w:p>
    <w:p w:rsidR="00AF2D5F" w:rsidRDefault="00AF2D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5F" w:rsidRDefault="00AF2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5F" w:rsidRPr="009271FB" w:rsidRDefault="00AF2D5F" w:rsidP="009271FB">
    <w:pPr>
      <w:widowControl/>
      <w:tabs>
        <w:tab w:val="center" w:pos="4513"/>
        <w:tab w:val="right" w:pos="9026"/>
      </w:tabs>
      <w:jc w:val="center"/>
      <w:rPr>
        <w:rFonts w:asciiTheme="minorHAnsi" w:eastAsiaTheme="minorHAnsi" w:hAnsiTheme="minorHAnsi" w:cstheme="minorHAnsi"/>
        <w:i/>
        <w:snapToGrid/>
        <w:color w:val="808080"/>
      </w:rPr>
    </w:pPr>
    <w:r w:rsidRPr="009271FB">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9271FB">
      <w:rPr>
        <w:rFonts w:asciiTheme="minorHAnsi" w:eastAsiaTheme="minorHAnsi" w:hAnsiTheme="minorHAnsi" w:cstheme="minorHAnsi"/>
        <w:i/>
        <w:snapToGrid/>
        <w:color w:val="808080"/>
      </w:rPr>
      <w:t xml:space="preserve"> PBAC Meeting</w:t>
    </w:r>
  </w:p>
  <w:p w:rsidR="00AF2D5F" w:rsidRDefault="00AF2D5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D5F" w:rsidRDefault="00AF2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7E05BB"/>
    <w:multiLevelType w:val="hybridMultilevel"/>
    <w:tmpl w:val="8D847D46"/>
    <w:lvl w:ilvl="0" w:tplc="B5C82BFA">
      <w:start w:val="2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271A86"/>
    <w:multiLevelType w:val="hybridMultilevel"/>
    <w:tmpl w:val="26945B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7D337F"/>
    <w:multiLevelType w:val="hybridMultilevel"/>
    <w:tmpl w:val="5E845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9B703B"/>
    <w:multiLevelType w:val="hybridMultilevel"/>
    <w:tmpl w:val="9EF49E0A"/>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7" w15:restartNumberingAfterBreak="0">
    <w:nsid w:val="298F0D94"/>
    <w:multiLevelType w:val="hybridMultilevel"/>
    <w:tmpl w:val="3FBA1668"/>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B27233A"/>
    <w:multiLevelType w:val="hybridMultilevel"/>
    <w:tmpl w:val="F9281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6E5F2F"/>
    <w:multiLevelType w:val="hybridMultilevel"/>
    <w:tmpl w:val="30E2D0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37C676C"/>
    <w:multiLevelType w:val="hybridMultilevel"/>
    <w:tmpl w:val="09545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3F09CD"/>
    <w:multiLevelType w:val="hybridMultilevel"/>
    <w:tmpl w:val="797AE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7C34E2"/>
    <w:multiLevelType w:val="hybridMultilevel"/>
    <w:tmpl w:val="29760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F4819"/>
    <w:multiLevelType w:val="hybridMultilevel"/>
    <w:tmpl w:val="472CF7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8029C"/>
    <w:multiLevelType w:val="hybridMultilevel"/>
    <w:tmpl w:val="AF722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803DB8"/>
    <w:multiLevelType w:val="hybridMultilevel"/>
    <w:tmpl w:val="169840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B7D699A"/>
    <w:multiLevelType w:val="hybridMultilevel"/>
    <w:tmpl w:val="3646AE36"/>
    <w:lvl w:ilvl="0" w:tplc="C82CF018">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CF25C2"/>
    <w:multiLevelType w:val="hybridMultilevel"/>
    <w:tmpl w:val="911412D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784D033C"/>
    <w:multiLevelType w:val="multilevel"/>
    <w:tmpl w:val="A5F07A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2D1089"/>
    <w:multiLevelType w:val="hybridMultilevel"/>
    <w:tmpl w:val="960CF1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0"/>
  </w:num>
  <w:num w:numId="2">
    <w:abstractNumId w:val="13"/>
  </w:num>
  <w:num w:numId="3">
    <w:abstractNumId w:val="10"/>
  </w:num>
  <w:num w:numId="4">
    <w:abstractNumId w:val="4"/>
  </w:num>
  <w:num w:numId="5">
    <w:abstractNumId w:val="1"/>
  </w:num>
  <w:num w:numId="6">
    <w:abstractNumId w:val="3"/>
  </w:num>
  <w:num w:numId="7">
    <w:abstractNumId w:val="21"/>
  </w:num>
  <w:num w:numId="8">
    <w:abstractNumId w:val="8"/>
  </w:num>
  <w:num w:numId="9">
    <w:abstractNumId w:val="14"/>
  </w:num>
  <w:num w:numId="10">
    <w:abstractNumId w:val="9"/>
  </w:num>
  <w:num w:numId="11">
    <w:abstractNumId w:val="7"/>
  </w:num>
  <w:num w:numId="12">
    <w:abstractNumId w:val="19"/>
  </w:num>
  <w:num w:numId="13">
    <w:abstractNumId w:val="15"/>
  </w:num>
  <w:num w:numId="14">
    <w:abstractNumId w:val="2"/>
  </w:num>
  <w:num w:numId="15">
    <w:abstractNumId w:val="0"/>
  </w:num>
  <w:num w:numId="16">
    <w:abstractNumId w:val="5"/>
  </w:num>
  <w:num w:numId="17">
    <w:abstractNumId w:val="18"/>
  </w:num>
  <w:num w:numId="18">
    <w:abstractNumId w:val="17"/>
  </w:num>
  <w:num w:numId="19">
    <w:abstractNumId w:val="11"/>
  </w:num>
  <w:num w:numId="20">
    <w:abstractNumId w:val="16"/>
  </w:num>
  <w:num w:numId="21">
    <w:abstractNumId w:val="6"/>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07"/>
    <w:rsid w:val="000039B7"/>
    <w:rsid w:val="00004034"/>
    <w:rsid w:val="000041DF"/>
    <w:rsid w:val="00005E54"/>
    <w:rsid w:val="0000675C"/>
    <w:rsid w:val="00006948"/>
    <w:rsid w:val="00012285"/>
    <w:rsid w:val="00013005"/>
    <w:rsid w:val="00013247"/>
    <w:rsid w:val="00014FC6"/>
    <w:rsid w:val="00015886"/>
    <w:rsid w:val="000162EF"/>
    <w:rsid w:val="00016C4D"/>
    <w:rsid w:val="0002225F"/>
    <w:rsid w:val="000229FA"/>
    <w:rsid w:val="00023098"/>
    <w:rsid w:val="0002364E"/>
    <w:rsid w:val="00023763"/>
    <w:rsid w:val="000237B8"/>
    <w:rsid w:val="000254A7"/>
    <w:rsid w:val="0002767F"/>
    <w:rsid w:val="000303E8"/>
    <w:rsid w:val="000333F2"/>
    <w:rsid w:val="00033863"/>
    <w:rsid w:val="000353A2"/>
    <w:rsid w:val="00035DC0"/>
    <w:rsid w:val="000364D7"/>
    <w:rsid w:val="00036829"/>
    <w:rsid w:val="00040774"/>
    <w:rsid w:val="00040895"/>
    <w:rsid w:val="00041924"/>
    <w:rsid w:val="00041BD8"/>
    <w:rsid w:val="00043908"/>
    <w:rsid w:val="00043C37"/>
    <w:rsid w:val="00044832"/>
    <w:rsid w:val="00045017"/>
    <w:rsid w:val="00045A2B"/>
    <w:rsid w:val="000464B7"/>
    <w:rsid w:val="0004698F"/>
    <w:rsid w:val="000507B6"/>
    <w:rsid w:val="00050898"/>
    <w:rsid w:val="0005293A"/>
    <w:rsid w:val="000539D0"/>
    <w:rsid w:val="00054621"/>
    <w:rsid w:val="000546D7"/>
    <w:rsid w:val="0005536D"/>
    <w:rsid w:val="00062E88"/>
    <w:rsid w:val="00066266"/>
    <w:rsid w:val="00066360"/>
    <w:rsid w:val="00071248"/>
    <w:rsid w:val="00071FB4"/>
    <w:rsid w:val="000720B9"/>
    <w:rsid w:val="0007222B"/>
    <w:rsid w:val="00072403"/>
    <w:rsid w:val="0007257E"/>
    <w:rsid w:val="00072904"/>
    <w:rsid w:val="00073340"/>
    <w:rsid w:val="000737F7"/>
    <w:rsid w:val="00073AE9"/>
    <w:rsid w:val="00073D51"/>
    <w:rsid w:val="000765FE"/>
    <w:rsid w:val="0007672F"/>
    <w:rsid w:val="000771F9"/>
    <w:rsid w:val="000774F0"/>
    <w:rsid w:val="00080909"/>
    <w:rsid w:val="000812CA"/>
    <w:rsid w:val="0008258D"/>
    <w:rsid w:val="00083E99"/>
    <w:rsid w:val="000848BC"/>
    <w:rsid w:val="00084902"/>
    <w:rsid w:val="000856C5"/>
    <w:rsid w:val="00085912"/>
    <w:rsid w:val="0008793E"/>
    <w:rsid w:val="00090601"/>
    <w:rsid w:val="00090C7E"/>
    <w:rsid w:val="00092600"/>
    <w:rsid w:val="0009262B"/>
    <w:rsid w:val="00093310"/>
    <w:rsid w:val="0009445C"/>
    <w:rsid w:val="00095421"/>
    <w:rsid w:val="000954EE"/>
    <w:rsid w:val="00095938"/>
    <w:rsid w:val="00095FE5"/>
    <w:rsid w:val="00096209"/>
    <w:rsid w:val="00096284"/>
    <w:rsid w:val="00096324"/>
    <w:rsid w:val="000A24AB"/>
    <w:rsid w:val="000A27E6"/>
    <w:rsid w:val="000A32BD"/>
    <w:rsid w:val="000A3D61"/>
    <w:rsid w:val="000A4A69"/>
    <w:rsid w:val="000A5362"/>
    <w:rsid w:val="000A6A3C"/>
    <w:rsid w:val="000A7A90"/>
    <w:rsid w:val="000A7D08"/>
    <w:rsid w:val="000B04B8"/>
    <w:rsid w:val="000B0670"/>
    <w:rsid w:val="000B0E75"/>
    <w:rsid w:val="000B11A0"/>
    <w:rsid w:val="000B3565"/>
    <w:rsid w:val="000B3D7A"/>
    <w:rsid w:val="000B516E"/>
    <w:rsid w:val="000B5F53"/>
    <w:rsid w:val="000B5F8D"/>
    <w:rsid w:val="000B6CAC"/>
    <w:rsid w:val="000B6DBE"/>
    <w:rsid w:val="000B7612"/>
    <w:rsid w:val="000C0775"/>
    <w:rsid w:val="000C14D6"/>
    <w:rsid w:val="000C1623"/>
    <w:rsid w:val="000C3DF9"/>
    <w:rsid w:val="000C5142"/>
    <w:rsid w:val="000C5F23"/>
    <w:rsid w:val="000C6051"/>
    <w:rsid w:val="000C6713"/>
    <w:rsid w:val="000C6976"/>
    <w:rsid w:val="000C7D3C"/>
    <w:rsid w:val="000D1BFC"/>
    <w:rsid w:val="000D281A"/>
    <w:rsid w:val="000D326A"/>
    <w:rsid w:val="000D4BF8"/>
    <w:rsid w:val="000D51FB"/>
    <w:rsid w:val="000D6949"/>
    <w:rsid w:val="000E135D"/>
    <w:rsid w:val="000E14D4"/>
    <w:rsid w:val="000E1A6E"/>
    <w:rsid w:val="000E3453"/>
    <w:rsid w:val="000E37F6"/>
    <w:rsid w:val="000E4039"/>
    <w:rsid w:val="000E477D"/>
    <w:rsid w:val="000E4C38"/>
    <w:rsid w:val="000E5B8E"/>
    <w:rsid w:val="000E6663"/>
    <w:rsid w:val="000E6C59"/>
    <w:rsid w:val="000F00BA"/>
    <w:rsid w:val="000F1547"/>
    <w:rsid w:val="000F1736"/>
    <w:rsid w:val="000F316A"/>
    <w:rsid w:val="000F3C74"/>
    <w:rsid w:val="000F4BB8"/>
    <w:rsid w:val="000F5588"/>
    <w:rsid w:val="000F7127"/>
    <w:rsid w:val="000F7912"/>
    <w:rsid w:val="001002A6"/>
    <w:rsid w:val="00100F8A"/>
    <w:rsid w:val="001013F7"/>
    <w:rsid w:val="00105368"/>
    <w:rsid w:val="00105AE2"/>
    <w:rsid w:val="00106B80"/>
    <w:rsid w:val="00106FEB"/>
    <w:rsid w:val="001070D7"/>
    <w:rsid w:val="0010751A"/>
    <w:rsid w:val="001078CC"/>
    <w:rsid w:val="00107C00"/>
    <w:rsid w:val="00110317"/>
    <w:rsid w:val="0011031A"/>
    <w:rsid w:val="0011032E"/>
    <w:rsid w:val="00111EA2"/>
    <w:rsid w:val="00112A7D"/>
    <w:rsid w:val="00113058"/>
    <w:rsid w:val="0011348B"/>
    <w:rsid w:val="00113CB9"/>
    <w:rsid w:val="001147FF"/>
    <w:rsid w:val="00115163"/>
    <w:rsid w:val="00115982"/>
    <w:rsid w:val="00115B04"/>
    <w:rsid w:val="00116C53"/>
    <w:rsid w:val="0011745E"/>
    <w:rsid w:val="00117810"/>
    <w:rsid w:val="00117930"/>
    <w:rsid w:val="001179BA"/>
    <w:rsid w:val="00121654"/>
    <w:rsid w:val="00121799"/>
    <w:rsid w:val="001222FC"/>
    <w:rsid w:val="001223F5"/>
    <w:rsid w:val="00122EC4"/>
    <w:rsid w:val="00124A51"/>
    <w:rsid w:val="00125082"/>
    <w:rsid w:val="00125978"/>
    <w:rsid w:val="00126621"/>
    <w:rsid w:val="00126A64"/>
    <w:rsid w:val="001300AF"/>
    <w:rsid w:val="001301E9"/>
    <w:rsid w:val="00130A4B"/>
    <w:rsid w:val="00130CBA"/>
    <w:rsid w:val="00131D82"/>
    <w:rsid w:val="00132ED6"/>
    <w:rsid w:val="00133D36"/>
    <w:rsid w:val="00134E82"/>
    <w:rsid w:val="00137645"/>
    <w:rsid w:val="0014015A"/>
    <w:rsid w:val="00140917"/>
    <w:rsid w:val="001409D9"/>
    <w:rsid w:val="00140E99"/>
    <w:rsid w:val="00143EE6"/>
    <w:rsid w:val="00145071"/>
    <w:rsid w:val="00145540"/>
    <w:rsid w:val="001456B0"/>
    <w:rsid w:val="00150230"/>
    <w:rsid w:val="001517DA"/>
    <w:rsid w:val="0015284B"/>
    <w:rsid w:val="00152D40"/>
    <w:rsid w:val="00153698"/>
    <w:rsid w:val="00153B45"/>
    <w:rsid w:val="00153E22"/>
    <w:rsid w:val="00157130"/>
    <w:rsid w:val="0015768E"/>
    <w:rsid w:val="001576B1"/>
    <w:rsid w:val="00157D88"/>
    <w:rsid w:val="001608D2"/>
    <w:rsid w:val="00160A4C"/>
    <w:rsid w:val="00161D87"/>
    <w:rsid w:val="00162913"/>
    <w:rsid w:val="00163EFF"/>
    <w:rsid w:val="00164E74"/>
    <w:rsid w:val="001661FB"/>
    <w:rsid w:val="00166A66"/>
    <w:rsid w:val="00166CF0"/>
    <w:rsid w:val="00167790"/>
    <w:rsid w:val="001679B3"/>
    <w:rsid w:val="00167BCC"/>
    <w:rsid w:val="00167D44"/>
    <w:rsid w:val="00167EA8"/>
    <w:rsid w:val="00173565"/>
    <w:rsid w:val="00173B07"/>
    <w:rsid w:val="00174D5E"/>
    <w:rsid w:val="00174E3F"/>
    <w:rsid w:val="001752C8"/>
    <w:rsid w:val="0017645E"/>
    <w:rsid w:val="00176F27"/>
    <w:rsid w:val="001815BD"/>
    <w:rsid w:val="00181D9C"/>
    <w:rsid w:val="00183FA4"/>
    <w:rsid w:val="00184622"/>
    <w:rsid w:val="00184E08"/>
    <w:rsid w:val="00184F96"/>
    <w:rsid w:val="00186F7C"/>
    <w:rsid w:val="0018752F"/>
    <w:rsid w:val="00190293"/>
    <w:rsid w:val="00191B46"/>
    <w:rsid w:val="00192ABB"/>
    <w:rsid w:val="00193C07"/>
    <w:rsid w:val="0019417B"/>
    <w:rsid w:val="001944E1"/>
    <w:rsid w:val="00195222"/>
    <w:rsid w:val="001959FB"/>
    <w:rsid w:val="00195CA2"/>
    <w:rsid w:val="00195D35"/>
    <w:rsid w:val="001975D8"/>
    <w:rsid w:val="001A0709"/>
    <w:rsid w:val="001A1116"/>
    <w:rsid w:val="001A2D7B"/>
    <w:rsid w:val="001A347B"/>
    <w:rsid w:val="001A3DA4"/>
    <w:rsid w:val="001A3E8A"/>
    <w:rsid w:val="001A43FA"/>
    <w:rsid w:val="001A59FB"/>
    <w:rsid w:val="001A6332"/>
    <w:rsid w:val="001A6354"/>
    <w:rsid w:val="001A7AE8"/>
    <w:rsid w:val="001A7DDD"/>
    <w:rsid w:val="001B024F"/>
    <w:rsid w:val="001B204E"/>
    <w:rsid w:val="001B3443"/>
    <w:rsid w:val="001B35A2"/>
    <w:rsid w:val="001B43D4"/>
    <w:rsid w:val="001B473E"/>
    <w:rsid w:val="001B4D20"/>
    <w:rsid w:val="001B4E9A"/>
    <w:rsid w:val="001B5677"/>
    <w:rsid w:val="001B5D7B"/>
    <w:rsid w:val="001B6EE4"/>
    <w:rsid w:val="001B7C0F"/>
    <w:rsid w:val="001C054D"/>
    <w:rsid w:val="001C09A8"/>
    <w:rsid w:val="001C2A9B"/>
    <w:rsid w:val="001C4299"/>
    <w:rsid w:val="001C5596"/>
    <w:rsid w:val="001C559F"/>
    <w:rsid w:val="001C5F94"/>
    <w:rsid w:val="001C6E66"/>
    <w:rsid w:val="001C709A"/>
    <w:rsid w:val="001D05CC"/>
    <w:rsid w:val="001D1646"/>
    <w:rsid w:val="001D173A"/>
    <w:rsid w:val="001E091C"/>
    <w:rsid w:val="001E12B6"/>
    <w:rsid w:val="001E2301"/>
    <w:rsid w:val="001E238E"/>
    <w:rsid w:val="001E2483"/>
    <w:rsid w:val="001E2569"/>
    <w:rsid w:val="001E2B1E"/>
    <w:rsid w:val="001E30D4"/>
    <w:rsid w:val="001E333E"/>
    <w:rsid w:val="001E405F"/>
    <w:rsid w:val="001E5249"/>
    <w:rsid w:val="001E52EB"/>
    <w:rsid w:val="001E59C4"/>
    <w:rsid w:val="001E61D2"/>
    <w:rsid w:val="001E63AC"/>
    <w:rsid w:val="001E740C"/>
    <w:rsid w:val="001F1235"/>
    <w:rsid w:val="001F1CB3"/>
    <w:rsid w:val="001F2B68"/>
    <w:rsid w:val="001F38B5"/>
    <w:rsid w:val="001F4C6C"/>
    <w:rsid w:val="001F5A95"/>
    <w:rsid w:val="001F71BD"/>
    <w:rsid w:val="001F7361"/>
    <w:rsid w:val="001F754F"/>
    <w:rsid w:val="002011B0"/>
    <w:rsid w:val="00201979"/>
    <w:rsid w:val="00201B19"/>
    <w:rsid w:val="00202518"/>
    <w:rsid w:val="00202B3C"/>
    <w:rsid w:val="00203181"/>
    <w:rsid w:val="00203783"/>
    <w:rsid w:val="0020385F"/>
    <w:rsid w:val="00204194"/>
    <w:rsid w:val="002045E3"/>
    <w:rsid w:val="0020562E"/>
    <w:rsid w:val="0020598C"/>
    <w:rsid w:val="00205EDF"/>
    <w:rsid w:val="00206483"/>
    <w:rsid w:val="00207021"/>
    <w:rsid w:val="002071DD"/>
    <w:rsid w:val="0020732F"/>
    <w:rsid w:val="0020771A"/>
    <w:rsid w:val="00207D00"/>
    <w:rsid w:val="002105C1"/>
    <w:rsid w:val="00212CCC"/>
    <w:rsid w:val="002131C1"/>
    <w:rsid w:val="00217901"/>
    <w:rsid w:val="002220F4"/>
    <w:rsid w:val="0022264D"/>
    <w:rsid w:val="00222A4A"/>
    <w:rsid w:val="00222BFE"/>
    <w:rsid w:val="002231C4"/>
    <w:rsid w:val="00223AB0"/>
    <w:rsid w:val="00223B49"/>
    <w:rsid w:val="0022451A"/>
    <w:rsid w:val="00224DD4"/>
    <w:rsid w:val="002273DF"/>
    <w:rsid w:val="00230171"/>
    <w:rsid w:val="002309CC"/>
    <w:rsid w:val="0023209F"/>
    <w:rsid w:val="002322EB"/>
    <w:rsid w:val="00235264"/>
    <w:rsid w:val="00235D0A"/>
    <w:rsid w:val="00235DFC"/>
    <w:rsid w:val="0023629D"/>
    <w:rsid w:val="00237255"/>
    <w:rsid w:val="002405B0"/>
    <w:rsid w:val="002423E0"/>
    <w:rsid w:val="002424AF"/>
    <w:rsid w:val="002439DC"/>
    <w:rsid w:val="00244DC8"/>
    <w:rsid w:val="002458BA"/>
    <w:rsid w:val="00246160"/>
    <w:rsid w:val="0024636C"/>
    <w:rsid w:val="00246BB0"/>
    <w:rsid w:val="00247925"/>
    <w:rsid w:val="0025066D"/>
    <w:rsid w:val="002513E2"/>
    <w:rsid w:val="00253451"/>
    <w:rsid w:val="00254B3B"/>
    <w:rsid w:val="00254DCF"/>
    <w:rsid w:val="0025534B"/>
    <w:rsid w:val="00255BB7"/>
    <w:rsid w:val="00256298"/>
    <w:rsid w:val="00257541"/>
    <w:rsid w:val="00257928"/>
    <w:rsid w:val="00262797"/>
    <w:rsid w:val="00262A1A"/>
    <w:rsid w:val="00262A87"/>
    <w:rsid w:val="0026442C"/>
    <w:rsid w:val="00264720"/>
    <w:rsid w:val="00264D26"/>
    <w:rsid w:val="00265E9C"/>
    <w:rsid w:val="0026677B"/>
    <w:rsid w:val="00266A70"/>
    <w:rsid w:val="00267642"/>
    <w:rsid w:val="00267AEA"/>
    <w:rsid w:val="00267EA1"/>
    <w:rsid w:val="00267F55"/>
    <w:rsid w:val="002700E6"/>
    <w:rsid w:val="00270DC2"/>
    <w:rsid w:val="00271563"/>
    <w:rsid w:val="0027294B"/>
    <w:rsid w:val="00273104"/>
    <w:rsid w:val="00273465"/>
    <w:rsid w:val="00273593"/>
    <w:rsid w:val="00274435"/>
    <w:rsid w:val="00275C5A"/>
    <w:rsid w:val="00276D18"/>
    <w:rsid w:val="00277996"/>
    <w:rsid w:val="00280004"/>
    <w:rsid w:val="00280EBC"/>
    <w:rsid w:val="00281014"/>
    <w:rsid w:val="00281222"/>
    <w:rsid w:val="0028199E"/>
    <w:rsid w:val="0028270E"/>
    <w:rsid w:val="00283927"/>
    <w:rsid w:val="00284212"/>
    <w:rsid w:val="002846A2"/>
    <w:rsid w:val="00284FD4"/>
    <w:rsid w:val="002859D2"/>
    <w:rsid w:val="002868A3"/>
    <w:rsid w:val="0028759C"/>
    <w:rsid w:val="002926DD"/>
    <w:rsid w:val="00294619"/>
    <w:rsid w:val="00294F07"/>
    <w:rsid w:val="00295C7D"/>
    <w:rsid w:val="002963AA"/>
    <w:rsid w:val="00296D1E"/>
    <w:rsid w:val="00296E8D"/>
    <w:rsid w:val="00297D46"/>
    <w:rsid w:val="002A14AB"/>
    <w:rsid w:val="002A1AC4"/>
    <w:rsid w:val="002A1FE6"/>
    <w:rsid w:val="002A2F50"/>
    <w:rsid w:val="002A3912"/>
    <w:rsid w:val="002A3D96"/>
    <w:rsid w:val="002A536F"/>
    <w:rsid w:val="002A6A1C"/>
    <w:rsid w:val="002B09A4"/>
    <w:rsid w:val="002B1C1F"/>
    <w:rsid w:val="002B2A91"/>
    <w:rsid w:val="002B4251"/>
    <w:rsid w:val="002B432F"/>
    <w:rsid w:val="002B5050"/>
    <w:rsid w:val="002B5A28"/>
    <w:rsid w:val="002B62B3"/>
    <w:rsid w:val="002B6424"/>
    <w:rsid w:val="002B6754"/>
    <w:rsid w:val="002B6863"/>
    <w:rsid w:val="002B6CCE"/>
    <w:rsid w:val="002B7D1F"/>
    <w:rsid w:val="002C0F15"/>
    <w:rsid w:val="002C2143"/>
    <w:rsid w:val="002C2273"/>
    <w:rsid w:val="002C2510"/>
    <w:rsid w:val="002C2775"/>
    <w:rsid w:val="002C27C1"/>
    <w:rsid w:val="002C3A64"/>
    <w:rsid w:val="002C5099"/>
    <w:rsid w:val="002C5302"/>
    <w:rsid w:val="002C55A8"/>
    <w:rsid w:val="002C5889"/>
    <w:rsid w:val="002C6424"/>
    <w:rsid w:val="002C71CE"/>
    <w:rsid w:val="002D01A0"/>
    <w:rsid w:val="002D0859"/>
    <w:rsid w:val="002D14EE"/>
    <w:rsid w:val="002D5599"/>
    <w:rsid w:val="002D577C"/>
    <w:rsid w:val="002D578C"/>
    <w:rsid w:val="002D6B96"/>
    <w:rsid w:val="002D6F9F"/>
    <w:rsid w:val="002E014C"/>
    <w:rsid w:val="002E15B9"/>
    <w:rsid w:val="002E1D1F"/>
    <w:rsid w:val="002E2158"/>
    <w:rsid w:val="002E4062"/>
    <w:rsid w:val="002E6B5C"/>
    <w:rsid w:val="002E6C65"/>
    <w:rsid w:val="002E7722"/>
    <w:rsid w:val="002F0077"/>
    <w:rsid w:val="002F07BA"/>
    <w:rsid w:val="002F0C1B"/>
    <w:rsid w:val="002F0DA9"/>
    <w:rsid w:val="002F1D6E"/>
    <w:rsid w:val="002F2979"/>
    <w:rsid w:val="002F643C"/>
    <w:rsid w:val="002F71C0"/>
    <w:rsid w:val="002F7418"/>
    <w:rsid w:val="00300809"/>
    <w:rsid w:val="003009E4"/>
    <w:rsid w:val="00301017"/>
    <w:rsid w:val="0030155F"/>
    <w:rsid w:val="003027F0"/>
    <w:rsid w:val="0030295E"/>
    <w:rsid w:val="00302C8E"/>
    <w:rsid w:val="00304662"/>
    <w:rsid w:val="00304CBE"/>
    <w:rsid w:val="00304EBE"/>
    <w:rsid w:val="0030587B"/>
    <w:rsid w:val="00306D98"/>
    <w:rsid w:val="00307003"/>
    <w:rsid w:val="0030786C"/>
    <w:rsid w:val="0031027D"/>
    <w:rsid w:val="0031031A"/>
    <w:rsid w:val="0031047D"/>
    <w:rsid w:val="0031076A"/>
    <w:rsid w:val="00310981"/>
    <w:rsid w:val="00310DBF"/>
    <w:rsid w:val="00313C0F"/>
    <w:rsid w:val="00314585"/>
    <w:rsid w:val="00315498"/>
    <w:rsid w:val="00315E62"/>
    <w:rsid w:val="003218D7"/>
    <w:rsid w:val="00321F8E"/>
    <w:rsid w:val="00322107"/>
    <w:rsid w:val="00322846"/>
    <w:rsid w:val="00326DA7"/>
    <w:rsid w:val="003270E4"/>
    <w:rsid w:val="0033001E"/>
    <w:rsid w:val="00330D0F"/>
    <w:rsid w:val="00330F5C"/>
    <w:rsid w:val="00331402"/>
    <w:rsid w:val="0033171D"/>
    <w:rsid w:val="00334217"/>
    <w:rsid w:val="00334ACE"/>
    <w:rsid w:val="0033594E"/>
    <w:rsid w:val="003366C9"/>
    <w:rsid w:val="0033691B"/>
    <w:rsid w:val="003371B0"/>
    <w:rsid w:val="00340DF1"/>
    <w:rsid w:val="00341C63"/>
    <w:rsid w:val="00342315"/>
    <w:rsid w:val="0034318D"/>
    <w:rsid w:val="0034402B"/>
    <w:rsid w:val="0034775C"/>
    <w:rsid w:val="00350C78"/>
    <w:rsid w:val="003517F9"/>
    <w:rsid w:val="003536E9"/>
    <w:rsid w:val="003548C0"/>
    <w:rsid w:val="00354DE7"/>
    <w:rsid w:val="00355B27"/>
    <w:rsid w:val="0035620E"/>
    <w:rsid w:val="0035643F"/>
    <w:rsid w:val="00356788"/>
    <w:rsid w:val="00357D5E"/>
    <w:rsid w:val="00357F35"/>
    <w:rsid w:val="00357F7D"/>
    <w:rsid w:val="003621F7"/>
    <w:rsid w:val="003624C4"/>
    <w:rsid w:val="00364A8F"/>
    <w:rsid w:val="003654AC"/>
    <w:rsid w:val="00366DDB"/>
    <w:rsid w:val="0036757B"/>
    <w:rsid w:val="00367748"/>
    <w:rsid w:val="003710CF"/>
    <w:rsid w:val="00372834"/>
    <w:rsid w:val="00372FAB"/>
    <w:rsid w:val="0037358A"/>
    <w:rsid w:val="00374F9B"/>
    <w:rsid w:val="003750F6"/>
    <w:rsid w:val="003760FC"/>
    <w:rsid w:val="003822E4"/>
    <w:rsid w:val="00383001"/>
    <w:rsid w:val="0038365C"/>
    <w:rsid w:val="0038369B"/>
    <w:rsid w:val="00383B78"/>
    <w:rsid w:val="00383C3E"/>
    <w:rsid w:val="00384EFC"/>
    <w:rsid w:val="00385319"/>
    <w:rsid w:val="003855FD"/>
    <w:rsid w:val="0038592E"/>
    <w:rsid w:val="00385A9D"/>
    <w:rsid w:val="003879B7"/>
    <w:rsid w:val="003902B1"/>
    <w:rsid w:val="003927B8"/>
    <w:rsid w:val="00394DDB"/>
    <w:rsid w:val="003954D0"/>
    <w:rsid w:val="00395515"/>
    <w:rsid w:val="00396896"/>
    <w:rsid w:val="00396FD0"/>
    <w:rsid w:val="00397D15"/>
    <w:rsid w:val="003A1A7A"/>
    <w:rsid w:val="003A209E"/>
    <w:rsid w:val="003A2392"/>
    <w:rsid w:val="003A24FE"/>
    <w:rsid w:val="003A2831"/>
    <w:rsid w:val="003A2B3D"/>
    <w:rsid w:val="003A3A93"/>
    <w:rsid w:val="003A3ED1"/>
    <w:rsid w:val="003A589C"/>
    <w:rsid w:val="003B1A7B"/>
    <w:rsid w:val="003B3720"/>
    <w:rsid w:val="003B3D72"/>
    <w:rsid w:val="003B5B61"/>
    <w:rsid w:val="003B5C6E"/>
    <w:rsid w:val="003B6862"/>
    <w:rsid w:val="003C13FC"/>
    <w:rsid w:val="003C1654"/>
    <w:rsid w:val="003C175C"/>
    <w:rsid w:val="003C1CA7"/>
    <w:rsid w:val="003C7D19"/>
    <w:rsid w:val="003D05F1"/>
    <w:rsid w:val="003D1828"/>
    <w:rsid w:val="003D183D"/>
    <w:rsid w:val="003D1DE4"/>
    <w:rsid w:val="003D22CC"/>
    <w:rsid w:val="003D2422"/>
    <w:rsid w:val="003D3337"/>
    <w:rsid w:val="003D39A1"/>
    <w:rsid w:val="003D3F34"/>
    <w:rsid w:val="003D3FBF"/>
    <w:rsid w:val="003D4A30"/>
    <w:rsid w:val="003D5B36"/>
    <w:rsid w:val="003D5C8C"/>
    <w:rsid w:val="003D60D5"/>
    <w:rsid w:val="003D6517"/>
    <w:rsid w:val="003D79BB"/>
    <w:rsid w:val="003D7C98"/>
    <w:rsid w:val="003E0543"/>
    <w:rsid w:val="003E1BF0"/>
    <w:rsid w:val="003E1DC8"/>
    <w:rsid w:val="003E4F76"/>
    <w:rsid w:val="003E5832"/>
    <w:rsid w:val="003E5F93"/>
    <w:rsid w:val="003E7AC1"/>
    <w:rsid w:val="003E7BB5"/>
    <w:rsid w:val="003F06D8"/>
    <w:rsid w:val="003F0AE6"/>
    <w:rsid w:val="003F286D"/>
    <w:rsid w:val="003F4156"/>
    <w:rsid w:val="003F448D"/>
    <w:rsid w:val="003F4A05"/>
    <w:rsid w:val="00400128"/>
    <w:rsid w:val="004004D0"/>
    <w:rsid w:val="00400651"/>
    <w:rsid w:val="00400B29"/>
    <w:rsid w:val="00402756"/>
    <w:rsid w:val="00402B58"/>
    <w:rsid w:val="00404390"/>
    <w:rsid w:val="00404DD9"/>
    <w:rsid w:val="0040504B"/>
    <w:rsid w:val="00405202"/>
    <w:rsid w:val="00406496"/>
    <w:rsid w:val="00406FEF"/>
    <w:rsid w:val="00410708"/>
    <w:rsid w:val="00410EC7"/>
    <w:rsid w:val="00411B39"/>
    <w:rsid w:val="004129DE"/>
    <w:rsid w:val="00413A1E"/>
    <w:rsid w:val="00414476"/>
    <w:rsid w:val="00414AE4"/>
    <w:rsid w:val="00414C2E"/>
    <w:rsid w:val="004151CF"/>
    <w:rsid w:val="00416364"/>
    <w:rsid w:val="00416F53"/>
    <w:rsid w:val="00420AA6"/>
    <w:rsid w:val="00420B9F"/>
    <w:rsid w:val="00422260"/>
    <w:rsid w:val="00423511"/>
    <w:rsid w:val="0042413F"/>
    <w:rsid w:val="00424A77"/>
    <w:rsid w:val="00425E14"/>
    <w:rsid w:val="004275B8"/>
    <w:rsid w:val="004306DB"/>
    <w:rsid w:val="004314A4"/>
    <w:rsid w:val="004319F8"/>
    <w:rsid w:val="00431E55"/>
    <w:rsid w:val="004321F6"/>
    <w:rsid w:val="00432B7D"/>
    <w:rsid w:val="00433044"/>
    <w:rsid w:val="004335BE"/>
    <w:rsid w:val="0043666D"/>
    <w:rsid w:val="00436E8A"/>
    <w:rsid w:val="004372ED"/>
    <w:rsid w:val="0043758F"/>
    <w:rsid w:val="004375B9"/>
    <w:rsid w:val="00437C21"/>
    <w:rsid w:val="00441D0A"/>
    <w:rsid w:val="00441D4E"/>
    <w:rsid w:val="004428D0"/>
    <w:rsid w:val="00442B7B"/>
    <w:rsid w:val="004443A7"/>
    <w:rsid w:val="0044442C"/>
    <w:rsid w:val="00444ABE"/>
    <w:rsid w:val="00445941"/>
    <w:rsid w:val="00445A11"/>
    <w:rsid w:val="004463E9"/>
    <w:rsid w:val="004464EB"/>
    <w:rsid w:val="00447D26"/>
    <w:rsid w:val="0045033B"/>
    <w:rsid w:val="004506BC"/>
    <w:rsid w:val="004516B7"/>
    <w:rsid w:val="004531ED"/>
    <w:rsid w:val="00455D45"/>
    <w:rsid w:val="00455E5B"/>
    <w:rsid w:val="00461154"/>
    <w:rsid w:val="00462498"/>
    <w:rsid w:val="004637EF"/>
    <w:rsid w:val="00464595"/>
    <w:rsid w:val="00464A7E"/>
    <w:rsid w:val="00464B0E"/>
    <w:rsid w:val="004657C6"/>
    <w:rsid w:val="00467D69"/>
    <w:rsid w:val="00472A79"/>
    <w:rsid w:val="0047362C"/>
    <w:rsid w:val="00473F19"/>
    <w:rsid w:val="00475E22"/>
    <w:rsid w:val="004769BB"/>
    <w:rsid w:val="0048088E"/>
    <w:rsid w:val="004814F1"/>
    <w:rsid w:val="004817C0"/>
    <w:rsid w:val="00482707"/>
    <w:rsid w:val="00482720"/>
    <w:rsid w:val="004831F0"/>
    <w:rsid w:val="00483288"/>
    <w:rsid w:val="004835E7"/>
    <w:rsid w:val="00484518"/>
    <w:rsid w:val="004867E2"/>
    <w:rsid w:val="00486E22"/>
    <w:rsid w:val="00486E37"/>
    <w:rsid w:val="004914D7"/>
    <w:rsid w:val="00491B3A"/>
    <w:rsid w:val="00492B4C"/>
    <w:rsid w:val="00492CFD"/>
    <w:rsid w:val="004946DE"/>
    <w:rsid w:val="00494DCF"/>
    <w:rsid w:val="00494DD5"/>
    <w:rsid w:val="004962D2"/>
    <w:rsid w:val="00496E49"/>
    <w:rsid w:val="004A0DA1"/>
    <w:rsid w:val="004A1293"/>
    <w:rsid w:val="004A30E2"/>
    <w:rsid w:val="004A3455"/>
    <w:rsid w:val="004A4A8F"/>
    <w:rsid w:val="004A5210"/>
    <w:rsid w:val="004A52E9"/>
    <w:rsid w:val="004A6597"/>
    <w:rsid w:val="004A763F"/>
    <w:rsid w:val="004A7848"/>
    <w:rsid w:val="004B0A7D"/>
    <w:rsid w:val="004B0FB9"/>
    <w:rsid w:val="004B113E"/>
    <w:rsid w:val="004B1742"/>
    <w:rsid w:val="004B1CB4"/>
    <w:rsid w:val="004B2F18"/>
    <w:rsid w:val="004B327B"/>
    <w:rsid w:val="004B3DDB"/>
    <w:rsid w:val="004B4246"/>
    <w:rsid w:val="004B44FD"/>
    <w:rsid w:val="004B50D7"/>
    <w:rsid w:val="004B5631"/>
    <w:rsid w:val="004B5CFC"/>
    <w:rsid w:val="004B6299"/>
    <w:rsid w:val="004B6771"/>
    <w:rsid w:val="004B711D"/>
    <w:rsid w:val="004B71FC"/>
    <w:rsid w:val="004B736F"/>
    <w:rsid w:val="004B774D"/>
    <w:rsid w:val="004C016A"/>
    <w:rsid w:val="004C0922"/>
    <w:rsid w:val="004C0DD0"/>
    <w:rsid w:val="004C17C8"/>
    <w:rsid w:val="004C2248"/>
    <w:rsid w:val="004C44D2"/>
    <w:rsid w:val="004C4AED"/>
    <w:rsid w:val="004C517B"/>
    <w:rsid w:val="004C5E62"/>
    <w:rsid w:val="004C697C"/>
    <w:rsid w:val="004C739D"/>
    <w:rsid w:val="004D281D"/>
    <w:rsid w:val="004D2C2D"/>
    <w:rsid w:val="004D635F"/>
    <w:rsid w:val="004D7042"/>
    <w:rsid w:val="004D7227"/>
    <w:rsid w:val="004E0E7F"/>
    <w:rsid w:val="004E0EB8"/>
    <w:rsid w:val="004E2ADC"/>
    <w:rsid w:val="004E2D2A"/>
    <w:rsid w:val="004E401F"/>
    <w:rsid w:val="004E42F8"/>
    <w:rsid w:val="004E43B2"/>
    <w:rsid w:val="004E583B"/>
    <w:rsid w:val="004E6430"/>
    <w:rsid w:val="004E6F49"/>
    <w:rsid w:val="004F1D02"/>
    <w:rsid w:val="004F2679"/>
    <w:rsid w:val="004F2F21"/>
    <w:rsid w:val="004F31D3"/>
    <w:rsid w:val="004F3FD6"/>
    <w:rsid w:val="004F4682"/>
    <w:rsid w:val="004F6603"/>
    <w:rsid w:val="004F6913"/>
    <w:rsid w:val="004F7865"/>
    <w:rsid w:val="005008FC"/>
    <w:rsid w:val="00500A90"/>
    <w:rsid w:val="005020C8"/>
    <w:rsid w:val="0050219B"/>
    <w:rsid w:val="005026A9"/>
    <w:rsid w:val="005034B9"/>
    <w:rsid w:val="00503F17"/>
    <w:rsid w:val="005040E3"/>
    <w:rsid w:val="005047DE"/>
    <w:rsid w:val="00506928"/>
    <w:rsid w:val="00506C7D"/>
    <w:rsid w:val="00506C9C"/>
    <w:rsid w:val="00507160"/>
    <w:rsid w:val="00507D8A"/>
    <w:rsid w:val="005113E8"/>
    <w:rsid w:val="005133B2"/>
    <w:rsid w:val="005152B5"/>
    <w:rsid w:val="00515B0E"/>
    <w:rsid w:val="00515BBF"/>
    <w:rsid w:val="0051705D"/>
    <w:rsid w:val="005179CE"/>
    <w:rsid w:val="00517A64"/>
    <w:rsid w:val="00517E22"/>
    <w:rsid w:val="00521319"/>
    <w:rsid w:val="00521920"/>
    <w:rsid w:val="00521A2A"/>
    <w:rsid w:val="005220A4"/>
    <w:rsid w:val="00522720"/>
    <w:rsid w:val="00522BC8"/>
    <w:rsid w:val="00522FFA"/>
    <w:rsid w:val="00523C28"/>
    <w:rsid w:val="00524406"/>
    <w:rsid w:val="00524606"/>
    <w:rsid w:val="00524C1C"/>
    <w:rsid w:val="00525456"/>
    <w:rsid w:val="005259B1"/>
    <w:rsid w:val="0052614F"/>
    <w:rsid w:val="00526D78"/>
    <w:rsid w:val="00527E1A"/>
    <w:rsid w:val="005328EC"/>
    <w:rsid w:val="00534981"/>
    <w:rsid w:val="00534ADF"/>
    <w:rsid w:val="005356EC"/>
    <w:rsid w:val="00535AAB"/>
    <w:rsid w:val="005360BD"/>
    <w:rsid w:val="00536134"/>
    <w:rsid w:val="005362DA"/>
    <w:rsid w:val="00536BE4"/>
    <w:rsid w:val="00536F42"/>
    <w:rsid w:val="00537182"/>
    <w:rsid w:val="005373B7"/>
    <w:rsid w:val="00540F31"/>
    <w:rsid w:val="00542185"/>
    <w:rsid w:val="00542743"/>
    <w:rsid w:val="00542C2D"/>
    <w:rsid w:val="00542C54"/>
    <w:rsid w:val="00542CE0"/>
    <w:rsid w:val="005434AD"/>
    <w:rsid w:val="00544C63"/>
    <w:rsid w:val="005515F0"/>
    <w:rsid w:val="00551985"/>
    <w:rsid w:val="00552BD3"/>
    <w:rsid w:val="00553227"/>
    <w:rsid w:val="00554B3F"/>
    <w:rsid w:val="00554EAB"/>
    <w:rsid w:val="00555109"/>
    <w:rsid w:val="005569AE"/>
    <w:rsid w:val="005576B5"/>
    <w:rsid w:val="005638A9"/>
    <w:rsid w:val="00563CE2"/>
    <w:rsid w:val="00565BBE"/>
    <w:rsid w:val="00566143"/>
    <w:rsid w:val="00566376"/>
    <w:rsid w:val="0056696F"/>
    <w:rsid w:val="0056760D"/>
    <w:rsid w:val="005701EA"/>
    <w:rsid w:val="00570CAD"/>
    <w:rsid w:val="00570DB8"/>
    <w:rsid w:val="00572269"/>
    <w:rsid w:val="0057244A"/>
    <w:rsid w:val="005727F1"/>
    <w:rsid w:val="00572D1C"/>
    <w:rsid w:val="00573BA8"/>
    <w:rsid w:val="00574208"/>
    <w:rsid w:val="00575D8D"/>
    <w:rsid w:val="00576793"/>
    <w:rsid w:val="005767E8"/>
    <w:rsid w:val="00576972"/>
    <w:rsid w:val="0058144F"/>
    <w:rsid w:val="00581AAE"/>
    <w:rsid w:val="00582388"/>
    <w:rsid w:val="005834C1"/>
    <w:rsid w:val="00583699"/>
    <w:rsid w:val="00583F51"/>
    <w:rsid w:val="00585601"/>
    <w:rsid w:val="00585720"/>
    <w:rsid w:val="00585CDD"/>
    <w:rsid w:val="00586A0D"/>
    <w:rsid w:val="00587058"/>
    <w:rsid w:val="00587E0F"/>
    <w:rsid w:val="00590149"/>
    <w:rsid w:val="0059096E"/>
    <w:rsid w:val="00591626"/>
    <w:rsid w:val="00591863"/>
    <w:rsid w:val="00591957"/>
    <w:rsid w:val="00593602"/>
    <w:rsid w:val="005962CA"/>
    <w:rsid w:val="005974DC"/>
    <w:rsid w:val="005979C7"/>
    <w:rsid w:val="00597BF9"/>
    <w:rsid w:val="005A1E74"/>
    <w:rsid w:val="005A2F6E"/>
    <w:rsid w:val="005A373D"/>
    <w:rsid w:val="005A4221"/>
    <w:rsid w:val="005A530F"/>
    <w:rsid w:val="005A697F"/>
    <w:rsid w:val="005B0CC6"/>
    <w:rsid w:val="005B21F5"/>
    <w:rsid w:val="005B2985"/>
    <w:rsid w:val="005B333D"/>
    <w:rsid w:val="005B38FB"/>
    <w:rsid w:val="005B4B2E"/>
    <w:rsid w:val="005B5857"/>
    <w:rsid w:val="005B5D53"/>
    <w:rsid w:val="005B6F56"/>
    <w:rsid w:val="005B78ED"/>
    <w:rsid w:val="005C02F3"/>
    <w:rsid w:val="005C191B"/>
    <w:rsid w:val="005C1B83"/>
    <w:rsid w:val="005C2D55"/>
    <w:rsid w:val="005C346B"/>
    <w:rsid w:val="005C64DB"/>
    <w:rsid w:val="005D044D"/>
    <w:rsid w:val="005D05D9"/>
    <w:rsid w:val="005D0ABD"/>
    <w:rsid w:val="005D18AD"/>
    <w:rsid w:val="005D228C"/>
    <w:rsid w:val="005D2419"/>
    <w:rsid w:val="005D26B4"/>
    <w:rsid w:val="005D297D"/>
    <w:rsid w:val="005D43BF"/>
    <w:rsid w:val="005D494B"/>
    <w:rsid w:val="005D4D85"/>
    <w:rsid w:val="005D54A5"/>
    <w:rsid w:val="005D5748"/>
    <w:rsid w:val="005D5B43"/>
    <w:rsid w:val="005E061B"/>
    <w:rsid w:val="005E088B"/>
    <w:rsid w:val="005E142E"/>
    <w:rsid w:val="005E3358"/>
    <w:rsid w:val="005E4B45"/>
    <w:rsid w:val="005E6CBC"/>
    <w:rsid w:val="005E73C0"/>
    <w:rsid w:val="005E7F51"/>
    <w:rsid w:val="005F07BD"/>
    <w:rsid w:val="005F19A1"/>
    <w:rsid w:val="005F1BDC"/>
    <w:rsid w:val="005F21B8"/>
    <w:rsid w:val="005F2706"/>
    <w:rsid w:val="005F501A"/>
    <w:rsid w:val="005F5BCB"/>
    <w:rsid w:val="005F6485"/>
    <w:rsid w:val="005F6A8F"/>
    <w:rsid w:val="0060058F"/>
    <w:rsid w:val="006020D6"/>
    <w:rsid w:val="006027FB"/>
    <w:rsid w:val="00602C42"/>
    <w:rsid w:val="00603896"/>
    <w:rsid w:val="00603DB9"/>
    <w:rsid w:val="00604699"/>
    <w:rsid w:val="00604FE8"/>
    <w:rsid w:val="0060536D"/>
    <w:rsid w:val="0060693D"/>
    <w:rsid w:val="00607669"/>
    <w:rsid w:val="00607AFD"/>
    <w:rsid w:val="00607F41"/>
    <w:rsid w:val="0061036E"/>
    <w:rsid w:val="00610973"/>
    <w:rsid w:val="00611829"/>
    <w:rsid w:val="00612877"/>
    <w:rsid w:val="00612F97"/>
    <w:rsid w:val="0061345D"/>
    <w:rsid w:val="00614B8E"/>
    <w:rsid w:val="006165A5"/>
    <w:rsid w:val="00616802"/>
    <w:rsid w:val="00617E12"/>
    <w:rsid w:val="00621477"/>
    <w:rsid w:val="0062182B"/>
    <w:rsid w:val="00621D97"/>
    <w:rsid w:val="00622013"/>
    <w:rsid w:val="00622023"/>
    <w:rsid w:val="00623D49"/>
    <w:rsid w:val="006242A5"/>
    <w:rsid w:val="00626543"/>
    <w:rsid w:val="0062752D"/>
    <w:rsid w:val="00630F3D"/>
    <w:rsid w:val="0063158F"/>
    <w:rsid w:val="006316D5"/>
    <w:rsid w:val="00631D6B"/>
    <w:rsid w:val="00632444"/>
    <w:rsid w:val="006325F1"/>
    <w:rsid w:val="006330A1"/>
    <w:rsid w:val="0063479F"/>
    <w:rsid w:val="00635151"/>
    <w:rsid w:val="00635270"/>
    <w:rsid w:val="006353F0"/>
    <w:rsid w:val="0063551F"/>
    <w:rsid w:val="006356DF"/>
    <w:rsid w:val="006364A1"/>
    <w:rsid w:val="006371B1"/>
    <w:rsid w:val="00637BFD"/>
    <w:rsid w:val="00637CBB"/>
    <w:rsid w:val="00637FDE"/>
    <w:rsid w:val="00641C4E"/>
    <w:rsid w:val="00642786"/>
    <w:rsid w:val="00644D19"/>
    <w:rsid w:val="00645EB8"/>
    <w:rsid w:val="006471CC"/>
    <w:rsid w:val="0065079F"/>
    <w:rsid w:val="00650873"/>
    <w:rsid w:val="00650B99"/>
    <w:rsid w:val="0065102B"/>
    <w:rsid w:val="00652BAB"/>
    <w:rsid w:val="00652CAF"/>
    <w:rsid w:val="0065337D"/>
    <w:rsid w:val="0065379F"/>
    <w:rsid w:val="006538B2"/>
    <w:rsid w:val="00655C46"/>
    <w:rsid w:val="0065621E"/>
    <w:rsid w:val="006562D6"/>
    <w:rsid w:val="00656601"/>
    <w:rsid w:val="00661C6B"/>
    <w:rsid w:val="006635AC"/>
    <w:rsid w:val="00664A08"/>
    <w:rsid w:val="00665BD3"/>
    <w:rsid w:val="00666D8B"/>
    <w:rsid w:val="00667062"/>
    <w:rsid w:val="0066775E"/>
    <w:rsid w:val="0067382A"/>
    <w:rsid w:val="00674E42"/>
    <w:rsid w:val="006759C3"/>
    <w:rsid w:val="00675E58"/>
    <w:rsid w:val="00677389"/>
    <w:rsid w:val="00677D6D"/>
    <w:rsid w:val="00677FF1"/>
    <w:rsid w:val="00682112"/>
    <w:rsid w:val="00683953"/>
    <w:rsid w:val="00685529"/>
    <w:rsid w:val="00686006"/>
    <w:rsid w:val="00686239"/>
    <w:rsid w:val="006863E8"/>
    <w:rsid w:val="00686957"/>
    <w:rsid w:val="00686CD1"/>
    <w:rsid w:val="00686F6F"/>
    <w:rsid w:val="006872BA"/>
    <w:rsid w:val="00690A31"/>
    <w:rsid w:val="00690A8E"/>
    <w:rsid w:val="00691556"/>
    <w:rsid w:val="00691648"/>
    <w:rsid w:val="006917D7"/>
    <w:rsid w:val="00691C71"/>
    <w:rsid w:val="00692778"/>
    <w:rsid w:val="00692B3B"/>
    <w:rsid w:val="00692EEA"/>
    <w:rsid w:val="00694F44"/>
    <w:rsid w:val="006955BF"/>
    <w:rsid w:val="006A17F5"/>
    <w:rsid w:val="006A3015"/>
    <w:rsid w:val="006A333C"/>
    <w:rsid w:val="006A5206"/>
    <w:rsid w:val="006A53A7"/>
    <w:rsid w:val="006A53B2"/>
    <w:rsid w:val="006A67D2"/>
    <w:rsid w:val="006A703D"/>
    <w:rsid w:val="006A7178"/>
    <w:rsid w:val="006A7E5F"/>
    <w:rsid w:val="006B261B"/>
    <w:rsid w:val="006B2C90"/>
    <w:rsid w:val="006B31EF"/>
    <w:rsid w:val="006B36E8"/>
    <w:rsid w:val="006B4D83"/>
    <w:rsid w:val="006B69FD"/>
    <w:rsid w:val="006B6DD0"/>
    <w:rsid w:val="006C0991"/>
    <w:rsid w:val="006C2A8E"/>
    <w:rsid w:val="006C489C"/>
    <w:rsid w:val="006C5690"/>
    <w:rsid w:val="006D0FFC"/>
    <w:rsid w:val="006D33DD"/>
    <w:rsid w:val="006D3C7D"/>
    <w:rsid w:val="006D3E39"/>
    <w:rsid w:val="006D5D5F"/>
    <w:rsid w:val="006D7C41"/>
    <w:rsid w:val="006E1482"/>
    <w:rsid w:val="006E1DC6"/>
    <w:rsid w:val="006E2603"/>
    <w:rsid w:val="006E4C18"/>
    <w:rsid w:val="006E4FB4"/>
    <w:rsid w:val="006E661D"/>
    <w:rsid w:val="006E6768"/>
    <w:rsid w:val="006E72A7"/>
    <w:rsid w:val="006E787F"/>
    <w:rsid w:val="006F096E"/>
    <w:rsid w:val="006F1583"/>
    <w:rsid w:val="006F2112"/>
    <w:rsid w:val="006F24E8"/>
    <w:rsid w:val="006F28A5"/>
    <w:rsid w:val="006F2AFF"/>
    <w:rsid w:val="006F2D67"/>
    <w:rsid w:val="006F306C"/>
    <w:rsid w:val="006F3A25"/>
    <w:rsid w:val="006F3AC3"/>
    <w:rsid w:val="006F40B8"/>
    <w:rsid w:val="006F4A3C"/>
    <w:rsid w:val="006F4A7A"/>
    <w:rsid w:val="006F63A5"/>
    <w:rsid w:val="006F6482"/>
    <w:rsid w:val="006F6DE0"/>
    <w:rsid w:val="0070142B"/>
    <w:rsid w:val="0070276E"/>
    <w:rsid w:val="00702F8F"/>
    <w:rsid w:val="00705036"/>
    <w:rsid w:val="0070529B"/>
    <w:rsid w:val="00707C2D"/>
    <w:rsid w:val="00710C10"/>
    <w:rsid w:val="00711903"/>
    <w:rsid w:val="00711A36"/>
    <w:rsid w:val="00712756"/>
    <w:rsid w:val="007146AE"/>
    <w:rsid w:val="0071529C"/>
    <w:rsid w:val="007157CD"/>
    <w:rsid w:val="0071650B"/>
    <w:rsid w:val="00716AEC"/>
    <w:rsid w:val="0071710B"/>
    <w:rsid w:val="007172AD"/>
    <w:rsid w:val="00717D85"/>
    <w:rsid w:val="00720E04"/>
    <w:rsid w:val="00721454"/>
    <w:rsid w:val="00722B1B"/>
    <w:rsid w:val="00722CA3"/>
    <w:rsid w:val="00723E31"/>
    <w:rsid w:val="0072416F"/>
    <w:rsid w:val="00724621"/>
    <w:rsid w:val="00724B34"/>
    <w:rsid w:val="00725342"/>
    <w:rsid w:val="007268BD"/>
    <w:rsid w:val="007275BD"/>
    <w:rsid w:val="00727C94"/>
    <w:rsid w:val="00730918"/>
    <w:rsid w:val="00731EAE"/>
    <w:rsid w:val="007333D3"/>
    <w:rsid w:val="00734E58"/>
    <w:rsid w:val="00735033"/>
    <w:rsid w:val="00735328"/>
    <w:rsid w:val="00735B0A"/>
    <w:rsid w:val="00735BDE"/>
    <w:rsid w:val="007360A7"/>
    <w:rsid w:val="0073685B"/>
    <w:rsid w:val="007373FB"/>
    <w:rsid w:val="0074181D"/>
    <w:rsid w:val="00741B08"/>
    <w:rsid w:val="00743ADE"/>
    <w:rsid w:val="0075102C"/>
    <w:rsid w:val="00751E2C"/>
    <w:rsid w:val="00752142"/>
    <w:rsid w:val="007523F9"/>
    <w:rsid w:val="00752A84"/>
    <w:rsid w:val="00754014"/>
    <w:rsid w:val="007559AD"/>
    <w:rsid w:val="007573E8"/>
    <w:rsid w:val="00760C4E"/>
    <w:rsid w:val="00764048"/>
    <w:rsid w:val="00765B1A"/>
    <w:rsid w:val="007678D0"/>
    <w:rsid w:val="00767B87"/>
    <w:rsid w:val="007729C9"/>
    <w:rsid w:val="00774902"/>
    <w:rsid w:val="007769ED"/>
    <w:rsid w:val="007773AF"/>
    <w:rsid w:val="00780165"/>
    <w:rsid w:val="00783E3B"/>
    <w:rsid w:val="00784170"/>
    <w:rsid w:val="007843F2"/>
    <w:rsid w:val="007858BC"/>
    <w:rsid w:val="00786E90"/>
    <w:rsid w:val="007874BE"/>
    <w:rsid w:val="00790C54"/>
    <w:rsid w:val="007943A5"/>
    <w:rsid w:val="0079471F"/>
    <w:rsid w:val="00795F82"/>
    <w:rsid w:val="007A09C4"/>
    <w:rsid w:val="007A0A12"/>
    <w:rsid w:val="007A132D"/>
    <w:rsid w:val="007A2379"/>
    <w:rsid w:val="007A3410"/>
    <w:rsid w:val="007A405F"/>
    <w:rsid w:val="007A4777"/>
    <w:rsid w:val="007A495F"/>
    <w:rsid w:val="007B091F"/>
    <w:rsid w:val="007B0D68"/>
    <w:rsid w:val="007B1F99"/>
    <w:rsid w:val="007B251D"/>
    <w:rsid w:val="007B25DF"/>
    <w:rsid w:val="007B4026"/>
    <w:rsid w:val="007B433E"/>
    <w:rsid w:val="007B4F58"/>
    <w:rsid w:val="007B528D"/>
    <w:rsid w:val="007B5EC2"/>
    <w:rsid w:val="007B77D1"/>
    <w:rsid w:val="007B77E3"/>
    <w:rsid w:val="007C029F"/>
    <w:rsid w:val="007C0953"/>
    <w:rsid w:val="007C1CD9"/>
    <w:rsid w:val="007C221B"/>
    <w:rsid w:val="007C2ED1"/>
    <w:rsid w:val="007C3131"/>
    <w:rsid w:val="007C361D"/>
    <w:rsid w:val="007C3656"/>
    <w:rsid w:val="007C4B84"/>
    <w:rsid w:val="007C4DB5"/>
    <w:rsid w:val="007C5422"/>
    <w:rsid w:val="007C5F8E"/>
    <w:rsid w:val="007C6DBF"/>
    <w:rsid w:val="007C6DDA"/>
    <w:rsid w:val="007D004F"/>
    <w:rsid w:val="007D08C8"/>
    <w:rsid w:val="007D0B38"/>
    <w:rsid w:val="007D3C19"/>
    <w:rsid w:val="007D4042"/>
    <w:rsid w:val="007D4FA5"/>
    <w:rsid w:val="007D5440"/>
    <w:rsid w:val="007D5F27"/>
    <w:rsid w:val="007D5FD7"/>
    <w:rsid w:val="007D65C4"/>
    <w:rsid w:val="007D7DC6"/>
    <w:rsid w:val="007E0FB2"/>
    <w:rsid w:val="007E1445"/>
    <w:rsid w:val="007E32A8"/>
    <w:rsid w:val="007E420D"/>
    <w:rsid w:val="007E51CD"/>
    <w:rsid w:val="007E7880"/>
    <w:rsid w:val="007E7F33"/>
    <w:rsid w:val="007F02B2"/>
    <w:rsid w:val="007F0D0F"/>
    <w:rsid w:val="007F1017"/>
    <w:rsid w:val="007F1390"/>
    <w:rsid w:val="007F1626"/>
    <w:rsid w:val="007F2262"/>
    <w:rsid w:val="007F2D4E"/>
    <w:rsid w:val="007F2DBF"/>
    <w:rsid w:val="007F302A"/>
    <w:rsid w:val="007F31F3"/>
    <w:rsid w:val="007F4A3F"/>
    <w:rsid w:val="007F4A61"/>
    <w:rsid w:val="007F54A5"/>
    <w:rsid w:val="007F61C2"/>
    <w:rsid w:val="007F6C97"/>
    <w:rsid w:val="007F6D21"/>
    <w:rsid w:val="007F73D5"/>
    <w:rsid w:val="007F74E2"/>
    <w:rsid w:val="007F7F64"/>
    <w:rsid w:val="0080071D"/>
    <w:rsid w:val="00800BDC"/>
    <w:rsid w:val="00800E06"/>
    <w:rsid w:val="00801538"/>
    <w:rsid w:val="00803129"/>
    <w:rsid w:val="008044EA"/>
    <w:rsid w:val="00805142"/>
    <w:rsid w:val="00805C43"/>
    <w:rsid w:val="008069DB"/>
    <w:rsid w:val="00806B1E"/>
    <w:rsid w:val="00806EA6"/>
    <w:rsid w:val="008071B3"/>
    <w:rsid w:val="00807A8B"/>
    <w:rsid w:val="00810291"/>
    <w:rsid w:val="00810C3A"/>
    <w:rsid w:val="00811127"/>
    <w:rsid w:val="00811383"/>
    <w:rsid w:val="008113E6"/>
    <w:rsid w:val="0081164C"/>
    <w:rsid w:val="00811AA4"/>
    <w:rsid w:val="00812149"/>
    <w:rsid w:val="0081282B"/>
    <w:rsid w:val="00812CAC"/>
    <w:rsid w:val="00812ED6"/>
    <w:rsid w:val="00813DE3"/>
    <w:rsid w:val="008166EF"/>
    <w:rsid w:val="008173AA"/>
    <w:rsid w:val="00820254"/>
    <w:rsid w:val="0082030D"/>
    <w:rsid w:val="008204A3"/>
    <w:rsid w:val="00820C1E"/>
    <w:rsid w:val="00820CD0"/>
    <w:rsid w:val="00822AA9"/>
    <w:rsid w:val="00822E3B"/>
    <w:rsid w:val="0082404C"/>
    <w:rsid w:val="00825751"/>
    <w:rsid w:val="008264EB"/>
    <w:rsid w:val="008275AB"/>
    <w:rsid w:val="00833B05"/>
    <w:rsid w:val="00834C5D"/>
    <w:rsid w:val="008362B4"/>
    <w:rsid w:val="008368C2"/>
    <w:rsid w:val="00840284"/>
    <w:rsid w:val="00840CA2"/>
    <w:rsid w:val="00842461"/>
    <w:rsid w:val="00842CAE"/>
    <w:rsid w:val="00842D70"/>
    <w:rsid w:val="0084306B"/>
    <w:rsid w:val="0084374F"/>
    <w:rsid w:val="008439D1"/>
    <w:rsid w:val="008446DF"/>
    <w:rsid w:val="008463B3"/>
    <w:rsid w:val="008468A4"/>
    <w:rsid w:val="00847DF5"/>
    <w:rsid w:val="00847EF5"/>
    <w:rsid w:val="00850017"/>
    <w:rsid w:val="00851F43"/>
    <w:rsid w:val="0085309D"/>
    <w:rsid w:val="00855678"/>
    <w:rsid w:val="008559A9"/>
    <w:rsid w:val="00856337"/>
    <w:rsid w:val="008566E4"/>
    <w:rsid w:val="00856897"/>
    <w:rsid w:val="00856B46"/>
    <w:rsid w:val="00856E9A"/>
    <w:rsid w:val="008576D2"/>
    <w:rsid w:val="00857816"/>
    <w:rsid w:val="008603C0"/>
    <w:rsid w:val="0086075D"/>
    <w:rsid w:val="008607DC"/>
    <w:rsid w:val="008608EB"/>
    <w:rsid w:val="00861630"/>
    <w:rsid w:val="00862502"/>
    <w:rsid w:val="0086304E"/>
    <w:rsid w:val="00863B60"/>
    <w:rsid w:val="00864184"/>
    <w:rsid w:val="00865948"/>
    <w:rsid w:val="008660D4"/>
    <w:rsid w:val="00867BB7"/>
    <w:rsid w:val="008701A9"/>
    <w:rsid w:val="00870B6C"/>
    <w:rsid w:val="00871FA9"/>
    <w:rsid w:val="008724DA"/>
    <w:rsid w:val="008726C1"/>
    <w:rsid w:val="008728E9"/>
    <w:rsid w:val="008730D4"/>
    <w:rsid w:val="0087467A"/>
    <w:rsid w:val="00875C56"/>
    <w:rsid w:val="00876101"/>
    <w:rsid w:val="00876F1E"/>
    <w:rsid w:val="008771AF"/>
    <w:rsid w:val="00877795"/>
    <w:rsid w:val="00877D30"/>
    <w:rsid w:val="008804BD"/>
    <w:rsid w:val="00880E9C"/>
    <w:rsid w:val="0088129D"/>
    <w:rsid w:val="00882874"/>
    <w:rsid w:val="00883787"/>
    <w:rsid w:val="00884023"/>
    <w:rsid w:val="00884518"/>
    <w:rsid w:val="00886CD2"/>
    <w:rsid w:val="0088700C"/>
    <w:rsid w:val="00890E5B"/>
    <w:rsid w:val="00892A36"/>
    <w:rsid w:val="00893239"/>
    <w:rsid w:val="00894489"/>
    <w:rsid w:val="008963A5"/>
    <w:rsid w:val="008A323B"/>
    <w:rsid w:val="008A3363"/>
    <w:rsid w:val="008A3371"/>
    <w:rsid w:val="008A3649"/>
    <w:rsid w:val="008A3C3E"/>
    <w:rsid w:val="008A3CC0"/>
    <w:rsid w:val="008A7462"/>
    <w:rsid w:val="008A79DE"/>
    <w:rsid w:val="008B02EC"/>
    <w:rsid w:val="008B1757"/>
    <w:rsid w:val="008B27C0"/>
    <w:rsid w:val="008B527E"/>
    <w:rsid w:val="008B5662"/>
    <w:rsid w:val="008B56F7"/>
    <w:rsid w:val="008B65E0"/>
    <w:rsid w:val="008B69A1"/>
    <w:rsid w:val="008B7D7E"/>
    <w:rsid w:val="008C30E6"/>
    <w:rsid w:val="008C385D"/>
    <w:rsid w:val="008C3B81"/>
    <w:rsid w:val="008C3E7A"/>
    <w:rsid w:val="008C4DEA"/>
    <w:rsid w:val="008C58E4"/>
    <w:rsid w:val="008C5A1B"/>
    <w:rsid w:val="008C5EF9"/>
    <w:rsid w:val="008C6670"/>
    <w:rsid w:val="008C67C9"/>
    <w:rsid w:val="008C6F99"/>
    <w:rsid w:val="008C71CF"/>
    <w:rsid w:val="008C7ECB"/>
    <w:rsid w:val="008D0576"/>
    <w:rsid w:val="008D11AB"/>
    <w:rsid w:val="008D1BB7"/>
    <w:rsid w:val="008D4248"/>
    <w:rsid w:val="008D4755"/>
    <w:rsid w:val="008D4953"/>
    <w:rsid w:val="008D4C3D"/>
    <w:rsid w:val="008D5DBE"/>
    <w:rsid w:val="008D7B74"/>
    <w:rsid w:val="008E052C"/>
    <w:rsid w:val="008E0BAC"/>
    <w:rsid w:val="008E0D3C"/>
    <w:rsid w:val="008E1B9E"/>
    <w:rsid w:val="008E296C"/>
    <w:rsid w:val="008E3122"/>
    <w:rsid w:val="008E4CB4"/>
    <w:rsid w:val="008E50E9"/>
    <w:rsid w:val="008E55AB"/>
    <w:rsid w:val="008E651F"/>
    <w:rsid w:val="008E652E"/>
    <w:rsid w:val="008E6D25"/>
    <w:rsid w:val="008F102A"/>
    <w:rsid w:val="008F120A"/>
    <w:rsid w:val="008F150E"/>
    <w:rsid w:val="008F2714"/>
    <w:rsid w:val="008F2781"/>
    <w:rsid w:val="008F27E0"/>
    <w:rsid w:val="008F2C26"/>
    <w:rsid w:val="008F44C8"/>
    <w:rsid w:val="008F48EB"/>
    <w:rsid w:val="008F4DB0"/>
    <w:rsid w:val="008F4F0B"/>
    <w:rsid w:val="008F7AEC"/>
    <w:rsid w:val="00900F9D"/>
    <w:rsid w:val="00902959"/>
    <w:rsid w:val="00902BE8"/>
    <w:rsid w:val="009030D5"/>
    <w:rsid w:val="009035F8"/>
    <w:rsid w:val="009045E6"/>
    <w:rsid w:val="009046C4"/>
    <w:rsid w:val="009062A5"/>
    <w:rsid w:val="009072CF"/>
    <w:rsid w:val="00907CE2"/>
    <w:rsid w:val="00907D62"/>
    <w:rsid w:val="00910778"/>
    <w:rsid w:val="0091108A"/>
    <w:rsid w:val="00911272"/>
    <w:rsid w:val="0091161F"/>
    <w:rsid w:val="009135D6"/>
    <w:rsid w:val="00914C77"/>
    <w:rsid w:val="00915219"/>
    <w:rsid w:val="009160AE"/>
    <w:rsid w:val="00920BB9"/>
    <w:rsid w:val="00921E28"/>
    <w:rsid w:val="0092346D"/>
    <w:rsid w:val="0092369B"/>
    <w:rsid w:val="00925E3C"/>
    <w:rsid w:val="00925FD7"/>
    <w:rsid w:val="00926EF8"/>
    <w:rsid w:val="009271FB"/>
    <w:rsid w:val="0093143F"/>
    <w:rsid w:val="00932201"/>
    <w:rsid w:val="00932504"/>
    <w:rsid w:val="00932808"/>
    <w:rsid w:val="009335FF"/>
    <w:rsid w:val="00934762"/>
    <w:rsid w:val="00935808"/>
    <w:rsid w:val="009361A4"/>
    <w:rsid w:val="009366CA"/>
    <w:rsid w:val="00937536"/>
    <w:rsid w:val="009417DC"/>
    <w:rsid w:val="0094257C"/>
    <w:rsid w:val="00942BEB"/>
    <w:rsid w:val="009439D2"/>
    <w:rsid w:val="00944809"/>
    <w:rsid w:val="00944C66"/>
    <w:rsid w:val="00946380"/>
    <w:rsid w:val="00946C1D"/>
    <w:rsid w:val="00946E66"/>
    <w:rsid w:val="0094735E"/>
    <w:rsid w:val="00947E58"/>
    <w:rsid w:val="009510A2"/>
    <w:rsid w:val="00951763"/>
    <w:rsid w:val="00953257"/>
    <w:rsid w:val="00954A82"/>
    <w:rsid w:val="00961B8F"/>
    <w:rsid w:val="00962BCA"/>
    <w:rsid w:val="00962CB9"/>
    <w:rsid w:val="00962FBF"/>
    <w:rsid w:val="00963FA8"/>
    <w:rsid w:val="00964312"/>
    <w:rsid w:val="00965B8A"/>
    <w:rsid w:val="00966EC3"/>
    <w:rsid w:val="009717AC"/>
    <w:rsid w:val="00971D8D"/>
    <w:rsid w:val="0097209F"/>
    <w:rsid w:val="009725C9"/>
    <w:rsid w:val="009745BC"/>
    <w:rsid w:val="00974988"/>
    <w:rsid w:val="00975481"/>
    <w:rsid w:val="00977FED"/>
    <w:rsid w:val="00980893"/>
    <w:rsid w:val="00980B23"/>
    <w:rsid w:val="00980B7B"/>
    <w:rsid w:val="00980F12"/>
    <w:rsid w:val="009832F7"/>
    <w:rsid w:val="00983E57"/>
    <w:rsid w:val="009843F2"/>
    <w:rsid w:val="00984543"/>
    <w:rsid w:val="0098675D"/>
    <w:rsid w:val="0098707C"/>
    <w:rsid w:val="00990DF7"/>
    <w:rsid w:val="00991CBB"/>
    <w:rsid w:val="0099382E"/>
    <w:rsid w:val="00993D43"/>
    <w:rsid w:val="00994578"/>
    <w:rsid w:val="00994858"/>
    <w:rsid w:val="00994DE3"/>
    <w:rsid w:val="009967FF"/>
    <w:rsid w:val="00996B1A"/>
    <w:rsid w:val="00996EF2"/>
    <w:rsid w:val="00996FAE"/>
    <w:rsid w:val="009A1851"/>
    <w:rsid w:val="009A1BEA"/>
    <w:rsid w:val="009A4C56"/>
    <w:rsid w:val="009A5674"/>
    <w:rsid w:val="009A667C"/>
    <w:rsid w:val="009A6999"/>
    <w:rsid w:val="009A7770"/>
    <w:rsid w:val="009A7F10"/>
    <w:rsid w:val="009B01EF"/>
    <w:rsid w:val="009B0D4A"/>
    <w:rsid w:val="009B1E6D"/>
    <w:rsid w:val="009B3252"/>
    <w:rsid w:val="009B3E26"/>
    <w:rsid w:val="009B43B2"/>
    <w:rsid w:val="009B64D0"/>
    <w:rsid w:val="009B7352"/>
    <w:rsid w:val="009B7552"/>
    <w:rsid w:val="009B7810"/>
    <w:rsid w:val="009C04C7"/>
    <w:rsid w:val="009C0F1E"/>
    <w:rsid w:val="009C2C63"/>
    <w:rsid w:val="009C2D0E"/>
    <w:rsid w:val="009C3090"/>
    <w:rsid w:val="009C346C"/>
    <w:rsid w:val="009C3DDF"/>
    <w:rsid w:val="009C4F3E"/>
    <w:rsid w:val="009C63E5"/>
    <w:rsid w:val="009C6CEA"/>
    <w:rsid w:val="009C70F6"/>
    <w:rsid w:val="009C7203"/>
    <w:rsid w:val="009C7B85"/>
    <w:rsid w:val="009C7FF0"/>
    <w:rsid w:val="009D002F"/>
    <w:rsid w:val="009D07E8"/>
    <w:rsid w:val="009D1327"/>
    <w:rsid w:val="009D1B73"/>
    <w:rsid w:val="009D2514"/>
    <w:rsid w:val="009D447D"/>
    <w:rsid w:val="009D5B91"/>
    <w:rsid w:val="009D792E"/>
    <w:rsid w:val="009D7EA6"/>
    <w:rsid w:val="009E0DFE"/>
    <w:rsid w:val="009E3C64"/>
    <w:rsid w:val="009E4C07"/>
    <w:rsid w:val="009E6447"/>
    <w:rsid w:val="009E6716"/>
    <w:rsid w:val="009E75D8"/>
    <w:rsid w:val="009E78F6"/>
    <w:rsid w:val="009F0B7D"/>
    <w:rsid w:val="009F1127"/>
    <w:rsid w:val="009F162D"/>
    <w:rsid w:val="009F1923"/>
    <w:rsid w:val="009F2373"/>
    <w:rsid w:val="009F2A44"/>
    <w:rsid w:val="009F2B4C"/>
    <w:rsid w:val="009F4CD6"/>
    <w:rsid w:val="009F54BE"/>
    <w:rsid w:val="009F5FA8"/>
    <w:rsid w:val="00A00EFC"/>
    <w:rsid w:val="00A01184"/>
    <w:rsid w:val="00A016E2"/>
    <w:rsid w:val="00A03995"/>
    <w:rsid w:val="00A03D43"/>
    <w:rsid w:val="00A03F11"/>
    <w:rsid w:val="00A04380"/>
    <w:rsid w:val="00A10763"/>
    <w:rsid w:val="00A113F0"/>
    <w:rsid w:val="00A11CD0"/>
    <w:rsid w:val="00A125E6"/>
    <w:rsid w:val="00A13948"/>
    <w:rsid w:val="00A1525E"/>
    <w:rsid w:val="00A1555B"/>
    <w:rsid w:val="00A155C5"/>
    <w:rsid w:val="00A162FD"/>
    <w:rsid w:val="00A16AD8"/>
    <w:rsid w:val="00A21C7B"/>
    <w:rsid w:val="00A21CF3"/>
    <w:rsid w:val="00A21F91"/>
    <w:rsid w:val="00A22B41"/>
    <w:rsid w:val="00A23021"/>
    <w:rsid w:val="00A235A1"/>
    <w:rsid w:val="00A2470B"/>
    <w:rsid w:val="00A26449"/>
    <w:rsid w:val="00A27AEC"/>
    <w:rsid w:val="00A3143F"/>
    <w:rsid w:val="00A31CC1"/>
    <w:rsid w:val="00A320DB"/>
    <w:rsid w:val="00A3332A"/>
    <w:rsid w:val="00A35356"/>
    <w:rsid w:val="00A3543F"/>
    <w:rsid w:val="00A35D16"/>
    <w:rsid w:val="00A3639A"/>
    <w:rsid w:val="00A36E0F"/>
    <w:rsid w:val="00A36F58"/>
    <w:rsid w:val="00A36F7A"/>
    <w:rsid w:val="00A37A03"/>
    <w:rsid w:val="00A37BCD"/>
    <w:rsid w:val="00A37CCF"/>
    <w:rsid w:val="00A41D3A"/>
    <w:rsid w:val="00A42B69"/>
    <w:rsid w:val="00A43C59"/>
    <w:rsid w:val="00A44821"/>
    <w:rsid w:val="00A44CBB"/>
    <w:rsid w:val="00A455C9"/>
    <w:rsid w:val="00A45D3F"/>
    <w:rsid w:val="00A4790A"/>
    <w:rsid w:val="00A479FF"/>
    <w:rsid w:val="00A50ECD"/>
    <w:rsid w:val="00A518F3"/>
    <w:rsid w:val="00A52729"/>
    <w:rsid w:val="00A5274C"/>
    <w:rsid w:val="00A528A3"/>
    <w:rsid w:val="00A53675"/>
    <w:rsid w:val="00A564D7"/>
    <w:rsid w:val="00A56B6A"/>
    <w:rsid w:val="00A56DB3"/>
    <w:rsid w:val="00A578DC"/>
    <w:rsid w:val="00A57B68"/>
    <w:rsid w:val="00A61814"/>
    <w:rsid w:val="00A6201C"/>
    <w:rsid w:val="00A659CD"/>
    <w:rsid w:val="00A66CEB"/>
    <w:rsid w:val="00A6725B"/>
    <w:rsid w:val="00A70605"/>
    <w:rsid w:val="00A70B67"/>
    <w:rsid w:val="00A70B6D"/>
    <w:rsid w:val="00A719EE"/>
    <w:rsid w:val="00A73134"/>
    <w:rsid w:val="00A734CF"/>
    <w:rsid w:val="00A73743"/>
    <w:rsid w:val="00A74C53"/>
    <w:rsid w:val="00A76E6C"/>
    <w:rsid w:val="00A774B0"/>
    <w:rsid w:val="00A777B2"/>
    <w:rsid w:val="00A77D09"/>
    <w:rsid w:val="00A865D3"/>
    <w:rsid w:val="00A86E8B"/>
    <w:rsid w:val="00A87164"/>
    <w:rsid w:val="00A871BE"/>
    <w:rsid w:val="00A9120C"/>
    <w:rsid w:val="00A92915"/>
    <w:rsid w:val="00A92CE8"/>
    <w:rsid w:val="00A93072"/>
    <w:rsid w:val="00A93738"/>
    <w:rsid w:val="00A93953"/>
    <w:rsid w:val="00A95952"/>
    <w:rsid w:val="00A959D8"/>
    <w:rsid w:val="00A95DB9"/>
    <w:rsid w:val="00AA00AD"/>
    <w:rsid w:val="00AA113D"/>
    <w:rsid w:val="00AA2D41"/>
    <w:rsid w:val="00AA3476"/>
    <w:rsid w:val="00AA3A9A"/>
    <w:rsid w:val="00AA5427"/>
    <w:rsid w:val="00AA5BE7"/>
    <w:rsid w:val="00AA5C58"/>
    <w:rsid w:val="00AA64E9"/>
    <w:rsid w:val="00AA6C7D"/>
    <w:rsid w:val="00AA7606"/>
    <w:rsid w:val="00AA7F17"/>
    <w:rsid w:val="00AA7FD6"/>
    <w:rsid w:val="00AB042A"/>
    <w:rsid w:val="00AB090A"/>
    <w:rsid w:val="00AB0B15"/>
    <w:rsid w:val="00AB1E28"/>
    <w:rsid w:val="00AB2D34"/>
    <w:rsid w:val="00AB2F60"/>
    <w:rsid w:val="00AB3430"/>
    <w:rsid w:val="00AB4AD1"/>
    <w:rsid w:val="00AB4B5F"/>
    <w:rsid w:val="00AB64F0"/>
    <w:rsid w:val="00AB7CFA"/>
    <w:rsid w:val="00AB7F03"/>
    <w:rsid w:val="00AC1AA7"/>
    <w:rsid w:val="00AC2E6E"/>
    <w:rsid w:val="00AC4EA6"/>
    <w:rsid w:val="00AC5B48"/>
    <w:rsid w:val="00AC6D71"/>
    <w:rsid w:val="00AC7779"/>
    <w:rsid w:val="00AD3F85"/>
    <w:rsid w:val="00AD4C60"/>
    <w:rsid w:val="00AD6502"/>
    <w:rsid w:val="00AD6731"/>
    <w:rsid w:val="00AE0C29"/>
    <w:rsid w:val="00AE0DCC"/>
    <w:rsid w:val="00AE45BD"/>
    <w:rsid w:val="00AE55FB"/>
    <w:rsid w:val="00AE5691"/>
    <w:rsid w:val="00AE6A70"/>
    <w:rsid w:val="00AE7170"/>
    <w:rsid w:val="00AE71B4"/>
    <w:rsid w:val="00AE7695"/>
    <w:rsid w:val="00AF0E10"/>
    <w:rsid w:val="00AF1315"/>
    <w:rsid w:val="00AF19BF"/>
    <w:rsid w:val="00AF2D5F"/>
    <w:rsid w:val="00AF2DC3"/>
    <w:rsid w:val="00AF3952"/>
    <w:rsid w:val="00AF3A59"/>
    <w:rsid w:val="00AF4E3B"/>
    <w:rsid w:val="00AF5F96"/>
    <w:rsid w:val="00AF6D5C"/>
    <w:rsid w:val="00B00104"/>
    <w:rsid w:val="00B033E5"/>
    <w:rsid w:val="00B03A63"/>
    <w:rsid w:val="00B052A7"/>
    <w:rsid w:val="00B053E5"/>
    <w:rsid w:val="00B06905"/>
    <w:rsid w:val="00B11E6C"/>
    <w:rsid w:val="00B13464"/>
    <w:rsid w:val="00B154D5"/>
    <w:rsid w:val="00B1552E"/>
    <w:rsid w:val="00B17224"/>
    <w:rsid w:val="00B17670"/>
    <w:rsid w:val="00B201A4"/>
    <w:rsid w:val="00B2052E"/>
    <w:rsid w:val="00B213A6"/>
    <w:rsid w:val="00B22490"/>
    <w:rsid w:val="00B22C4C"/>
    <w:rsid w:val="00B22E34"/>
    <w:rsid w:val="00B2345F"/>
    <w:rsid w:val="00B24DF6"/>
    <w:rsid w:val="00B24E17"/>
    <w:rsid w:val="00B2626A"/>
    <w:rsid w:val="00B26A68"/>
    <w:rsid w:val="00B30A81"/>
    <w:rsid w:val="00B31899"/>
    <w:rsid w:val="00B31E62"/>
    <w:rsid w:val="00B34FE2"/>
    <w:rsid w:val="00B351BA"/>
    <w:rsid w:val="00B357D8"/>
    <w:rsid w:val="00B35FA8"/>
    <w:rsid w:val="00B3683C"/>
    <w:rsid w:val="00B37BFC"/>
    <w:rsid w:val="00B40358"/>
    <w:rsid w:val="00B40463"/>
    <w:rsid w:val="00B404B0"/>
    <w:rsid w:val="00B41614"/>
    <w:rsid w:val="00B41FFB"/>
    <w:rsid w:val="00B42355"/>
    <w:rsid w:val="00B42851"/>
    <w:rsid w:val="00B42F80"/>
    <w:rsid w:val="00B435CB"/>
    <w:rsid w:val="00B43ED5"/>
    <w:rsid w:val="00B4463E"/>
    <w:rsid w:val="00B45A2F"/>
    <w:rsid w:val="00B46393"/>
    <w:rsid w:val="00B4733A"/>
    <w:rsid w:val="00B4767C"/>
    <w:rsid w:val="00B47B65"/>
    <w:rsid w:val="00B50DB8"/>
    <w:rsid w:val="00B51A36"/>
    <w:rsid w:val="00B532CB"/>
    <w:rsid w:val="00B53654"/>
    <w:rsid w:val="00B53905"/>
    <w:rsid w:val="00B5392A"/>
    <w:rsid w:val="00B54605"/>
    <w:rsid w:val="00B54B5B"/>
    <w:rsid w:val="00B54EE0"/>
    <w:rsid w:val="00B54F1D"/>
    <w:rsid w:val="00B55302"/>
    <w:rsid w:val="00B5562E"/>
    <w:rsid w:val="00B5598B"/>
    <w:rsid w:val="00B57000"/>
    <w:rsid w:val="00B5787C"/>
    <w:rsid w:val="00B60939"/>
    <w:rsid w:val="00B60AFD"/>
    <w:rsid w:val="00B60E58"/>
    <w:rsid w:val="00B6110C"/>
    <w:rsid w:val="00B62715"/>
    <w:rsid w:val="00B62D37"/>
    <w:rsid w:val="00B642FB"/>
    <w:rsid w:val="00B649CE"/>
    <w:rsid w:val="00B64AC1"/>
    <w:rsid w:val="00B64B26"/>
    <w:rsid w:val="00B64F88"/>
    <w:rsid w:val="00B66A83"/>
    <w:rsid w:val="00B66C9E"/>
    <w:rsid w:val="00B710FC"/>
    <w:rsid w:val="00B715B9"/>
    <w:rsid w:val="00B72350"/>
    <w:rsid w:val="00B726BA"/>
    <w:rsid w:val="00B72B25"/>
    <w:rsid w:val="00B73816"/>
    <w:rsid w:val="00B7512B"/>
    <w:rsid w:val="00B75F73"/>
    <w:rsid w:val="00B7615E"/>
    <w:rsid w:val="00B76812"/>
    <w:rsid w:val="00B8129D"/>
    <w:rsid w:val="00B818A4"/>
    <w:rsid w:val="00B81A6A"/>
    <w:rsid w:val="00B83E9A"/>
    <w:rsid w:val="00B84117"/>
    <w:rsid w:val="00B843BA"/>
    <w:rsid w:val="00B85AA2"/>
    <w:rsid w:val="00B8649C"/>
    <w:rsid w:val="00B86826"/>
    <w:rsid w:val="00B86876"/>
    <w:rsid w:val="00B87F0A"/>
    <w:rsid w:val="00B918D2"/>
    <w:rsid w:val="00B92CD2"/>
    <w:rsid w:val="00B92D0B"/>
    <w:rsid w:val="00B94945"/>
    <w:rsid w:val="00B9513B"/>
    <w:rsid w:val="00B95886"/>
    <w:rsid w:val="00B977A1"/>
    <w:rsid w:val="00BA0601"/>
    <w:rsid w:val="00BA1CEF"/>
    <w:rsid w:val="00BA322D"/>
    <w:rsid w:val="00BA4CF2"/>
    <w:rsid w:val="00BA4EDC"/>
    <w:rsid w:val="00BA69CC"/>
    <w:rsid w:val="00BA6E74"/>
    <w:rsid w:val="00BA73B2"/>
    <w:rsid w:val="00BB0BDD"/>
    <w:rsid w:val="00BB0FAF"/>
    <w:rsid w:val="00BB14D5"/>
    <w:rsid w:val="00BB1AE6"/>
    <w:rsid w:val="00BB2A73"/>
    <w:rsid w:val="00BB2AA6"/>
    <w:rsid w:val="00BB4ACC"/>
    <w:rsid w:val="00BB4F95"/>
    <w:rsid w:val="00BB6874"/>
    <w:rsid w:val="00BB703E"/>
    <w:rsid w:val="00BB7405"/>
    <w:rsid w:val="00BB798C"/>
    <w:rsid w:val="00BC0239"/>
    <w:rsid w:val="00BC3631"/>
    <w:rsid w:val="00BC4995"/>
    <w:rsid w:val="00BD0A94"/>
    <w:rsid w:val="00BD0EDD"/>
    <w:rsid w:val="00BD1F2A"/>
    <w:rsid w:val="00BD3C5E"/>
    <w:rsid w:val="00BD3EAA"/>
    <w:rsid w:val="00BD51BA"/>
    <w:rsid w:val="00BD59B3"/>
    <w:rsid w:val="00BD68A3"/>
    <w:rsid w:val="00BD6938"/>
    <w:rsid w:val="00BD6CF3"/>
    <w:rsid w:val="00BD7201"/>
    <w:rsid w:val="00BE13AB"/>
    <w:rsid w:val="00BE2180"/>
    <w:rsid w:val="00BE21F2"/>
    <w:rsid w:val="00BE242E"/>
    <w:rsid w:val="00BE2463"/>
    <w:rsid w:val="00BE4275"/>
    <w:rsid w:val="00BE4EBE"/>
    <w:rsid w:val="00BE559B"/>
    <w:rsid w:val="00BE6795"/>
    <w:rsid w:val="00BE6962"/>
    <w:rsid w:val="00BE6982"/>
    <w:rsid w:val="00BE76E2"/>
    <w:rsid w:val="00BF0F03"/>
    <w:rsid w:val="00BF0F95"/>
    <w:rsid w:val="00BF115B"/>
    <w:rsid w:val="00BF2433"/>
    <w:rsid w:val="00BF29A9"/>
    <w:rsid w:val="00BF4D3D"/>
    <w:rsid w:val="00BF61C9"/>
    <w:rsid w:val="00BF6C94"/>
    <w:rsid w:val="00BF75C9"/>
    <w:rsid w:val="00C00424"/>
    <w:rsid w:val="00C009F2"/>
    <w:rsid w:val="00C013BE"/>
    <w:rsid w:val="00C03F54"/>
    <w:rsid w:val="00C049A0"/>
    <w:rsid w:val="00C063D0"/>
    <w:rsid w:val="00C06411"/>
    <w:rsid w:val="00C065E5"/>
    <w:rsid w:val="00C07E1A"/>
    <w:rsid w:val="00C07E3A"/>
    <w:rsid w:val="00C10CDC"/>
    <w:rsid w:val="00C114D4"/>
    <w:rsid w:val="00C11D10"/>
    <w:rsid w:val="00C12C14"/>
    <w:rsid w:val="00C14B45"/>
    <w:rsid w:val="00C150E1"/>
    <w:rsid w:val="00C1526F"/>
    <w:rsid w:val="00C17513"/>
    <w:rsid w:val="00C17920"/>
    <w:rsid w:val="00C200AA"/>
    <w:rsid w:val="00C237ED"/>
    <w:rsid w:val="00C23FA8"/>
    <w:rsid w:val="00C24632"/>
    <w:rsid w:val="00C25194"/>
    <w:rsid w:val="00C25418"/>
    <w:rsid w:val="00C25D9C"/>
    <w:rsid w:val="00C26810"/>
    <w:rsid w:val="00C26B1F"/>
    <w:rsid w:val="00C2778B"/>
    <w:rsid w:val="00C27FC6"/>
    <w:rsid w:val="00C312AB"/>
    <w:rsid w:val="00C31649"/>
    <w:rsid w:val="00C33721"/>
    <w:rsid w:val="00C33E6A"/>
    <w:rsid w:val="00C35360"/>
    <w:rsid w:val="00C366E1"/>
    <w:rsid w:val="00C37927"/>
    <w:rsid w:val="00C40385"/>
    <w:rsid w:val="00C4060A"/>
    <w:rsid w:val="00C41914"/>
    <w:rsid w:val="00C428BD"/>
    <w:rsid w:val="00C42D6F"/>
    <w:rsid w:val="00C44F14"/>
    <w:rsid w:val="00C4576E"/>
    <w:rsid w:val="00C46B38"/>
    <w:rsid w:val="00C46F58"/>
    <w:rsid w:val="00C475AA"/>
    <w:rsid w:val="00C476E7"/>
    <w:rsid w:val="00C47C90"/>
    <w:rsid w:val="00C47CA1"/>
    <w:rsid w:val="00C5098E"/>
    <w:rsid w:val="00C50FF2"/>
    <w:rsid w:val="00C51399"/>
    <w:rsid w:val="00C51D5E"/>
    <w:rsid w:val="00C52324"/>
    <w:rsid w:val="00C523D4"/>
    <w:rsid w:val="00C535D5"/>
    <w:rsid w:val="00C544C4"/>
    <w:rsid w:val="00C556E2"/>
    <w:rsid w:val="00C56A91"/>
    <w:rsid w:val="00C57214"/>
    <w:rsid w:val="00C60AAA"/>
    <w:rsid w:val="00C610B8"/>
    <w:rsid w:val="00C62562"/>
    <w:rsid w:val="00C63C51"/>
    <w:rsid w:val="00C65576"/>
    <w:rsid w:val="00C66165"/>
    <w:rsid w:val="00C6645E"/>
    <w:rsid w:val="00C66A55"/>
    <w:rsid w:val="00C67679"/>
    <w:rsid w:val="00C70190"/>
    <w:rsid w:val="00C70AC3"/>
    <w:rsid w:val="00C7151A"/>
    <w:rsid w:val="00C71D19"/>
    <w:rsid w:val="00C71F60"/>
    <w:rsid w:val="00C72241"/>
    <w:rsid w:val="00C725D5"/>
    <w:rsid w:val="00C72A2A"/>
    <w:rsid w:val="00C736DE"/>
    <w:rsid w:val="00C73A58"/>
    <w:rsid w:val="00C73E9F"/>
    <w:rsid w:val="00C750B3"/>
    <w:rsid w:val="00C750C8"/>
    <w:rsid w:val="00C7560F"/>
    <w:rsid w:val="00C77B19"/>
    <w:rsid w:val="00C80A0E"/>
    <w:rsid w:val="00C8213F"/>
    <w:rsid w:val="00C82D9F"/>
    <w:rsid w:val="00C85011"/>
    <w:rsid w:val="00C853BF"/>
    <w:rsid w:val="00C87232"/>
    <w:rsid w:val="00C8797A"/>
    <w:rsid w:val="00C900B8"/>
    <w:rsid w:val="00C9022E"/>
    <w:rsid w:val="00C90C1F"/>
    <w:rsid w:val="00C90C71"/>
    <w:rsid w:val="00C90DE5"/>
    <w:rsid w:val="00C931CF"/>
    <w:rsid w:val="00C938CF"/>
    <w:rsid w:val="00C93E83"/>
    <w:rsid w:val="00C954F3"/>
    <w:rsid w:val="00C9610B"/>
    <w:rsid w:val="00C9624D"/>
    <w:rsid w:val="00C969DA"/>
    <w:rsid w:val="00CA2C77"/>
    <w:rsid w:val="00CA2F91"/>
    <w:rsid w:val="00CA387B"/>
    <w:rsid w:val="00CA444F"/>
    <w:rsid w:val="00CA5245"/>
    <w:rsid w:val="00CA5A47"/>
    <w:rsid w:val="00CA5EEC"/>
    <w:rsid w:val="00CA6198"/>
    <w:rsid w:val="00CA6AE8"/>
    <w:rsid w:val="00CA71F4"/>
    <w:rsid w:val="00CA7B09"/>
    <w:rsid w:val="00CB03EF"/>
    <w:rsid w:val="00CB1C60"/>
    <w:rsid w:val="00CB2F2A"/>
    <w:rsid w:val="00CB5B1A"/>
    <w:rsid w:val="00CB685A"/>
    <w:rsid w:val="00CB6B22"/>
    <w:rsid w:val="00CB7F5F"/>
    <w:rsid w:val="00CC18DD"/>
    <w:rsid w:val="00CC1B39"/>
    <w:rsid w:val="00CC1DBF"/>
    <w:rsid w:val="00CC2A3D"/>
    <w:rsid w:val="00CC37BE"/>
    <w:rsid w:val="00CC4D3A"/>
    <w:rsid w:val="00CC5567"/>
    <w:rsid w:val="00CC640A"/>
    <w:rsid w:val="00CC794D"/>
    <w:rsid w:val="00CD0ECF"/>
    <w:rsid w:val="00CD2012"/>
    <w:rsid w:val="00CD20F2"/>
    <w:rsid w:val="00CD2D06"/>
    <w:rsid w:val="00CD44AF"/>
    <w:rsid w:val="00CD4CE0"/>
    <w:rsid w:val="00CD6098"/>
    <w:rsid w:val="00CD6ADC"/>
    <w:rsid w:val="00CD6EC5"/>
    <w:rsid w:val="00CD739C"/>
    <w:rsid w:val="00CE0A08"/>
    <w:rsid w:val="00CE1960"/>
    <w:rsid w:val="00CE1E5F"/>
    <w:rsid w:val="00CE4193"/>
    <w:rsid w:val="00CE6274"/>
    <w:rsid w:val="00CF06C3"/>
    <w:rsid w:val="00CF0EB7"/>
    <w:rsid w:val="00CF2431"/>
    <w:rsid w:val="00CF2ADC"/>
    <w:rsid w:val="00CF2B8D"/>
    <w:rsid w:val="00CF394F"/>
    <w:rsid w:val="00CF4335"/>
    <w:rsid w:val="00CF456B"/>
    <w:rsid w:val="00CF519D"/>
    <w:rsid w:val="00CF5740"/>
    <w:rsid w:val="00CF5A22"/>
    <w:rsid w:val="00CF643C"/>
    <w:rsid w:val="00CF6AAD"/>
    <w:rsid w:val="00CF6C56"/>
    <w:rsid w:val="00CF7F1C"/>
    <w:rsid w:val="00D0157F"/>
    <w:rsid w:val="00D0262E"/>
    <w:rsid w:val="00D0594E"/>
    <w:rsid w:val="00D061F1"/>
    <w:rsid w:val="00D07CF9"/>
    <w:rsid w:val="00D10154"/>
    <w:rsid w:val="00D1041E"/>
    <w:rsid w:val="00D110BD"/>
    <w:rsid w:val="00D1228A"/>
    <w:rsid w:val="00D12A3D"/>
    <w:rsid w:val="00D1334C"/>
    <w:rsid w:val="00D13675"/>
    <w:rsid w:val="00D14163"/>
    <w:rsid w:val="00D141E1"/>
    <w:rsid w:val="00D14DD9"/>
    <w:rsid w:val="00D160BE"/>
    <w:rsid w:val="00D163E7"/>
    <w:rsid w:val="00D16C25"/>
    <w:rsid w:val="00D17723"/>
    <w:rsid w:val="00D17D6C"/>
    <w:rsid w:val="00D26E27"/>
    <w:rsid w:val="00D2754D"/>
    <w:rsid w:val="00D27B27"/>
    <w:rsid w:val="00D30415"/>
    <w:rsid w:val="00D30901"/>
    <w:rsid w:val="00D31B54"/>
    <w:rsid w:val="00D339D1"/>
    <w:rsid w:val="00D33BE9"/>
    <w:rsid w:val="00D34A4F"/>
    <w:rsid w:val="00D357FF"/>
    <w:rsid w:val="00D35D03"/>
    <w:rsid w:val="00D375B5"/>
    <w:rsid w:val="00D4087B"/>
    <w:rsid w:val="00D424C7"/>
    <w:rsid w:val="00D42F35"/>
    <w:rsid w:val="00D43137"/>
    <w:rsid w:val="00D43B09"/>
    <w:rsid w:val="00D43B2A"/>
    <w:rsid w:val="00D44176"/>
    <w:rsid w:val="00D44E34"/>
    <w:rsid w:val="00D47179"/>
    <w:rsid w:val="00D47575"/>
    <w:rsid w:val="00D47BA5"/>
    <w:rsid w:val="00D517B3"/>
    <w:rsid w:val="00D53071"/>
    <w:rsid w:val="00D54834"/>
    <w:rsid w:val="00D61600"/>
    <w:rsid w:val="00D62106"/>
    <w:rsid w:val="00D6280B"/>
    <w:rsid w:val="00D6331E"/>
    <w:rsid w:val="00D6449D"/>
    <w:rsid w:val="00D64D52"/>
    <w:rsid w:val="00D655CD"/>
    <w:rsid w:val="00D65C9F"/>
    <w:rsid w:val="00D66237"/>
    <w:rsid w:val="00D66BF0"/>
    <w:rsid w:val="00D66C29"/>
    <w:rsid w:val="00D679AF"/>
    <w:rsid w:val="00D700D4"/>
    <w:rsid w:val="00D70250"/>
    <w:rsid w:val="00D703D8"/>
    <w:rsid w:val="00D70F16"/>
    <w:rsid w:val="00D769F0"/>
    <w:rsid w:val="00D76A44"/>
    <w:rsid w:val="00D77471"/>
    <w:rsid w:val="00D775CB"/>
    <w:rsid w:val="00D815EF"/>
    <w:rsid w:val="00D83185"/>
    <w:rsid w:val="00D83BE9"/>
    <w:rsid w:val="00D900E0"/>
    <w:rsid w:val="00D901B4"/>
    <w:rsid w:val="00D90E1F"/>
    <w:rsid w:val="00D91923"/>
    <w:rsid w:val="00D91CDB"/>
    <w:rsid w:val="00D92B67"/>
    <w:rsid w:val="00D93471"/>
    <w:rsid w:val="00D93753"/>
    <w:rsid w:val="00D93BB9"/>
    <w:rsid w:val="00D969AF"/>
    <w:rsid w:val="00DA137F"/>
    <w:rsid w:val="00DA3167"/>
    <w:rsid w:val="00DA32E6"/>
    <w:rsid w:val="00DA3DE4"/>
    <w:rsid w:val="00DA4DC3"/>
    <w:rsid w:val="00DA6007"/>
    <w:rsid w:val="00DA65B0"/>
    <w:rsid w:val="00DA6BAB"/>
    <w:rsid w:val="00DA77A5"/>
    <w:rsid w:val="00DA7B11"/>
    <w:rsid w:val="00DB060E"/>
    <w:rsid w:val="00DB0D18"/>
    <w:rsid w:val="00DB0EDF"/>
    <w:rsid w:val="00DB1822"/>
    <w:rsid w:val="00DB19DA"/>
    <w:rsid w:val="00DB484F"/>
    <w:rsid w:val="00DB65A2"/>
    <w:rsid w:val="00DB6CFC"/>
    <w:rsid w:val="00DB75D7"/>
    <w:rsid w:val="00DC04F6"/>
    <w:rsid w:val="00DC1262"/>
    <w:rsid w:val="00DC15AD"/>
    <w:rsid w:val="00DC29DB"/>
    <w:rsid w:val="00DC2CEF"/>
    <w:rsid w:val="00DC3C57"/>
    <w:rsid w:val="00DC3F9F"/>
    <w:rsid w:val="00DC449E"/>
    <w:rsid w:val="00DC5501"/>
    <w:rsid w:val="00DC710A"/>
    <w:rsid w:val="00DC7658"/>
    <w:rsid w:val="00DD046C"/>
    <w:rsid w:val="00DD055B"/>
    <w:rsid w:val="00DD2520"/>
    <w:rsid w:val="00DD273C"/>
    <w:rsid w:val="00DD29CE"/>
    <w:rsid w:val="00DD2F87"/>
    <w:rsid w:val="00DD3143"/>
    <w:rsid w:val="00DD3F28"/>
    <w:rsid w:val="00DD4537"/>
    <w:rsid w:val="00DD4DF0"/>
    <w:rsid w:val="00DD4E15"/>
    <w:rsid w:val="00DD5ADF"/>
    <w:rsid w:val="00DD5B5C"/>
    <w:rsid w:val="00DD6611"/>
    <w:rsid w:val="00DD7D6A"/>
    <w:rsid w:val="00DE17D5"/>
    <w:rsid w:val="00DE273C"/>
    <w:rsid w:val="00DE2F92"/>
    <w:rsid w:val="00DE2FF5"/>
    <w:rsid w:val="00DE3138"/>
    <w:rsid w:val="00DE3339"/>
    <w:rsid w:val="00DE37F8"/>
    <w:rsid w:val="00DE4FCB"/>
    <w:rsid w:val="00DE6709"/>
    <w:rsid w:val="00DE6FAD"/>
    <w:rsid w:val="00DE7116"/>
    <w:rsid w:val="00DE7832"/>
    <w:rsid w:val="00DE78CB"/>
    <w:rsid w:val="00DF0D23"/>
    <w:rsid w:val="00DF1218"/>
    <w:rsid w:val="00DF157E"/>
    <w:rsid w:val="00DF18FC"/>
    <w:rsid w:val="00DF1C31"/>
    <w:rsid w:val="00DF2008"/>
    <w:rsid w:val="00DF20C5"/>
    <w:rsid w:val="00DF2A3F"/>
    <w:rsid w:val="00DF32A9"/>
    <w:rsid w:val="00DF3E7E"/>
    <w:rsid w:val="00DF4BB5"/>
    <w:rsid w:val="00DF5D2B"/>
    <w:rsid w:val="00DF6559"/>
    <w:rsid w:val="00DF665B"/>
    <w:rsid w:val="00DF7A1E"/>
    <w:rsid w:val="00E00AF5"/>
    <w:rsid w:val="00E00E8E"/>
    <w:rsid w:val="00E01840"/>
    <w:rsid w:val="00E02557"/>
    <w:rsid w:val="00E05630"/>
    <w:rsid w:val="00E0628D"/>
    <w:rsid w:val="00E065BA"/>
    <w:rsid w:val="00E06DBB"/>
    <w:rsid w:val="00E07E47"/>
    <w:rsid w:val="00E10149"/>
    <w:rsid w:val="00E10D69"/>
    <w:rsid w:val="00E10E2B"/>
    <w:rsid w:val="00E11548"/>
    <w:rsid w:val="00E117C3"/>
    <w:rsid w:val="00E16372"/>
    <w:rsid w:val="00E1690A"/>
    <w:rsid w:val="00E16C03"/>
    <w:rsid w:val="00E20937"/>
    <w:rsid w:val="00E20CD0"/>
    <w:rsid w:val="00E20E4D"/>
    <w:rsid w:val="00E20ED6"/>
    <w:rsid w:val="00E21358"/>
    <w:rsid w:val="00E2249B"/>
    <w:rsid w:val="00E2279B"/>
    <w:rsid w:val="00E22A0D"/>
    <w:rsid w:val="00E2421D"/>
    <w:rsid w:val="00E24CEB"/>
    <w:rsid w:val="00E272C5"/>
    <w:rsid w:val="00E276AB"/>
    <w:rsid w:val="00E2771E"/>
    <w:rsid w:val="00E3023D"/>
    <w:rsid w:val="00E30292"/>
    <w:rsid w:val="00E3085F"/>
    <w:rsid w:val="00E319F2"/>
    <w:rsid w:val="00E32103"/>
    <w:rsid w:val="00E340BC"/>
    <w:rsid w:val="00E34948"/>
    <w:rsid w:val="00E34D20"/>
    <w:rsid w:val="00E34E9A"/>
    <w:rsid w:val="00E35180"/>
    <w:rsid w:val="00E355D6"/>
    <w:rsid w:val="00E37569"/>
    <w:rsid w:val="00E41E30"/>
    <w:rsid w:val="00E42F0E"/>
    <w:rsid w:val="00E435AE"/>
    <w:rsid w:val="00E43D70"/>
    <w:rsid w:val="00E44F89"/>
    <w:rsid w:val="00E4596F"/>
    <w:rsid w:val="00E45CCB"/>
    <w:rsid w:val="00E466F3"/>
    <w:rsid w:val="00E46E01"/>
    <w:rsid w:val="00E47B2C"/>
    <w:rsid w:val="00E5051C"/>
    <w:rsid w:val="00E50590"/>
    <w:rsid w:val="00E51560"/>
    <w:rsid w:val="00E51563"/>
    <w:rsid w:val="00E5301F"/>
    <w:rsid w:val="00E532C6"/>
    <w:rsid w:val="00E54347"/>
    <w:rsid w:val="00E54A1D"/>
    <w:rsid w:val="00E5527F"/>
    <w:rsid w:val="00E55424"/>
    <w:rsid w:val="00E55A86"/>
    <w:rsid w:val="00E55BB5"/>
    <w:rsid w:val="00E564CF"/>
    <w:rsid w:val="00E57351"/>
    <w:rsid w:val="00E57559"/>
    <w:rsid w:val="00E5759A"/>
    <w:rsid w:val="00E5778B"/>
    <w:rsid w:val="00E61A86"/>
    <w:rsid w:val="00E61AF2"/>
    <w:rsid w:val="00E62E8D"/>
    <w:rsid w:val="00E63A14"/>
    <w:rsid w:val="00E65704"/>
    <w:rsid w:val="00E65AC5"/>
    <w:rsid w:val="00E65E79"/>
    <w:rsid w:val="00E66BA2"/>
    <w:rsid w:val="00E67416"/>
    <w:rsid w:val="00E70E71"/>
    <w:rsid w:val="00E7187F"/>
    <w:rsid w:val="00E718B6"/>
    <w:rsid w:val="00E723BA"/>
    <w:rsid w:val="00E72B10"/>
    <w:rsid w:val="00E73581"/>
    <w:rsid w:val="00E73EA1"/>
    <w:rsid w:val="00E74AF8"/>
    <w:rsid w:val="00E74B45"/>
    <w:rsid w:val="00E764A6"/>
    <w:rsid w:val="00E779F9"/>
    <w:rsid w:val="00E805A8"/>
    <w:rsid w:val="00E80FE1"/>
    <w:rsid w:val="00E8295B"/>
    <w:rsid w:val="00E82CAF"/>
    <w:rsid w:val="00E833F7"/>
    <w:rsid w:val="00E83BDF"/>
    <w:rsid w:val="00E84817"/>
    <w:rsid w:val="00E84DDD"/>
    <w:rsid w:val="00E85B88"/>
    <w:rsid w:val="00E861EC"/>
    <w:rsid w:val="00E86D0A"/>
    <w:rsid w:val="00E873F6"/>
    <w:rsid w:val="00E87A1D"/>
    <w:rsid w:val="00E90559"/>
    <w:rsid w:val="00E90BF8"/>
    <w:rsid w:val="00E91F92"/>
    <w:rsid w:val="00E920F2"/>
    <w:rsid w:val="00E926A5"/>
    <w:rsid w:val="00E94D51"/>
    <w:rsid w:val="00E95BDC"/>
    <w:rsid w:val="00E960E3"/>
    <w:rsid w:val="00E9722D"/>
    <w:rsid w:val="00EA1558"/>
    <w:rsid w:val="00EA17C3"/>
    <w:rsid w:val="00EA22D1"/>
    <w:rsid w:val="00EA2CAA"/>
    <w:rsid w:val="00EA2FF2"/>
    <w:rsid w:val="00EA3864"/>
    <w:rsid w:val="00EA3C50"/>
    <w:rsid w:val="00EA3FA8"/>
    <w:rsid w:val="00EA4586"/>
    <w:rsid w:val="00EA4DD2"/>
    <w:rsid w:val="00EB15B6"/>
    <w:rsid w:val="00EB21B5"/>
    <w:rsid w:val="00EB48E8"/>
    <w:rsid w:val="00EB4916"/>
    <w:rsid w:val="00EB4CB1"/>
    <w:rsid w:val="00EB5C1F"/>
    <w:rsid w:val="00EB6045"/>
    <w:rsid w:val="00EC00C9"/>
    <w:rsid w:val="00EC114C"/>
    <w:rsid w:val="00EC16D7"/>
    <w:rsid w:val="00EC2649"/>
    <w:rsid w:val="00EC2763"/>
    <w:rsid w:val="00EC2A15"/>
    <w:rsid w:val="00EC5927"/>
    <w:rsid w:val="00EC5E5C"/>
    <w:rsid w:val="00EC79F9"/>
    <w:rsid w:val="00EC7D0E"/>
    <w:rsid w:val="00ED099F"/>
    <w:rsid w:val="00ED164A"/>
    <w:rsid w:val="00ED29AD"/>
    <w:rsid w:val="00ED47F9"/>
    <w:rsid w:val="00ED5110"/>
    <w:rsid w:val="00ED57EA"/>
    <w:rsid w:val="00ED7EEA"/>
    <w:rsid w:val="00EE02E5"/>
    <w:rsid w:val="00EE059E"/>
    <w:rsid w:val="00EE0717"/>
    <w:rsid w:val="00EE07D3"/>
    <w:rsid w:val="00EE0F9C"/>
    <w:rsid w:val="00EE22AF"/>
    <w:rsid w:val="00EE29DB"/>
    <w:rsid w:val="00EE2D06"/>
    <w:rsid w:val="00EE49D3"/>
    <w:rsid w:val="00EE4ECB"/>
    <w:rsid w:val="00EE56DC"/>
    <w:rsid w:val="00EE6886"/>
    <w:rsid w:val="00EE696F"/>
    <w:rsid w:val="00EF0171"/>
    <w:rsid w:val="00EF0D0E"/>
    <w:rsid w:val="00EF1B25"/>
    <w:rsid w:val="00EF2089"/>
    <w:rsid w:val="00EF4747"/>
    <w:rsid w:val="00EF4BF8"/>
    <w:rsid w:val="00F002FD"/>
    <w:rsid w:val="00F008B0"/>
    <w:rsid w:val="00F02253"/>
    <w:rsid w:val="00F03C2E"/>
    <w:rsid w:val="00F04A66"/>
    <w:rsid w:val="00F0516C"/>
    <w:rsid w:val="00F0547E"/>
    <w:rsid w:val="00F06448"/>
    <w:rsid w:val="00F067A2"/>
    <w:rsid w:val="00F068E5"/>
    <w:rsid w:val="00F0691C"/>
    <w:rsid w:val="00F0724C"/>
    <w:rsid w:val="00F07359"/>
    <w:rsid w:val="00F11155"/>
    <w:rsid w:val="00F1115D"/>
    <w:rsid w:val="00F119BB"/>
    <w:rsid w:val="00F1263A"/>
    <w:rsid w:val="00F128F3"/>
    <w:rsid w:val="00F14788"/>
    <w:rsid w:val="00F156B7"/>
    <w:rsid w:val="00F15ECB"/>
    <w:rsid w:val="00F2088B"/>
    <w:rsid w:val="00F22CF7"/>
    <w:rsid w:val="00F24103"/>
    <w:rsid w:val="00F24837"/>
    <w:rsid w:val="00F24D6E"/>
    <w:rsid w:val="00F2575F"/>
    <w:rsid w:val="00F26E8D"/>
    <w:rsid w:val="00F271E7"/>
    <w:rsid w:val="00F27565"/>
    <w:rsid w:val="00F27E60"/>
    <w:rsid w:val="00F30740"/>
    <w:rsid w:val="00F30C09"/>
    <w:rsid w:val="00F310D4"/>
    <w:rsid w:val="00F31D5A"/>
    <w:rsid w:val="00F3280E"/>
    <w:rsid w:val="00F32B45"/>
    <w:rsid w:val="00F33036"/>
    <w:rsid w:val="00F33DE9"/>
    <w:rsid w:val="00F353AD"/>
    <w:rsid w:val="00F3619A"/>
    <w:rsid w:val="00F40AAA"/>
    <w:rsid w:val="00F40BA7"/>
    <w:rsid w:val="00F40D48"/>
    <w:rsid w:val="00F4182D"/>
    <w:rsid w:val="00F41CA1"/>
    <w:rsid w:val="00F41E13"/>
    <w:rsid w:val="00F4215A"/>
    <w:rsid w:val="00F42CA9"/>
    <w:rsid w:val="00F4393D"/>
    <w:rsid w:val="00F43E24"/>
    <w:rsid w:val="00F457B0"/>
    <w:rsid w:val="00F46CB6"/>
    <w:rsid w:val="00F46D98"/>
    <w:rsid w:val="00F472DF"/>
    <w:rsid w:val="00F4787B"/>
    <w:rsid w:val="00F47DE8"/>
    <w:rsid w:val="00F5136A"/>
    <w:rsid w:val="00F52767"/>
    <w:rsid w:val="00F53015"/>
    <w:rsid w:val="00F542C1"/>
    <w:rsid w:val="00F54F63"/>
    <w:rsid w:val="00F54FFE"/>
    <w:rsid w:val="00F55E73"/>
    <w:rsid w:val="00F55EDA"/>
    <w:rsid w:val="00F5763F"/>
    <w:rsid w:val="00F60092"/>
    <w:rsid w:val="00F60F6C"/>
    <w:rsid w:val="00F61A0D"/>
    <w:rsid w:val="00F61A89"/>
    <w:rsid w:val="00F64F65"/>
    <w:rsid w:val="00F65EFE"/>
    <w:rsid w:val="00F65F4B"/>
    <w:rsid w:val="00F703DC"/>
    <w:rsid w:val="00F70C9D"/>
    <w:rsid w:val="00F72D9E"/>
    <w:rsid w:val="00F73A81"/>
    <w:rsid w:val="00F73D8A"/>
    <w:rsid w:val="00F74CD9"/>
    <w:rsid w:val="00F756F1"/>
    <w:rsid w:val="00F7570C"/>
    <w:rsid w:val="00F76518"/>
    <w:rsid w:val="00F767BF"/>
    <w:rsid w:val="00F76C1D"/>
    <w:rsid w:val="00F76E10"/>
    <w:rsid w:val="00F776C9"/>
    <w:rsid w:val="00F77C00"/>
    <w:rsid w:val="00F80A7B"/>
    <w:rsid w:val="00F80E5D"/>
    <w:rsid w:val="00F835F6"/>
    <w:rsid w:val="00F83652"/>
    <w:rsid w:val="00F83761"/>
    <w:rsid w:val="00F84E13"/>
    <w:rsid w:val="00F851CE"/>
    <w:rsid w:val="00F87769"/>
    <w:rsid w:val="00F900A6"/>
    <w:rsid w:val="00F90693"/>
    <w:rsid w:val="00F91219"/>
    <w:rsid w:val="00F91A54"/>
    <w:rsid w:val="00F92D4B"/>
    <w:rsid w:val="00F9488B"/>
    <w:rsid w:val="00F96486"/>
    <w:rsid w:val="00F97304"/>
    <w:rsid w:val="00F97A47"/>
    <w:rsid w:val="00F97A78"/>
    <w:rsid w:val="00F97B3D"/>
    <w:rsid w:val="00F97FC8"/>
    <w:rsid w:val="00FA01FC"/>
    <w:rsid w:val="00FA0B20"/>
    <w:rsid w:val="00FA24E7"/>
    <w:rsid w:val="00FA25FA"/>
    <w:rsid w:val="00FA4285"/>
    <w:rsid w:val="00FA509D"/>
    <w:rsid w:val="00FA72C0"/>
    <w:rsid w:val="00FA7AE9"/>
    <w:rsid w:val="00FB0B1E"/>
    <w:rsid w:val="00FB2146"/>
    <w:rsid w:val="00FB2FCB"/>
    <w:rsid w:val="00FB310A"/>
    <w:rsid w:val="00FB340F"/>
    <w:rsid w:val="00FB3D32"/>
    <w:rsid w:val="00FB5B79"/>
    <w:rsid w:val="00FB7238"/>
    <w:rsid w:val="00FC1074"/>
    <w:rsid w:val="00FC1148"/>
    <w:rsid w:val="00FC1884"/>
    <w:rsid w:val="00FC21A2"/>
    <w:rsid w:val="00FC3206"/>
    <w:rsid w:val="00FC371D"/>
    <w:rsid w:val="00FC5596"/>
    <w:rsid w:val="00FC5F0B"/>
    <w:rsid w:val="00FC6297"/>
    <w:rsid w:val="00FD0255"/>
    <w:rsid w:val="00FD03F6"/>
    <w:rsid w:val="00FD091B"/>
    <w:rsid w:val="00FD2100"/>
    <w:rsid w:val="00FD355F"/>
    <w:rsid w:val="00FD3C35"/>
    <w:rsid w:val="00FD436C"/>
    <w:rsid w:val="00FD446D"/>
    <w:rsid w:val="00FD4A9C"/>
    <w:rsid w:val="00FD6394"/>
    <w:rsid w:val="00FD7E73"/>
    <w:rsid w:val="00FE0418"/>
    <w:rsid w:val="00FE0E6C"/>
    <w:rsid w:val="00FE1880"/>
    <w:rsid w:val="00FE4402"/>
    <w:rsid w:val="00FE467D"/>
    <w:rsid w:val="00FE5189"/>
    <w:rsid w:val="00FE70C3"/>
    <w:rsid w:val="00FE7729"/>
    <w:rsid w:val="00FF1D25"/>
    <w:rsid w:val="00FF3DCF"/>
    <w:rsid w:val="00FF4051"/>
    <w:rsid w:val="00FF41EE"/>
    <w:rsid w:val="00FF492C"/>
    <w:rsid w:val="00FF4956"/>
    <w:rsid w:val="00FF497D"/>
    <w:rsid w:val="00FF4A21"/>
    <w:rsid w:val="00FF5AA3"/>
    <w:rsid w:val="00FF5AD8"/>
    <w:rsid w:val="00FF68D7"/>
    <w:rsid w:val="00FF6E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B2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96"/>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Styl moj Char,Akapit z listą1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E1154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11548"/>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link w:val="TableTextChar0"/>
    <w:qFormat/>
    <w:rsid w:val="00583F51"/>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583F51"/>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583F51"/>
    <w:rPr>
      <w:rFonts w:ascii="Arial Narrow" w:eastAsiaTheme="minorHAnsi" w:hAnsi="Arial Narrow" w:cstheme="minorBidi"/>
      <w:szCs w:val="22"/>
      <w:lang w:eastAsia="en-US"/>
    </w:rPr>
  </w:style>
  <w:style w:type="character" w:styleId="PlaceholderText">
    <w:name w:val="Placeholder Text"/>
    <w:basedOn w:val="DefaultParagraphFont"/>
    <w:uiPriority w:val="99"/>
    <w:semiHidden/>
    <w:rsid w:val="00BB1AE6"/>
    <w:rPr>
      <w:color w:val="808080"/>
    </w:rPr>
  </w:style>
  <w:style w:type="character" w:customStyle="1" w:styleId="li-content">
    <w:name w:val="li-content"/>
    <w:basedOn w:val="DefaultParagraphFont"/>
    <w:rsid w:val="00A21C7B"/>
    <w:rPr>
      <w:color w:val="000000"/>
    </w:rPr>
  </w:style>
  <w:style w:type="paragraph" w:customStyle="1" w:styleId="COMtbl-HEADLeftAligned">
    <w:name w:val="COMtbl-HEAD Left Aligned"/>
    <w:basedOn w:val="Normal"/>
    <w:qFormat/>
    <w:rsid w:val="00F1115D"/>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F1115D"/>
    <w:pPr>
      <w:jc w:val="center"/>
    </w:pPr>
  </w:style>
  <w:style w:type="paragraph" w:customStyle="1" w:styleId="COMtbl-textCentred">
    <w:name w:val="COMtbl-text Centred"/>
    <w:basedOn w:val="COMtbl-HEADCentred"/>
    <w:qFormat/>
    <w:rsid w:val="00F1115D"/>
    <w:rPr>
      <w:b w:val="0"/>
    </w:rPr>
  </w:style>
  <w:style w:type="paragraph" w:customStyle="1" w:styleId="COMTbl-foot">
    <w:name w:val="COMTbl-foot"/>
    <w:basedOn w:val="TableFooter"/>
    <w:link w:val="COMTbl-footChar"/>
    <w:qFormat/>
    <w:rsid w:val="00F1115D"/>
    <w:rPr>
      <w:rFonts w:ascii="Arial" w:hAnsi="Arial"/>
      <w:szCs w:val="20"/>
    </w:rPr>
  </w:style>
  <w:style w:type="character" w:customStyle="1" w:styleId="COMTbl-footChar">
    <w:name w:val="COMTbl-foot Char"/>
    <w:basedOn w:val="DefaultParagraphFont"/>
    <w:link w:val="COMTbl-foot"/>
    <w:rsid w:val="00F1115D"/>
    <w:rPr>
      <w:rFonts w:ascii="Arial" w:hAnsi="Arial" w:cs="Arial"/>
      <w:snapToGrid w:val="0"/>
      <w:sz w:val="18"/>
      <w:lang w:eastAsia="en-US"/>
    </w:rPr>
  </w:style>
  <w:style w:type="paragraph" w:styleId="FootnoteText">
    <w:name w:val="footnote text"/>
    <w:basedOn w:val="Normal"/>
    <w:link w:val="FootnoteTextChar"/>
    <w:semiHidden/>
    <w:unhideWhenUsed/>
    <w:rsid w:val="005B0CC6"/>
    <w:rPr>
      <w:sz w:val="20"/>
      <w:szCs w:val="20"/>
    </w:rPr>
  </w:style>
  <w:style w:type="character" w:customStyle="1" w:styleId="FootnoteTextChar">
    <w:name w:val="Footnote Text Char"/>
    <w:basedOn w:val="DefaultParagraphFont"/>
    <w:link w:val="FootnoteText"/>
    <w:semiHidden/>
    <w:rsid w:val="005B0CC6"/>
    <w:rPr>
      <w:rFonts w:ascii="Calibri" w:hAnsi="Calibri" w:cs="Arial"/>
      <w:snapToGrid w:val="0"/>
      <w:lang w:eastAsia="en-US"/>
    </w:rPr>
  </w:style>
  <w:style w:type="character" w:customStyle="1" w:styleId="Heading1Char">
    <w:name w:val="Heading 1 Char"/>
    <w:basedOn w:val="DefaultParagraphFont"/>
    <w:link w:val="Heading1"/>
    <w:uiPriority w:val="1"/>
    <w:rsid w:val="00FC6297"/>
    <w:rPr>
      <w:rFonts w:ascii="Calibri" w:hAnsi="Calibri" w:cs="Arial"/>
      <w:b/>
      <w:caps/>
      <w:snapToGrid w:val="0"/>
      <w:sz w:val="32"/>
      <w:szCs w:val="22"/>
      <w:lang w:eastAsia="en-US"/>
    </w:rPr>
  </w:style>
  <w:style w:type="paragraph" w:customStyle="1" w:styleId="KMC16-Tablecontent">
    <w:name w:val="KMC16 - Table content"/>
    <w:basedOn w:val="Normal"/>
    <w:link w:val="KMC16-TablecontentChar"/>
    <w:qFormat/>
    <w:rsid w:val="00655C46"/>
    <w:pPr>
      <w:widowControl/>
      <w:spacing w:before="40" w:after="40"/>
      <w:jc w:val="left"/>
    </w:pPr>
    <w:rPr>
      <w:rFonts w:ascii="Arial Narrow" w:hAnsi="Arial Narrow"/>
      <w:snapToGrid/>
      <w:color w:val="000000"/>
      <w:sz w:val="20"/>
      <w:lang w:val="en-GB"/>
    </w:rPr>
  </w:style>
  <w:style w:type="character" w:customStyle="1" w:styleId="KMC16-TablecontentChar">
    <w:name w:val="KMC16 - Table content Char"/>
    <w:link w:val="KMC16-Tablecontent"/>
    <w:rsid w:val="00655C46"/>
    <w:rPr>
      <w:rFonts w:ascii="Arial Narrow" w:hAnsi="Arial Narrow" w:cs="Arial"/>
      <w:color w:val="000000"/>
      <w:szCs w:val="22"/>
      <w:lang w:val="en-GB" w:eastAsia="en-US"/>
    </w:rPr>
  </w:style>
  <w:style w:type="paragraph" w:customStyle="1" w:styleId="Default">
    <w:name w:val="Default"/>
    <w:rsid w:val="00655C46"/>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semiHidden/>
    <w:unhideWhenUsed/>
    <w:rsid w:val="0062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72704">
      <w:bodyDiv w:val="1"/>
      <w:marLeft w:val="0"/>
      <w:marRight w:val="0"/>
      <w:marTop w:val="0"/>
      <w:marBottom w:val="0"/>
      <w:divBdr>
        <w:top w:val="none" w:sz="0" w:space="0" w:color="auto"/>
        <w:left w:val="none" w:sz="0" w:space="0" w:color="auto"/>
        <w:bottom w:val="none" w:sz="0" w:space="0" w:color="auto"/>
        <w:right w:val="none" w:sz="0" w:space="0" w:color="auto"/>
      </w:divBdr>
    </w:div>
    <w:div w:id="583758018">
      <w:bodyDiv w:val="1"/>
      <w:marLeft w:val="0"/>
      <w:marRight w:val="0"/>
      <w:marTop w:val="0"/>
      <w:marBottom w:val="0"/>
      <w:divBdr>
        <w:top w:val="none" w:sz="0" w:space="0" w:color="auto"/>
        <w:left w:val="none" w:sz="0" w:space="0" w:color="auto"/>
        <w:bottom w:val="none" w:sz="0" w:space="0" w:color="auto"/>
        <w:right w:val="none" w:sz="0" w:space="0" w:color="auto"/>
      </w:divBdr>
    </w:div>
    <w:div w:id="635989083">
      <w:bodyDiv w:val="1"/>
      <w:marLeft w:val="0"/>
      <w:marRight w:val="0"/>
      <w:marTop w:val="0"/>
      <w:marBottom w:val="0"/>
      <w:divBdr>
        <w:top w:val="none" w:sz="0" w:space="0" w:color="auto"/>
        <w:left w:val="none" w:sz="0" w:space="0" w:color="auto"/>
        <w:bottom w:val="none" w:sz="0" w:space="0" w:color="auto"/>
        <w:right w:val="none" w:sz="0" w:space="0" w:color="auto"/>
      </w:divBdr>
    </w:div>
    <w:div w:id="657391742">
      <w:bodyDiv w:val="1"/>
      <w:marLeft w:val="0"/>
      <w:marRight w:val="0"/>
      <w:marTop w:val="0"/>
      <w:marBottom w:val="0"/>
      <w:divBdr>
        <w:top w:val="none" w:sz="0" w:space="0" w:color="auto"/>
        <w:left w:val="none" w:sz="0" w:space="0" w:color="auto"/>
        <w:bottom w:val="none" w:sz="0" w:space="0" w:color="auto"/>
        <w:right w:val="none" w:sz="0" w:space="0" w:color="auto"/>
      </w:divBdr>
    </w:div>
    <w:div w:id="688919694">
      <w:bodyDiv w:val="1"/>
      <w:marLeft w:val="0"/>
      <w:marRight w:val="0"/>
      <w:marTop w:val="0"/>
      <w:marBottom w:val="0"/>
      <w:divBdr>
        <w:top w:val="none" w:sz="0" w:space="0" w:color="auto"/>
        <w:left w:val="none" w:sz="0" w:space="0" w:color="auto"/>
        <w:bottom w:val="none" w:sz="0" w:space="0" w:color="auto"/>
        <w:right w:val="none" w:sz="0" w:space="0" w:color="auto"/>
      </w:divBdr>
    </w:div>
    <w:div w:id="797333001">
      <w:bodyDiv w:val="1"/>
      <w:marLeft w:val="0"/>
      <w:marRight w:val="0"/>
      <w:marTop w:val="0"/>
      <w:marBottom w:val="0"/>
      <w:divBdr>
        <w:top w:val="none" w:sz="0" w:space="0" w:color="auto"/>
        <w:left w:val="none" w:sz="0" w:space="0" w:color="auto"/>
        <w:bottom w:val="none" w:sz="0" w:space="0" w:color="auto"/>
        <w:right w:val="none" w:sz="0" w:space="0" w:color="auto"/>
      </w:divBdr>
      <w:divsChild>
        <w:div w:id="1125349426">
          <w:marLeft w:val="360"/>
          <w:marRight w:val="0"/>
          <w:marTop w:val="200"/>
          <w:marBottom w:val="0"/>
          <w:divBdr>
            <w:top w:val="none" w:sz="0" w:space="0" w:color="auto"/>
            <w:left w:val="none" w:sz="0" w:space="0" w:color="auto"/>
            <w:bottom w:val="none" w:sz="0" w:space="0" w:color="auto"/>
            <w:right w:val="none" w:sz="0" w:space="0" w:color="auto"/>
          </w:divBdr>
        </w:div>
        <w:div w:id="698972286">
          <w:marLeft w:val="1080"/>
          <w:marRight w:val="0"/>
          <w:marTop w:val="100"/>
          <w:marBottom w:val="0"/>
          <w:divBdr>
            <w:top w:val="none" w:sz="0" w:space="0" w:color="auto"/>
            <w:left w:val="none" w:sz="0" w:space="0" w:color="auto"/>
            <w:bottom w:val="none" w:sz="0" w:space="0" w:color="auto"/>
            <w:right w:val="none" w:sz="0" w:space="0" w:color="auto"/>
          </w:divBdr>
        </w:div>
      </w:divsChild>
    </w:div>
    <w:div w:id="1035882456">
      <w:bodyDiv w:val="1"/>
      <w:marLeft w:val="0"/>
      <w:marRight w:val="0"/>
      <w:marTop w:val="0"/>
      <w:marBottom w:val="0"/>
      <w:divBdr>
        <w:top w:val="none" w:sz="0" w:space="0" w:color="auto"/>
        <w:left w:val="none" w:sz="0" w:space="0" w:color="auto"/>
        <w:bottom w:val="none" w:sz="0" w:space="0" w:color="auto"/>
        <w:right w:val="none" w:sz="0" w:space="0" w:color="auto"/>
      </w:divBdr>
    </w:div>
    <w:div w:id="1172335358">
      <w:bodyDiv w:val="1"/>
      <w:marLeft w:val="0"/>
      <w:marRight w:val="0"/>
      <w:marTop w:val="0"/>
      <w:marBottom w:val="0"/>
      <w:divBdr>
        <w:top w:val="none" w:sz="0" w:space="0" w:color="auto"/>
        <w:left w:val="none" w:sz="0" w:space="0" w:color="auto"/>
        <w:bottom w:val="none" w:sz="0" w:space="0" w:color="auto"/>
        <w:right w:val="none" w:sz="0" w:space="0" w:color="auto"/>
      </w:divBdr>
    </w:div>
    <w:div w:id="1275019356">
      <w:bodyDiv w:val="1"/>
      <w:marLeft w:val="0"/>
      <w:marRight w:val="0"/>
      <w:marTop w:val="0"/>
      <w:marBottom w:val="0"/>
      <w:divBdr>
        <w:top w:val="none" w:sz="0" w:space="0" w:color="auto"/>
        <w:left w:val="none" w:sz="0" w:space="0" w:color="auto"/>
        <w:bottom w:val="none" w:sz="0" w:space="0" w:color="auto"/>
        <w:right w:val="none" w:sz="0" w:space="0" w:color="auto"/>
      </w:divBdr>
    </w:div>
    <w:div w:id="1549292270">
      <w:bodyDiv w:val="1"/>
      <w:marLeft w:val="0"/>
      <w:marRight w:val="0"/>
      <w:marTop w:val="0"/>
      <w:marBottom w:val="0"/>
      <w:divBdr>
        <w:top w:val="none" w:sz="0" w:space="0" w:color="auto"/>
        <w:left w:val="none" w:sz="0" w:space="0" w:color="auto"/>
        <w:bottom w:val="none" w:sz="0" w:space="0" w:color="auto"/>
        <w:right w:val="none" w:sz="0" w:space="0" w:color="auto"/>
      </w:divBdr>
    </w:div>
    <w:div w:id="1670598568">
      <w:bodyDiv w:val="1"/>
      <w:marLeft w:val="0"/>
      <w:marRight w:val="0"/>
      <w:marTop w:val="0"/>
      <w:marBottom w:val="0"/>
      <w:divBdr>
        <w:top w:val="none" w:sz="0" w:space="0" w:color="auto"/>
        <w:left w:val="none" w:sz="0" w:space="0" w:color="auto"/>
        <w:bottom w:val="none" w:sz="0" w:space="0" w:color="auto"/>
        <w:right w:val="none" w:sz="0" w:space="0" w:color="auto"/>
      </w:divBdr>
    </w:div>
    <w:div w:id="1999307224">
      <w:bodyDiv w:val="1"/>
      <w:marLeft w:val="0"/>
      <w:marRight w:val="0"/>
      <w:marTop w:val="0"/>
      <w:marBottom w:val="0"/>
      <w:divBdr>
        <w:top w:val="none" w:sz="0" w:space="0" w:color="auto"/>
        <w:left w:val="none" w:sz="0" w:space="0" w:color="auto"/>
        <w:bottom w:val="none" w:sz="0" w:space="0" w:color="auto"/>
        <w:right w:val="none" w:sz="0" w:space="0" w:color="auto"/>
      </w:divBdr>
    </w:div>
    <w:div w:id="21298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term=Hanotin%20C%5BAuthor%5D&amp;cauthor=true&amp;cauthor_uid=30428396" TargetMode="External"/><Relationship Id="rId13" Type="http://schemas.openxmlformats.org/officeDocument/2006/relationships/hyperlink" Target="https://www.ncbi.nlm.nih.gov/pubmed/?term=Mahaffey%20KW%5BAuthor%5D&amp;cauthor=true&amp;cauthor_uid=30428396" TargetMode="External"/><Relationship Id="rId18" Type="http://schemas.openxmlformats.org/officeDocument/2006/relationships/hyperlink" Target="https://www.ncbi.nlm.nih.gov/pubmed/?term=Xavier%20D%5BAuthor%5D&amp;cauthor=true&amp;cauthor_uid=30428396" TargetMode="External"/><Relationship Id="rId3" Type="http://schemas.openxmlformats.org/officeDocument/2006/relationships/hyperlink" Target="https://www.ncbi.nlm.nih.gov/pubmed/?term=Bhatt%20DL%5BAuthor%5D&amp;cauthor=true&amp;cauthor_uid=30428396" TargetMode="External"/><Relationship Id="rId7" Type="http://schemas.openxmlformats.org/officeDocument/2006/relationships/hyperlink" Target="https://www.ncbi.nlm.nih.gov/pubmed/?term=Goodman%20SG%5BAuthor%5D&amp;cauthor=true&amp;cauthor_uid=30428396" TargetMode="External"/><Relationship Id="rId12" Type="http://schemas.openxmlformats.org/officeDocument/2006/relationships/hyperlink" Target="https://www.ncbi.nlm.nih.gov/pubmed/?term=Lecorps%20G%5BAuthor%5D&amp;cauthor=true&amp;cauthor_uid=30428396" TargetMode="External"/><Relationship Id="rId17" Type="http://schemas.openxmlformats.org/officeDocument/2006/relationships/hyperlink" Target="https://www.ncbi.nlm.nih.gov/pubmed/?term=Tricoci%20P%5BAuthor%5D&amp;cauthor=true&amp;cauthor_uid=30428396" TargetMode="External"/><Relationship Id="rId2" Type="http://schemas.openxmlformats.org/officeDocument/2006/relationships/hyperlink" Target="https://www.ncbi.nlm.nih.gov/pubmed/?term=Alings%20M%5BAuthor%5D&amp;cauthor=true&amp;cauthor_uid=30428396" TargetMode="External"/><Relationship Id="rId16" Type="http://schemas.openxmlformats.org/officeDocument/2006/relationships/hyperlink" Target="https://www.ncbi.nlm.nih.gov/pubmed/?term=Roe%20MT%5BAuthor%5D&amp;cauthor=true&amp;cauthor_uid=30428396" TargetMode="External"/><Relationship Id="rId1" Type="http://schemas.openxmlformats.org/officeDocument/2006/relationships/hyperlink" Target="https://www.ncbi.nlm.nih.gov/pubmed/?term=Schwartz%20GG%5BAuthor%5D&amp;cauthor=true&amp;cauthor_uid=30428396" TargetMode="External"/><Relationship Id="rId6" Type="http://schemas.openxmlformats.org/officeDocument/2006/relationships/hyperlink" Target="https://www.ncbi.nlm.nih.gov/pubmed/?term=Edelberg%20JM%5BAuthor%5D&amp;cauthor=true&amp;cauthor_uid=30428396" TargetMode="External"/><Relationship Id="rId11" Type="http://schemas.openxmlformats.org/officeDocument/2006/relationships/hyperlink" Target="https://www.ncbi.nlm.nih.gov/pubmed/?term=Kiss%20RG%5BAuthor%5D&amp;cauthor=true&amp;cauthor_uid=30428396" TargetMode="External"/><Relationship Id="rId5" Type="http://schemas.openxmlformats.org/officeDocument/2006/relationships/hyperlink" Target="https://www.ncbi.nlm.nih.gov/pubmed/?term=Diaz%20R%5BAuthor%5D&amp;cauthor=true&amp;cauthor_uid=30428396" TargetMode="External"/><Relationship Id="rId15" Type="http://schemas.openxmlformats.org/officeDocument/2006/relationships/hyperlink" Target="https://www.ncbi.nlm.nih.gov/pubmed/?term=Pordy%20R%5BAuthor%5D&amp;cauthor=true&amp;cauthor_uid=30428396" TargetMode="External"/><Relationship Id="rId10" Type="http://schemas.openxmlformats.org/officeDocument/2006/relationships/hyperlink" Target="https://www.ncbi.nlm.nih.gov/pubmed/?term=Kimura%20T%5BAuthor%5D&amp;cauthor=true&amp;cauthor_uid=30428396" TargetMode="External"/><Relationship Id="rId19" Type="http://schemas.openxmlformats.org/officeDocument/2006/relationships/hyperlink" Target="https://www.ncbi.nlm.nih.gov/pubmed/?term=Zeiher%20AM%5BAuthor%5D&amp;cauthor=true&amp;cauthor_uid=30428396" TargetMode="External"/><Relationship Id="rId4" Type="http://schemas.openxmlformats.org/officeDocument/2006/relationships/hyperlink" Target="https://www.ncbi.nlm.nih.gov/pubmed/?term=Chiang%20CE%5BAuthor%5D&amp;cauthor=true&amp;cauthor_uid=30428396" TargetMode="External"/><Relationship Id="rId9" Type="http://schemas.openxmlformats.org/officeDocument/2006/relationships/hyperlink" Target="https://www.ncbi.nlm.nih.gov/pubmed/?term=Jukema%20JW%5BAuthor%5D&amp;cauthor=true&amp;cauthor_uid=30428396" TargetMode="External"/><Relationship Id="rId14" Type="http://schemas.openxmlformats.org/officeDocument/2006/relationships/hyperlink" Target="https://www.ncbi.nlm.nih.gov/pubmed/?term=Moryusef%20A%5BAuthor%5D&amp;cauthor=true&amp;cauthor_uid=30428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8D16F-7B48-45D8-B476-DC2B7BA3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18033</Words>
  <Characters>109980</Characters>
  <Application>Microsoft Office Word</Application>
  <DocSecurity>0</DocSecurity>
  <Lines>916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2019-06-24T01:57:00Z</dcterms:created>
  <dcterms:modified xsi:type="dcterms:W3CDTF">2019-06-28T02:42:00Z</dcterms:modified>
</cp:coreProperties>
</file>