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BEB41" w14:textId="0B8981AB" w:rsidR="006D6493" w:rsidRPr="004C590B" w:rsidRDefault="00265297" w:rsidP="006D6493">
      <w:pPr>
        <w:pStyle w:val="Title"/>
        <w:spacing w:before="120" w:after="160"/>
        <w:ind w:left="720" w:hanging="720"/>
        <w:rPr>
          <w:rFonts w:asciiTheme="minorHAnsi" w:hAnsiTheme="minorHAnsi"/>
          <w:sz w:val="36"/>
          <w:szCs w:val="36"/>
        </w:rPr>
      </w:pPr>
      <w:r w:rsidRPr="004C590B">
        <w:rPr>
          <w:rFonts w:asciiTheme="minorHAnsi" w:hAnsiTheme="minorHAnsi"/>
          <w:sz w:val="36"/>
          <w:szCs w:val="36"/>
        </w:rPr>
        <w:t>6</w:t>
      </w:r>
      <w:r w:rsidR="006D6493" w:rsidRPr="004C590B">
        <w:rPr>
          <w:rFonts w:asciiTheme="minorHAnsi" w:hAnsiTheme="minorHAnsi"/>
          <w:sz w:val="36"/>
          <w:szCs w:val="36"/>
        </w:rPr>
        <w:t>.</w:t>
      </w:r>
      <w:r w:rsidRPr="004C590B">
        <w:rPr>
          <w:rFonts w:asciiTheme="minorHAnsi" w:hAnsiTheme="minorHAnsi"/>
          <w:sz w:val="36"/>
          <w:szCs w:val="36"/>
        </w:rPr>
        <w:t>09</w:t>
      </w:r>
      <w:r w:rsidR="006D6493" w:rsidRPr="004C590B">
        <w:rPr>
          <w:rFonts w:asciiTheme="minorHAnsi" w:hAnsiTheme="minorHAnsi"/>
          <w:sz w:val="36"/>
          <w:szCs w:val="36"/>
        </w:rPr>
        <w:tab/>
      </w:r>
      <w:r w:rsidR="006E3211" w:rsidRPr="004C590B">
        <w:rPr>
          <w:rFonts w:asciiTheme="minorHAnsi" w:hAnsiTheme="minorHAnsi"/>
          <w:sz w:val="36"/>
          <w:szCs w:val="36"/>
        </w:rPr>
        <w:t>ALECTINIB</w:t>
      </w:r>
      <w:r w:rsidR="006D6493" w:rsidRPr="004C590B">
        <w:rPr>
          <w:rFonts w:asciiTheme="minorHAnsi" w:hAnsiTheme="minorHAnsi"/>
          <w:sz w:val="36"/>
          <w:szCs w:val="36"/>
        </w:rPr>
        <w:t xml:space="preserve"> </w:t>
      </w:r>
      <w:r w:rsidR="006D6493" w:rsidRPr="004C590B">
        <w:rPr>
          <w:rFonts w:asciiTheme="minorHAnsi" w:hAnsiTheme="minorHAnsi"/>
          <w:sz w:val="36"/>
          <w:szCs w:val="36"/>
        </w:rPr>
        <w:br/>
      </w:r>
      <w:r w:rsidR="006E3211" w:rsidRPr="004C590B">
        <w:rPr>
          <w:rFonts w:asciiTheme="minorHAnsi" w:hAnsiTheme="minorHAnsi"/>
          <w:sz w:val="36"/>
          <w:szCs w:val="36"/>
        </w:rPr>
        <w:t>Capsule</w:t>
      </w:r>
      <w:r w:rsidR="006D6493" w:rsidRPr="004C590B">
        <w:rPr>
          <w:rFonts w:asciiTheme="minorHAnsi" w:hAnsiTheme="minorHAnsi"/>
          <w:sz w:val="36"/>
          <w:szCs w:val="36"/>
        </w:rPr>
        <w:t xml:space="preserve"> </w:t>
      </w:r>
      <w:r w:rsidR="006E3211" w:rsidRPr="004C590B">
        <w:rPr>
          <w:rFonts w:asciiTheme="minorHAnsi" w:hAnsiTheme="minorHAnsi"/>
          <w:sz w:val="36"/>
          <w:szCs w:val="36"/>
        </w:rPr>
        <w:t>150 mg</w:t>
      </w:r>
      <w:r w:rsidR="006D6493" w:rsidRPr="004C590B">
        <w:rPr>
          <w:rFonts w:asciiTheme="minorHAnsi" w:hAnsiTheme="minorHAnsi"/>
          <w:sz w:val="36"/>
          <w:szCs w:val="36"/>
        </w:rPr>
        <w:t xml:space="preserve">, </w:t>
      </w:r>
      <w:r w:rsidR="006D6493" w:rsidRPr="004C590B">
        <w:rPr>
          <w:rFonts w:asciiTheme="minorHAnsi" w:hAnsiTheme="minorHAnsi"/>
          <w:sz w:val="36"/>
          <w:szCs w:val="36"/>
        </w:rPr>
        <w:br/>
      </w:r>
      <w:proofErr w:type="spellStart"/>
      <w:r w:rsidR="006E3211" w:rsidRPr="004C590B">
        <w:rPr>
          <w:rFonts w:asciiTheme="minorHAnsi" w:hAnsiTheme="minorHAnsi"/>
          <w:sz w:val="36"/>
          <w:szCs w:val="36"/>
        </w:rPr>
        <w:t>Alecensa</w:t>
      </w:r>
      <w:proofErr w:type="spellEnd"/>
      <w:r w:rsidR="006D6493" w:rsidRPr="004C590B">
        <w:rPr>
          <w:rFonts w:asciiTheme="minorHAnsi" w:hAnsiTheme="minorHAnsi"/>
          <w:sz w:val="36"/>
          <w:szCs w:val="36"/>
          <w:vertAlign w:val="superscript"/>
        </w:rPr>
        <w:t>®</w:t>
      </w:r>
      <w:r w:rsidR="006D6493" w:rsidRPr="004C590B">
        <w:rPr>
          <w:rFonts w:asciiTheme="minorHAnsi" w:hAnsiTheme="minorHAnsi"/>
          <w:sz w:val="36"/>
          <w:szCs w:val="36"/>
        </w:rPr>
        <w:t xml:space="preserve">, </w:t>
      </w:r>
      <w:r w:rsidR="006E3211" w:rsidRPr="004C590B">
        <w:rPr>
          <w:rFonts w:asciiTheme="minorHAnsi" w:hAnsiTheme="minorHAnsi"/>
          <w:sz w:val="36"/>
          <w:szCs w:val="36"/>
        </w:rPr>
        <w:t>Roche Products Pty Ltd</w:t>
      </w:r>
    </w:p>
    <w:p w14:paraId="2DACEB37" w14:textId="77777777" w:rsidR="008A50F1" w:rsidRPr="004C590B" w:rsidRDefault="00CE10C4" w:rsidP="00F847B0">
      <w:pPr>
        <w:pStyle w:val="PBACHeading1"/>
        <w:spacing w:before="120" w:after="120"/>
        <w:ind w:left="709" w:hanging="709"/>
        <w:rPr>
          <w:rFonts w:asciiTheme="minorHAnsi" w:hAnsiTheme="minorHAnsi"/>
          <w:sz w:val="32"/>
          <w:szCs w:val="32"/>
        </w:rPr>
      </w:pPr>
      <w:r w:rsidRPr="004C590B">
        <w:rPr>
          <w:rFonts w:asciiTheme="minorHAnsi" w:hAnsiTheme="minorHAnsi"/>
          <w:sz w:val="32"/>
          <w:szCs w:val="32"/>
        </w:rPr>
        <w:t xml:space="preserve">Purpose of </w:t>
      </w:r>
      <w:r w:rsidR="0004240E" w:rsidRPr="004C590B">
        <w:rPr>
          <w:rFonts w:asciiTheme="minorHAnsi" w:hAnsiTheme="minorHAnsi"/>
          <w:sz w:val="32"/>
          <w:szCs w:val="32"/>
        </w:rPr>
        <w:t>Application</w:t>
      </w:r>
    </w:p>
    <w:p w14:paraId="1CAA024B" w14:textId="40DE9281" w:rsidR="00B935FA" w:rsidRPr="004C590B" w:rsidRDefault="00B935FA" w:rsidP="00F847B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C590B">
        <w:rPr>
          <w:rFonts w:asciiTheme="minorHAnsi" w:eastAsiaTheme="minorHAnsi" w:hAnsiTheme="minorHAnsi" w:cstheme="minorBidi"/>
          <w:snapToGrid/>
          <w:sz w:val="24"/>
          <w:szCs w:val="22"/>
        </w:rPr>
        <w:t>The minor submission sought</w:t>
      </w:r>
      <w:r w:rsidR="00374E60" w:rsidRPr="004C590B">
        <w:rPr>
          <w:rFonts w:asciiTheme="minorHAnsi" w:eastAsiaTheme="minorHAnsi" w:hAnsiTheme="minorHAnsi" w:cstheme="minorBidi"/>
          <w:snapToGrid/>
          <w:sz w:val="24"/>
          <w:szCs w:val="22"/>
        </w:rPr>
        <w:t xml:space="preserve"> </w:t>
      </w:r>
      <w:r w:rsidR="003F7E6F" w:rsidRPr="004C590B">
        <w:rPr>
          <w:rFonts w:asciiTheme="minorHAnsi" w:eastAsiaTheme="minorHAnsi" w:hAnsiTheme="minorHAnsi" w:cstheme="minorBidi"/>
          <w:snapToGrid/>
          <w:sz w:val="24"/>
          <w:szCs w:val="22"/>
        </w:rPr>
        <w:t xml:space="preserve">an increase </w:t>
      </w:r>
      <w:r w:rsidR="000A7DC9" w:rsidRPr="004C590B">
        <w:rPr>
          <w:rFonts w:asciiTheme="minorHAnsi" w:eastAsiaTheme="minorHAnsi" w:hAnsiTheme="minorHAnsi" w:cstheme="minorBidi"/>
          <w:snapToGrid/>
          <w:sz w:val="24"/>
          <w:szCs w:val="22"/>
        </w:rPr>
        <w:t>in</w:t>
      </w:r>
      <w:r w:rsidR="003F7E6F" w:rsidRPr="004C590B">
        <w:rPr>
          <w:rFonts w:asciiTheme="minorHAnsi" w:eastAsiaTheme="minorHAnsi" w:hAnsiTheme="minorHAnsi" w:cstheme="minorBidi"/>
          <w:snapToGrid/>
          <w:sz w:val="24"/>
          <w:szCs w:val="22"/>
        </w:rPr>
        <w:t xml:space="preserve"> the maximum number of repeats and </w:t>
      </w:r>
      <w:r w:rsidR="000A7DC9" w:rsidRPr="004C590B">
        <w:rPr>
          <w:rFonts w:asciiTheme="minorHAnsi" w:eastAsiaTheme="minorHAnsi" w:hAnsiTheme="minorHAnsi" w:cstheme="minorBidi"/>
          <w:snapToGrid/>
          <w:sz w:val="24"/>
          <w:szCs w:val="22"/>
        </w:rPr>
        <w:t xml:space="preserve">a </w:t>
      </w:r>
      <w:r w:rsidR="003F7E6F" w:rsidRPr="004C590B">
        <w:rPr>
          <w:rFonts w:asciiTheme="minorHAnsi" w:eastAsiaTheme="minorHAnsi" w:hAnsiTheme="minorHAnsi" w:cstheme="minorBidi"/>
          <w:snapToGrid/>
          <w:sz w:val="24"/>
          <w:szCs w:val="22"/>
        </w:rPr>
        <w:t xml:space="preserve">change to the </w:t>
      </w:r>
      <w:r w:rsidR="000B084F" w:rsidRPr="004C590B">
        <w:rPr>
          <w:rFonts w:asciiTheme="minorHAnsi" w:eastAsiaTheme="minorHAnsi" w:hAnsiTheme="minorHAnsi" w:cstheme="minorBidi"/>
          <w:snapToGrid/>
          <w:sz w:val="24"/>
          <w:szCs w:val="22"/>
        </w:rPr>
        <w:t>restriction</w:t>
      </w:r>
      <w:r w:rsidR="00AD7A58" w:rsidRPr="004C590B">
        <w:rPr>
          <w:rFonts w:asciiTheme="minorHAnsi" w:eastAsiaTheme="minorHAnsi" w:hAnsiTheme="minorHAnsi" w:cstheme="minorBidi"/>
          <w:snapToGrid/>
          <w:sz w:val="24"/>
          <w:szCs w:val="22"/>
        </w:rPr>
        <w:t xml:space="preserve"> level</w:t>
      </w:r>
      <w:r w:rsidR="000B084F" w:rsidRPr="004C590B">
        <w:rPr>
          <w:rFonts w:asciiTheme="minorHAnsi" w:eastAsiaTheme="minorHAnsi" w:hAnsiTheme="minorHAnsi" w:cstheme="minorBidi"/>
          <w:snapToGrid/>
          <w:sz w:val="24"/>
          <w:szCs w:val="22"/>
        </w:rPr>
        <w:t xml:space="preserve"> </w:t>
      </w:r>
      <w:r w:rsidR="003F7E6F" w:rsidRPr="004C590B">
        <w:rPr>
          <w:rFonts w:asciiTheme="minorHAnsi" w:eastAsiaTheme="minorHAnsi" w:hAnsiTheme="minorHAnsi" w:cstheme="minorBidi"/>
          <w:snapToGrid/>
          <w:sz w:val="24"/>
          <w:szCs w:val="22"/>
        </w:rPr>
        <w:t xml:space="preserve">from </w:t>
      </w:r>
      <w:r w:rsidR="00AD7A58" w:rsidRPr="004C590B">
        <w:rPr>
          <w:rFonts w:asciiTheme="minorHAnsi" w:eastAsiaTheme="minorHAnsi" w:hAnsiTheme="minorHAnsi" w:cstheme="minorBidi"/>
          <w:snapToGrid/>
          <w:sz w:val="24"/>
          <w:szCs w:val="22"/>
        </w:rPr>
        <w:t>A</w:t>
      </w:r>
      <w:r w:rsidR="001F40E8" w:rsidRPr="004C590B">
        <w:rPr>
          <w:rFonts w:asciiTheme="minorHAnsi" w:eastAsiaTheme="minorHAnsi" w:hAnsiTheme="minorHAnsi" w:cstheme="minorBidi"/>
          <w:snapToGrid/>
          <w:sz w:val="24"/>
          <w:szCs w:val="22"/>
        </w:rPr>
        <w:t>uthority</w:t>
      </w:r>
      <w:r w:rsidR="00AD7A58" w:rsidRPr="004C590B">
        <w:rPr>
          <w:rFonts w:asciiTheme="minorHAnsi" w:eastAsiaTheme="minorHAnsi" w:hAnsiTheme="minorHAnsi" w:cstheme="minorBidi"/>
          <w:snapToGrid/>
          <w:sz w:val="24"/>
          <w:szCs w:val="22"/>
        </w:rPr>
        <w:t xml:space="preserve"> </w:t>
      </w:r>
      <w:proofErr w:type="gramStart"/>
      <w:r w:rsidR="00AD7A58" w:rsidRPr="004C590B">
        <w:rPr>
          <w:rFonts w:asciiTheme="minorHAnsi" w:eastAsiaTheme="minorHAnsi" w:hAnsiTheme="minorHAnsi" w:cstheme="minorBidi"/>
          <w:snapToGrid/>
          <w:sz w:val="24"/>
          <w:szCs w:val="22"/>
        </w:rPr>
        <w:t>R</w:t>
      </w:r>
      <w:r w:rsidR="001F40E8" w:rsidRPr="004C590B">
        <w:rPr>
          <w:rFonts w:asciiTheme="minorHAnsi" w:eastAsiaTheme="minorHAnsi" w:hAnsiTheme="minorHAnsi" w:cstheme="minorBidi"/>
          <w:snapToGrid/>
          <w:sz w:val="24"/>
          <w:szCs w:val="22"/>
        </w:rPr>
        <w:t>equired</w:t>
      </w:r>
      <w:proofErr w:type="gramEnd"/>
      <w:r w:rsidR="003F7E6F" w:rsidRPr="004C590B">
        <w:rPr>
          <w:rFonts w:asciiTheme="minorHAnsi" w:eastAsiaTheme="minorHAnsi" w:hAnsiTheme="minorHAnsi" w:cstheme="minorBidi"/>
          <w:snapToGrid/>
          <w:sz w:val="24"/>
          <w:szCs w:val="22"/>
        </w:rPr>
        <w:t xml:space="preserve"> (</w:t>
      </w:r>
      <w:r w:rsidR="001F40E8" w:rsidRPr="004C590B">
        <w:rPr>
          <w:rFonts w:asciiTheme="minorHAnsi" w:eastAsiaTheme="minorHAnsi" w:hAnsiTheme="minorHAnsi" w:cstheme="minorBidi"/>
          <w:snapToGrid/>
          <w:sz w:val="24"/>
          <w:szCs w:val="22"/>
        </w:rPr>
        <w:t>t</w:t>
      </w:r>
      <w:r w:rsidR="003F7E6F" w:rsidRPr="004C590B">
        <w:rPr>
          <w:rFonts w:asciiTheme="minorHAnsi" w:eastAsiaTheme="minorHAnsi" w:hAnsiTheme="minorHAnsi" w:cstheme="minorBidi"/>
          <w:snapToGrid/>
          <w:sz w:val="24"/>
          <w:szCs w:val="22"/>
        </w:rPr>
        <w:t xml:space="preserve">elephone) to </w:t>
      </w:r>
      <w:r w:rsidR="00AD7A58" w:rsidRPr="004C590B">
        <w:rPr>
          <w:rFonts w:asciiTheme="minorHAnsi" w:eastAsiaTheme="minorHAnsi" w:hAnsiTheme="minorHAnsi" w:cstheme="minorBidi"/>
          <w:snapToGrid/>
          <w:sz w:val="24"/>
          <w:szCs w:val="22"/>
        </w:rPr>
        <w:t>A</w:t>
      </w:r>
      <w:r w:rsidR="001F40E8" w:rsidRPr="004C590B">
        <w:rPr>
          <w:rFonts w:asciiTheme="minorHAnsi" w:eastAsiaTheme="minorHAnsi" w:hAnsiTheme="minorHAnsi" w:cstheme="minorBidi"/>
          <w:snapToGrid/>
          <w:sz w:val="24"/>
          <w:szCs w:val="22"/>
        </w:rPr>
        <w:t>uthority</w:t>
      </w:r>
      <w:r w:rsidR="00AD7A58" w:rsidRPr="004C590B">
        <w:rPr>
          <w:rFonts w:asciiTheme="minorHAnsi" w:eastAsiaTheme="minorHAnsi" w:hAnsiTheme="minorHAnsi" w:cstheme="minorBidi"/>
          <w:snapToGrid/>
          <w:sz w:val="24"/>
          <w:szCs w:val="22"/>
        </w:rPr>
        <w:t xml:space="preserve"> R</w:t>
      </w:r>
      <w:r w:rsidR="001F40E8" w:rsidRPr="004C590B">
        <w:rPr>
          <w:rFonts w:asciiTheme="minorHAnsi" w:eastAsiaTheme="minorHAnsi" w:hAnsiTheme="minorHAnsi" w:cstheme="minorBidi"/>
          <w:snapToGrid/>
          <w:sz w:val="24"/>
          <w:szCs w:val="22"/>
        </w:rPr>
        <w:t>equired</w:t>
      </w:r>
      <w:r w:rsidR="009447B7" w:rsidRPr="004C590B">
        <w:rPr>
          <w:rFonts w:asciiTheme="minorHAnsi" w:eastAsiaTheme="minorHAnsi" w:hAnsiTheme="minorHAnsi" w:cstheme="minorBidi"/>
          <w:snapToGrid/>
          <w:sz w:val="24"/>
          <w:szCs w:val="22"/>
        </w:rPr>
        <w:t xml:space="preserve"> (STREAMLINED)</w:t>
      </w:r>
      <w:r w:rsidR="00374E60" w:rsidRPr="004C590B">
        <w:rPr>
          <w:rFonts w:asciiTheme="minorHAnsi" w:eastAsiaTheme="minorHAnsi" w:hAnsiTheme="minorHAnsi" w:cstheme="minorBidi"/>
          <w:snapToGrid/>
          <w:sz w:val="24"/>
          <w:szCs w:val="22"/>
        </w:rPr>
        <w:t xml:space="preserve"> </w:t>
      </w:r>
      <w:r w:rsidRPr="004C590B">
        <w:rPr>
          <w:rFonts w:asciiTheme="minorHAnsi" w:eastAsiaTheme="minorHAnsi" w:hAnsiTheme="minorHAnsi" w:cstheme="minorBidi"/>
          <w:snapToGrid/>
          <w:sz w:val="24"/>
          <w:szCs w:val="24"/>
        </w:rPr>
        <w:t>for</w:t>
      </w:r>
      <w:r w:rsidRPr="004C590B">
        <w:rPr>
          <w:rFonts w:asciiTheme="minorHAnsi" w:eastAsiaTheme="minorHAnsi" w:hAnsiTheme="minorHAnsi" w:cstheme="minorBidi"/>
          <w:sz w:val="24"/>
          <w:szCs w:val="24"/>
        </w:rPr>
        <w:t xml:space="preserve"> the current PBS listing of </w:t>
      </w:r>
      <w:proofErr w:type="spellStart"/>
      <w:r w:rsidRPr="004C590B">
        <w:rPr>
          <w:rFonts w:asciiTheme="minorHAnsi" w:eastAsiaTheme="minorHAnsi" w:hAnsiTheme="minorHAnsi" w:cstheme="minorBidi"/>
          <w:sz w:val="24"/>
          <w:szCs w:val="24"/>
        </w:rPr>
        <w:t>alectinib</w:t>
      </w:r>
      <w:proofErr w:type="spellEnd"/>
      <w:r w:rsidRPr="004C590B">
        <w:rPr>
          <w:rFonts w:asciiTheme="minorHAnsi" w:eastAsiaTheme="minorHAnsi" w:hAnsiTheme="minorHAnsi" w:cstheme="minorBidi"/>
          <w:sz w:val="24"/>
          <w:szCs w:val="24"/>
        </w:rPr>
        <w:t xml:space="preserve"> for treatment of non-small cell lung cancer (NSCLC).</w:t>
      </w:r>
    </w:p>
    <w:p w14:paraId="62A0760E" w14:textId="77777777" w:rsidR="006A12A5" w:rsidRPr="004C590B" w:rsidRDefault="006A12A5" w:rsidP="00F847B0">
      <w:pPr>
        <w:pStyle w:val="PBACHeading1"/>
        <w:spacing w:before="120" w:after="120"/>
        <w:ind w:left="709" w:hanging="709"/>
        <w:rPr>
          <w:rFonts w:asciiTheme="minorHAnsi" w:hAnsiTheme="minorHAnsi"/>
          <w:sz w:val="32"/>
          <w:szCs w:val="32"/>
        </w:rPr>
      </w:pPr>
      <w:r w:rsidRPr="004C590B">
        <w:rPr>
          <w:rFonts w:asciiTheme="minorHAnsi" w:hAnsiTheme="minorHAnsi"/>
          <w:sz w:val="32"/>
          <w:szCs w:val="32"/>
        </w:rPr>
        <w:t>Requested listing</w:t>
      </w:r>
    </w:p>
    <w:p w14:paraId="1C9E97CC" w14:textId="77777777" w:rsidR="00100AF5" w:rsidRDefault="007529AC" w:rsidP="00F847B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C590B">
        <w:rPr>
          <w:rFonts w:asciiTheme="minorHAnsi" w:eastAsiaTheme="minorHAnsi" w:hAnsiTheme="minorHAnsi" w:cstheme="minorBidi"/>
          <w:snapToGrid/>
          <w:sz w:val="24"/>
          <w:szCs w:val="22"/>
        </w:rPr>
        <w:t>T</w:t>
      </w:r>
      <w:r w:rsidR="0067747D" w:rsidRPr="004C590B">
        <w:rPr>
          <w:rFonts w:asciiTheme="minorHAnsi" w:eastAsiaTheme="minorHAnsi" w:hAnsiTheme="minorHAnsi" w:cstheme="minorBidi"/>
          <w:snapToGrid/>
          <w:sz w:val="24"/>
          <w:szCs w:val="22"/>
        </w:rPr>
        <w:t>he requested</w:t>
      </w:r>
      <w:r w:rsidRPr="004C590B">
        <w:rPr>
          <w:rFonts w:asciiTheme="minorHAnsi" w:eastAsiaTheme="minorHAnsi" w:hAnsiTheme="minorHAnsi" w:cstheme="minorBidi"/>
          <w:snapToGrid/>
          <w:sz w:val="24"/>
          <w:szCs w:val="22"/>
        </w:rPr>
        <w:t xml:space="preserve"> changes to the</w:t>
      </w:r>
      <w:r w:rsidR="0067747D" w:rsidRPr="004C590B">
        <w:rPr>
          <w:rFonts w:asciiTheme="minorHAnsi" w:eastAsiaTheme="minorHAnsi" w:hAnsiTheme="minorHAnsi" w:cstheme="minorBidi"/>
          <w:snapToGrid/>
          <w:sz w:val="24"/>
          <w:szCs w:val="22"/>
        </w:rPr>
        <w:t xml:space="preserve"> </w:t>
      </w:r>
      <w:r w:rsidR="00AD7A58" w:rsidRPr="004C590B">
        <w:rPr>
          <w:rFonts w:asciiTheme="minorHAnsi" w:eastAsiaTheme="minorHAnsi" w:hAnsiTheme="minorHAnsi" w:cstheme="minorBidi"/>
          <w:snapToGrid/>
          <w:sz w:val="24"/>
          <w:szCs w:val="22"/>
        </w:rPr>
        <w:t xml:space="preserve">current </w:t>
      </w:r>
      <w:r w:rsidR="0067747D" w:rsidRPr="004C590B">
        <w:rPr>
          <w:rFonts w:asciiTheme="minorHAnsi" w:eastAsiaTheme="minorHAnsi" w:hAnsiTheme="minorHAnsi" w:cstheme="minorBidi"/>
          <w:snapToGrid/>
          <w:sz w:val="24"/>
          <w:szCs w:val="22"/>
        </w:rPr>
        <w:t>listing</w:t>
      </w:r>
      <w:r w:rsidR="004E7860" w:rsidRPr="004C590B">
        <w:rPr>
          <w:rFonts w:asciiTheme="minorHAnsi" w:eastAsiaTheme="minorHAnsi" w:hAnsiTheme="minorHAnsi" w:cstheme="minorBidi"/>
          <w:snapToGrid/>
          <w:sz w:val="24"/>
          <w:szCs w:val="22"/>
        </w:rPr>
        <w:t>s</w:t>
      </w:r>
      <w:r w:rsidR="0067747D" w:rsidRPr="004C590B">
        <w:rPr>
          <w:rFonts w:asciiTheme="minorHAnsi" w:eastAsiaTheme="minorHAnsi" w:hAnsiTheme="minorHAnsi" w:cstheme="minorBidi"/>
          <w:snapToGrid/>
          <w:sz w:val="24"/>
          <w:szCs w:val="22"/>
        </w:rPr>
        <w:t xml:space="preserve"> </w:t>
      </w:r>
      <w:proofErr w:type="gramStart"/>
      <w:r w:rsidR="0067747D" w:rsidRPr="004C590B">
        <w:rPr>
          <w:rFonts w:asciiTheme="minorHAnsi" w:eastAsiaTheme="minorHAnsi" w:hAnsiTheme="minorHAnsi" w:cstheme="minorBidi"/>
          <w:snapToGrid/>
          <w:sz w:val="24"/>
          <w:szCs w:val="22"/>
        </w:rPr>
        <w:t>are added</w:t>
      </w:r>
      <w:proofErr w:type="gramEnd"/>
      <w:r w:rsidR="0067747D" w:rsidRPr="004C590B">
        <w:rPr>
          <w:rFonts w:asciiTheme="minorHAnsi" w:eastAsiaTheme="minorHAnsi" w:hAnsiTheme="minorHAnsi" w:cstheme="minorBidi"/>
          <w:snapToGrid/>
          <w:sz w:val="24"/>
          <w:szCs w:val="22"/>
        </w:rPr>
        <w:t xml:space="preserve"> in italics and </w:t>
      </w:r>
      <w:r w:rsidR="00374E60" w:rsidRPr="004C590B">
        <w:rPr>
          <w:rFonts w:asciiTheme="minorHAnsi" w:eastAsiaTheme="minorHAnsi" w:hAnsiTheme="minorHAnsi" w:cstheme="minorBidi"/>
          <w:snapToGrid/>
          <w:sz w:val="24"/>
          <w:szCs w:val="22"/>
        </w:rPr>
        <w:t xml:space="preserve">requested </w:t>
      </w:r>
      <w:r w:rsidR="0067747D" w:rsidRPr="004C590B">
        <w:rPr>
          <w:rFonts w:asciiTheme="minorHAnsi" w:eastAsiaTheme="minorHAnsi" w:hAnsiTheme="minorHAnsi" w:cstheme="minorBidi"/>
          <w:snapToGrid/>
          <w:sz w:val="24"/>
          <w:szCs w:val="22"/>
        </w:rPr>
        <w:t>deletions are crossed out with strikethrough</w:t>
      </w:r>
      <w:r w:rsidR="00100AF5">
        <w:rPr>
          <w:rFonts w:asciiTheme="minorHAnsi" w:eastAsiaTheme="minorHAnsi" w:hAnsiTheme="minorHAnsi" w:cstheme="minorBidi"/>
          <w:snapToGrid/>
          <w:sz w:val="24"/>
          <w:szCs w:val="22"/>
        </w:rPr>
        <w:t>.</w:t>
      </w:r>
    </w:p>
    <w:p w14:paraId="34CE1006" w14:textId="77777777" w:rsidR="002646BD" w:rsidRPr="002646BD" w:rsidRDefault="002646BD" w:rsidP="00F847B0">
      <w:pPr>
        <w:pStyle w:val="PBACHeading1"/>
        <w:numPr>
          <w:ilvl w:val="0"/>
          <w:numId w:val="0"/>
        </w:numPr>
        <w:spacing w:before="120" w:after="120"/>
        <w:ind w:left="720"/>
        <w:rPr>
          <w:rFonts w:asciiTheme="minorHAnsi" w:eastAsiaTheme="minorHAnsi" w:hAnsiTheme="minorHAnsi" w:cstheme="minorHAnsi"/>
          <w:b w:val="0"/>
          <w:i/>
          <w:snapToGrid/>
          <w:sz w:val="24"/>
          <w:szCs w:val="24"/>
        </w:rPr>
      </w:pPr>
      <w:r w:rsidRPr="002646BD">
        <w:rPr>
          <w:rFonts w:asciiTheme="minorHAnsi" w:eastAsiaTheme="minorHAnsi" w:hAnsiTheme="minorHAnsi" w:cstheme="minorHAnsi"/>
          <w:b w:val="0"/>
          <w:i/>
          <w:snapToGrid/>
          <w:sz w:val="24"/>
          <w:szCs w:val="24"/>
        </w:rPr>
        <w:t>For more detail on PBAC’s view, see section 5 PBAC outcome.</w:t>
      </w:r>
    </w:p>
    <w:tbl>
      <w:tblPr>
        <w:tblW w:w="4915" w:type="pct"/>
        <w:tblLook w:val="0000" w:firstRow="0" w:lastRow="0" w:firstColumn="0" w:lastColumn="0" w:noHBand="0" w:noVBand="0"/>
      </w:tblPr>
      <w:tblGrid>
        <w:gridCol w:w="1912"/>
        <w:gridCol w:w="1345"/>
        <w:gridCol w:w="726"/>
        <w:gridCol w:w="875"/>
        <w:gridCol w:w="1595"/>
        <w:gridCol w:w="893"/>
        <w:gridCol w:w="674"/>
        <w:gridCol w:w="846"/>
        <w:gridCol w:w="7"/>
      </w:tblGrid>
      <w:tr w:rsidR="00163329" w:rsidRPr="004C590B" w14:paraId="0DA506D0" w14:textId="77777777" w:rsidTr="003F7E6F">
        <w:trPr>
          <w:cantSplit/>
          <w:trHeight w:val="465"/>
        </w:trPr>
        <w:tc>
          <w:tcPr>
            <w:tcW w:w="1835" w:type="pct"/>
            <w:gridSpan w:val="2"/>
            <w:tcBorders>
              <w:bottom w:val="single" w:sz="4" w:space="0" w:color="auto"/>
            </w:tcBorders>
          </w:tcPr>
          <w:p w14:paraId="4DDE18B5" w14:textId="77777777" w:rsidR="00826F6D" w:rsidRPr="004C590B" w:rsidRDefault="00826F6D" w:rsidP="00EB0B63">
            <w:pPr>
              <w:keepNext/>
              <w:spacing w:before="40" w:after="40"/>
              <w:jc w:val="both"/>
              <w:rPr>
                <w:rFonts w:ascii="Arial Narrow" w:hAnsi="Arial Narrow" w:cs="Arial"/>
                <w:b/>
                <w:sz w:val="20"/>
                <w:szCs w:val="20"/>
              </w:rPr>
            </w:pPr>
            <w:r w:rsidRPr="004C590B">
              <w:rPr>
                <w:rFonts w:ascii="Arial Narrow" w:hAnsi="Arial Narrow" w:cs="Arial"/>
                <w:b/>
                <w:sz w:val="20"/>
                <w:szCs w:val="20"/>
              </w:rPr>
              <w:t>Name, Restriction,</w:t>
            </w:r>
          </w:p>
          <w:p w14:paraId="5C66C286" w14:textId="77777777" w:rsidR="00826F6D" w:rsidRPr="004C590B" w:rsidRDefault="00826F6D" w:rsidP="00EB0B63">
            <w:pPr>
              <w:keepNext/>
              <w:spacing w:before="40" w:after="40"/>
              <w:jc w:val="both"/>
              <w:rPr>
                <w:rFonts w:ascii="Arial Narrow" w:hAnsi="Arial Narrow" w:cs="Arial"/>
                <w:b/>
                <w:sz w:val="20"/>
                <w:szCs w:val="20"/>
              </w:rPr>
            </w:pPr>
            <w:r w:rsidRPr="004C590B">
              <w:rPr>
                <w:rFonts w:ascii="Arial Narrow" w:hAnsi="Arial Narrow" w:cs="Arial"/>
                <w:b/>
                <w:sz w:val="20"/>
                <w:szCs w:val="20"/>
              </w:rPr>
              <w:t>Manner of administration and form</w:t>
            </w:r>
          </w:p>
        </w:tc>
        <w:tc>
          <w:tcPr>
            <w:tcW w:w="409" w:type="pct"/>
            <w:tcBorders>
              <w:bottom w:val="single" w:sz="4" w:space="0" w:color="auto"/>
            </w:tcBorders>
          </w:tcPr>
          <w:p w14:paraId="6D4188A9" w14:textId="77777777" w:rsidR="00826F6D" w:rsidRPr="004C590B" w:rsidRDefault="00826F6D" w:rsidP="00EB0B63">
            <w:pPr>
              <w:keepNext/>
              <w:spacing w:before="40" w:after="40"/>
              <w:jc w:val="both"/>
              <w:rPr>
                <w:rFonts w:ascii="Arial Narrow" w:hAnsi="Arial Narrow" w:cs="Arial"/>
                <w:b/>
                <w:sz w:val="20"/>
                <w:szCs w:val="20"/>
              </w:rPr>
            </w:pPr>
            <w:r w:rsidRPr="004C590B">
              <w:rPr>
                <w:rFonts w:ascii="Arial Narrow" w:hAnsi="Arial Narrow" w:cs="Arial"/>
                <w:b/>
                <w:sz w:val="20"/>
                <w:szCs w:val="20"/>
              </w:rPr>
              <w:t>Max.</w:t>
            </w:r>
          </w:p>
          <w:p w14:paraId="0624B083" w14:textId="77777777" w:rsidR="00826F6D" w:rsidRPr="004C590B" w:rsidRDefault="00826F6D" w:rsidP="00EB0B63">
            <w:pPr>
              <w:keepNext/>
              <w:spacing w:before="40" w:after="40"/>
              <w:jc w:val="both"/>
              <w:rPr>
                <w:rFonts w:ascii="Arial Narrow" w:hAnsi="Arial Narrow" w:cs="Arial"/>
                <w:b/>
                <w:sz w:val="20"/>
                <w:szCs w:val="20"/>
              </w:rPr>
            </w:pPr>
            <w:proofErr w:type="spellStart"/>
            <w:r w:rsidRPr="004C590B">
              <w:rPr>
                <w:rFonts w:ascii="Arial Narrow" w:hAnsi="Arial Narrow" w:cs="Arial"/>
                <w:b/>
                <w:sz w:val="20"/>
                <w:szCs w:val="20"/>
              </w:rPr>
              <w:t>Qty</w:t>
            </w:r>
            <w:proofErr w:type="spellEnd"/>
          </w:p>
        </w:tc>
        <w:tc>
          <w:tcPr>
            <w:tcW w:w="493" w:type="pct"/>
            <w:tcBorders>
              <w:bottom w:val="single" w:sz="4" w:space="0" w:color="auto"/>
            </w:tcBorders>
          </w:tcPr>
          <w:p w14:paraId="48944178" w14:textId="77777777" w:rsidR="00826F6D" w:rsidRPr="004C590B" w:rsidRDefault="00826F6D" w:rsidP="00EB0B63">
            <w:pPr>
              <w:keepNext/>
              <w:spacing w:before="40" w:after="40"/>
              <w:jc w:val="both"/>
              <w:rPr>
                <w:rFonts w:ascii="Arial Narrow" w:hAnsi="Arial Narrow" w:cs="Arial"/>
                <w:b/>
                <w:sz w:val="20"/>
                <w:szCs w:val="20"/>
              </w:rPr>
            </w:pPr>
            <w:r w:rsidRPr="004C590B">
              <w:rPr>
                <w:rFonts w:ascii="Arial Narrow" w:hAnsi="Arial Narrow" w:cs="Arial"/>
                <w:b/>
                <w:sz w:val="20"/>
                <w:szCs w:val="20"/>
              </w:rPr>
              <w:t>№.of</w:t>
            </w:r>
          </w:p>
          <w:p w14:paraId="7AA0750D" w14:textId="77777777" w:rsidR="00826F6D" w:rsidRPr="004C590B" w:rsidRDefault="00826F6D" w:rsidP="00EB0B63">
            <w:pPr>
              <w:keepNext/>
              <w:spacing w:before="40" w:after="40"/>
              <w:jc w:val="both"/>
              <w:rPr>
                <w:rFonts w:ascii="Arial Narrow" w:hAnsi="Arial Narrow" w:cs="Arial"/>
                <w:b/>
                <w:sz w:val="20"/>
                <w:szCs w:val="20"/>
              </w:rPr>
            </w:pPr>
            <w:proofErr w:type="spellStart"/>
            <w:r w:rsidRPr="004C590B">
              <w:rPr>
                <w:rFonts w:ascii="Arial Narrow" w:hAnsi="Arial Narrow" w:cs="Arial"/>
                <w:b/>
                <w:sz w:val="20"/>
                <w:szCs w:val="20"/>
              </w:rPr>
              <w:t>Rpts</w:t>
            </w:r>
            <w:proofErr w:type="spellEnd"/>
          </w:p>
        </w:tc>
        <w:tc>
          <w:tcPr>
            <w:tcW w:w="899" w:type="pct"/>
            <w:tcBorders>
              <w:bottom w:val="single" w:sz="4" w:space="0" w:color="auto"/>
            </w:tcBorders>
          </w:tcPr>
          <w:p w14:paraId="78B77977" w14:textId="77777777" w:rsidR="00826F6D" w:rsidRPr="004C590B" w:rsidRDefault="00826F6D" w:rsidP="00EB0B63">
            <w:pPr>
              <w:keepNext/>
              <w:spacing w:before="40" w:after="40"/>
              <w:jc w:val="both"/>
              <w:rPr>
                <w:rFonts w:ascii="Arial Narrow" w:hAnsi="Arial Narrow" w:cs="Arial"/>
                <w:b/>
                <w:sz w:val="20"/>
                <w:szCs w:val="20"/>
              </w:rPr>
            </w:pPr>
            <w:r w:rsidRPr="004C590B">
              <w:rPr>
                <w:rFonts w:ascii="Arial Narrow" w:hAnsi="Arial Narrow" w:cs="Arial"/>
                <w:b/>
                <w:sz w:val="20"/>
                <w:szCs w:val="20"/>
              </w:rPr>
              <w:t xml:space="preserve">Dispensed Price for Max. </w:t>
            </w:r>
            <w:proofErr w:type="spellStart"/>
            <w:r w:rsidRPr="004C590B">
              <w:rPr>
                <w:rFonts w:ascii="Arial Narrow" w:hAnsi="Arial Narrow" w:cs="Arial"/>
                <w:b/>
                <w:sz w:val="20"/>
                <w:szCs w:val="20"/>
              </w:rPr>
              <w:t>Qty</w:t>
            </w:r>
            <w:proofErr w:type="spellEnd"/>
          </w:p>
        </w:tc>
        <w:tc>
          <w:tcPr>
            <w:tcW w:w="1364" w:type="pct"/>
            <w:gridSpan w:val="4"/>
            <w:tcBorders>
              <w:bottom w:val="single" w:sz="4" w:space="0" w:color="auto"/>
            </w:tcBorders>
          </w:tcPr>
          <w:p w14:paraId="31BBD347" w14:textId="77777777" w:rsidR="00826F6D" w:rsidRPr="003C06BF" w:rsidRDefault="00826F6D" w:rsidP="00EB0B63">
            <w:pPr>
              <w:keepNext/>
              <w:spacing w:before="40" w:after="40"/>
              <w:jc w:val="both"/>
              <w:rPr>
                <w:rFonts w:ascii="Arial Narrow" w:hAnsi="Arial Narrow" w:cs="Arial"/>
                <w:b/>
                <w:sz w:val="20"/>
                <w:szCs w:val="20"/>
              </w:rPr>
            </w:pPr>
            <w:r w:rsidRPr="004C590B">
              <w:rPr>
                <w:rFonts w:ascii="Arial Narrow" w:hAnsi="Arial Narrow" w:cs="Arial"/>
                <w:b/>
                <w:sz w:val="20"/>
                <w:szCs w:val="20"/>
              </w:rPr>
              <w:t>Proprietary Name and Manufacturer</w:t>
            </w:r>
          </w:p>
        </w:tc>
      </w:tr>
      <w:tr w:rsidR="00163329" w:rsidRPr="004C590B" w14:paraId="050EC14B" w14:textId="77777777" w:rsidTr="003F7E6F">
        <w:trPr>
          <w:cantSplit/>
          <w:trHeight w:val="567"/>
        </w:trPr>
        <w:tc>
          <w:tcPr>
            <w:tcW w:w="1835" w:type="pct"/>
            <w:gridSpan w:val="2"/>
          </w:tcPr>
          <w:p w14:paraId="0F032000" w14:textId="349CFC90" w:rsidR="00826F6D" w:rsidRPr="004C590B" w:rsidRDefault="000B43BE" w:rsidP="00EB0B63">
            <w:pPr>
              <w:keepNext/>
              <w:spacing w:before="40" w:after="40"/>
              <w:jc w:val="both"/>
              <w:rPr>
                <w:rFonts w:ascii="Arial Narrow" w:hAnsi="Arial Narrow" w:cs="Arial"/>
                <w:sz w:val="20"/>
                <w:szCs w:val="20"/>
              </w:rPr>
            </w:pPr>
            <w:r w:rsidRPr="004C590B">
              <w:rPr>
                <w:rFonts w:ascii="Arial Narrow" w:hAnsi="Arial Narrow" w:cs="Arial"/>
                <w:smallCaps/>
                <w:sz w:val="20"/>
                <w:szCs w:val="20"/>
              </w:rPr>
              <w:t>ALECTINIB</w:t>
            </w:r>
          </w:p>
          <w:p w14:paraId="05EF4997" w14:textId="1DEE5C62" w:rsidR="00826F6D" w:rsidRPr="004C590B" w:rsidRDefault="000B43BE" w:rsidP="00EB0B63">
            <w:pPr>
              <w:keepNext/>
              <w:spacing w:before="40" w:after="40"/>
              <w:jc w:val="both"/>
              <w:rPr>
                <w:rFonts w:ascii="Arial Narrow" w:hAnsi="Arial Narrow" w:cs="Arial"/>
                <w:sz w:val="20"/>
                <w:szCs w:val="20"/>
              </w:rPr>
            </w:pPr>
            <w:proofErr w:type="spellStart"/>
            <w:r w:rsidRPr="004C590B">
              <w:rPr>
                <w:rFonts w:ascii="Arial Narrow" w:hAnsi="Arial Narrow" w:cs="Arial"/>
                <w:sz w:val="20"/>
                <w:szCs w:val="20"/>
              </w:rPr>
              <w:t>alectinib</w:t>
            </w:r>
            <w:proofErr w:type="spellEnd"/>
            <w:r w:rsidRPr="004C590B">
              <w:rPr>
                <w:rFonts w:ascii="Arial Narrow" w:hAnsi="Arial Narrow" w:cs="Arial"/>
                <w:sz w:val="20"/>
                <w:szCs w:val="20"/>
              </w:rPr>
              <w:t xml:space="preserve"> 150 mg capsule, 4 x 56</w:t>
            </w:r>
          </w:p>
        </w:tc>
        <w:tc>
          <w:tcPr>
            <w:tcW w:w="409" w:type="pct"/>
          </w:tcPr>
          <w:p w14:paraId="47E6D210" w14:textId="77777777" w:rsidR="00826F6D" w:rsidRPr="004C590B" w:rsidRDefault="00826F6D" w:rsidP="00EB0B63">
            <w:pPr>
              <w:keepNext/>
              <w:spacing w:before="40" w:after="40"/>
              <w:jc w:val="both"/>
              <w:rPr>
                <w:rFonts w:ascii="Arial Narrow" w:hAnsi="Arial Narrow" w:cs="Arial"/>
                <w:sz w:val="20"/>
                <w:szCs w:val="20"/>
              </w:rPr>
            </w:pPr>
          </w:p>
          <w:p w14:paraId="7D159018" w14:textId="65855702" w:rsidR="00826F6D" w:rsidRPr="004C590B" w:rsidRDefault="000B43BE" w:rsidP="00EB0B63">
            <w:pPr>
              <w:keepNext/>
              <w:spacing w:before="40" w:after="40"/>
              <w:jc w:val="both"/>
              <w:rPr>
                <w:rFonts w:ascii="Arial Narrow" w:hAnsi="Arial Narrow" w:cs="Arial"/>
                <w:sz w:val="20"/>
                <w:szCs w:val="20"/>
              </w:rPr>
            </w:pPr>
            <w:r w:rsidRPr="004C590B">
              <w:rPr>
                <w:rFonts w:ascii="Arial Narrow" w:hAnsi="Arial Narrow" w:cs="Arial"/>
                <w:sz w:val="20"/>
                <w:szCs w:val="20"/>
              </w:rPr>
              <w:t>1</w:t>
            </w:r>
          </w:p>
        </w:tc>
        <w:tc>
          <w:tcPr>
            <w:tcW w:w="493" w:type="pct"/>
          </w:tcPr>
          <w:p w14:paraId="3F45D238" w14:textId="77777777" w:rsidR="00826F6D" w:rsidRPr="004C590B" w:rsidRDefault="00826F6D" w:rsidP="00EB0B63">
            <w:pPr>
              <w:keepNext/>
              <w:spacing w:before="40" w:after="40"/>
              <w:jc w:val="both"/>
              <w:rPr>
                <w:rFonts w:ascii="Arial Narrow" w:hAnsi="Arial Narrow" w:cs="Arial"/>
                <w:sz w:val="20"/>
                <w:szCs w:val="20"/>
              </w:rPr>
            </w:pPr>
          </w:p>
          <w:p w14:paraId="749E7E97" w14:textId="59DB8696" w:rsidR="00826F6D" w:rsidRPr="004C590B" w:rsidRDefault="000B43BE" w:rsidP="00771AFB">
            <w:pPr>
              <w:keepNext/>
              <w:spacing w:before="40" w:after="40"/>
              <w:jc w:val="both"/>
              <w:rPr>
                <w:rFonts w:ascii="Arial Narrow" w:hAnsi="Arial Narrow" w:cs="Arial"/>
                <w:sz w:val="20"/>
                <w:szCs w:val="20"/>
              </w:rPr>
            </w:pPr>
            <w:r w:rsidRPr="004C590B">
              <w:rPr>
                <w:rFonts w:ascii="Arial Narrow" w:hAnsi="Arial Narrow" w:cs="Arial"/>
                <w:strike/>
                <w:sz w:val="20"/>
                <w:szCs w:val="20"/>
              </w:rPr>
              <w:t>1</w:t>
            </w:r>
            <w:r w:rsidR="00771AFB" w:rsidRPr="004C590B">
              <w:rPr>
                <w:rFonts w:ascii="Arial Narrow" w:hAnsi="Arial Narrow" w:cs="Arial"/>
                <w:i/>
                <w:sz w:val="20"/>
                <w:szCs w:val="20"/>
              </w:rPr>
              <w:t>5</w:t>
            </w:r>
          </w:p>
        </w:tc>
        <w:tc>
          <w:tcPr>
            <w:tcW w:w="899" w:type="pct"/>
          </w:tcPr>
          <w:p w14:paraId="7F6B554C" w14:textId="77777777" w:rsidR="00826F6D" w:rsidRPr="004C590B" w:rsidRDefault="00826F6D" w:rsidP="00EB0B63">
            <w:pPr>
              <w:keepNext/>
              <w:spacing w:before="40" w:after="40"/>
              <w:jc w:val="both"/>
              <w:rPr>
                <w:rFonts w:ascii="Arial Narrow" w:hAnsi="Arial Narrow" w:cs="Arial"/>
                <w:sz w:val="20"/>
                <w:szCs w:val="20"/>
              </w:rPr>
            </w:pPr>
          </w:p>
          <w:p w14:paraId="53B43AEC" w14:textId="4D69729F" w:rsidR="00826F6D" w:rsidRPr="004C590B" w:rsidRDefault="000B43BE" w:rsidP="00EB0B63">
            <w:pPr>
              <w:keepNext/>
              <w:spacing w:before="40" w:after="40"/>
              <w:jc w:val="both"/>
              <w:rPr>
                <w:rFonts w:ascii="Arial Narrow" w:hAnsi="Arial Narrow" w:cs="Arial"/>
                <w:sz w:val="20"/>
                <w:szCs w:val="20"/>
              </w:rPr>
            </w:pPr>
            <w:r w:rsidRPr="004C590B">
              <w:rPr>
                <w:rFonts w:ascii="Arial Narrow" w:hAnsi="Arial Narrow" w:cs="Arial"/>
                <w:sz w:val="20"/>
                <w:szCs w:val="20"/>
              </w:rPr>
              <w:t>$6804.12</w:t>
            </w:r>
          </w:p>
        </w:tc>
        <w:tc>
          <w:tcPr>
            <w:tcW w:w="503" w:type="pct"/>
          </w:tcPr>
          <w:p w14:paraId="44454261" w14:textId="77777777" w:rsidR="00C27B58" w:rsidRPr="004C590B" w:rsidRDefault="00C27B58" w:rsidP="00EB0B63">
            <w:pPr>
              <w:keepNext/>
              <w:spacing w:before="40" w:after="40"/>
              <w:jc w:val="both"/>
              <w:rPr>
                <w:rFonts w:ascii="Arial Narrow" w:hAnsi="Arial Narrow" w:cs="Arial"/>
                <w:sz w:val="20"/>
                <w:szCs w:val="20"/>
              </w:rPr>
            </w:pPr>
          </w:p>
          <w:p w14:paraId="30106A7E" w14:textId="54DA0D04" w:rsidR="00826F6D" w:rsidRPr="004C590B" w:rsidRDefault="000B43BE" w:rsidP="000B43BE">
            <w:pPr>
              <w:keepNext/>
              <w:spacing w:before="40" w:after="40"/>
              <w:jc w:val="both"/>
              <w:rPr>
                <w:rFonts w:ascii="Arial Narrow" w:hAnsi="Arial Narrow" w:cs="Arial"/>
                <w:sz w:val="20"/>
                <w:szCs w:val="20"/>
              </w:rPr>
            </w:pPr>
            <w:proofErr w:type="spellStart"/>
            <w:r w:rsidRPr="004C590B">
              <w:rPr>
                <w:rFonts w:ascii="Arial Narrow" w:hAnsi="Arial Narrow" w:cs="Arial"/>
                <w:sz w:val="20"/>
                <w:szCs w:val="20"/>
              </w:rPr>
              <w:t>Alecensa</w:t>
            </w:r>
            <w:proofErr w:type="spellEnd"/>
          </w:p>
        </w:tc>
        <w:tc>
          <w:tcPr>
            <w:tcW w:w="860" w:type="pct"/>
            <w:gridSpan w:val="3"/>
          </w:tcPr>
          <w:p w14:paraId="00D222CB" w14:textId="77777777" w:rsidR="00C27B58" w:rsidRPr="004C590B" w:rsidRDefault="00C27B58" w:rsidP="00EB0B63">
            <w:pPr>
              <w:keepNext/>
              <w:spacing w:before="40" w:after="40"/>
              <w:jc w:val="both"/>
              <w:rPr>
                <w:rFonts w:ascii="Arial Narrow" w:hAnsi="Arial Narrow" w:cs="Arial"/>
                <w:sz w:val="20"/>
                <w:szCs w:val="20"/>
              </w:rPr>
            </w:pPr>
          </w:p>
          <w:p w14:paraId="188D7002" w14:textId="6EC7B980" w:rsidR="00826F6D" w:rsidRPr="004C590B" w:rsidRDefault="000B43BE" w:rsidP="00EB0B63">
            <w:pPr>
              <w:keepNext/>
              <w:spacing w:before="40" w:after="40"/>
              <w:jc w:val="both"/>
              <w:rPr>
                <w:rFonts w:ascii="Arial Narrow" w:hAnsi="Arial Narrow" w:cs="Arial"/>
                <w:sz w:val="20"/>
                <w:szCs w:val="20"/>
              </w:rPr>
            </w:pPr>
            <w:r w:rsidRPr="004C590B">
              <w:rPr>
                <w:rFonts w:ascii="Arial Narrow" w:hAnsi="Arial Narrow" w:cs="Arial"/>
                <w:sz w:val="20"/>
                <w:szCs w:val="20"/>
              </w:rPr>
              <w:t>Roche Products Pty Ltd</w:t>
            </w:r>
          </w:p>
        </w:tc>
      </w:tr>
      <w:tr w:rsidR="00826F6D" w:rsidRPr="004C590B" w14:paraId="59AED4EC" w14:textId="77777777" w:rsidTr="000B43BE">
        <w:trPr>
          <w:gridAfter w:val="2"/>
          <w:wAfter w:w="481" w:type="pct"/>
          <w:cantSplit/>
          <w:trHeight w:val="360"/>
        </w:trPr>
        <w:tc>
          <w:tcPr>
            <w:tcW w:w="4519" w:type="pct"/>
            <w:gridSpan w:val="7"/>
            <w:tcBorders>
              <w:bottom w:val="single" w:sz="4" w:space="0" w:color="auto"/>
            </w:tcBorders>
          </w:tcPr>
          <w:p w14:paraId="2219FA94" w14:textId="64BE0BEE" w:rsidR="003E49F2" w:rsidRPr="004C590B" w:rsidRDefault="003E49F2" w:rsidP="00EB0B63">
            <w:pPr>
              <w:spacing w:before="40" w:after="40"/>
              <w:jc w:val="both"/>
              <w:rPr>
                <w:rFonts w:ascii="Arial Narrow" w:hAnsi="Arial Narrow" w:cs="Arial"/>
                <w:sz w:val="20"/>
                <w:szCs w:val="20"/>
              </w:rPr>
            </w:pPr>
          </w:p>
        </w:tc>
      </w:tr>
      <w:tr w:rsidR="003E49F2" w:rsidRPr="004C590B" w14:paraId="339748EA" w14:textId="77777777" w:rsidTr="00596F1A">
        <w:trPr>
          <w:gridAfter w:val="1"/>
          <w:wAfter w:w="4" w:type="pct"/>
          <w:cantSplit/>
          <w:trHeight w:val="360"/>
        </w:trPr>
        <w:tc>
          <w:tcPr>
            <w:tcW w:w="1077" w:type="pct"/>
            <w:tcBorders>
              <w:top w:val="single" w:sz="4" w:space="0" w:color="auto"/>
              <w:left w:val="single" w:sz="4" w:space="0" w:color="auto"/>
              <w:bottom w:val="single" w:sz="4" w:space="0" w:color="auto"/>
              <w:right w:val="single" w:sz="4" w:space="0" w:color="auto"/>
            </w:tcBorders>
          </w:tcPr>
          <w:p w14:paraId="30DD0BEC"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 xml:space="preserve">Category / </w:t>
            </w:r>
          </w:p>
          <w:p w14:paraId="2B1F324E"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Program</w:t>
            </w:r>
          </w:p>
        </w:tc>
        <w:tc>
          <w:tcPr>
            <w:tcW w:w="3919" w:type="pct"/>
            <w:gridSpan w:val="7"/>
            <w:tcBorders>
              <w:top w:val="single" w:sz="4" w:space="0" w:color="auto"/>
              <w:left w:val="single" w:sz="4" w:space="0" w:color="auto"/>
              <w:bottom w:val="single" w:sz="4" w:space="0" w:color="auto"/>
              <w:right w:val="single" w:sz="4" w:space="0" w:color="auto"/>
            </w:tcBorders>
          </w:tcPr>
          <w:p w14:paraId="66D99E72"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GENERAL – General Schedule (Code GE)</w:t>
            </w:r>
          </w:p>
          <w:p w14:paraId="45A05986" w14:textId="77777777" w:rsidR="003E49F2" w:rsidRPr="004C590B" w:rsidRDefault="003E49F2" w:rsidP="00596F1A">
            <w:pPr>
              <w:spacing w:before="40" w:after="40"/>
              <w:rPr>
                <w:rFonts w:ascii="Arial Narrow" w:hAnsi="Arial Narrow" w:cs="Arial"/>
                <w:sz w:val="20"/>
                <w:szCs w:val="20"/>
              </w:rPr>
            </w:pPr>
          </w:p>
        </w:tc>
      </w:tr>
      <w:tr w:rsidR="003E49F2" w:rsidRPr="004C590B" w14:paraId="235983DA" w14:textId="77777777" w:rsidTr="00596F1A">
        <w:trPr>
          <w:gridAfter w:val="1"/>
          <w:wAfter w:w="4" w:type="pct"/>
          <w:cantSplit/>
          <w:trHeight w:val="360"/>
        </w:trPr>
        <w:tc>
          <w:tcPr>
            <w:tcW w:w="1077" w:type="pct"/>
            <w:tcBorders>
              <w:top w:val="single" w:sz="4" w:space="0" w:color="auto"/>
              <w:left w:val="single" w:sz="4" w:space="0" w:color="auto"/>
              <w:bottom w:val="single" w:sz="4" w:space="0" w:color="auto"/>
              <w:right w:val="single" w:sz="4" w:space="0" w:color="auto"/>
            </w:tcBorders>
          </w:tcPr>
          <w:p w14:paraId="4DD50DAD"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Prescriber type:</w:t>
            </w:r>
          </w:p>
        </w:tc>
        <w:tc>
          <w:tcPr>
            <w:tcW w:w="3919" w:type="pct"/>
            <w:gridSpan w:val="7"/>
            <w:tcBorders>
              <w:top w:val="single" w:sz="4" w:space="0" w:color="auto"/>
              <w:left w:val="single" w:sz="4" w:space="0" w:color="auto"/>
              <w:bottom w:val="single" w:sz="4" w:space="0" w:color="auto"/>
              <w:right w:val="single" w:sz="4" w:space="0" w:color="auto"/>
            </w:tcBorders>
          </w:tcPr>
          <w:p w14:paraId="017A896E" w14:textId="77777777" w:rsidR="003E49F2" w:rsidRPr="004C590B" w:rsidRDefault="003E49F2" w:rsidP="00596F1A">
            <w:pPr>
              <w:spacing w:before="40" w:after="40"/>
              <w:rPr>
                <w:rFonts w:ascii="Arial Narrow" w:hAnsi="Arial Narrow" w:cs="Arial"/>
                <w:sz w:val="20"/>
                <w:szCs w:val="20"/>
              </w:rPr>
            </w:pPr>
            <w:r w:rsidRPr="003C06BF">
              <w:rPr>
                <w:rFonts w:ascii="Arial Narrow" w:hAnsi="Arial Narrow" w:cs="Arial"/>
                <w:sz w:val="20"/>
                <w:szCs w:val="20"/>
              </w:rPr>
              <w:fldChar w:fldCharType="begin">
                <w:ffData>
                  <w:name w:val=""/>
                  <w:enabled/>
                  <w:calcOnExit w:val="0"/>
                  <w:checkBox>
                    <w:sizeAuto/>
                    <w:default w:val="1"/>
                  </w:checkBox>
                </w:ffData>
              </w:fldChar>
            </w:r>
            <w:r w:rsidRPr="004C590B">
              <w:rPr>
                <w:rFonts w:ascii="Arial Narrow" w:hAnsi="Arial Narrow" w:cs="Arial"/>
                <w:sz w:val="20"/>
                <w:szCs w:val="20"/>
              </w:rPr>
              <w:instrText xml:space="preserve"> FORMCHECKBOX </w:instrText>
            </w:r>
            <w:r w:rsidR="00067E77">
              <w:rPr>
                <w:rFonts w:ascii="Arial Narrow" w:hAnsi="Arial Narrow" w:cs="Arial"/>
                <w:sz w:val="20"/>
                <w:szCs w:val="20"/>
              </w:rPr>
            </w:r>
            <w:r w:rsidR="00067E77">
              <w:rPr>
                <w:rFonts w:ascii="Arial Narrow" w:hAnsi="Arial Narrow" w:cs="Arial"/>
                <w:sz w:val="20"/>
                <w:szCs w:val="20"/>
              </w:rPr>
              <w:fldChar w:fldCharType="separate"/>
            </w:r>
            <w:r w:rsidRPr="003C06BF">
              <w:rPr>
                <w:rFonts w:ascii="Arial Narrow" w:hAnsi="Arial Narrow" w:cs="Arial"/>
                <w:sz w:val="20"/>
                <w:szCs w:val="20"/>
              </w:rPr>
              <w:fldChar w:fldCharType="end"/>
            </w:r>
            <w:r w:rsidRPr="004C590B">
              <w:rPr>
                <w:rFonts w:ascii="Arial Narrow" w:hAnsi="Arial Narrow" w:cs="Arial"/>
                <w:sz w:val="20"/>
                <w:szCs w:val="20"/>
              </w:rPr>
              <w:t xml:space="preserve">Medical Practitioners  </w:t>
            </w:r>
          </w:p>
          <w:p w14:paraId="54F703CC" w14:textId="77777777" w:rsidR="003E49F2" w:rsidRPr="004C590B" w:rsidRDefault="003E49F2" w:rsidP="00596F1A">
            <w:pPr>
              <w:spacing w:before="40" w:after="40"/>
              <w:rPr>
                <w:rFonts w:ascii="Arial Narrow" w:hAnsi="Arial Narrow" w:cs="Arial"/>
                <w:sz w:val="20"/>
                <w:szCs w:val="20"/>
              </w:rPr>
            </w:pPr>
          </w:p>
        </w:tc>
      </w:tr>
      <w:tr w:rsidR="003E49F2" w:rsidRPr="004C590B" w14:paraId="572CAE0D" w14:textId="77777777" w:rsidTr="00596F1A">
        <w:trPr>
          <w:gridAfter w:val="1"/>
          <w:wAfter w:w="4" w:type="pct"/>
          <w:cantSplit/>
          <w:trHeight w:val="360"/>
        </w:trPr>
        <w:tc>
          <w:tcPr>
            <w:tcW w:w="1077" w:type="pct"/>
            <w:tcBorders>
              <w:top w:val="single" w:sz="4" w:space="0" w:color="auto"/>
              <w:left w:val="single" w:sz="4" w:space="0" w:color="auto"/>
              <w:bottom w:val="single" w:sz="4" w:space="0" w:color="auto"/>
              <w:right w:val="single" w:sz="4" w:space="0" w:color="auto"/>
            </w:tcBorders>
          </w:tcPr>
          <w:p w14:paraId="3C23FFDD"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PBS Indication:</w:t>
            </w:r>
          </w:p>
        </w:tc>
        <w:tc>
          <w:tcPr>
            <w:tcW w:w="3919" w:type="pct"/>
            <w:gridSpan w:val="7"/>
            <w:tcBorders>
              <w:top w:val="single" w:sz="4" w:space="0" w:color="auto"/>
              <w:left w:val="single" w:sz="4" w:space="0" w:color="auto"/>
              <w:bottom w:val="single" w:sz="4" w:space="0" w:color="auto"/>
              <w:right w:val="single" w:sz="4" w:space="0" w:color="auto"/>
            </w:tcBorders>
          </w:tcPr>
          <w:p w14:paraId="4C1B8791"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Stage IIIB (locally advanced) or Stage IV (metastatic) non-small cell lung cancer (NSCLC)</w:t>
            </w:r>
          </w:p>
        </w:tc>
      </w:tr>
      <w:tr w:rsidR="003E49F2" w:rsidRPr="004C590B" w14:paraId="104C4085" w14:textId="77777777" w:rsidTr="00596F1A">
        <w:trPr>
          <w:gridAfter w:val="1"/>
          <w:wAfter w:w="4" w:type="pct"/>
          <w:cantSplit/>
          <w:trHeight w:val="360"/>
        </w:trPr>
        <w:tc>
          <w:tcPr>
            <w:tcW w:w="1077" w:type="pct"/>
            <w:tcBorders>
              <w:top w:val="single" w:sz="4" w:space="0" w:color="auto"/>
              <w:left w:val="single" w:sz="4" w:space="0" w:color="auto"/>
              <w:bottom w:val="single" w:sz="4" w:space="0" w:color="auto"/>
              <w:right w:val="single" w:sz="4" w:space="0" w:color="auto"/>
            </w:tcBorders>
          </w:tcPr>
          <w:p w14:paraId="681E0389"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Treatment phase:</w:t>
            </w:r>
          </w:p>
        </w:tc>
        <w:tc>
          <w:tcPr>
            <w:tcW w:w="3919" w:type="pct"/>
            <w:gridSpan w:val="7"/>
            <w:tcBorders>
              <w:top w:val="single" w:sz="4" w:space="0" w:color="auto"/>
              <w:left w:val="single" w:sz="4" w:space="0" w:color="auto"/>
              <w:bottom w:val="single" w:sz="4" w:space="0" w:color="auto"/>
              <w:right w:val="single" w:sz="4" w:space="0" w:color="auto"/>
            </w:tcBorders>
          </w:tcPr>
          <w:p w14:paraId="627A7E4D" w14:textId="048E94E8"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Initial treatment</w:t>
            </w:r>
          </w:p>
        </w:tc>
      </w:tr>
      <w:tr w:rsidR="003E49F2" w:rsidRPr="004C590B" w14:paraId="4EFC9B38" w14:textId="77777777" w:rsidTr="00596F1A">
        <w:trPr>
          <w:gridAfter w:val="1"/>
          <w:wAfter w:w="4" w:type="pct"/>
          <w:cantSplit/>
          <w:trHeight w:val="360"/>
        </w:trPr>
        <w:tc>
          <w:tcPr>
            <w:tcW w:w="1077" w:type="pct"/>
            <w:tcBorders>
              <w:top w:val="single" w:sz="4" w:space="0" w:color="auto"/>
              <w:left w:val="single" w:sz="4" w:space="0" w:color="auto"/>
              <w:bottom w:val="single" w:sz="4" w:space="0" w:color="auto"/>
              <w:right w:val="single" w:sz="4" w:space="0" w:color="auto"/>
            </w:tcBorders>
          </w:tcPr>
          <w:p w14:paraId="5853DB0C"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Restriction Level / Method:</w:t>
            </w:r>
          </w:p>
          <w:p w14:paraId="2407460F" w14:textId="77777777" w:rsidR="003E49F2" w:rsidRPr="004C590B" w:rsidRDefault="003E49F2" w:rsidP="00596F1A">
            <w:pPr>
              <w:spacing w:before="40" w:after="40"/>
              <w:rPr>
                <w:rFonts w:ascii="Arial Narrow" w:hAnsi="Arial Narrow" w:cs="Arial"/>
                <w:sz w:val="20"/>
                <w:szCs w:val="20"/>
              </w:rPr>
            </w:pPr>
          </w:p>
        </w:tc>
        <w:tc>
          <w:tcPr>
            <w:tcW w:w="3919" w:type="pct"/>
            <w:gridSpan w:val="7"/>
            <w:tcBorders>
              <w:top w:val="single" w:sz="4" w:space="0" w:color="auto"/>
              <w:left w:val="single" w:sz="4" w:space="0" w:color="auto"/>
              <w:bottom w:val="single" w:sz="4" w:space="0" w:color="auto"/>
              <w:right w:val="single" w:sz="4" w:space="0" w:color="auto"/>
            </w:tcBorders>
          </w:tcPr>
          <w:p w14:paraId="46177A1A" w14:textId="77777777" w:rsidR="003E49F2" w:rsidRPr="004C590B" w:rsidRDefault="003E49F2" w:rsidP="00596F1A">
            <w:pPr>
              <w:spacing w:before="40" w:after="40"/>
              <w:rPr>
                <w:rFonts w:ascii="Arial Narrow" w:hAnsi="Arial Narrow" w:cs="Arial"/>
                <w:strike/>
                <w:sz w:val="20"/>
                <w:szCs w:val="20"/>
              </w:rPr>
            </w:pPr>
            <w:r w:rsidRPr="003C06BF">
              <w:rPr>
                <w:rFonts w:ascii="Arial Narrow" w:hAnsi="Arial Narrow" w:cs="Arial"/>
                <w:strike/>
                <w:sz w:val="20"/>
                <w:szCs w:val="20"/>
              </w:rPr>
              <w:fldChar w:fldCharType="begin">
                <w:ffData>
                  <w:name w:val="Check3"/>
                  <w:enabled/>
                  <w:calcOnExit w:val="0"/>
                  <w:checkBox>
                    <w:sizeAuto/>
                    <w:default w:val="1"/>
                  </w:checkBox>
                </w:ffData>
              </w:fldChar>
            </w:r>
            <w:r w:rsidRPr="004C590B">
              <w:rPr>
                <w:rFonts w:ascii="Arial Narrow" w:hAnsi="Arial Narrow" w:cs="Arial"/>
                <w:strike/>
                <w:sz w:val="20"/>
                <w:szCs w:val="20"/>
              </w:rPr>
              <w:instrText xml:space="preserve"> FORMCHECKBOX </w:instrText>
            </w:r>
            <w:r w:rsidR="00067E77">
              <w:rPr>
                <w:rFonts w:ascii="Arial Narrow" w:hAnsi="Arial Narrow" w:cs="Arial"/>
                <w:strike/>
                <w:sz w:val="20"/>
                <w:szCs w:val="20"/>
              </w:rPr>
            </w:r>
            <w:r w:rsidR="00067E77">
              <w:rPr>
                <w:rFonts w:ascii="Arial Narrow" w:hAnsi="Arial Narrow" w:cs="Arial"/>
                <w:strike/>
                <w:sz w:val="20"/>
                <w:szCs w:val="20"/>
              </w:rPr>
              <w:fldChar w:fldCharType="separate"/>
            </w:r>
            <w:r w:rsidRPr="003C06BF">
              <w:rPr>
                <w:rFonts w:ascii="Arial Narrow" w:hAnsi="Arial Narrow" w:cs="Arial"/>
                <w:strike/>
                <w:sz w:val="20"/>
                <w:szCs w:val="20"/>
              </w:rPr>
              <w:fldChar w:fldCharType="end"/>
            </w:r>
            <w:r w:rsidRPr="004C590B">
              <w:rPr>
                <w:rFonts w:ascii="Arial Narrow" w:hAnsi="Arial Narrow" w:cs="Arial"/>
                <w:i/>
                <w:strike/>
                <w:sz w:val="20"/>
                <w:szCs w:val="20"/>
              </w:rPr>
              <w:t>Authority Required - Telephone</w:t>
            </w:r>
          </w:p>
          <w:p w14:paraId="0DB40A52" w14:textId="77777777" w:rsidR="003E49F2" w:rsidRPr="004C590B" w:rsidRDefault="003E49F2" w:rsidP="00596F1A">
            <w:pPr>
              <w:spacing w:before="40" w:after="40"/>
              <w:rPr>
                <w:rFonts w:ascii="Arial Narrow" w:hAnsi="Arial Narrow" w:cs="Arial"/>
                <w:i/>
                <w:sz w:val="20"/>
                <w:szCs w:val="20"/>
              </w:rPr>
            </w:pPr>
            <w:r w:rsidRPr="003C06BF">
              <w:rPr>
                <w:rFonts w:ascii="Arial Narrow" w:hAnsi="Arial Narrow" w:cs="Arial"/>
                <w:i/>
                <w:sz w:val="20"/>
                <w:szCs w:val="20"/>
              </w:rPr>
              <w:fldChar w:fldCharType="begin">
                <w:ffData>
                  <w:name w:val="Check5"/>
                  <w:enabled/>
                  <w:calcOnExit w:val="0"/>
                  <w:checkBox>
                    <w:sizeAuto/>
                    <w:default w:val="1"/>
                  </w:checkBox>
                </w:ffData>
              </w:fldChar>
            </w:r>
            <w:r w:rsidRPr="004C590B">
              <w:rPr>
                <w:rFonts w:ascii="Arial Narrow" w:hAnsi="Arial Narrow" w:cs="Arial"/>
                <w:i/>
                <w:sz w:val="20"/>
                <w:szCs w:val="20"/>
              </w:rPr>
              <w:instrText xml:space="preserve"> FORMCHECKBOX </w:instrText>
            </w:r>
            <w:r w:rsidR="00067E77">
              <w:rPr>
                <w:rFonts w:ascii="Arial Narrow" w:hAnsi="Arial Narrow" w:cs="Arial"/>
                <w:i/>
                <w:sz w:val="20"/>
                <w:szCs w:val="20"/>
              </w:rPr>
            </w:r>
            <w:r w:rsidR="00067E77">
              <w:rPr>
                <w:rFonts w:ascii="Arial Narrow" w:hAnsi="Arial Narrow" w:cs="Arial"/>
                <w:i/>
                <w:sz w:val="20"/>
                <w:szCs w:val="20"/>
              </w:rPr>
              <w:fldChar w:fldCharType="separate"/>
            </w:r>
            <w:r w:rsidRPr="003C06BF">
              <w:rPr>
                <w:rFonts w:ascii="Arial Narrow" w:hAnsi="Arial Narrow" w:cs="Arial"/>
                <w:i/>
                <w:sz w:val="20"/>
                <w:szCs w:val="20"/>
              </w:rPr>
              <w:fldChar w:fldCharType="end"/>
            </w:r>
            <w:r w:rsidRPr="004C590B">
              <w:rPr>
                <w:rFonts w:ascii="Arial Narrow" w:hAnsi="Arial Narrow" w:cs="Arial"/>
                <w:i/>
                <w:sz w:val="20"/>
                <w:szCs w:val="20"/>
              </w:rPr>
              <w:t>Streamlined</w:t>
            </w:r>
          </w:p>
        </w:tc>
      </w:tr>
      <w:tr w:rsidR="003E49F2" w:rsidRPr="004C590B" w14:paraId="15334662" w14:textId="77777777" w:rsidTr="00596F1A">
        <w:trPr>
          <w:gridAfter w:val="1"/>
          <w:wAfter w:w="4" w:type="pct"/>
          <w:cantSplit/>
          <w:trHeight w:val="360"/>
        </w:trPr>
        <w:tc>
          <w:tcPr>
            <w:tcW w:w="1077" w:type="pct"/>
            <w:tcBorders>
              <w:top w:val="single" w:sz="4" w:space="0" w:color="auto"/>
              <w:left w:val="single" w:sz="4" w:space="0" w:color="auto"/>
              <w:bottom w:val="single" w:sz="4" w:space="0" w:color="auto"/>
              <w:right w:val="single" w:sz="4" w:space="0" w:color="auto"/>
            </w:tcBorders>
          </w:tcPr>
          <w:p w14:paraId="4BDB8C5C"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Clinical criteria:</w:t>
            </w:r>
          </w:p>
          <w:p w14:paraId="40A4772B" w14:textId="77777777" w:rsidR="003E49F2" w:rsidRPr="004C590B" w:rsidRDefault="003E49F2" w:rsidP="00596F1A">
            <w:pPr>
              <w:spacing w:before="40" w:after="40"/>
              <w:jc w:val="both"/>
              <w:rPr>
                <w:rFonts w:ascii="Arial Narrow" w:hAnsi="Arial Narrow" w:cs="Arial"/>
                <w:i/>
                <w:sz w:val="20"/>
                <w:szCs w:val="20"/>
              </w:rPr>
            </w:pPr>
          </w:p>
          <w:p w14:paraId="007C8CFC" w14:textId="77777777" w:rsidR="003E49F2" w:rsidRPr="004C590B" w:rsidRDefault="003E49F2" w:rsidP="00596F1A">
            <w:pPr>
              <w:spacing w:before="40" w:after="40"/>
              <w:jc w:val="both"/>
              <w:rPr>
                <w:rFonts w:ascii="Arial Narrow" w:hAnsi="Arial Narrow" w:cs="Arial"/>
                <w:sz w:val="20"/>
                <w:szCs w:val="20"/>
              </w:rPr>
            </w:pPr>
          </w:p>
        </w:tc>
        <w:tc>
          <w:tcPr>
            <w:tcW w:w="3919" w:type="pct"/>
            <w:gridSpan w:val="7"/>
            <w:tcBorders>
              <w:top w:val="single" w:sz="4" w:space="0" w:color="auto"/>
              <w:left w:val="single" w:sz="4" w:space="0" w:color="auto"/>
              <w:bottom w:val="single" w:sz="4" w:space="0" w:color="auto"/>
              <w:right w:val="single" w:sz="4" w:space="0" w:color="auto"/>
            </w:tcBorders>
          </w:tcPr>
          <w:p w14:paraId="4539434A"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The treatment must be as monotherapy,</w:t>
            </w:r>
          </w:p>
          <w:p w14:paraId="40D73A03"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AND</w:t>
            </w:r>
          </w:p>
          <w:p w14:paraId="1BD95903" w14:textId="7F4A1A73"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The condition must be non-squamous type non-small cell lung cancer (NSCLC) or not otherwise specified type NSCLC,</w:t>
            </w:r>
          </w:p>
          <w:p w14:paraId="7C388C59"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AND</w:t>
            </w:r>
          </w:p>
          <w:p w14:paraId="206D1E62" w14:textId="4B5308F1"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Patient must have a WHO performance status of 2 or less.</w:t>
            </w:r>
          </w:p>
        </w:tc>
      </w:tr>
      <w:tr w:rsidR="003E49F2" w:rsidRPr="004C590B" w14:paraId="65552159" w14:textId="77777777" w:rsidTr="00596F1A">
        <w:trPr>
          <w:gridAfter w:val="1"/>
          <w:wAfter w:w="4" w:type="pct"/>
          <w:cantSplit/>
          <w:trHeight w:val="360"/>
        </w:trPr>
        <w:tc>
          <w:tcPr>
            <w:tcW w:w="1077" w:type="pct"/>
            <w:tcBorders>
              <w:top w:val="single" w:sz="4" w:space="0" w:color="auto"/>
              <w:left w:val="single" w:sz="4" w:space="0" w:color="auto"/>
              <w:bottom w:val="single" w:sz="4" w:space="0" w:color="auto"/>
              <w:right w:val="single" w:sz="4" w:space="0" w:color="auto"/>
            </w:tcBorders>
          </w:tcPr>
          <w:p w14:paraId="454BED7B" w14:textId="4E89EE24"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Population criteria</w:t>
            </w:r>
          </w:p>
        </w:tc>
        <w:tc>
          <w:tcPr>
            <w:tcW w:w="3919" w:type="pct"/>
            <w:gridSpan w:val="7"/>
            <w:tcBorders>
              <w:top w:val="single" w:sz="4" w:space="0" w:color="auto"/>
              <w:left w:val="single" w:sz="4" w:space="0" w:color="auto"/>
              <w:bottom w:val="single" w:sz="4" w:space="0" w:color="auto"/>
              <w:right w:val="single" w:sz="4" w:space="0" w:color="auto"/>
            </w:tcBorders>
          </w:tcPr>
          <w:p w14:paraId="0CE26BFB" w14:textId="3532BB5B"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Patient must have evidence of an anaplastic lymphoma kinase (ALK) gene rearrangement in tumour material, defined as 15% (or greater) positive cells by fluorescence in situ hybridisation (FISH) testing.</w:t>
            </w:r>
          </w:p>
        </w:tc>
      </w:tr>
      <w:tr w:rsidR="003E49F2" w:rsidRPr="004C590B" w14:paraId="383E8C30" w14:textId="77777777" w:rsidTr="00596F1A">
        <w:trPr>
          <w:gridAfter w:val="1"/>
          <w:wAfter w:w="4" w:type="pct"/>
          <w:cantSplit/>
          <w:trHeight w:val="360"/>
        </w:trPr>
        <w:tc>
          <w:tcPr>
            <w:tcW w:w="1077" w:type="pct"/>
            <w:tcBorders>
              <w:top w:val="single" w:sz="4" w:space="0" w:color="auto"/>
              <w:left w:val="single" w:sz="4" w:space="0" w:color="auto"/>
              <w:bottom w:val="single" w:sz="4" w:space="0" w:color="auto"/>
              <w:right w:val="single" w:sz="4" w:space="0" w:color="auto"/>
            </w:tcBorders>
          </w:tcPr>
          <w:p w14:paraId="6B1FDA97"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lastRenderedPageBreak/>
              <w:t>Administrative Advice</w:t>
            </w:r>
          </w:p>
          <w:p w14:paraId="4011CD83" w14:textId="77777777" w:rsidR="003E49F2" w:rsidRPr="004C590B" w:rsidRDefault="003E49F2" w:rsidP="00596F1A">
            <w:pPr>
              <w:spacing w:before="40" w:after="40"/>
              <w:jc w:val="both"/>
              <w:rPr>
                <w:rFonts w:ascii="Arial Narrow" w:hAnsi="Arial Narrow" w:cs="Arial"/>
                <w:i/>
                <w:sz w:val="20"/>
                <w:szCs w:val="20"/>
              </w:rPr>
            </w:pPr>
          </w:p>
        </w:tc>
        <w:tc>
          <w:tcPr>
            <w:tcW w:w="3919" w:type="pct"/>
            <w:gridSpan w:val="7"/>
            <w:tcBorders>
              <w:top w:val="single" w:sz="4" w:space="0" w:color="auto"/>
              <w:left w:val="single" w:sz="4" w:space="0" w:color="auto"/>
              <w:bottom w:val="single" w:sz="4" w:space="0" w:color="auto"/>
              <w:right w:val="single" w:sz="4" w:space="0" w:color="auto"/>
            </w:tcBorders>
          </w:tcPr>
          <w:p w14:paraId="060601C5"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No increase in the maximum quantity or number of units may be authorised.</w:t>
            </w:r>
          </w:p>
          <w:p w14:paraId="2F7E9A9D" w14:textId="77777777" w:rsidR="003E49F2" w:rsidRPr="004C590B" w:rsidRDefault="003E49F2" w:rsidP="00596F1A">
            <w:pPr>
              <w:spacing w:before="40" w:after="40"/>
              <w:rPr>
                <w:rFonts w:ascii="Arial Narrow" w:hAnsi="Arial Narrow" w:cs="Arial"/>
                <w:sz w:val="20"/>
                <w:szCs w:val="20"/>
              </w:rPr>
            </w:pPr>
          </w:p>
          <w:p w14:paraId="26FE4DC8"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No increase in the maximum number of repeats may be authorised.</w:t>
            </w:r>
          </w:p>
          <w:p w14:paraId="04FAB5D8" w14:textId="77777777" w:rsidR="003E49F2" w:rsidRPr="004C590B" w:rsidRDefault="003E49F2" w:rsidP="00596F1A">
            <w:pPr>
              <w:spacing w:before="40" w:after="40"/>
              <w:rPr>
                <w:rFonts w:ascii="Arial Narrow" w:hAnsi="Arial Narrow" w:cs="Arial"/>
                <w:sz w:val="20"/>
                <w:szCs w:val="20"/>
              </w:rPr>
            </w:pPr>
          </w:p>
          <w:p w14:paraId="211EDE30"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Special Pricing Arrangements apply.</w:t>
            </w:r>
          </w:p>
        </w:tc>
      </w:tr>
    </w:tbl>
    <w:p w14:paraId="2664B7B6" w14:textId="380A476E" w:rsidR="00826F6D" w:rsidRPr="004C590B" w:rsidRDefault="00826F6D" w:rsidP="002D4543">
      <w:pPr>
        <w:rPr>
          <w:szCs w:val="22"/>
        </w:rPr>
      </w:pPr>
    </w:p>
    <w:p w14:paraId="7D631CE6" w14:textId="30DA1BC8" w:rsidR="00165B4C" w:rsidRPr="004C590B" w:rsidRDefault="00165B4C" w:rsidP="002D4543">
      <w:pPr>
        <w:rPr>
          <w:szCs w:val="22"/>
        </w:rPr>
      </w:pPr>
    </w:p>
    <w:tbl>
      <w:tblPr>
        <w:tblW w:w="4915" w:type="pct"/>
        <w:tblLook w:val="0000" w:firstRow="0" w:lastRow="0" w:firstColumn="0" w:lastColumn="0" w:noHBand="0" w:noVBand="0"/>
      </w:tblPr>
      <w:tblGrid>
        <w:gridCol w:w="3256"/>
        <w:gridCol w:w="726"/>
        <w:gridCol w:w="875"/>
        <w:gridCol w:w="1595"/>
        <w:gridCol w:w="893"/>
        <w:gridCol w:w="1528"/>
      </w:tblGrid>
      <w:tr w:rsidR="00165B4C" w:rsidRPr="004C590B" w14:paraId="3F522130" w14:textId="77777777" w:rsidTr="00596F1A">
        <w:trPr>
          <w:cantSplit/>
          <w:trHeight w:val="465"/>
        </w:trPr>
        <w:tc>
          <w:tcPr>
            <w:tcW w:w="1835" w:type="pct"/>
            <w:tcBorders>
              <w:bottom w:val="single" w:sz="4" w:space="0" w:color="auto"/>
            </w:tcBorders>
          </w:tcPr>
          <w:p w14:paraId="738F23AF" w14:textId="77777777" w:rsidR="00165B4C" w:rsidRPr="004C590B" w:rsidRDefault="00165B4C" w:rsidP="00596F1A">
            <w:pPr>
              <w:keepNext/>
              <w:spacing w:before="40" w:after="40"/>
              <w:jc w:val="both"/>
              <w:rPr>
                <w:rFonts w:ascii="Arial Narrow" w:hAnsi="Arial Narrow" w:cs="Arial"/>
                <w:b/>
                <w:sz w:val="20"/>
                <w:szCs w:val="20"/>
              </w:rPr>
            </w:pPr>
            <w:r w:rsidRPr="004C590B">
              <w:rPr>
                <w:rFonts w:ascii="Arial Narrow" w:hAnsi="Arial Narrow" w:cs="Arial"/>
                <w:b/>
                <w:sz w:val="20"/>
                <w:szCs w:val="20"/>
              </w:rPr>
              <w:t>Name, Restriction,</w:t>
            </w:r>
          </w:p>
          <w:p w14:paraId="5558E3AA" w14:textId="77777777" w:rsidR="00165B4C" w:rsidRPr="004C590B" w:rsidRDefault="00165B4C" w:rsidP="00596F1A">
            <w:pPr>
              <w:keepNext/>
              <w:spacing w:before="40" w:after="40"/>
              <w:jc w:val="both"/>
              <w:rPr>
                <w:rFonts w:ascii="Arial Narrow" w:hAnsi="Arial Narrow" w:cs="Arial"/>
                <w:b/>
                <w:sz w:val="20"/>
                <w:szCs w:val="20"/>
              </w:rPr>
            </w:pPr>
            <w:r w:rsidRPr="004C590B">
              <w:rPr>
                <w:rFonts w:ascii="Arial Narrow" w:hAnsi="Arial Narrow" w:cs="Arial"/>
                <w:b/>
                <w:sz w:val="20"/>
                <w:szCs w:val="20"/>
              </w:rPr>
              <w:t>Manner of administration and form</w:t>
            </w:r>
          </w:p>
        </w:tc>
        <w:tc>
          <w:tcPr>
            <w:tcW w:w="409" w:type="pct"/>
            <w:tcBorders>
              <w:bottom w:val="single" w:sz="4" w:space="0" w:color="auto"/>
            </w:tcBorders>
          </w:tcPr>
          <w:p w14:paraId="4E22CA99" w14:textId="77777777" w:rsidR="00165B4C" w:rsidRPr="004C590B" w:rsidRDefault="00165B4C" w:rsidP="00596F1A">
            <w:pPr>
              <w:keepNext/>
              <w:spacing w:before="40" w:after="40"/>
              <w:jc w:val="both"/>
              <w:rPr>
                <w:rFonts w:ascii="Arial Narrow" w:hAnsi="Arial Narrow" w:cs="Arial"/>
                <w:b/>
                <w:sz w:val="20"/>
                <w:szCs w:val="20"/>
              </w:rPr>
            </w:pPr>
            <w:r w:rsidRPr="004C590B">
              <w:rPr>
                <w:rFonts w:ascii="Arial Narrow" w:hAnsi="Arial Narrow" w:cs="Arial"/>
                <w:b/>
                <w:sz w:val="20"/>
                <w:szCs w:val="20"/>
              </w:rPr>
              <w:t>Max.</w:t>
            </w:r>
          </w:p>
          <w:p w14:paraId="27C32141" w14:textId="77777777" w:rsidR="00165B4C" w:rsidRPr="004C590B" w:rsidRDefault="00165B4C" w:rsidP="00596F1A">
            <w:pPr>
              <w:keepNext/>
              <w:spacing w:before="40" w:after="40"/>
              <w:jc w:val="both"/>
              <w:rPr>
                <w:rFonts w:ascii="Arial Narrow" w:hAnsi="Arial Narrow" w:cs="Arial"/>
                <w:b/>
                <w:sz w:val="20"/>
                <w:szCs w:val="20"/>
              </w:rPr>
            </w:pPr>
            <w:proofErr w:type="spellStart"/>
            <w:r w:rsidRPr="004C590B">
              <w:rPr>
                <w:rFonts w:ascii="Arial Narrow" w:hAnsi="Arial Narrow" w:cs="Arial"/>
                <w:b/>
                <w:sz w:val="20"/>
                <w:szCs w:val="20"/>
              </w:rPr>
              <w:t>Qty</w:t>
            </w:r>
            <w:proofErr w:type="spellEnd"/>
          </w:p>
        </w:tc>
        <w:tc>
          <w:tcPr>
            <w:tcW w:w="493" w:type="pct"/>
            <w:tcBorders>
              <w:bottom w:val="single" w:sz="4" w:space="0" w:color="auto"/>
            </w:tcBorders>
          </w:tcPr>
          <w:p w14:paraId="03DF9402" w14:textId="77777777" w:rsidR="00165B4C" w:rsidRPr="004C590B" w:rsidRDefault="00165B4C" w:rsidP="00596F1A">
            <w:pPr>
              <w:keepNext/>
              <w:spacing w:before="40" w:after="40"/>
              <w:jc w:val="both"/>
              <w:rPr>
                <w:rFonts w:ascii="Arial Narrow" w:hAnsi="Arial Narrow" w:cs="Arial"/>
                <w:b/>
                <w:sz w:val="20"/>
                <w:szCs w:val="20"/>
              </w:rPr>
            </w:pPr>
            <w:r w:rsidRPr="004C590B">
              <w:rPr>
                <w:rFonts w:ascii="Arial Narrow" w:hAnsi="Arial Narrow" w:cs="Arial"/>
                <w:b/>
                <w:sz w:val="20"/>
                <w:szCs w:val="20"/>
              </w:rPr>
              <w:t>№.of</w:t>
            </w:r>
          </w:p>
          <w:p w14:paraId="333DB897" w14:textId="77777777" w:rsidR="00165B4C" w:rsidRPr="004C590B" w:rsidRDefault="00165B4C" w:rsidP="00596F1A">
            <w:pPr>
              <w:keepNext/>
              <w:spacing w:before="40" w:after="40"/>
              <w:jc w:val="both"/>
              <w:rPr>
                <w:rFonts w:ascii="Arial Narrow" w:hAnsi="Arial Narrow" w:cs="Arial"/>
                <w:b/>
                <w:sz w:val="20"/>
                <w:szCs w:val="20"/>
              </w:rPr>
            </w:pPr>
            <w:proofErr w:type="spellStart"/>
            <w:r w:rsidRPr="004C590B">
              <w:rPr>
                <w:rFonts w:ascii="Arial Narrow" w:hAnsi="Arial Narrow" w:cs="Arial"/>
                <w:b/>
                <w:sz w:val="20"/>
                <w:szCs w:val="20"/>
              </w:rPr>
              <w:t>Rpts</w:t>
            </w:r>
            <w:proofErr w:type="spellEnd"/>
          </w:p>
        </w:tc>
        <w:tc>
          <w:tcPr>
            <w:tcW w:w="899" w:type="pct"/>
            <w:tcBorders>
              <w:bottom w:val="single" w:sz="4" w:space="0" w:color="auto"/>
            </w:tcBorders>
          </w:tcPr>
          <w:p w14:paraId="61DF449B" w14:textId="77777777" w:rsidR="00165B4C" w:rsidRPr="004C590B" w:rsidRDefault="00165B4C" w:rsidP="00596F1A">
            <w:pPr>
              <w:keepNext/>
              <w:spacing w:before="40" w:after="40"/>
              <w:jc w:val="both"/>
              <w:rPr>
                <w:rFonts w:ascii="Arial Narrow" w:hAnsi="Arial Narrow" w:cs="Arial"/>
                <w:b/>
                <w:sz w:val="20"/>
                <w:szCs w:val="20"/>
              </w:rPr>
            </w:pPr>
            <w:r w:rsidRPr="004C590B">
              <w:rPr>
                <w:rFonts w:ascii="Arial Narrow" w:hAnsi="Arial Narrow" w:cs="Arial"/>
                <w:b/>
                <w:sz w:val="20"/>
                <w:szCs w:val="20"/>
              </w:rPr>
              <w:t xml:space="preserve">Dispensed Price for Max. </w:t>
            </w:r>
            <w:proofErr w:type="spellStart"/>
            <w:r w:rsidRPr="004C590B">
              <w:rPr>
                <w:rFonts w:ascii="Arial Narrow" w:hAnsi="Arial Narrow" w:cs="Arial"/>
                <w:b/>
                <w:sz w:val="20"/>
                <w:szCs w:val="20"/>
              </w:rPr>
              <w:t>Qty</w:t>
            </w:r>
            <w:proofErr w:type="spellEnd"/>
          </w:p>
        </w:tc>
        <w:tc>
          <w:tcPr>
            <w:tcW w:w="1364" w:type="pct"/>
            <w:gridSpan w:val="2"/>
            <w:tcBorders>
              <w:bottom w:val="single" w:sz="4" w:space="0" w:color="auto"/>
            </w:tcBorders>
          </w:tcPr>
          <w:p w14:paraId="4D57E0A6" w14:textId="77777777" w:rsidR="00165B4C" w:rsidRPr="003C06BF" w:rsidRDefault="00165B4C" w:rsidP="00596F1A">
            <w:pPr>
              <w:keepNext/>
              <w:spacing w:before="40" w:after="40"/>
              <w:jc w:val="both"/>
              <w:rPr>
                <w:rFonts w:ascii="Arial Narrow" w:hAnsi="Arial Narrow" w:cs="Arial"/>
                <w:b/>
                <w:sz w:val="20"/>
                <w:szCs w:val="20"/>
              </w:rPr>
            </w:pPr>
            <w:r w:rsidRPr="004C590B">
              <w:rPr>
                <w:rFonts w:ascii="Arial Narrow" w:hAnsi="Arial Narrow" w:cs="Arial"/>
                <w:b/>
                <w:sz w:val="20"/>
                <w:szCs w:val="20"/>
              </w:rPr>
              <w:t>Proprietary Name and Manufacturer</w:t>
            </w:r>
          </w:p>
        </w:tc>
      </w:tr>
      <w:tr w:rsidR="00165B4C" w:rsidRPr="004C590B" w14:paraId="4BC53A2C" w14:textId="77777777" w:rsidTr="00596F1A">
        <w:trPr>
          <w:cantSplit/>
          <w:trHeight w:val="567"/>
        </w:trPr>
        <w:tc>
          <w:tcPr>
            <w:tcW w:w="1835" w:type="pct"/>
          </w:tcPr>
          <w:p w14:paraId="4CD002F5" w14:textId="77777777" w:rsidR="00165B4C" w:rsidRPr="004C590B" w:rsidRDefault="00165B4C" w:rsidP="00596F1A">
            <w:pPr>
              <w:keepNext/>
              <w:spacing w:before="40" w:after="40"/>
              <w:jc w:val="both"/>
              <w:rPr>
                <w:rFonts w:ascii="Arial Narrow" w:hAnsi="Arial Narrow" w:cs="Arial"/>
                <w:sz w:val="20"/>
                <w:szCs w:val="20"/>
              </w:rPr>
            </w:pPr>
            <w:r w:rsidRPr="004C590B">
              <w:rPr>
                <w:rFonts w:ascii="Arial Narrow" w:hAnsi="Arial Narrow" w:cs="Arial"/>
                <w:smallCaps/>
                <w:sz w:val="20"/>
                <w:szCs w:val="20"/>
              </w:rPr>
              <w:t>ALECTINIB</w:t>
            </w:r>
          </w:p>
          <w:p w14:paraId="630E46A5" w14:textId="77777777" w:rsidR="00165B4C" w:rsidRPr="004C590B" w:rsidRDefault="00165B4C" w:rsidP="00596F1A">
            <w:pPr>
              <w:keepNext/>
              <w:spacing w:before="40" w:after="40"/>
              <w:jc w:val="both"/>
              <w:rPr>
                <w:rFonts w:ascii="Arial Narrow" w:hAnsi="Arial Narrow" w:cs="Arial"/>
                <w:sz w:val="20"/>
                <w:szCs w:val="20"/>
              </w:rPr>
            </w:pPr>
            <w:proofErr w:type="spellStart"/>
            <w:r w:rsidRPr="004C590B">
              <w:rPr>
                <w:rFonts w:ascii="Arial Narrow" w:hAnsi="Arial Narrow" w:cs="Arial"/>
                <w:sz w:val="20"/>
                <w:szCs w:val="20"/>
              </w:rPr>
              <w:t>alectinib</w:t>
            </w:r>
            <w:proofErr w:type="spellEnd"/>
            <w:r w:rsidRPr="004C590B">
              <w:rPr>
                <w:rFonts w:ascii="Arial Narrow" w:hAnsi="Arial Narrow" w:cs="Arial"/>
                <w:sz w:val="20"/>
                <w:szCs w:val="20"/>
              </w:rPr>
              <w:t xml:space="preserve"> 150 mg capsule, 4 x 56</w:t>
            </w:r>
          </w:p>
        </w:tc>
        <w:tc>
          <w:tcPr>
            <w:tcW w:w="409" w:type="pct"/>
          </w:tcPr>
          <w:p w14:paraId="35B91962" w14:textId="77777777" w:rsidR="00165B4C" w:rsidRPr="004C590B" w:rsidRDefault="00165B4C" w:rsidP="00596F1A">
            <w:pPr>
              <w:keepNext/>
              <w:spacing w:before="40" w:after="40"/>
              <w:jc w:val="both"/>
              <w:rPr>
                <w:rFonts w:ascii="Arial Narrow" w:hAnsi="Arial Narrow" w:cs="Arial"/>
                <w:sz w:val="20"/>
                <w:szCs w:val="20"/>
              </w:rPr>
            </w:pPr>
          </w:p>
          <w:p w14:paraId="190F9E98" w14:textId="77777777" w:rsidR="00165B4C" w:rsidRPr="004C590B" w:rsidRDefault="00165B4C" w:rsidP="00596F1A">
            <w:pPr>
              <w:keepNext/>
              <w:spacing w:before="40" w:after="40"/>
              <w:jc w:val="both"/>
              <w:rPr>
                <w:rFonts w:ascii="Arial Narrow" w:hAnsi="Arial Narrow" w:cs="Arial"/>
                <w:sz w:val="20"/>
                <w:szCs w:val="20"/>
              </w:rPr>
            </w:pPr>
            <w:r w:rsidRPr="004C590B">
              <w:rPr>
                <w:rFonts w:ascii="Arial Narrow" w:hAnsi="Arial Narrow" w:cs="Arial"/>
                <w:sz w:val="20"/>
                <w:szCs w:val="20"/>
              </w:rPr>
              <w:t>1</w:t>
            </w:r>
          </w:p>
        </w:tc>
        <w:tc>
          <w:tcPr>
            <w:tcW w:w="493" w:type="pct"/>
          </w:tcPr>
          <w:p w14:paraId="0743E678" w14:textId="77777777" w:rsidR="00165B4C" w:rsidRPr="004C590B" w:rsidRDefault="00165B4C" w:rsidP="00596F1A">
            <w:pPr>
              <w:keepNext/>
              <w:spacing w:before="40" w:after="40"/>
              <w:jc w:val="both"/>
              <w:rPr>
                <w:rFonts w:ascii="Arial Narrow" w:hAnsi="Arial Narrow" w:cs="Arial"/>
                <w:sz w:val="20"/>
                <w:szCs w:val="20"/>
              </w:rPr>
            </w:pPr>
          </w:p>
          <w:p w14:paraId="52ED3461" w14:textId="55A6E2E9" w:rsidR="00165B4C" w:rsidRPr="004C590B" w:rsidRDefault="00B25C6F" w:rsidP="00596F1A">
            <w:pPr>
              <w:keepNext/>
              <w:spacing w:before="40" w:after="40"/>
              <w:jc w:val="both"/>
              <w:rPr>
                <w:rFonts w:ascii="Arial Narrow" w:hAnsi="Arial Narrow" w:cs="Arial"/>
                <w:strike/>
                <w:sz w:val="20"/>
                <w:szCs w:val="20"/>
              </w:rPr>
            </w:pPr>
            <w:r w:rsidRPr="004C590B">
              <w:rPr>
                <w:rFonts w:ascii="Arial Narrow" w:hAnsi="Arial Narrow" w:cs="Arial"/>
                <w:i/>
                <w:strike/>
                <w:sz w:val="20"/>
                <w:szCs w:val="20"/>
              </w:rPr>
              <w:t>1</w:t>
            </w:r>
            <w:r w:rsidRPr="004C590B">
              <w:rPr>
                <w:rFonts w:ascii="Arial Narrow" w:hAnsi="Arial Narrow" w:cs="Arial"/>
                <w:i/>
                <w:sz w:val="20"/>
                <w:szCs w:val="20"/>
              </w:rPr>
              <w:t xml:space="preserve"> </w:t>
            </w:r>
            <w:r w:rsidR="00165B4C" w:rsidRPr="004C590B">
              <w:rPr>
                <w:rFonts w:ascii="Arial Narrow" w:hAnsi="Arial Narrow" w:cs="Arial"/>
                <w:i/>
                <w:sz w:val="20"/>
                <w:szCs w:val="20"/>
              </w:rPr>
              <w:t>5</w:t>
            </w:r>
          </w:p>
        </w:tc>
        <w:tc>
          <w:tcPr>
            <w:tcW w:w="899" w:type="pct"/>
          </w:tcPr>
          <w:p w14:paraId="70FF3C36" w14:textId="77777777" w:rsidR="00165B4C" w:rsidRPr="004C590B" w:rsidRDefault="00165B4C" w:rsidP="00596F1A">
            <w:pPr>
              <w:keepNext/>
              <w:spacing w:before="40" w:after="40"/>
              <w:jc w:val="both"/>
              <w:rPr>
                <w:rFonts w:ascii="Arial Narrow" w:hAnsi="Arial Narrow" w:cs="Arial"/>
                <w:sz w:val="20"/>
                <w:szCs w:val="20"/>
              </w:rPr>
            </w:pPr>
          </w:p>
          <w:p w14:paraId="0AB5CEB1" w14:textId="77777777" w:rsidR="00165B4C" w:rsidRPr="004C590B" w:rsidRDefault="00165B4C" w:rsidP="00596F1A">
            <w:pPr>
              <w:keepNext/>
              <w:spacing w:before="40" w:after="40"/>
              <w:jc w:val="both"/>
              <w:rPr>
                <w:rFonts w:ascii="Arial Narrow" w:hAnsi="Arial Narrow" w:cs="Arial"/>
                <w:sz w:val="20"/>
                <w:szCs w:val="20"/>
              </w:rPr>
            </w:pPr>
            <w:r w:rsidRPr="004C590B">
              <w:rPr>
                <w:rFonts w:ascii="Arial Narrow" w:hAnsi="Arial Narrow" w:cs="Arial"/>
                <w:sz w:val="20"/>
                <w:szCs w:val="20"/>
              </w:rPr>
              <w:t>$6804.12</w:t>
            </w:r>
          </w:p>
        </w:tc>
        <w:tc>
          <w:tcPr>
            <w:tcW w:w="503" w:type="pct"/>
          </w:tcPr>
          <w:p w14:paraId="7BC72581" w14:textId="77777777" w:rsidR="00165B4C" w:rsidRPr="004C590B" w:rsidRDefault="00165B4C" w:rsidP="00596F1A">
            <w:pPr>
              <w:keepNext/>
              <w:spacing w:before="40" w:after="40"/>
              <w:jc w:val="both"/>
              <w:rPr>
                <w:rFonts w:ascii="Arial Narrow" w:hAnsi="Arial Narrow" w:cs="Arial"/>
                <w:sz w:val="20"/>
                <w:szCs w:val="20"/>
              </w:rPr>
            </w:pPr>
          </w:p>
          <w:p w14:paraId="21F6B176" w14:textId="77777777" w:rsidR="00165B4C" w:rsidRPr="004C590B" w:rsidRDefault="00165B4C" w:rsidP="00596F1A">
            <w:pPr>
              <w:keepNext/>
              <w:spacing w:before="40" w:after="40"/>
              <w:jc w:val="both"/>
              <w:rPr>
                <w:rFonts w:ascii="Arial Narrow" w:hAnsi="Arial Narrow" w:cs="Arial"/>
                <w:sz w:val="20"/>
                <w:szCs w:val="20"/>
              </w:rPr>
            </w:pPr>
            <w:proofErr w:type="spellStart"/>
            <w:r w:rsidRPr="004C590B">
              <w:rPr>
                <w:rFonts w:ascii="Arial Narrow" w:hAnsi="Arial Narrow" w:cs="Arial"/>
                <w:sz w:val="20"/>
                <w:szCs w:val="20"/>
              </w:rPr>
              <w:t>Alecensa</w:t>
            </w:r>
            <w:proofErr w:type="spellEnd"/>
          </w:p>
        </w:tc>
        <w:tc>
          <w:tcPr>
            <w:tcW w:w="860" w:type="pct"/>
          </w:tcPr>
          <w:p w14:paraId="1002CF6A" w14:textId="77777777" w:rsidR="00165B4C" w:rsidRPr="004C590B" w:rsidRDefault="00165B4C" w:rsidP="00596F1A">
            <w:pPr>
              <w:keepNext/>
              <w:spacing w:before="40" w:after="40"/>
              <w:jc w:val="both"/>
              <w:rPr>
                <w:rFonts w:ascii="Arial Narrow" w:hAnsi="Arial Narrow" w:cs="Arial"/>
                <w:sz w:val="20"/>
                <w:szCs w:val="20"/>
              </w:rPr>
            </w:pPr>
          </w:p>
          <w:p w14:paraId="56DBDD4A" w14:textId="77777777" w:rsidR="00165B4C" w:rsidRPr="004C590B" w:rsidRDefault="00165B4C" w:rsidP="00596F1A">
            <w:pPr>
              <w:keepNext/>
              <w:spacing w:before="40" w:after="40"/>
              <w:jc w:val="both"/>
              <w:rPr>
                <w:rFonts w:ascii="Arial Narrow" w:hAnsi="Arial Narrow" w:cs="Arial"/>
                <w:sz w:val="20"/>
                <w:szCs w:val="20"/>
              </w:rPr>
            </w:pPr>
            <w:r w:rsidRPr="004C590B">
              <w:rPr>
                <w:rFonts w:ascii="Arial Narrow" w:hAnsi="Arial Narrow" w:cs="Arial"/>
                <w:sz w:val="20"/>
                <w:szCs w:val="20"/>
              </w:rPr>
              <w:t>Roche Products Pty Ltd</w:t>
            </w:r>
          </w:p>
        </w:tc>
      </w:tr>
    </w:tbl>
    <w:p w14:paraId="3A68A252" w14:textId="77777777" w:rsidR="00165B4C" w:rsidRPr="004C590B" w:rsidRDefault="00165B4C" w:rsidP="002D4543">
      <w:pPr>
        <w:rPr>
          <w:szCs w:val="22"/>
        </w:rPr>
      </w:pPr>
    </w:p>
    <w:tbl>
      <w:tblPr>
        <w:tblW w:w="4915" w:type="pct"/>
        <w:tblLook w:val="0000" w:firstRow="0" w:lastRow="0" w:firstColumn="0" w:lastColumn="0" w:noHBand="0" w:noVBand="0"/>
      </w:tblPr>
      <w:tblGrid>
        <w:gridCol w:w="1911"/>
        <w:gridCol w:w="6952"/>
      </w:tblGrid>
      <w:tr w:rsidR="003E49F2" w:rsidRPr="004C590B" w14:paraId="00E6E607" w14:textId="77777777" w:rsidTr="00596F1A">
        <w:trPr>
          <w:cantSplit/>
          <w:trHeight w:val="360"/>
        </w:trPr>
        <w:tc>
          <w:tcPr>
            <w:tcW w:w="1077" w:type="pct"/>
            <w:tcBorders>
              <w:top w:val="single" w:sz="4" w:space="0" w:color="auto"/>
              <w:left w:val="single" w:sz="4" w:space="0" w:color="auto"/>
              <w:bottom w:val="single" w:sz="4" w:space="0" w:color="auto"/>
              <w:right w:val="single" w:sz="4" w:space="0" w:color="auto"/>
            </w:tcBorders>
          </w:tcPr>
          <w:p w14:paraId="6E1C1133"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 xml:space="preserve">Category / </w:t>
            </w:r>
          </w:p>
          <w:p w14:paraId="45CCB661"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Program</w:t>
            </w:r>
          </w:p>
        </w:tc>
        <w:tc>
          <w:tcPr>
            <w:tcW w:w="3919" w:type="pct"/>
            <w:tcBorders>
              <w:top w:val="single" w:sz="4" w:space="0" w:color="auto"/>
              <w:left w:val="single" w:sz="4" w:space="0" w:color="auto"/>
              <w:bottom w:val="single" w:sz="4" w:space="0" w:color="auto"/>
              <w:right w:val="single" w:sz="4" w:space="0" w:color="auto"/>
            </w:tcBorders>
          </w:tcPr>
          <w:p w14:paraId="597D93F5"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GENERAL – General Schedule (Code GE)</w:t>
            </w:r>
          </w:p>
          <w:p w14:paraId="41A20D59" w14:textId="77777777" w:rsidR="003E49F2" w:rsidRPr="004C590B" w:rsidRDefault="003E49F2" w:rsidP="00596F1A">
            <w:pPr>
              <w:spacing w:before="40" w:after="40"/>
              <w:rPr>
                <w:rFonts w:ascii="Arial Narrow" w:hAnsi="Arial Narrow" w:cs="Arial"/>
                <w:sz w:val="20"/>
                <w:szCs w:val="20"/>
              </w:rPr>
            </w:pPr>
          </w:p>
        </w:tc>
      </w:tr>
      <w:tr w:rsidR="003E49F2" w:rsidRPr="004C590B" w14:paraId="0B7F463D" w14:textId="77777777" w:rsidTr="00596F1A">
        <w:trPr>
          <w:cantSplit/>
          <w:trHeight w:val="360"/>
        </w:trPr>
        <w:tc>
          <w:tcPr>
            <w:tcW w:w="1077" w:type="pct"/>
            <w:tcBorders>
              <w:top w:val="single" w:sz="4" w:space="0" w:color="auto"/>
              <w:left w:val="single" w:sz="4" w:space="0" w:color="auto"/>
              <w:bottom w:val="single" w:sz="4" w:space="0" w:color="auto"/>
              <w:right w:val="single" w:sz="4" w:space="0" w:color="auto"/>
            </w:tcBorders>
          </w:tcPr>
          <w:p w14:paraId="35135417"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Prescriber type:</w:t>
            </w:r>
          </w:p>
        </w:tc>
        <w:tc>
          <w:tcPr>
            <w:tcW w:w="3919" w:type="pct"/>
            <w:tcBorders>
              <w:top w:val="single" w:sz="4" w:space="0" w:color="auto"/>
              <w:left w:val="single" w:sz="4" w:space="0" w:color="auto"/>
              <w:bottom w:val="single" w:sz="4" w:space="0" w:color="auto"/>
              <w:right w:val="single" w:sz="4" w:space="0" w:color="auto"/>
            </w:tcBorders>
          </w:tcPr>
          <w:p w14:paraId="418DBD04" w14:textId="77777777" w:rsidR="003E49F2" w:rsidRPr="004C590B" w:rsidRDefault="003E49F2" w:rsidP="00596F1A">
            <w:pPr>
              <w:spacing w:before="40" w:after="40"/>
              <w:rPr>
                <w:rFonts w:ascii="Arial Narrow" w:hAnsi="Arial Narrow" w:cs="Arial"/>
                <w:sz w:val="20"/>
                <w:szCs w:val="20"/>
              </w:rPr>
            </w:pPr>
            <w:r w:rsidRPr="003C06BF">
              <w:rPr>
                <w:rFonts w:ascii="Arial Narrow" w:hAnsi="Arial Narrow" w:cs="Arial"/>
                <w:sz w:val="20"/>
                <w:szCs w:val="20"/>
              </w:rPr>
              <w:fldChar w:fldCharType="begin">
                <w:ffData>
                  <w:name w:val=""/>
                  <w:enabled/>
                  <w:calcOnExit w:val="0"/>
                  <w:checkBox>
                    <w:sizeAuto/>
                    <w:default w:val="1"/>
                  </w:checkBox>
                </w:ffData>
              </w:fldChar>
            </w:r>
            <w:r w:rsidRPr="004C590B">
              <w:rPr>
                <w:rFonts w:ascii="Arial Narrow" w:hAnsi="Arial Narrow" w:cs="Arial"/>
                <w:sz w:val="20"/>
                <w:szCs w:val="20"/>
              </w:rPr>
              <w:instrText xml:space="preserve"> FORMCHECKBOX </w:instrText>
            </w:r>
            <w:r w:rsidR="00067E77">
              <w:rPr>
                <w:rFonts w:ascii="Arial Narrow" w:hAnsi="Arial Narrow" w:cs="Arial"/>
                <w:sz w:val="20"/>
                <w:szCs w:val="20"/>
              </w:rPr>
            </w:r>
            <w:r w:rsidR="00067E77">
              <w:rPr>
                <w:rFonts w:ascii="Arial Narrow" w:hAnsi="Arial Narrow" w:cs="Arial"/>
                <w:sz w:val="20"/>
                <w:szCs w:val="20"/>
              </w:rPr>
              <w:fldChar w:fldCharType="separate"/>
            </w:r>
            <w:r w:rsidRPr="003C06BF">
              <w:rPr>
                <w:rFonts w:ascii="Arial Narrow" w:hAnsi="Arial Narrow" w:cs="Arial"/>
                <w:sz w:val="20"/>
                <w:szCs w:val="20"/>
              </w:rPr>
              <w:fldChar w:fldCharType="end"/>
            </w:r>
            <w:r w:rsidRPr="004C590B">
              <w:rPr>
                <w:rFonts w:ascii="Arial Narrow" w:hAnsi="Arial Narrow" w:cs="Arial"/>
                <w:sz w:val="20"/>
                <w:szCs w:val="20"/>
              </w:rPr>
              <w:t xml:space="preserve">Medical Practitioners  </w:t>
            </w:r>
          </w:p>
          <w:p w14:paraId="75990C71" w14:textId="77777777" w:rsidR="003E49F2" w:rsidRPr="004C590B" w:rsidRDefault="003E49F2" w:rsidP="00596F1A">
            <w:pPr>
              <w:spacing w:before="40" w:after="40"/>
              <w:rPr>
                <w:rFonts w:ascii="Arial Narrow" w:hAnsi="Arial Narrow" w:cs="Arial"/>
                <w:sz w:val="20"/>
                <w:szCs w:val="20"/>
              </w:rPr>
            </w:pPr>
          </w:p>
        </w:tc>
      </w:tr>
      <w:tr w:rsidR="003E49F2" w:rsidRPr="004C590B" w14:paraId="380E7E49" w14:textId="77777777" w:rsidTr="00596F1A">
        <w:trPr>
          <w:cantSplit/>
          <w:trHeight w:val="360"/>
        </w:trPr>
        <w:tc>
          <w:tcPr>
            <w:tcW w:w="1077" w:type="pct"/>
            <w:tcBorders>
              <w:top w:val="single" w:sz="4" w:space="0" w:color="auto"/>
              <w:left w:val="single" w:sz="4" w:space="0" w:color="auto"/>
              <w:bottom w:val="single" w:sz="4" w:space="0" w:color="auto"/>
              <w:right w:val="single" w:sz="4" w:space="0" w:color="auto"/>
            </w:tcBorders>
          </w:tcPr>
          <w:p w14:paraId="2CB636F4"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PBS Indication:</w:t>
            </w:r>
          </w:p>
        </w:tc>
        <w:tc>
          <w:tcPr>
            <w:tcW w:w="3919" w:type="pct"/>
            <w:tcBorders>
              <w:top w:val="single" w:sz="4" w:space="0" w:color="auto"/>
              <w:left w:val="single" w:sz="4" w:space="0" w:color="auto"/>
              <w:bottom w:val="single" w:sz="4" w:space="0" w:color="auto"/>
              <w:right w:val="single" w:sz="4" w:space="0" w:color="auto"/>
            </w:tcBorders>
          </w:tcPr>
          <w:p w14:paraId="6566E93C"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Stage IIIB (locally advanced) or Stage IV (metastatic) non-small cell lung cancer (NSCLC)</w:t>
            </w:r>
          </w:p>
        </w:tc>
      </w:tr>
      <w:tr w:rsidR="003E49F2" w:rsidRPr="004C590B" w14:paraId="66BCE73E" w14:textId="77777777" w:rsidTr="00596F1A">
        <w:trPr>
          <w:cantSplit/>
          <w:trHeight w:val="360"/>
        </w:trPr>
        <w:tc>
          <w:tcPr>
            <w:tcW w:w="1077" w:type="pct"/>
            <w:tcBorders>
              <w:top w:val="single" w:sz="4" w:space="0" w:color="auto"/>
              <w:left w:val="single" w:sz="4" w:space="0" w:color="auto"/>
              <w:bottom w:val="single" w:sz="4" w:space="0" w:color="auto"/>
              <w:right w:val="single" w:sz="4" w:space="0" w:color="auto"/>
            </w:tcBorders>
          </w:tcPr>
          <w:p w14:paraId="1F0F880B"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Treatment phase:</w:t>
            </w:r>
          </w:p>
        </w:tc>
        <w:tc>
          <w:tcPr>
            <w:tcW w:w="3919" w:type="pct"/>
            <w:tcBorders>
              <w:top w:val="single" w:sz="4" w:space="0" w:color="auto"/>
              <w:left w:val="single" w:sz="4" w:space="0" w:color="auto"/>
              <w:bottom w:val="single" w:sz="4" w:space="0" w:color="auto"/>
              <w:right w:val="single" w:sz="4" w:space="0" w:color="auto"/>
            </w:tcBorders>
          </w:tcPr>
          <w:p w14:paraId="31E2D973"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Continuing treatment</w:t>
            </w:r>
          </w:p>
        </w:tc>
      </w:tr>
      <w:tr w:rsidR="003E49F2" w:rsidRPr="004C590B" w14:paraId="11F76E7E" w14:textId="77777777" w:rsidTr="00596F1A">
        <w:trPr>
          <w:cantSplit/>
          <w:trHeight w:val="360"/>
        </w:trPr>
        <w:tc>
          <w:tcPr>
            <w:tcW w:w="1077" w:type="pct"/>
            <w:tcBorders>
              <w:top w:val="single" w:sz="4" w:space="0" w:color="auto"/>
              <w:left w:val="single" w:sz="4" w:space="0" w:color="auto"/>
              <w:bottom w:val="single" w:sz="4" w:space="0" w:color="auto"/>
              <w:right w:val="single" w:sz="4" w:space="0" w:color="auto"/>
            </w:tcBorders>
          </w:tcPr>
          <w:p w14:paraId="780026E3"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Restriction Level / Method:</w:t>
            </w:r>
          </w:p>
          <w:p w14:paraId="38E0CBD9" w14:textId="77777777" w:rsidR="003E49F2" w:rsidRPr="004C590B" w:rsidRDefault="003E49F2" w:rsidP="00596F1A">
            <w:pPr>
              <w:spacing w:before="40" w:after="40"/>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14:paraId="3BEFFE95" w14:textId="77777777" w:rsidR="001D0168" w:rsidRPr="004C590B" w:rsidRDefault="001D0168" w:rsidP="001D0168">
            <w:pPr>
              <w:spacing w:before="40" w:after="40"/>
              <w:rPr>
                <w:rFonts w:ascii="Arial Narrow" w:hAnsi="Arial Narrow" w:cs="Arial"/>
                <w:strike/>
                <w:sz w:val="20"/>
                <w:szCs w:val="20"/>
              </w:rPr>
            </w:pPr>
            <w:r w:rsidRPr="003C06BF">
              <w:rPr>
                <w:rFonts w:ascii="Arial Narrow" w:hAnsi="Arial Narrow" w:cs="Arial"/>
                <w:strike/>
                <w:sz w:val="20"/>
                <w:szCs w:val="20"/>
              </w:rPr>
              <w:fldChar w:fldCharType="begin">
                <w:ffData>
                  <w:name w:val="Check3"/>
                  <w:enabled/>
                  <w:calcOnExit w:val="0"/>
                  <w:checkBox>
                    <w:sizeAuto/>
                    <w:default w:val="1"/>
                  </w:checkBox>
                </w:ffData>
              </w:fldChar>
            </w:r>
            <w:r w:rsidRPr="004C590B">
              <w:rPr>
                <w:rFonts w:ascii="Arial Narrow" w:hAnsi="Arial Narrow" w:cs="Arial"/>
                <w:strike/>
                <w:sz w:val="20"/>
                <w:szCs w:val="20"/>
              </w:rPr>
              <w:instrText xml:space="preserve"> FORMCHECKBOX </w:instrText>
            </w:r>
            <w:r w:rsidR="00067E77">
              <w:rPr>
                <w:rFonts w:ascii="Arial Narrow" w:hAnsi="Arial Narrow" w:cs="Arial"/>
                <w:strike/>
                <w:sz w:val="20"/>
                <w:szCs w:val="20"/>
              </w:rPr>
            </w:r>
            <w:r w:rsidR="00067E77">
              <w:rPr>
                <w:rFonts w:ascii="Arial Narrow" w:hAnsi="Arial Narrow" w:cs="Arial"/>
                <w:strike/>
                <w:sz w:val="20"/>
                <w:szCs w:val="20"/>
              </w:rPr>
              <w:fldChar w:fldCharType="separate"/>
            </w:r>
            <w:r w:rsidRPr="003C06BF">
              <w:rPr>
                <w:rFonts w:ascii="Arial Narrow" w:hAnsi="Arial Narrow" w:cs="Arial"/>
                <w:strike/>
                <w:sz w:val="20"/>
                <w:szCs w:val="20"/>
              </w:rPr>
              <w:fldChar w:fldCharType="end"/>
            </w:r>
            <w:r w:rsidRPr="004C590B">
              <w:rPr>
                <w:rFonts w:ascii="Arial Narrow" w:hAnsi="Arial Narrow" w:cs="Arial"/>
                <w:i/>
                <w:strike/>
                <w:sz w:val="20"/>
                <w:szCs w:val="20"/>
              </w:rPr>
              <w:t>Authority Required - Telephone</w:t>
            </w:r>
          </w:p>
          <w:p w14:paraId="4B6F9016" w14:textId="1A2302BA" w:rsidR="003E49F2" w:rsidRPr="004C590B" w:rsidRDefault="001D0168" w:rsidP="00596F1A">
            <w:pPr>
              <w:spacing w:before="40" w:after="40"/>
              <w:rPr>
                <w:rFonts w:ascii="Arial Narrow" w:hAnsi="Arial Narrow" w:cs="Arial"/>
                <w:i/>
                <w:strike/>
                <w:sz w:val="20"/>
                <w:szCs w:val="20"/>
              </w:rPr>
            </w:pPr>
            <w:r w:rsidRPr="003C06BF">
              <w:rPr>
                <w:rFonts w:ascii="Arial Narrow" w:hAnsi="Arial Narrow" w:cs="Arial"/>
                <w:i/>
                <w:sz w:val="20"/>
                <w:szCs w:val="20"/>
              </w:rPr>
              <w:fldChar w:fldCharType="begin">
                <w:ffData>
                  <w:name w:val="Check5"/>
                  <w:enabled/>
                  <w:calcOnExit w:val="0"/>
                  <w:checkBox>
                    <w:sizeAuto/>
                    <w:default w:val="1"/>
                  </w:checkBox>
                </w:ffData>
              </w:fldChar>
            </w:r>
            <w:r w:rsidRPr="004C590B">
              <w:rPr>
                <w:rFonts w:ascii="Arial Narrow" w:hAnsi="Arial Narrow" w:cs="Arial"/>
                <w:i/>
                <w:sz w:val="20"/>
                <w:szCs w:val="20"/>
              </w:rPr>
              <w:instrText xml:space="preserve"> FORMCHECKBOX </w:instrText>
            </w:r>
            <w:r w:rsidR="00067E77">
              <w:rPr>
                <w:rFonts w:ascii="Arial Narrow" w:hAnsi="Arial Narrow" w:cs="Arial"/>
                <w:i/>
                <w:sz w:val="20"/>
                <w:szCs w:val="20"/>
              </w:rPr>
            </w:r>
            <w:r w:rsidR="00067E77">
              <w:rPr>
                <w:rFonts w:ascii="Arial Narrow" w:hAnsi="Arial Narrow" w:cs="Arial"/>
                <w:i/>
                <w:sz w:val="20"/>
                <w:szCs w:val="20"/>
              </w:rPr>
              <w:fldChar w:fldCharType="separate"/>
            </w:r>
            <w:r w:rsidRPr="003C06BF">
              <w:rPr>
                <w:rFonts w:ascii="Arial Narrow" w:hAnsi="Arial Narrow" w:cs="Arial"/>
                <w:i/>
                <w:sz w:val="20"/>
                <w:szCs w:val="20"/>
              </w:rPr>
              <w:fldChar w:fldCharType="end"/>
            </w:r>
            <w:r w:rsidRPr="004C590B">
              <w:rPr>
                <w:rFonts w:ascii="Arial Narrow" w:hAnsi="Arial Narrow" w:cs="Arial"/>
                <w:i/>
                <w:sz w:val="20"/>
                <w:szCs w:val="20"/>
              </w:rPr>
              <w:t>Streamlined</w:t>
            </w:r>
          </w:p>
        </w:tc>
      </w:tr>
      <w:tr w:rsidR="003E49F2" w:rsidRPr="004C590B" w14:paraId="1C113550" w14:textId="77777777" w:rsidTr="00596F1A">
        <w:trPr>
          <w:cantSplit/>
          <w:trHeight w:val="360"/>
        </w:trPr>
        <w:tc>
          <w:tcPr>
            <w:tcW w:w="1077" w:type="pct"/>
            <w:tcBorders>
              <w:top w:val="single" w:sz="4" w:space="0" w:color="auto"/>
              <w:left w:val="single" w:sz="4" w:space="0" w:color="auto"/>
              <w:bottom w:val="single" w:sz="4" w:space="0" w:color="auto"/>
              <w:right w:val="single" w:sz="4" w:space="0" w:color="auto"/>
            </w:tcBorders>
          </w:tcPr>
          <w:p w14:paraId="5C568AB9"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Clinical criteria:</w:t>
            </w:r>
          </w:p>
          <w:p w14:paraId="7F14C8D3" w14:textId="77777777" w:rsidR="003E49F2" w:rsidRPr="004C590B" w:rsidRDefault="003E49F2" w:rsidP="00596F1A">
            <w:pPr>
              <w:spacing w:before="40" w:after="40"/>
              <w:jc w:val="both"/>
              <w:rPr>
                <w:rFonts w:ascii="Arial Narrow" w:hAnsi="Arial Narrow" w:cs="Arial"/>
                <w:i/>
                <w:sz w:val="20"/>
                <w:szCs w:val="20"/>
              </w:rPr>
            </w:pPr>
          </w:p>
          <w:p w14:paraId="5B693CE3" w14:textId="77777777" w:rsidR="003E49F2" w:rsidRPr="004C590B" w:rsidRDefault="003E49F2" w:rsidP="00596F1A">
            <w:pPr>
              <w:spacing w:before="40" w:after="40"/>
              <w:jc w:val="both"/>
              <w:rPr>
                <w:rFonts w:ascii="Arial Narrow" w:hAnsi="Arial Narrow" w:cs="Arial"/>
                <w:sz w:val="20"/>
                <w:szCs w:val="20"/>
              </w:rPr>
            </w:pPr>
          </w:p>
        </w:tc>
        <w:tc>
          <w:tcPr>
            <w:tcW w:w="3919" w:type="pct"/>
            <w:tcBorders>
              <w:top w:val="single" w:sz="4" w:space="0" w:color="auto"/>
              <w:left w:val="single" w:sz="4" w:space="0" w:color="auto"/>
              <w:bottom w:val="single" w:sz="4" w:space="0" w:color="auto"/>
              <w:right w:val="single" w:sz="4" w:space="0" w:color="auto"/>
            </w:tcBorders>
          </w:tcPr>
          <w:p w14:paraId="6F51C294"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The treatment must be as monotherapy,</w:t>
            </w:r>
          </w:p>
          <w:p w14:paraId="2EA29A1C"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AND</w:t>
            </w:r>
          </w:p>
          <w:p w14:paraId="2EFEDED8"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Patient must have previously received PBS-subsidised treatment with this drug for this condition</w:t>
            </w:r>
          </w:p>
          <w:p w14:paraId="02B7C091"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AND</w:t>
            </w:r>
          </w:p>
          <w:p w14:paraId="5E6321B6"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Patient must not develop disease progression while receiving PBS-subsidised treatment with this drug for this condition</w:t>
            </w:r>
          </w:p>
        </w:tc>
      </w:tr>
      <w:tr w:rsidR="003E49F2" w:rsidRPr="004C590B" w14:paraId="3325CE32" w14:textId="77777777" w:rsidTr="00596F1A">
        <w:trPr>
          <w:cantSplit/>
          <w:trHeight w:val="360"/>
        </w:trPr>
        <w:tc>
          <w:tcPr>
            <w:tcW w:w="1077" w:type="pct"/>
            <w:tcBorders>
              <w:top w:val="single" w:sz="4" w:space="0" w:color="auto"/>
              <w:left w:val="single" w:sz="4" w:space="0" w:color="auto"/>
              <w:bottom w:val="single" w:sz="4" w:space="0" w:color="auto"/>
              <w:right w:val="single" w:sz="4" w:space="0" w:color="auto"/>
            </w:tcBorders>
          </w:tcPr>
          <w:p w14:paraId="5B3701A6" w14:textId="77777777" w:rsidR="003E49F2" w:rsidRPr="004C590B" w:rsidRDefault="003E49F2" w:rsidP="00596F1A">
            <w:pPr>
              <w:spacing w:before="40" w:after="40"/>
              <w:jc w:val="both"/>
              <w:rPr>
                <w:rFonts w:ascii="Arial Narrow" w:hAnsi="Arial Narrow" w:cs="Arial"/>
                <w:b/>
                <w:sz w:val="20"/>
                <w:szCs w:val="20"/>
              </w:rPr>
            </w:pPr>
            <w:r w:rsidRPr="004C590B">
              <w:rPr>
                <w:rFonts w:ascii="Arial Narrow" w:hAnsi="Arial Narrow" w:cs="Arial"/>
                <w:b/>
                <w:sz w:val="20"/>
                <w:szCs w:val="20"/>
              </w:rPr>
              <w:t>Administrative Advice</w:t>
            </w:r>
          </w:p>
          <w:p w14:paraId="684710FF" w14:textId="77777777" w:rsidR="003E49F2" w:rsidRPr="004C590B" w:rsidRDefault="003E49F2" w:rsidP="00596F1A">
            <w:pPr>
              <w:spacing w:before="40" w:after="40"/>
              <w:jc w:val="both"/>
              <w:rPr>
                <w:rFonts w:ascii="Arial Narrow" w:hAnsi="Arial Narrow" w:cs="Arial"/>
                <w:i/>
                <w:sz w:val="20"/>
                <w:szCs w:val="20"/>
              </w:rPr>
            </w:pPr>
          </w:p>
        </w:tc>
        <w:tc>
          <w:tcPr>
            <w:tcW w:w="3919" w:type="pct"/>
            <w:tcBorders>
              <w:top w:val="single" w:sz="4" w:space="0" w:color="auto"/>
              <w:left w:val="single" w:sz="4" w:space="0" w:color="auto"/>
              <w:bottom w:val="single" w:sz="4" w:space="0" w:color="auto"/>
              <w:right w:val="single" w:sz="4" w:space="0" w:color="auto"/>
            </w:tcBorders>
          </w:tcPr>
          <w:p w14:paraId="096402B9"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No increase in the maximum quantity or number of units may be authorised.</w:t>
            </w:r>
          </w:p>
          <w:p w14:paraId="5CC91EE4" w14:textId="77777777" w:rsidR="003E49F2" w:rsidRPr="004C590B" w:rsidRDefault="003E49F2" w:rsidP="00596F1A">
            <w:pPr>
              <w:spacing w:before="40" w:after="40"/>
              <w:rPr>
                <w:rFonts w:ascii="Arial Narrow" w:hAnsi="Arial Narrow" w:cs="Arial"/>
                <w:sz w:val="20"/>
                <w:szCs w:val="20"/>
              </w:rPr>
            </w:pPr>
          </w:p>
          <w:p w14:paraId="2AB2E6B3"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No increase in the maximum number of repeats may be authorised.</w:t>
            </w:r>
          </w:p>
          <w:p w14:paraId="2C491AA6" w14:textId="77777777" w:rsidR="003E49F2" w:rsidRPr="004C590B" w:rsidRDefault="003E49F2" w:rsidP="00596F1A">
            <w:pPr>
              <w:spacing w:before="40" w:after="40"/>
              <w:rPr>
                <w:rFonts w:ascii="Arial Narrow" w:hAnsi="Arial Narrow" w:cs="Arial"/>
                <w:sz w:val="20"/>
                <w:szCs w:val="20"/>
              </w:rPr>
            </w:pPr>
          </w:p>
          <w:p w14:paraId="0B901FEF" w14:textId="77777777" w:rsidR="003E49F2" w:rsidRPr="004C590B" w:rsidRDefault="003E49F2" w:rsidP="00596F1A">
            <w:pPr>
              <w:spacing w:before="40" w:after="40"/>
              <w:rPr>
                <w:rFonts w:ascii="Arial Narrow" w:hAnsi="Arial Narrow" w:cs="Arial"/>
                <w:sz w:val="20"/>
                <w:szCs w:val="20"/>
              </w:rPr>
            </w:pPr>
            <w:r w:rsidRPr="004C590B">
              <w:rPr>
                <w:rFonts w:ascii="Arial Narrow" w:hAnsi="Arial Narrow" w:cs="Arial"/>
                <w:sz w:val="20"/>
                <w:szCs w:val="20"/>
              </w:rPr>
              <w:t>Special Pricing Arrangements apply.</w:t>
            </w:r>
          </w:p>
        </w:tc>
      </w:tr>
    </w:tbl>
    <w:p w14:paraId="659D4E84" w14:textId="77777777" w:rsidR="00C603D4" w:rsidRPr="004C590B" w:rsidRDefault="00CE10C4" w:rsidP="00F847B0">
      <w:pPr>
        <w:pStyle w:val="PBACHeading1"/>
        <w:spacing w:before="120" w:after="120"/>
        <w:ind w:left="709" w:hanging="709"/>
        <w:rPr>
          <w:rFonts w:asciiTheme="minorHAnsi" w:hAnsiTheme="minorHAnsi"/>
          <w:sz w:val="32"/>
          <w:szCs w:val="32"/>
        </w:rPr>
      </w:pPr>
      <w:r w:rsidRPr="004C590B">
        <w:rPr>
          <w:rFonts w:asciiTheme="minorHAnsi" w:hAnsiTheme="minorHAnsi"/>
          <w:sz w:val="32"/>
          <w:szCs w:val="32"/>
        </w:rPr>
        <w:t>Background</w:t>
      </w:r>
    </w:p>
    <w:p w14:paraId="5EDA1B88" w14:textId="5D513472" w:rsidR="006B0D94" w:rsidRPr="004C590B" w:rsidRDefault="00021CA5" w:rsidP="00F847B0">
      <w:pPr>
        <w:pStyle w:val="ListParagraph"/>
        <w:numPr>
          <w:ilvl w:val="1"/>
          <w:numId w:val="14"/>
        </w:numPr>
        <w:spacing w:before="120" w:after="120"/>
        <w:rPr>
          <w:rFonts w:asciiTheme="minorHAnsi" w:eastAsiaTheme="minorHAnsi" w:hAnsiTheme="minorHAnsi" w:cstheme="minorBidi"/>
          <w:snapToGrid/>
          <w:sz w:val="24"/>
          <w:szCs w:val="22"/>
        </w:rPr>
      </w:pPr>
      <w:proofErr w:type="spellStart"/>
      <w:r w:rsidRPr="004C590B">
        <w:rPr>
          <w:rFonts w:asciiTheme="minorHAnsi" w:eastAsiaTheme="minorHAnsi" w:hAnsiTheme="minorHAnsi" w:cstheme="minorBidi"/>
          <w:snapToGrid/>
          <w:sz w:val="24"/>
          <w:szCs w:val="22"/>
        </w:rPr>
        <w:t>Alectinib</w:t>
      </w:r>
      <w:proofErr w:type="spellEnd"/>
      <w:r w:rsidRPr="004C590B">
        <w:rPr>
          <w:rFonts w:asciiTheme="minorHAnsi" w:eastAsiaTheme="minorHAnsi" w:hAnsiTheme="minorHAnsi" w:cstheme="minorBidi"/>
          <w:snapToGrid/>
          <w:sz w:val="24"/>
          <w:szCs w:val="22"/>
        </w:rPr>
        <w:t xml:space="preserve"> was</w:t>
      </w:r>
      <w:r w:rsidR="00476245" w:rsidRPr="004C590B">
        <w:rPr>
          <w:rFonts w:asciiTheme="minorHAnsi" w:eastAsiaTheme="minorHAnsi" w:hAnsiTheme="minorHAnsi" w:cstheme="minorBidi"/>
          <w:snapToGrid/>
          <w:sz w:val="24"/>
          <w:szCs w:val="22"/>
        </w:rPr>
        <w:t xml:space="preserve"> TGA registered </w:t>
      </w:r>
      <w:r w:rsidR="000C2CC2" w:rsidRPr="004C590B">
        <w:rPr>
          <w:rFonts w:asciiTheme="minorHAnsi" w:eastAsiaTheme="minorHAnsi" w:hAnsiTheme="minorHAnsi" w:cstheme="minorBidi"/>
          <w:snapToGrid/>
          <w:sz w:val="24"/>
          <w:szCs w:val="22"/>
        </w:rPr>
        <w:t>on 14 March 2017 for</w:t>
      </w:r>
      <w:r w:rsidR="002B1AE6" w:rsidRPr="004C590B">
        <w:rPr>
          <w:rFonts w:asciiTheme="minorHAnsi" w:eastAsiaTheme="minorHAnsi" w:hAnsiTheme="minorHAnsi" w:cstheme="minorBidi"/>
          <w:snapToGrid/>
          <w:sz w:val="24"/>
          <w:szCs w:val="22"/>
        </w:rPr>
        <w:t xml:space="preserve"> </w:t>
      </w:r>
      <w:r w:rsidR="000C2CC2" w:rsidRPr="004C590B">
        <w:rPr>
          <w:rFonts w:asciiTheme="minorHAnsi" w:eastAsiaTheme="minorHAnsi" w:hAnsiTheme="minorHAnsi" w:cstheme="minorBidi"/>
          <w:snapToGrid/>
          <w:sz w:val="24"/>
          <w:szCs w:val="22"/>
        </w:rPr>
        <w:t>the treatment of patients with anaplastic lymphoma kinase (ALK)-positive, locally advanced or metastatic non-small cell lung cancer (NSCLC).</w:t>
      </w:r>
      <w:r w:rsidR="008E524E" w:rsidRPr="004C590B">
        <w:rPr>
          <w:rFonts w:asciiTheme="minorHAnsi" w:eastAsiaTheme="minorHAnsi" w:hAnsiTheme="minorHAnsi" w:cstheme="minorBidi"/>
          <w:snapToGrid/>
          <w:sz w:val="24"/>
          <w:szCs w:val="22"/>
        </w:rPr>
        <w:t xml:space="preserve"> </w:t>
      </w:r>
    </w:p>
    <w:p w14:paraId="291A6F68" w14:textId="052FE851" w:rsidR="00762C30" w:rsidRPr="004C590B" w:rsidRDefault="000C2CC2" w:rsidP="00F847B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C590B">
        <w:rPr>
          <w:rFonts w:asciiTheme="minorHAnsi" w:eastAsiaTheme="minorHAnsi" w:hAnsiTheme="minorHAnsi" w:cstheme="minorBidi"/>
          <w:snapToGrid/>
          <w:sz w:val="24"/>
          <w:szCs w:val="22"/>
        </w:rPr>
        <w:t xml:space="preserve">In July 2017, the PBAC recommended the listing of </w:t>
      </w:r>
      <w:proofErr w:type="spellStart"/>
      <w:r w:rsidRPr="004C590B">
        <w:rPr>
          <w:rFonts w:asciiTheme="minorHAnsi" w:eastAsiaTheme="minorHAnsi" w:hAnsiTheme="minorHAnsi" w:cstheme="minorBidi"/>
          <w:snapToGrid/>
          <w:sz w:val="24"/>
          <w:szCs w:val="22"/>
        </w:rPr>
        <w:t>alectinib</w:t>
      </w:r>
      <w:proofErr w:type="spellEnd"/>
      <w:r w:rsidRPr="004C590B">
        <w:rPr>
          <w:rFonts w:asciiTheme="minorHAnsi" w:eastAsiaTheme="minorHAnsi" w:hAnsiTheme="minorHAnsi" w:cstheme="minorBidi"/>
          <w:snapToGrid/>
          <w:sz w:val="24"/>
          <w:szCs w:val="22"/>
        </w:rPr>
        <w:t xml:space="preserve"> </w:t>
      </w:r>
      <w:r w:rsidR="008107B4" w:rsidRPr="004C590B">
        <w:rPr>
          <w:rFonts w:asciiTheme="minorHAnsi" w:eastAsiaTheme="minorHAnsi" w:hAnsiTheme="minorHAnsi" w:cstheme="minorBidi"/>
          <w:snapToGrid/>
          <w:sz w:val="24"/>
          <w:szCs w:val="22"/>
        </w:rPr>
        <w:t xml:space="preserve">for the TGA registered indication on a cost-minimisation basis with </w:t>
      </w:r>
      <w:proofErr w:type="spellStart"/>
      <w:r w:rsidR="008107B4" w:rsidRPr="004C590B">
        <w:rPr>
          <w:rFonts w:asciiTheme="minorHAnsi" w:eastAsiaTheme="minorHAnsi" w:hAnsiTheme="minorHAnsi" w:cstheme="minorBidi"/>
          <w:snapToGrid/>
          <w:sz w:val="24"/>
          <w:szCs w:val="22"/>
        </w:rPr>
        <w:t>cer</w:t>
      </w:r>
      <w:r w:rsidR="00827D29" w:rsidRPr="004C590B">
        <w:rPr>
          <w:rFonts w:asciiTheme="minorHAnsi" w:eastAsiaTheme="minorHAnsi" w:hAnsiTheme="minorHAnsi" w:cstheme="minorBidi"/>
          <w:snapToGrid/>
          <w:sz w:val="24"/>
          <w:szCs w:val="22"/>
        </w:rPr>
        <w:t>i</w:t>
      </w:r>
      <w:r w:rsidR="008107B4" w:rsidRPr="004C590B">
        <w:rPr>
          <w:rFonts w:asciiTheme="minorHAnsi" w:eastAsiaTheme="minorHAnsi" w:hAnsiTheme="minorHAnsi" w:cstheme="minorBidi"/>
          <w:snapToGrid/>
          <w:sz w:val="24"/>
          <w:szCs w:val="22"/>
        </w:rPr>
        <w:t>tinib</w:t>
      </w:r>
      <w:proofErr w:type="spellEnd"/>
      <w:r w:rsidR="008107B4" w:rsidRPr="004C590B">
        <w:rPr>
          <w:rFonts w:asciiTheme="minorHAnsi" w:eastAsiaTheme="minorHAnsi" w:hAnsiTheme="minorHAnsi" w:cstheme="minorBidi"/>
          <w:snapToGrid/>
          <w:sz w:val="24"/>
          <w:szCs w:val="22"/>
        </w:rPr>
        <w:t>.</w:t>
      </w:r>
      <w:r w:rsidR="004926BE" w:rsidRPr="004C590B">
        <w:rPr>
          <w:rFonts w:asciiTheme="minorHAnsi" w:eastAsiaTheme="minorHAnsi" w:hAnsiTheme="minorHAnsi" w:cstheme="minorBidi"/>
          <w:snapToGrid/>
          <w:sz w:val="24"/>
          <w:szCs w:val="22"/>
        </w:rPr>
        <w:t xml:space="preserve"> </w:t>
      </w:r>
      <w:r w:rsidR="00F546F7" w:rsidRPr="004C590B">
        <w:rPr>
          <w:rFonts w:asciiTheme="minorHAnsi" w:eastAsiaTheme="minorHAnsi" w:hAnsiTheme="minorHAnsi" w:cstheme="minorBidi"/>
          <w:snapToGrid/>
          <w:sz w:val="24"/>
          <w:szCs w:val="22"/>
        </w:rPr>
        <w:t xml:space="preserve">The PBAC considered </w:t>
      </w:r>
      <w:proofErr w:type="spellStart"/>
      <w:r w:rsidR="00F546F7" w:rsidRPr="004C590B">
        <w:rPr>
          <w:rFonts w:asciiTheme="minorHAnsi" w:eastAsiaTheme="minorHAnsi" w:hAnsiTheme="minorHAnsi" w:cstheme="minorBidi"/>
          <w:snapToGrid/>
          <w:sz w:val="24"/>
          <w:szCs w:val="22"/>
        </w:rPr>
        <w:t>ceritinib</w:t>
      </w:r>
      <w:proofErr w:type="spellEnd"/>
      <w:r w:rsidR="00F546F7" w:rsidRPr="004C590B">
        <w:rPr>
          <w:rFonts w:asciiTheme="minorHAnsi" w:eastAsiaTheme="minorHAnsi" w:hAnsiTheme="minorHAnsi" w:cstheme="minorBidi"/>
          <w:snapToGrid/>
          <w:sz w:val="24"/>
          <w:szCs w:val="22"/>
        </w:rPr>
        <w:t xml:space="preserve"> to</w:t>
      </w:r>
      <w:r w:rsidR="004D7112" w:rsidRPr="004C590B">
        <w:rPr>
          <w:rFonts w:asciiTheme="minorHAnsi" w:eastAsiaTheme="minorHAnsi" w:hAnsiTheme="minorHAnsi" w:cstheme="minorBidi"/>
          <w:snapToGrid/>
          <w:sz w:val="24"/>
          <w:szCs w:val="22"/>
        </w:rPr>
        <w:t xml:space="preserve"> be the appropriate comparator </w:t>
      </w:r>
      <w:r w:rsidR="00F40D8E" w:rsidRPr="004C590B">
        <w:rPr>
          <w:rFonts w:asciiTheme="minorHAnsi" w:eastAsiaTheme="minorHAnsi" w:hAnsiTheme="minorHAnsi" w:cstheme="minorBidi"/>
          <w:snapToGrid/>
          <w:sz w:val="24"/>
          <w:szCs w:val="22"/>
        </w:rPr>
        <w:t>for</w:t>
      </w:r>
      <w:r w:rsidR="004D7112" w:rsidRPr="004C590B">
        <w:rPr>
          <w:rFonts w:asciiTheme="minorHAnsi" w:eastAsiaTheme="minorHAnsi" w:hAnsiTheme="minorHAnsi" w:cstheme="minorBidi"/>
          <w:snapToGrid/>
          <w:sz w:val="24"/>
          <w:szCs w:val="22"/>
        </w:rPr>
        <w:t xml:space="preserve"> the use of </w:t>
      </w:r>
      <w:proofErr w:type="spellStart"/>
      <w:r w:rsidR="004D7112" w:rsidRPr="004C590B">
        <w:rPr>
          <w:rFonts w:asciiTheme="minorHAnsi" w:eastAsiaTheme="minorHAnsi" w:hAnsiTheme="minorHAnsi" w:cstheme="minorBidi"/>
          <w:snapToGrid/>
          <w:sz w:val="24"/>
          <w:szCs w:val="22"/>
        </w:rPr>
        <w:t>alectinib</w:t>
      </w:r>
      <w:proofErr w:type="spellEnd"/>
      <w:r w:rsidR="004D7112" w:rsidRPr="004C590B">
        <w:rPr>
          <w:rFonts w:asciiTheme="minorHAnsi" w:eastAsiaTheme="minorHAnsi" w:hAnsiTheme="minorHAnsi" w:cstheme="minorBidi"/>
          <w:snapToGrid/>
          <w:sz w:val="24"/>
          <w:szCs w:val="22"/>
        </w:rPr>
        <w:t xml:space="preserve"> as later line therapy subsequent to progression in patients who have received </w:t>
      </w:r>
      <w:proofErr w:type="spellStart"/>
      <w:r w:rsidR="004D7112" w:rsidRPr="004C590B">
        <w:rPr>
          <w:rFonts w:asciiTheme="minorHAnsi" w:eastAsiaTheme="minorHAnsi" w:hAnsiTheme="minorHAnsi" w:cstheme="minorBidi"/>
          <w:snapToGrid/>
          <w:sz w:val="24"/>
          <w:szCs w:val="22"/>
        </w:rPr>
        <w:t>crizotinib</w:t>
      </w:r>
      <w:proofErr w:type="spellEnd"/>
      <w:r w:rsidR="004D7112" w:rsidRPr="004C590B">
        <w:rPr>
          <w:rFonts w:asciiTheme="minorHAnsi" w:eastAsiaTheme="minorHAnsi" w:hAnsiTheme="minorHAnsi" w:cstheme="minorBidi"/>
          <w:snapToGrid/>
          <w:sz w:val="24"/>
          <w:szCs w:val="22"/>
        </w:rPr>
        <w:t xml:space="preserve"> as the initial ALK inhibitor therapy.</w:t>
      </w:r>
      <w:r w:rsidR="00762C30" w:rsidRPr="004C590B">
        <w:rPr>
          <w:rFonts w:asciiTheme="minorHAnsi" w:eastAsiaTheme="minorHAnsi" w:hAnsiTheme="minorHAnsi" w:cstheme="minorBidi"/>
          <w:snapToGrid/>
          <w:sz w:val="24"/>
          <w:szCs w:val="22"/>
        </w:rPr>
        <w:t xml:space="preserve"> The PBAC considered that the restriction criteria for </w:t>
      </w:r>
      <w:proofErr w:type="spellStart"/>
      <w:r w:rsidR="00762C30" w:rsidRPr="004C590B">
        <w:rPr>
          <w:rFonts w:asciiTheme="minorHAnsi" w:eastAsiaTheme="minorHAnsi" w:hAnsiTheme="minorHAnsi" w:cstheme="minorBidi"/>
          <w:snapToGrid/>
          <w:sz w:val="24"/>
          <w:szCs w:val="22"/>
        </w:rPr>
        <w:t>alectinib</w:t>
      </w:r>
      <w:proofErr w:type="spellEnd"/>
      <w:r w:rsidR="00762C30" w:rsidRPr="004C590B">
        <w:rPr>
          <w:rFonts w:asciiTheme="minorHAnsi" w:eastAsiaTheme="minorHAnsi" w:hAnsiTheme="minorHAnsi" w:cstheme="minorBidi"/>
          <w:snapToGrid/>
          <w:sz w:val="24"/>
          <w:szCs w:val="22"/>
        </w:rPr>
        <w:t xml:space="preserve"> should be in close alignment with the current PBS listing of </w:t>
      </w:r>
      <w:proofErr w:type="spellStart"/>
      <w:r w:rsidR="00762C30" w:rsidRPr="004C590B">
        <w:rPr>
          <w:rFonts w:asciiTheme="minorHAnsi" w:eastAsiaTheme="minorHAnsi" w:hAnsiTheme="minorHAnsi" w:cstheme="minorBidi"/>
          <w:snapToGrid/>
          <w:sz w:val="24"/>
          <w:szCs w:val="22"/>
        </w:rPr>
        <w:t>ceritinib</w:t>
      </w:r>
      <w:proofErr w:type="spellEnd"/>
      <w:r w:rsidR="00762C30" w:rsidRPr="004C590B">
        <w:rPr>
          <w:rFonts w:asciiTheme="minorHAnsi" w:eastAsiaTheme="minorHAnsi" w:hAnsiTheme="minorHAnsi" w:cstheme="minorBidi"/>
          <w:snapToGrid/>
          <w:sz w:val="24"/>
          <w:szCs w:val="22"/>
        </w:rPr>
        <w:t xml:space="preserve">, i.e. a telephone </w:t>
      </w:r>
      <w:r w:rsidR="00664A86" w:rsidRPr="004C590B">
        <w:rPr>
          <w:rFonts w:asciiTheme="minorHAnsi" w:eastAsiaTheme="minorHAnsi" w:hAnsiTheme="minorHAnsi" w:cstheme="minorBidi"/>
          <w:snapToGrid/>
          <w:sz w:val="24"/>
          <w:szCs w:val="22"/>
        </w:rPr>
        <w:t>a</w:t>
      </w:r>
      <w:r w:rsidR="00762C30" w:rsidRPr="004C590B">
        <w:rPr>
          <w:rFonts w:asciiTheme="minorHAnsi" w:eastAsiaTheme="minorHAnsi" w:hAnsiTheme="minorHAnsi" w:cstheme="minorBidi"/>
          <w:snapToGrid/>
          <w:sz w:val="24"/>
          <w:szCs w:val="22"/>
        </w:rPr>
        <w:t xml:space="preserve">uthority </w:t>
      </w:r>
      <w:r w:rsidR="00762C30" w:rsidRPr="004C590B">
        <w:rPr>
          <w:rFonts w:asciiTheme="minorHAnsi" w:eastAsiaTheme="minorHAnsi" w:hAnsiTheme="minorHAnsi" w:cstheme="minorBidi"/>
          <w:snapToGrid/>
          <w:sz w:val="24"/>
          <w:szCs w:val="22"/>
        </w:rPr>
        <w:lastRenderedPageBreak/>
        <w:t xml:space="preserve">listing without any restrictions to the line of therapy. (Paragraph 7.3, </w:t>
      </w:r>
      <w:r w:rsidR="00A54699" w:rsidRPr="004C590B">
        <w:rPr>
          <w:rFonts w:asciiTheme="minorHAnsi" w:eastAsiaTheme="minorHAnsi" w:hAnsiTheme="minorHAnsi" w:cstheme="minorBidi"/>
          <w:snapToGrid/>
          <w:sz w:val="24"/>
          <w:szCs w:val="22"/>
        </w:rPr>
        <w:t xml:space="preserve">5.01 </w:t>
      </w:r>
      <w:proofErr w:type="spellStart"/>
      <w:r w:rsidR="00762C30" w:rsidRPr="004C590B">
        <w:rPr>
          <w:rFonts w:asciiTheme="minorHAnsi" w:eastAsiaTheme="minorHAnsi" w:hAnsiTheme="minorHAnsi" w:cstheme="minorBidi"/>
          <w:snapToGrid/>
          <w:sz w:val="24"/>
          <w:szCs w:val="22"/>
        </w:rPr>
        <w:t>Alectinib</w:t>
      </w:r>
      <w:proofErr w:type="spellEnd"/>
      <w:r w:rsidR="00762C30" w:rsidRPr="004C590B">
        <w:rPr>
          <w:rFonts w:asciiTheme="minorHAnsi" w:eastAsiaTheme="minorHAnsi" w:hAnsiTheme="minorHAnsi" w:cstheme="minorBidi"/>
          <w:snapToGrid/>
          <w:sz w:val="24"/>
          <w:szCs w:val="22"/>
        </w:rPr>
        <w:t xml:space="preserve"> Public Summary Document, July 2017</w:t>
      </w:r>
      <w:r w:rsidR="00B935FA" w:rsidRPr="004C590B">
        <w:rPr>
          <w:rFonts w:asciiTheme="minorHAnsi" w:eastAsiaTheme="minorHAnsi" w:hAnsiTheme="minorHAnsi" w:cstheme="minorBidi"/>
          <w:snapToGrid/>
          <w:sz w:val="24"/>
          <w:szCs w:val="22"/>
        </w:rPr>
        <w:t xml:space="preserve"> PBAC Meeting</w:t>
      </w:r>
      <w:r w:rsidR="00762C30" w:rsidRPr="004C590B">
        <w:rPr>
          <w:rFonts w:asciiTheme="minorHAnsi" w:eastAsiaTheme="minorHAnsi" w:hAnsiTheme="minorHAnsi" w:cstheme="minorBidi"/>
          <w:snapToGrid/>
          <w:sz w:val="24"/>
          <w:szCs w:val="22"/>
        </w:rPr>
        <w:t xml:space="preserve">) </w:t>
      </w:r>
    </w:p>
    <w:p w14:paraId="705F1ABA" w14:textId="2D33043B" w:rsidR="006A12A5" w:rsidRPr="004C590B" w:rsidRDefault="004926BE" w:rsidP="00F847B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sidRPr="004C590B">
        <w:rPr>
          <w:rFonts w:asciiTheme="minorHAnsi" w:eastAsiaTheme="minorHAnsi" w:hAnsiTheme="minorHAnsi" w:cstheme="minorBidi"/>
          <w:snapToGrid/>
          <w:sz w:val="24"/>
          <w:szCs w:val="22"/>
        </w:rPr>
        <w:t>Alectinib</w:t>
      </w:r>
      <w:proofErr w:type="spellEnd"/>
      <w:r w:rsidRPr="004C590B">
        <w:rPr>
          <w:rFonts w:asciiTheme="minorHAnsi" w:eastAsiaTheme="minorHAnsi" w:hAnsiTheme="minorHAnsi" w:cstheme="minorBidi"/>
          <w:snapToGrid/>
          <w:sz w:val="24"/>
          <w:szCs w:val="22"/>
        </w:rPr>
        <w:t xml:space="preserve"> </w:t>
      </w:r>
      <w:proofErr w:type="gramStart"/>
      <w:r w:rsidRPr="004C590B">
        <w:rPr>
          <w:rFonts w:asciiTheme="minorHAnsi" w:eastAsiaTheme="minorHAnsi" w:hAnsiTheme="minorHAnsi" w:cstheme="minorBidi"/>
          <w:snapToGrid/>
          <w:sz w:val="24"/>
          <w:szCs w:val="22"/>
        </w:rPr>
        <w:t>has been listed</w:t>
      </w:r>
      <w:proofErr w:type="gramEnd"/>
      <w:r w:rsidRPr="004C590B">
        <w:rPr>
          <w:rFonts w:asciiTheme="minorHAnsi" w:eastAsiaTheme="minorHAnsi" w:hAnsiTheme="minorHAnsi" w:cstheme="minorBidi"/>
          <w:snapToGrid/>
          <w:sz w:val="24"/>
          <w:szCs w:val="22"/>
        </w:rPr>
        <w:t xml:space="preserve"> on the PBS since 1 January 2018</w:t>
      </w:r>
      <w:r w:rsidR="004C590B">
        <w:rPr>
          <w:rFonts w:asciiTheme="minorHAnsi" w:eastAsiaTheme="minorHAnsi" w:hAnsiTheme="minorHAnsi" w:cstheme="minorBidi"/>
          <w:snapToGrid/>
          <w:sz w:val="24"/>
          <w:szCs w:val="22"/>
        </w:rPr>
        <w:t xml:space="preserve">. </w:t>
      </w:r>
    </w:p>
    <w:p w14:paraId="254E54CC" w14:textId="275FA633" w:rsidR="00D241FD" w:rsidRPr="004C590B" w:rsidRDefault="00D241FD" w:rsidP="00F847B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C590B">
        <w:rPr>
          <w:rFonts w:asciiTheme="minorHAnsi" w:eastAsiaTheme="minorHAnsi" w:hAnsiTheme="minorHAnsi" w:cstheme="minorBidi"/>
          <w:snapToGrid/>
          <w:sz w:val="24"/>
          <w:szCs w:val="22"/>
        </w:rPr>
        <w:t xml:space="preserve">The original submission for </w:t>
      </w:r>
      <w:proofErr w:type="spellStart"/>
      <w:r w:rsidR="00AD7A58" w:rsidRPr="004C590B">
        <w:rPr>
          <w:rFonts w:asciiTheme="minorHAnsi" w:eastAsiaTheme="minorHAnsi" w:hAnsiTheme="minorHAnsi" w:cstheme="minorBidi"/>
          <w:snapToGrid/>
          <w:sz w:val="24"/>
          <w:szCs w:val="22"/>
        </w:rPr>
        <w:t>a</w:t>
      </w:r>
      <w:r w:rsidRPr="004C590B">
        <w:rPr>
          <w:rFonts w:asciiTheme="minorHAnsi" w:eastAsiaTheme="minorHAnsi" w:hAnsiTheme="minorHAnsi" w:cstheme="minorBidi"/>
          <w:snapToGrid/>
          <w:sz w:val="24"/>
          <w:szCs w:val="22"/>
        </w:rPr>
        <w:t>lectinib</w:t>
      </w:r>
      <w:proofErr w:type="spellEnd"/>
      <w:r w:rsidRPr="004C590B">
        <w:rPr>
          <w:rFonts w:asciiTheme="minorHAnsi" w:eastAsiaTheme="minorHAnsi" w:hAnsiTheme="minorHAnsi" w:cstheme="minorBidi"/>
          <w:snapToGrid/>
          <w:sz w:val="24"/>
          <w:szCs w:val="22"/>
        </w:rPr>
        <w:t xml:space="preserve"> proposed a maximum </w:t>
      </w:r>
      <w:r w:rsidR="00B935FA" w:rsidRPr="004C590B">
        <w:rPr>
          <w:rFonts w:asciiTheme="minorHAnsi" w:eastAsiaTheme="minorHAnsi" w:hAnsiTheme="minorHAnsi" w:cstheme="minorBidi"/>
          <w:snapToGrid/>
          <w:sz w:val="24"/>
          <w:szCs w:val="22"/>
        </w:rPr>
        <w:t xml:space="preserve">of one </w:t>
      </w:r>
      <w:r w:rsidR="00E808EA" w:rsidRPr="004C590B">
        <w:rPr>
          <w:rFonts w:asciiTheme="minorHAnsi" w:eastAsiaTheme="minorHAnsi" w:hAnsiTheme="minorHAnsi" w:cstheme="minorBidi"/>
          <w:snapToGrid/>
          <w:sz w:val="24"/>
          <w:szCs w:val="22"/>
        </w:rPr>
        <w:t>repeat</w:t>
      </w:r>
      <w:r w:rsidRPr="004C590B">
        <w:rPr>
          <w:rFonts w:asciiTheme="minorHAnsi" w:eastAsiaTheme="minorHAnsi" w:hAnsiTheme="minorHAnsi" w:cstheme="minorBidi"/>
          <w:snapToGrid/>
          <w:sz w:val="24"/>
          <w:szCs w:val="22"/>
        </w:rPr>
        <w:t xml:space="preserve">. </w:t>
      </w:r>
    </w:p>
    <w:p w14:paraId="2895124E" w14:textId="0C843429" w:rsidR="00A04BE8" w:rsidRPr="004C590B" w:rsidRDefault="00A04BE8" w:rsidP="00F847B0">
      <w:pPr>
        <w:pStyle w:val="ListParagraph"/>
        <w:widowControl/>
        <w:spacing w:before="120" w:after="120"/>
        <w:contextualSpacing w:val="0"/>
        <w:rPr>
          <w:rFonts w:asciiTheme="minorHAnsi" w:eastAsiaTheme="minorHAnsi" w:hAnsiTheme="minorHAnsi" w:cstheme="minorBidi"/>
          <w:i/>
          <w:snapToGrid/>
          <w:sz w:val="24"/>
          <w:szCs w:val="22"/>
        </w:rPr>
      </w:pPr>
      <w:r w:rsidRPr="004C590B">
        <w:rPr>
          <w:rFonts w:asciiTheme="minorHAnsi" w:eastAsiaTheme="minorHAnsi" w:hAnsiTheme="minorHAnsi" w:cstheme="minorBidi"/>
          <w:i/>
          <w:snapToGrid/>
          <w:sz w:val="24"/>
          <w:szCs w:val="22"/>
        </w:rPr>
        <w:t>For more detail on PBAC’s view, see section 5 PBAC outcome.</w:t>
      </w:r>
    </w:p>
    <w:p w14:paraId="2B50C3D5" w14:textId="18A33E30" w:rsidR="00D84934" w:rsidRPr="004C590B" w:rsidRDefault="008D7A41" w:rsidP="00F847B0">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4C590B">
        <w:rPr>
          <w:rFonts w:asciiTheme="minorHAnsi" w:hAnsiTheme="minorHAnsi"/>
          <w:sz w:val="32"/>
          <w:szCs w:val="32"/>
        </w:rPr>
        <w:t>C</w:t>
      </w:r>
      <w:r w:rsidR="00D84934" w:rsidRPr="004C590B">
        <w:rPr>
          <w:rFonts w:asciiTheme="minorHAnsi" w:hAnsiTheme="minorHAnsi"/>
          <w:sz w:val="32"/>
          <w:szCs w:val="32"/>
        </w:rPr>
        <w:t>onsideration of the evidence</w:t>
      </w:r>
    </w:p>
    <w:p w14:paraId="4250D358" w14:textId="77777777" w:rsidR="00A04BE8" w:rsidRPr="004C590B" w:rsidRDefault="00A04BE8" w:rsidP="00F847B0">
      <w:pPr>
        <w:pStyle w:val="Heading2"/>
        <w:spacing w:before="120" w:after="120"/>
        <w:rPr>
          <w:rFonts w:ascii="Calibri" w:hAnsi="Calibri" w:cs="Calibri"/>
          <w:sz w:val="28"/>
          <w:szCs w:val="28"/>
        </w:rPr>
      </w:pPr>
      <w:r w:rsidRPr="004C590B">
        <w:rPr>
          <w:rFonts w:ascii="Calibri" w:hAnsi="Calibri" w:cs="Calibri"/>
          <w:sz w:val="28"/>
          <w:szCs w:val="28"/>
        </w:rPr>
        <w:t>Sponsor hearing</w:t>
      </w:r>
    </w:p>
    <w:p w14:paraId="31C8BE5F" w14:textId="3C8A4102" w:rsidR="00A04BE8" w:rsidRPr="004C590B" w:rsidRDefault="00A04BE8" w:rsidP="00F847B0">
      <w:pPr>
        <w:widowControl w:val="0"/>
        <w:numPr>
          <w:ilvl w:val="1"/>
          <w:numId w:val="5"/>
        </w:numPr>
        <w:spacing w:before="120" w:after="120"/>
        <w:jc w:val="both"/>
        <w:rPr>
          <w:rFonts w:asciiTheme="minorHAnsi" w:hAnsiTheme="minorHAnsi"/>
          <w:bCs/>
        </w:rPr>
      </w:pPr>
      <w:r w:rsidRPr="004C590B">
        <w:rPr>
          <w:rFonts w:asciiTheme="minorHAnsi" w:hAnsiTheme="minorHAnsi"/>
          <w:bCs/>
        </w:rPr>
        <w:t>There was no hearing for this item</w:t>
      </w:r>
      <w:r w:rsidR="00374E60" w:rsidRPr="004C590B">
        <w:rPr>
          <w:rFonts w:asciiTheme="minorHAnsi" w:hAnsiTheme="minorHAnsi"/>
          <w:bCs/>
        </w:rPr>
        <w:t xml:space="preserve"> as this was a minor submission</w:t>
      </w:r>
      <w:r w:rsidRPr="004C590B">
        <w:rPr>
          <w:rFonts w:asciiTheme="minorHAnsi" w:hAnsiTheme="minorHAnsi"/>
          <w:bCs/>
        </w:rPr>
        <w:t>.</w:t>
      </w:r>
    </w:p>
    <w:p w14:paraId="7D3C0F76" w14:textId="7534826A" w:rsidR="00A04BE8" w:rsidRPr="004C590B" w:rsidRDefault="00A04BE8" w:rsidP="00F847B0">
      <w:pPr>
        <w:pStyle w:val="Heading2"/>
        <w:spacing w:before="120" w:after="120"/>
        <w:rPr>
          <w:rFonts w:ascii="Calibri" w:hAnsi="Calibri" w:cs="Calibri"/>
          <w:sz w:val="28"/>
          <w:szCs w:val="28"/>
        </w:rPr>
      </w:pPr>
      <w:r w:rsidRPr="004C590B">
        <w:rPr>
          <w:rFonts w:ascii="Calibri" w:hAnsi="Calibri" w:cs="Calibri"/>
          <w:sz w:val="28"/>
          <w:szCs w:val="28"/>
        </w:rPr>
        <w:t>Consumer comments</w:t>
      </w:r>
    </w:p>
    <w:p w14:paraId="1C273948" w14:textId="47A7E35D" w:rsidR="00A04BE8" w:rsidRPr="004C590B" w:rsidRDefault="00A04BE8" w:rsidP="00F847B0">
      <w:pPr>
        <w:widowControl w:val="0"/>
        <w:numPr>
          <w:ilvl w:val="1"/>
          <w:numId w:val="5"/>
        </w:numPr>
        <w:spacing w:before="120" w:after="120"/>
        <w:jc w:val="both"/>
        <w:rPr>
          <w:rFonts w:asciiTheme="minorHAnsi" w:hAnsiTheme="minorHAnsi"/>
          <w:bCs/>
        </w:rPr>
      </w:pPr>
      <w:r w:rsidRPr="004C590B">
        <w:rPr>
          <w:rFonts w:asciiTheme="minorHAnsi" w:hAnsiTheme="minorHAnsi"/>
          <w:bCs/>
        </w:rPr>
        <w:t xml:space="preserve">The PBAC noted and welcomed the input from health care professionals (2) and individuals (3) via the Consumer Comments facility on the PBS website. The comments from individuals described the positive impacts </w:t>
      </w:r>
      <w:r w:rsidR="00B935FA" w:rsidRPr="004C590B">
        <w:rPr>
          <w:rFonts w:asciiTheme="minorHAnsi" w:hAnsiTheme="minorHAnsi"/>
          <w:bCs/>
        </w:rPr>
        <w:t>of</w:t>
      </w:r>
      <w:r w:rsidRPr="004C590B">
        <w:rPr>
          <w:rFonts w:asciiTheme="minorHAnsi" w:hAnsiTheme="minorHAnsi"/>
          <w:bCs/>
        </w:rPr>
        <w:t xml:space="preserve"> increas</w:t>
      </w:r>
      <w:r w:rsidR="00996105" w:rsidRPr="004C590B">
        <w:rPr>
          <w:rFonts w:asciiTheme="minorHAnsi" w:hAnsiTheme="minorHAnsi"/>
          <w:bCs/>
        </w:rPr>
        <w:t>ed</w:t>
      </w:r>
      <w:r w:rsidR="00C8180F" w:rsidRPr="004C590B">
        <w:rPr>
          <w:rFonts w:asciiTheme="minorHAnsi" w:hAnsiTheme="minorHAnsi"/>
          <w:bCs/>
        </w:rPr>
        <w:t xml:space="preserve"> </w:t>
      </w:r>
      <w:r w:rsidRPr="004C590B">
        <w:rPr>
          <w:rFonts w:asciiTheme="minorHAnsi" w:hAnsiTheme="minorHAnsi"/>
          <w:bCs/>
        </w:rPr>
        <w:t>repeat prescriptions including less frequent medical appointments and less time off work for family carers. The comments from health care professionals also support</w:t>
      </w:r>
      <w:r w:rsidR="00FF6FC2" w:rsidRPr="004C590B">
        <w:rPr>
          <w:rFonts w:asciiTheme="minorHAnsi" w:hAnsiTheme="minorHAnsi"/>
          <w:bCs/>
        </w:rPr>
        <w:t>ed</w:t>
      </w:r>
      <w:r w:rsidRPr="004C590B">
        <w:rPr>
          <w:rFonts w:asciiTheme="minorHAnsi" w:hAnsiTheme="minorHAnsi"/>
          <w:bCs/>
        </w:rPr>
        <w:t xml:space="preserve"> increas</w:t>
      </w:r>
      <w:r w:rsidR="00FF6FC2" w:rsidRPr="004C590B">
        <w:rPr>
          <w:rFonts w:asciiTheme="minorHAnsi" w:hAnsiTheme="minorHAnsi"/>
          <w:bCs/>
        </w:rPr>
        <w:t>ing</w:t>
      </w:r>
      <w:r w:rsidRPr="004C590B">
        <w:rPr>
          <w:rFonts w:asciiTheme="minorHAnsi" w:hAnsiTheme="minorHAnsi"/>
          <w:bCs/>
        </w:rPr>
        <w:t xml:space="preserve"> repeats but indicated the maximum number of repeats should be less than </w:t>
      </w:r>
      <w:proofErr w:type="gramStart"/>
      <w:r w:rsidRPr="004C590B">
        <w:rPr>
          <w:rFonts w:asciiTheme="minorHAnsi" w:hAnsiTheme="minorHAnsi"/>
          <w:bCs/>
        </w:rPr>
        <w:t>5</w:t>
      </w:r>
      <w:proofErr w:type="gramEnd"/>
      <w:r w:rsidRPr="004C590B">
        <w:rPr>
          <w:rFonts w:asciiTheme="minorHAnsi" w:hAnsiTheme="minorHAnsi"/>
          <w:bCs/>
        </w:rPr>
        <w:t xml:space="preserve"> </w:t>
      </w:r>
      <w:r w:rsidR="00985999" w:rsidRPr="004C590B">
        <w:rPr>
          <w:rFonts w:asciiTheme="minorHAnsi" w:hAnsiTheme="minorHAnsi"/>
          <w:bCs/>
        </w:rPr>
        <w:t xml:space="preserve">to align with </w:t>
      </w:r>
      <w:r w:rsidR="00A27ED0" w:rsidRPr="004C590B">
        <w:rPr>
          <w:rFonts w:asciiTheme="minorHAnsi" w:hAnsiTheme="minorHAnsi"/>
          <w:bCs/>
        </w:rPr>
        <w:t xml:space="preserve">frequency of </w:t>
      </w:r>
      <w:r w:rsidR="00985999" w:rsidRPr="004C590B">
        <w:rPr>
          <w:rFonts w:asciiTheme="minorHAnsi" w:hAnsiTheme="minorHAnsi"/>
          <w:bCs/>
        </w:rPr>
        <w:t>necessary medical appointment</w:t>
      </w:r>
      <w:r w:rsidR="00A27ED0" w:rsidRPr="004C590B">
        <w:rPr>
          <w:rFonts w:asciiTheme="minorHAnsi" w:hAnsiTheme="minorHAnsi"/>
          <w:bCs/>
        </w:rPr>
        <w:t>s</w:t>
      </w:r>
      <w:r w:rsidR="00985999" w:rsidRPr="004C590B">
        <w:rPr>
          <w:rFonts w:asciiTheme="minorHAnsi" w:hAnsiTheme="minorHAnsi"/>
          <w:bCs/>
        </w:rPr>
        <w:t xml:space="preserve">. </w:t>
      </w:r>
    </w:p>
    <w:p w14:paraId="478C5AD9" w14:textId="3597198A" w:rsidR="00A04BE8" w:rsidRPr="004C590B" w:rsidRDefault="00A04BE8" w:rsidP="00F847B0">
      <w:pPr>
        <w:pStyle w:val="Heading2"/>
        <w:spacing w:before="120" w:after="120"/>
        <w:rPr>
          <w:rFonts w:ascii="Calibri" w:hAnsi="Calibri" w:cs="Calibri"/>
          <w:sz w:val="28"/>
          <w:szCs w:val="28"/>
        </w:rPr>
      </w:pPr>
      <w:r w:rsidRPr="004C590B">
        <w:rPr>
          <w:rFonts w:ascii="Calibri" w:hAnsi="Calibri" w:cs="Calibri"/>
          <w:sz w:val="28"/>
          <w:szCs w:val="28"/>
        </w:rPr>
        <w:t xml:space="preserve">Current </w:t>
      </w:r>
      <w:r w:rsidR="00374E60" w:rsidRPr="004C590B">
        <w:rPr>
          <w:rFonts w:ascii="Calibri" w:hAnsi="Calibri" w:cs="Calibri"/>
          <w:sz w:val="28"/>
          <w:szCs w:val="28"/>
        </w:rPr>
        <w:t>situation</w:t>
      </w:r>
    </w:p>
    <w:p w14:paraId="280E2C30" w14:textId="0F95DBF3" w:rsidR="008A261B" w:rsidRPr="004C590B" w:rsidRDefault="00A54699" w:rsidP="00F847B0">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4C590B">
        <w:rPr>
          <w:rFonts w:asciiTheme="minorHAnsi" w:eastAsiaTheme="minorHAnsi" w:hAnsiTheme="minorHAnsi" w:cstheme="minorBidi"/>
          <w:snapToGrid/>
          <w:sz w:val="24"/>
          <w:szCs w:val="24"/>
        </w:rPr>
        <w:t xml:space="preserve">The minor submission </w:t>
      </w:r>
      <w:proofErr w:type="gramStart"/>
      <w:r w:rsidRPr="004C590B">
        <w:rPr>
          <w:rFonts w:asciiTheme="minorHAnsi" w:eastAsiaTheme="minorHAnsi" w:hAnsiTheme="minorHAnsi" w:cstheme="minorBidi"/>
          <w:snapToGrid/>
          <w:sz w:val="24"/>
          <w:szCs w:val="24"/>
        </w:rPr>
        <w:t>was based</w:t>
      </w:r>
      <w:proofErr w:type="gramEnd"/>
      <w:r w:rsidRPr="004C590B">
        <w:rPr>
          <w:rFonts w:asciiTheme="minorHAnsi" w:eastAsiaTheme="minorHAnsi" w:hAnsiTheme="minorHAnsi" w:cstheme="minorBidi"/>
          <w:snapToGrid/>
          <w:sz w:val="24"/>
          <w:szCs w:val="24"/>
        </w:rPr>
        <w:t xml:space="preserve"> on</w:t>
      </w:r>
      <w:r w:rsidR="00AD05C8" w:rsidRPr="004C590B">
        <w:rPr>
          <w:rFonts w:asciiTheme="minorHAnsi" w:eastAsiaTheme="minorHAnsi" w:hAnsiTheme="minorHAnsi" w:cstheme="minorBidi"/>
          <w:snapToGrid/>
          <w:sz w:val="24"/>
          <w:szCs w:val="24"/>
        </w:rPr>
        <w:t xml:space="preserve"> feedback from patients abou</w:t>
      </w:r>
      <w:r w:rsidR="00A6097A" w:rsidRPr="004C590B">
        <w:rPr>
          <w:rFonts w:asciiTheme="minorHAnsi" w:eastAsiaTheme="minorHAnsi" w:hAnsiTheme="minorHAnsi" w:cstheme="minorBidi"/>
          <w:snapToGrid/>
          <w:sz w:val="24"/>
          <w:szCs w:val="24"/>
        </w:rPr>
        <w:t xml:space="preserve">t the </w:t>
      </w:r>
      <w:r w:rsidR="00374E60" w:rsidRPr="004C590B">
        <w:rPr>
          <w:rFonts w:asciiTheme="minorHAnsi" w:eastAsiaTheme="minorHAnsi" w:hAnsiTheme="minorHAnsi" w:cstheme="minorBidi"/>
          <w:snapToGrid/>
          <w:sz w:val="24"/>
          <w:szCs w:val="24"/>
        </w:rPr>
        <w:t xml:space="preserve">current </w:t>
      </w:r>
      <w:r w:rsidR="00AD05C8" w:rsidRPr="004C590B">
        <w:rPr>
          <w:rFonts w:asciiTheme="minorHAnsi" w:eastAsiaTheme="minorHAnsi" w:hAnsiTheme="minorHAnsi" w:cstheme="minorBidi"/>
          <w:snapToGrid/>
          <w:sz w:val="24"/>
          <w:szCs w:val="24"/>
        </w:rPr>
        <w:t>PBS-</w:t>
      </w:r>
      <w:r w:rsidR="00202C23" w:rsidRPr="004C590B">
        <w:rPr>
          <w:rFonts w:asciiTheme="minorHAnsi" w:eastAsiaTheme="minorHAnsi" w:hAnsiTheme="minorHAnsi" w:cstheme="minorBidi"/>
          <w:snapToGrid/>
          <w:sz w:val="24"/>
          <w:szCs w:val="24"/>
        </w:rPr>
        <w:t>listing</w:t>
      </w:r>
      <w:r w:rsidRPr="004C590B">
        <w:rPr>
          <w:rFonts w:asciiTheme="minorHAnsi" w:eastAsiaTheme="minorHAnsi" w:hAnsiTheme="minorHAnsi" w:cstheme="minorBidi"/>
          <w:snapToGrid/>
          <w:sz w:val="24"/>
          <w:szCs w:val="24"/>
        </w:rPr>
        <w:t xml:space="preserve">. These patients described the burden </w:t>
      </w:r>
      <w:r w:rsidR="00374E60" w:rsidRPr="004C590B">
        <w:rPr>
          <w:rFonts w:asciiTheme="minorHAnsi" w:eastAsiaTheme="minorHAnsi" w:hAnsiTheme="minorHAnsi" w:cstheme="minorBidi"/>
          <w:snapToGrid/>
          <w:sz w:val="24"/>
          <w:szCs w:val="24"/>
        </w:rPr>
        <w:t>associated with</w:t>
      </w:r>
      <w:r w:rsidRPr="004C590B">
        <w:rPr>
          <w:rFonts w:asciiTheme="minorHAnsi" w:eastAsiaTheme="minorHAnsi" w:hAnsiTheme="minorHAnsi" w:cstheme="minorBidi"/>
          <w:snapToGrid/>
          <w:sz w:val="24"/>
          <w:szCs w:val="24"/>
        </w:rPr>
        <w:t xml:space="preserve"> </w:t>
      </w:r>
      <w:r w:rsidR="00AD05C8" w:rsidRPr="004C590B">
        <w:rPr>
          <w:rFonts w:asciiTheme="minorHAnsi" w:eastAsiaTheme="minorHAnsi" w:hAnsiTheme="minorHAnsi" w:cstheme="minorBidi"/>
          <w:snapToGrid/>
          <w:sz w:val="24"/>
          <w:szCs w:val="24"/>
        </w:rPr>
        <w:t>the current administrative</w:t>
      </w:r>
      <w:r w:rsidR="001204B3" w:rsidRPr="004C590B">
        <w:rPr>
          <w:rFonts w:asciiTheme="minorHAnsi" w:eastAsiaTheme="minorHAnsi" w:hAnsiTheme="minorHAnsi" w:cstheme="minorBidi"/>
          <w:snapToGrid/>
          <w:sz w:val="24"/>
          <w:szCs w:val="24"/>
        </w:rPr>
        <w:t xml:space="preserve"> procedures</w:t>
      </w:r>
      <w:r w:rsidR="008A261B" w:rsidRPr="004C590B">
        <w:rPr>
          <w:rFonts w:asciiTheme="minorHAnsi" w:eastAsiaTheme="minorHAnsi" w:hAnsiTheme="minorHAnsi" w:cstheme="minorBidi"/>
          <w:snapToGrid/>
          <w:sz w:val="24"/>
          <w:szCs w:val="24"/>
        </w:rPr>
        <w:t xml:space="preserve"> </w:t>
      </w:r>
      <w:r w:rsidR="00374E60" w:rsidRPr="004C590B">
        <w:rPr>
          <w:rFonts w:asciiTheme="minorHAnsi" w:eastAsiaTheme="minorHAnsi" w:hAnsiTheme="minorHAnsi" w:cstheme="minorBidi"/>
          <w:snapToGrid/>
          <w:sz w:val="24"/>
          <w:szCs w:val="24"/>
        </w:rPr>
        <w:t>for</w:t>
      </w:r>
      <w:r w:rsidR="008A261B" w:rsidRPr="004C590B">
        <w:rPr>
          <w:rFonts w:asciiTheme="minorHAnsi" w:eastAsiaTheme="minorHAnsi" w:hAnsiTheme="minorHAnsi" w:cstheme="minorBidi"/>
          <w:snapToGrid/>
          <w:sz w:val="24"/>
          <w:szCs w:val="24"/>
        </w:rPr>
        <w:t xml:space="preserve"> accessing repeat prescriptions</w:t>
      </w:r>
      <w:r w:rsidR="00AD05C8" w:rsidRPr="004C590B">
        <w:rPr>
          <w:rFonts w:asciiTheme="minorHAnsi" w:eastAsiaTheme="minorHAnsi" w:hAnsiTheme="minorHAnsi" w:cstheme="minorBidi"/>
          <w:snapToGrid/>
          <w:sz w:val="24"/>
          <w:szCs w:val="24"/>
        </w:rPr>
        <w:t>.</w:t>
      </w:r>
      <w:r w:rsidR="00526681" w:rsidRPr="004C590B">
        <w:rPr>
          <w:rFonts w:asciiTheme="minorHAnsi" w:eastAsiaTheme="minorHAnsi" w:hAnsiTheme="minorHAnsi" w:cstheme="minorBidi"/>
          <w:snapToGrid/>
          <w:sz w:val="24"/>
          <w:szCs w:val="24"/>
        </w:rPr>
        <w:t xml:space="preserve"> </w:t>
      </w:r>
      <w:r w:rsidR="001204B3" w:rsidRPr="004C590B">
        <w:rPr>
          <w:rFonts w:asciiTheme="minorHAnsi" w:eastAsiaTheme="minorHAnsi" w:hAnsiTheme="minorHAnsi" w:cstheme="minorBidi"/>
          <w:snapToGrid/>
          <w:sz w:val="24"/>
          <w:szCs w:val="24"/>
        </w:rPr>
        <w:t>In support of the request to change the maximum number of repeats, the submission presented a patient testimonial that detail</w:t>
      </w:r>
      <w:r w:rsidR="00013768" w:rsidRPr="004C590B">
        <w:rPr>
          <w:rFonts w:asciiTheme="minorHAnsi" w:eastAsiaTheme="minorHAnsi" w:hAnsiTheme="minorHAnsi" w:cstheme="minorBidi"/>
          <w:snapToGrid/>
          <w:sz w:val="24"/>
          <w:szCs w:val="24"/>
        </w:rPr>
        <w:t>ed</w:t>
      </w:r>
      <w:r w:rsidR="001204B3" w:rsidRPr="004C590B">
        <w:rPr>
          <w:rFonts w:asciiTheme="minorHAnsi" w:eastAsiaTheme="minorHAnsi" w:hAnsiTheme="minorHAnsi" w:cstheme="minorBidi"/>
          <w:snapToGrid/>
          <w:sz w:val="24"/>
          <w:szCs w:val="24"/>
        </w:rPr>
        <w:t xml:space="preserve"> the financial burden and diminished quality of life associated with travelling to attend frequent medical appointments</w:t>
      </w:r>
      <w:r w:rsidR="00A72A0C" w:rsidRPr="004C590B">
        <w:rPr>
          <w:rFonts w:asciiTheme="minorHAnsi" w:eastAsiaTheme="minorHAnsi" w:hAnsiTheme="minorHAnsi" w:cstheme="minorBidi"/>
          <w:snapToGrid/>
          <w:sz w:val="24"/>
          <w:szCs w:val="24"/>
        </w:rPr>
        <w:t xml:space="preserve"> over several years</w:t>
      </w:r>
      <w:r w:rsidR="001204B3" w:rsidRPr="004C590B">
        <w:rPr>
          <w:rFonts w:asciiTheme="minorHAnsi" w:eastAsiaTheme="minorHAnsi" w:hAnsiTheme="minorHAnsi" w:cstheme="minorBidi"/>
          <w:snapToGrid/>
          <w:sz w:val="24"/>
          <w:szCs w:val="24"/>
        </w:rPr>
        <w:t xml:space="preserve"> for the sole purpose of obtaining prescription</w:t>
      </w:r>
      <w:r w:rsidR="00202C23" w:rsidRPr="004C590B">
        <w:rPr>
          <w:rFonts w:asciiTheme="minorHAnsi" w:eastAsiaTheme="minorHAnsi" w:hAnsiTheme="minorHAnsi" w:cstheme="minorBidi"/>
          <w:snapToGrid/>
          <w:sz w:val="24"/>
          <w:szCs w:val="24"/>
        </w:rPr>
        <w:t>s</w:t>
      </w:r>
      <w:r w:rsidR="001204B3" w:rsidRPr="004C590B">
        <w:rPr>
          <w:rFonts w:asciiTheme="minorHAnsi" w:eastAsiaTheme="minorHAnsi" w:hAnsiTheme="minorHAnsi" w:cstheme="minorBidi"/>
          <w:snapToGrid/>
          <w:sz w:val="24"/>
          <w:szCs w:val="24"/>
        </w:rPr>
        <w:t xml:space="preserve"> for continued treatment.</w:t>
      </w:r>
      <w:r w:rsidR="00526681" w:rsidRPr="004C590B">
        <w:rPr>
          <w:rFonts w:asciiTheme="minorHAnsi" w:eastAsiaTheme="minorHAnsi" w:hAnsiTheme="minorHAnsi" w:cstheme="minorBidi"/>
          <w:snapToGrid/>
          <w:sz w:val="24"/>
          <w:szCs w:val="24"/>
        </w:rPr>
        <w:t xml:space="preserve"> </w:t>
      </w:r>
    </w:p>
    <w:p w14:paraId="29190068" w14:textId="58B284A2" w:rsidR="00771AFB" w:rsidRPr="004C590B" w:rsidRDefault="008A261B" w:rsidP="00F847B0">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4C590B">
        <w:rPr>
          <w:rFonts w:asciiTheme="minorHAnsi" w:eastAsiaTheme="minorHAnsi" w:hAnsiTheme="minorHAnsi" w:cstheme="minorBidi"/>
          <w:snapToGrid/>
          <w:sz w:val="24"/>
          <w:szCs w:val="24"/>
        </w:rPr>
        <w:t xml:space="preserve">The submission also requested that the </w:t>
      </w:r>
      <w:r w:rsidR="009447B7" w:rsidRPr="004C590B">
        <w:rPr>
          <w:rFonts w:asciiTheme="minorHAnsi" w:eastAsiaTheme="minorHAnsi" w:hAnsiTheme="minorHAnsi" w:cstheme="minorBidi"/>
          <w:snapToGrid/>
          <w:sz w:val="24"/>
          <w:szCs w:val="24"/>
        </w:rPr>
        <w:t>restriction</w:t>
      </w:r>
      <w:r w:rsidR="00762C30" w:rsidRPr="004C590B">
        <w:rPr>
          <w:rFonts w:asciiTheme="minorHAnsi" w:eastAsiaTheme="minorHAnsi" w:hAnsiTheme="minorHAnsi" w:cstheme="minorBidi"/>
          <w:snapToGrid/>
          <w:sz w:val="24"/>
          <w:szCs w:val="24"/>
        </w:rPr>
        <w:t xml:space="preserve"> level</w:t>
      </w:r>
      <w:r w:rsidR="009447B7" w:rsidRPr="004C590B">
        <w:rPr>
          <w:rFonts w:asciiTheme="minorHAnsi" w:eastAsiaTheme="minorHAnsi" w:hAnsiTheme="minorHAnsi" w:cstheme="minorBidi"/>
          <w:snapToGrid/>
          <w:sz w:val="24"/>
          <w:szCs w:val="24"/>
        </w:rPr>
        <w:t xml:space="preserve"> be changed from </w:t>
      </w:r>
      <w:r w:rsidR="00762C30" w:rsidRPr="004C590B">
        <w:rPr>
          <w:rFonts w:asciiTheme="minorHAnsi" w:eastAsiaTheme="minorHAnsi" w:hAnsiTheme="minorHAnsi" w:cstheme="minorBidi"/>
          <w:snapToGrid/>
          <w:sz w:val="24"/>
          <w:szCs w:val="24"/>
        </w:rPr>
        <w:t>A</w:t>
      </w:r>
      <w:r w:rsidR="001F40E8" w:rsidRPr="004C590B">
        <w:rPr>
          <w:rFonts w:asciiTheme="minorHAnsi" w:eastAsiaTheme="minorHAnsi" w:hAnsiTheme="minorHAnsi" w:cstheme="minorBidi"/>
          <w:snapToGrid/>
          <w:sz w:val="24"/>
          <w:szCs w:val="24"/>
        </w:rPr>
        <w:t>uthority</w:t>
      </w:r>
      <w:r w:rsidR="00762C30" w:rsidRPr="004C590B">
        <w:rPr>
          <w:rFonts w:asciiTheme="minorHAnsi" w:eastAsiaTheme="minorHAnsi" w:hAnsiTheme="minorHAnsi" w:cstheme="minorBidi"/>
          <w:snapToGrid/>
          <w:sz w:val="24"/>
          <w:szCs w:val="24"/>
        </w:rPr>
        <w:t xml:space="preserve"> </w:t>
      </w:r>
      <w:proofErr w:type="gramStart"/>
      <w:r w:rsidR="00762C30" w:rsidRPr="004C590B">
        <w:rPr>
          <w:rFonts w:asciiTheme="minorHAnsi" w:eastAsiaTheme="minorHAnsi" w:hAnsiTheme="minorHAnsi" w:cstheme="minorBidi"/>
          <w:snapToGrid/>
          <w:sz w:val="24"/>
          <w:szCs w:val="24"/>
        </w:rPr>
        <w:t>R</w:t>
      </w:r>
      <w:r w:rsidR="001F40E8" w:rsidRPr="004C590B">
        <w:rPr>
          <w:rFonts w:asciiTheme="minorHAnsi" w:eastAsiaTheme="minorHAnsi" w:hAnsiTheme="minorHAnsi" w:cstheme="minorBidi"/>
          <w:snapToGrid/>
          <w:sz w:val="24"/>
          <w:szCs w:val="24"/>
        </w:rPr>
        <w:t>equired</w:t>
      </w:r>
      <w:proofErr w:type="gramEnd"/>
      <w:r w:rsidR="009447B7" w:rsidRPr="004C590B">
        <w:rPr>
          <w:rFonts w:asciiTheme="minorHAnsi" w:eastAsiaTheme="minorHAnsi" w:hAnsiTheme="minorHAnsi" w:cstheme="minorBidi"/>
          <w:snapToGrid/>
          <w:sz w:val="24"/>
          <w:szCs w:val="24"/>
        </w:rPr>
        <w:t xml:space="preserve"> (</w:t>
      </w:r>
      <w:r w:rsidR="004E7860" w:rsidRPr="004C590B">
        <w:rPr>
          <w:rFonts w:asciiTheme="minorHAnsi" w:eastAsiaTheme="minorHAnsi" w:hAnsiTheme="minorHAnsi" w:cstheme="minorBidi"/>
          <w:snapToGrid/>
          <w:sz w:val="24"/>
          <w:szCs w:val="24"/>
        </w:rPr>
        <w:t>t</w:t>
      </w:r>
      <w:r w:rsidRPr="004C590B">
        <w:rPr>
          <w:rFonts w:asciiTheme="minorHAnsi" w:eastAsiaTheme="minorHAnsi" w:hAnsiTheme="minorHAnsi" w:cstheme="minorBidi"/>
          <w:snapToGrid/>
          <w:sz w:val="24"/>
          <w:szCs w:val="24"/>
        </w:rPr>
        <w:t>elephone</w:t>
      </w:r>
      <w:r w:rsidR="009447B7" w:rsidRPr="004C590B">
        <w:rPr>
          <w:rFonts w:asciiTheme="minorHAnsi" w:eastAsiaTheme="minorHAnsi" w:hAnsiTheme="minorHAnsi" w:cstheme="minorBidi"/>
          <w:snapToGrid/>
          <w:sz w:val="24"/>
          <w:szCs w:val="24"/>
        </w:rPr>
        <w:t>)</w:t>
      </w:r>
      <w:r w:rsidRPr="004C590B">
        <w:rPr>
          <w:rFonts w:asciiTheme="minorHAnsi" w:eastAsiaTheme="minorHAnsi" w:hAnsiTheme="minorHAnsi" w:cstheme="minorBidi"/>
          <w:snapToGrid/>
          <w:sz w:val="24"/>
          <w:szCs w:val="24"/>
        </w:rPr>
        <w:t xml:space="preserve"> to </w:t>
      </w:r>
      <w:r w:rsidR="00762C30" w:rsidRPr="004C590B">
        <w:rPr>
          <w:rFonts w:asciiTheme="minorHAnsi" w:eastAsiaTheme="minorHAnsi" w:hAnsiTheme="minorHAnsi" w:cstheme="minorBidi"/>
          <w:snapToGrid/>
          <w:sz w:val="24"/>
          <w:szCs w:val="24"/>
        </w:rPr>
        <w:t>A</w:t>
      </w:r>
      <w:r w:rsidR="001F40E8" w:rsidRPr="004C590B">
        <w:rPr>
          <w:rFonts w:asciiTheme="minorHAnsi" w:eastAsiaTheme="minorHAnsi" w:hAnsiTheme="minorHAnsi" w:cstheme="minorBidi"/>
          <w:snapToGrid/>
          <w:sz w:val="24"/>
          <w:szCs w:val="24"/>
        </w:rPr>
        <w:t>uthority</w:t>
      </w:r>
      <w:r w:rsidR="00762C30" w:rsidRPr="004C590B">
        <w:rPr>
          <w:rFonts w:asciiTheme="minorHAnsi" w:eastAsiaTheme="minorHAnsi" w:hAnsiTheme="minorHAnsi" w:cstheme="minorBidi"/>
          <w:snapToGrid/>
          <w:sz w:val="24"/>
          <w:szCs w:val="24"/>
        </w:rPr>
        <w:t xml:space="preserve"> R</w:t>
      </w:r>
      <w:r w:rsidR="001F40E8" w:rsidRPr="004C590B">
        <w:rPr>
          <w:rFonts w:asciiTheme="minorHAnsi" w:eastAsiaTheme="minorHAnsi" w:hAnsiTheme="minorHAnsi" w:cstheme="minorBidi"/>
          <w:snapToGrid/>
          <w:sz w:val="24"/>
          <w:szCs w:val="24"/>
        </w:rPr>
        <w:t>equired</w:t>
      </w:r>
      <w:r w:rsidR="009447B7" w:rsidRPr="004C590B">
        <w:rPr>
          <w:rFonts w:asciiTheme="minorHAnsi" w:eastAsiaTheme="minorHAnsi" w:hAnsiTheme="minorHAnsi" w:cstheme="minorBidi"/>
          <w:snapToGrid/>
          <w:sz w:val="24"/>
          <w:szCs w:val="24"/>
        </w:rPr>
        <w:t xml:space="preserve"> (STREAMLINED)</w:t>
      </w:r>
      <w:r w:rsidR="0038576D" w:rsidRPr="004C590B">
        <w:rPr>
          <w:rFonts w:asciiTheme="minorHAnsi" w:eastAsiaTheme="minorHAnsi" w:hAnsiTheme="minorHAnsi" w:cstheme="minorBidi"/>
          <w:snapToGrid/>
          <w:sz w:val="24"/>
          <w:szCs w:val="24"/>
        </w:rPr>
        <w:t>.</w:t>
      </w:r>
      <w:r w:rsidR="004E7860" w:rsidRPr="004C590B">
        <w:rPr>
          <w:rFonts w:asciiTheme="minorHAnsi" w:eastAsiaTheme="minorHAnsi" w:hAnsiTheme="minorHAnsi" w:cstheme="minorBidi"/>
          <w:snapToGrid/>
          <w:sz w:val="24"/>
          <w:szCs w:val="24"/>
        </w:rPr>
        <w:t xml:space="preserve"> It was argued that</w:t>
      </w:r>
      <w:r w:rsidR="0038576D" w:rsidRPr="004C590B">
        <w:rPr>
          <w:rFonts w:asciiTheme="minorHAnsi" w:eastAsiaTheme="minorHAnsi" w:hAnsiTheme="minorHAnsi" w:cstheme="minorBidi"/>
          <w:snapToGrid/>
          <w:sz w:val="24"/>
          <w:szCs w:val="24"/>
        </w:rPr>
        <w:t xml:space="preserve"> </w:t>
      </w:r>
      <w:r w:rsidR="004E7860" w:rsidRPr="004C590B">
        <w:rPr>
          <w:rFonts w:asciiTheme="minorHAnsi" w:eastAsiaTheme="minorHAnsi" w:hAnsiTheme="minorHAnsi" w:cstheme="minorBidi"/>
          <w:snapToGrid/>
          <w:sz w:val="24"/>
          <w:szCs w:val="24"/>
        </w:rPr>
        <w:t>u</w:t>
      </w:r>
      <w:r w:rsidR="0038576D" w:rsidRPr="004C590B">
        <w:rPr>
          <w:rFonts w:asciiTheme="minorHAnsi" w:eastAsiaTheme="minorHAnsi" w:hAnsiTheme="minorHAnsi" w:cstheme="minorBidi"/>
          <w:snapToGrid/>
          <w:sz w:val="24"/>
          <w:szCs w:val="24"/>
        </w:rPr>
        <w:t>nder</w:t>
      </w:r>
      <w:r w:rsidRPr="004C590B">
        <w:rPr>
          <w:rFonts w:asciiTheme="minorHAnsi" w:eastAsiaTheme="minorHAnsi" w:hAnsiTheme="minorHAnsi" w:cstheme="minorBidi"/>
          <w:snapToGrid/>
          <w:sz w:val="24"/>
          <w:szCs w:val="24"/>
        </w:rPr>
        <w:t xml:space="preserve"> current a</w:t>
      </w:r>
      <w:r w:rsidR="0038576D" w:rsidRPr="004C590B">
        <w:rPr>
          <w:rFonts w:asciiTheme="minorHAnsi" w:eastAsiaTheme="minorHAnsi" w:hAnsiTheme="minorHAnsi" w:cstheme="minorBidi"/>
          <w:snapToGrid/>
          <w:sz w:val="24"/>
          <w:szCs w:val="24"/>
        </w:rPr>
        <w:t xml:space="preserve">rrangements, </w:t>
      </w:r>
      <w:r w:rsidRPr="004C590B">
        <w:rPr>
          <w:rFonts w:asciiTheme="minorHAnsi" w:eastAsiaTheme="minorHAnsi" w:hAnsiTheme="minorHAnsi" w:cstheme="minorBidi"/>
          <w:snapToGrid/>
          <w:sz w:val="24"/>
          <w:szCs w:val="24"/>
        </w:rPr>
        <w:t xml:space="preserve">the time involved </w:t>
      </w:r>
      <w:r w:rsidR="00A54699" w:rsidRPr="004C590B">
        <w:rPr>
          <w:rFonts w:asciiTheme="minorHAnsi" w:eastAsiaTheme="minorHAnsi" w:hAnsiTheme="minorHAnsi" w:cstheme="minorBidi"/>
          <w:snapToGrid/>
          <w:sz w:val="24"/>
          <w:szCs w:val="24"/>
        </w:rPr>
        <w:t xml:space="preserve">to </w:t>
      </w:r>
      <w:r w:rsidRPr="004C590B">
        <w:rPr>
          <w:rFonts w:asciiTheme="minorHAnsi" w:eastAsiaTheme="minorHAnsi" w:hAnsiTheme="minorHAnsi" w:cstheme="minorBidi"/>
          <w:snapToGrid/>
          <w:sz w:val="24"/>
          <w:szCs w:val="24"/>
        </w:rPr>
        <w:t xml:space="preserve">obtain authority via a telephone call </w:t>
      </w:r>
      <w:r w:rsidR="0038576D" w:rsidRPr="004C590B">
        <w:rPr>
          <w:rFonts w:asciiTheme="minorHAnsi" w:eastAsiaTheme="minorHAnsi" w:hAnsiTheme="minorHAnsi" w:cstheme="minorBidi"/>
          <w:snapToGrid/>
          <w:sz w:val="24"/>
          <w:szCs w:val="24"/>
        </w:rPr>
        <w:t xml:space="preserve">for a </w:t>
      </w:r>
      <w:r w:rsidR="00013768" w:rsidRPr="004C590B">
        <w:rPr>
          <w:rFonts w:asciiTheme="minorHAnsi" w:eastAsiaTheme="minorHAnsi" w:hAnsiTheme="minorHAnsi" w:cstheme="minorBidi"/>
          <w:snapToGrid/>
          <w:sz w:val="24"/>
          <w:szCs w:val="24"/>
        </w:rPr>
        <w:t>continued treatment</w:t>
      </w:r>
      <w:r w:rsidR="0038576D" w:rsidRPr="004C590B">
        <w:rPr>
          <w:rFonts w:asciiTheme="minorHAnsi" w:eastAsiaTheme="minorHAnsi" w:hAnsiTheme="minorHAnsi" w:cstheme="minorBidi"/>
          <w:snapToGrid/>
          <w:sz w:val="24"/>
          <w:szCs w:val="24"/>
        </w:rPr>
        <w:t xml:space="preserve"> </w:t>
      </w:r>
      <w:proofErr w:type="gramStart"/>
      <w:r w:rsidRPr="004C590B">
        <w:rPr>
          <w:rFonts w:asciiTheme="minorHAnsi" w:eastAsiaTheme="minorHAnsi" w:hAnsiTheme="minorHAnsi" w:cstheme="minorBidi"/>
          <w:snapToGrid/>
          <w:sz w:val="24"/>
          <w:szCs w:val="24"/>
        </w:rPr>
        <w:t>can</w:t>
      </w:r>
      <w:proofErr w:type="gramEnd"/>
      <w:r w:rsidRPr="004C590B">
        <w:rPr>
          <w:rFonts w:asciiTheme="minorHAnsi" w:eastAsiaTheme="minorHAnsi" w:hAnsiTheme="minorHAnsi" w:cstheme="minorBidi"/>
          <w:snapToGrid/>
          <w:sz w:val="24"/>
          <w:szCs w:val="24"/>
        </w:rPr>
        <w:t xml:space="preserve"> </w:t>
      </w:r>
      <w:r w:rsidR="00A54699" w:rsidRPr="004C590B">
        <w:rPr>
          <w:rFonts w:asciiTheme="minorHAnsi" w:eastAsiaTheme="minorHAnsi" w:hAnsiTheme="minorHAnsi" w:cstheme="minorBidi"/>
          <w:snapToGrid/>
          <w:sz w:val="24"/>
          <w:szCs w:val="24"/>
        </w:rPr>
        <w:t xml:space="preserve">consume a significant </w:t>
      </w:r>
      <w:r w:rsidRPr="004C590B">
        <w:rPr>
          <w:rFonts w:asciiTheme="minorHAnsi" w:eastAsiaTheme="minorHAnsi" w:hAnsiTheme="minorHAnsi" w:cstheme="minorBidi"/>
          <w:snapToGrid/>
          <w:sz w:val="24"/>
          <w:szCs w:val="24"/>
        </w:rPr>
        <w:t xml:space="preserve">proportion of </w:t>
      </w:r>
      <w:r w:rsidR="0038576D" w:rsidRPr="004C590B">
        <w:rPr>
          <w:rFonts w:asciiTheme="minorHAnsi" w:eastAsiaTheme="minorHAnsi" w:hAnsiTheme="minorHAnsi" w:cstheme="minorBidi"/>
          <w:snapToGrid/>
          <w:sz w:val="24"/>
          <w:szCs w:val="24"/>
        </w:rPr>
        <w:t>a</w:t>
      </w:r>
      <w:r w:rsidRPr="004C590B">
        <w:rPr>
          <w:rFonts w:asciiTheme="minorHAnsi" w:eastAsiaTheme="minorHAnsi" w:hAnsiTheme="minorHAnsi" w:cstheme="minorBidi"/>
          <w:snapToGrid/>
          <w:sz w:val="24"/>
          <w:szCs w:val="24"/>
        </w:rPr>
        <w:t xml:space="preserve"> medical appointment</w:t>
      </w:r>
      <w:r w:rsidR="0038576D" w:rsidRPr="004C590B">
        <w:rPr>
          <w:rFonts w:asciiTheme="minorHAnsi" w:eastAsiaTheme="minorHAnsi" w:hAnsiTheme="minorHAnsi" w:cstheme="minorBidi"/>
          <w:snapToGrid/>
          <w:sz w:val="24"/>
          <w:szCs w:val="24"/>
        </w:rPr>
        <w:t xml:space="preserve">. </w:t>
      </w:r>
    </w:p>
    <w:p w14:paraId="37C0E242" w14:textId="6B0223B5" w:rsidR="000B1D20" w:rsidRPr="004C590B" w:rsidRDefault="00526681" w:rsidP="00F847B0">
      <w:pPr>
        <w:pStyle w:val="ListParagraph"/>
        <w:widowControl/>
        <w:numPr>
          <w:ilvl w:val="1"/>
          <w:numId w:val="14"/>
        </w:numPr>
        <w:spacing w:before="120" w:after="120"/>
        <w:contextualSpacing w:val="0"/>
        <w:rPr>
          <w:rFonts w:asciiTheme="minorHAnsi" w:eastAsiaTheme="minorHAnsi" w:hAnsiTheme="minorHAnsi" w:cstheme="minorBidi"/>
          <w:snapToGrid/>
          <w:sz w:val="24"/>
          <w:szCs w:val="24"/>
        </w:rPr>
      </w:pPr>
      <w:r w:rsidRPr="004C590B">
        <w:rPr>
          <w:rFonts w:asciiTheme="minorHAnsi" w:eastAsiaTheme="minorHAnsi" w:hAnsiTheme="minorHAnsi" w:cstheme="minorBidi"/>
          <w:snapToGrid/>
          <w:sz w:val="24"/>
          <w:szCs w:val="24"/>
        </w:rPr>
        <w:t>The submission claim</w:t>
      </w:r>
      <w:r w:rsidR="00013768" w:rsidRPr="004C590B">
        <w:rPr>
          <w:rFonts w:asciiTheme="minorHAnsi" w:eastAsiaTheme="minorHAnsi" w:hAnsiTheme="minorHAnsi" w:cstheme="minorBidi"/>
          <w:snapToGrid/>
          <w:sz w:val="24"/>
          <w:szCs w:val="24"/>
        </w:rPr>
        <w:t>ed</w:t>
      </w:r>
      <w:r w:rsidRPr="004C590B">
        <w:rPr>
          <w:rFonts w:asciiTheme="minorHAnsi" w:eastAsiaTheme="minorHAnsi" w:hAnsiTheme="minorHAnsi" w:cstheme="minorBidi"/>
          <w:snapToGrid/>
          <w:sz w:val="24"/>
          <w:szCs w:val="24"/>
        </w:rPr>
        <w:t xml:space="preserve"> </w:t>
      </w:r>
      <w:r w:rsidR="00013768" w:rsidRPr="004C590B">
        <w:rPr>
          <w:rFonts w:asciiTheme="minorHAnsi" w:eastAsiaTheme="minorHAnsi" w:hAnsiTheme="minorHAnsi" w:cstheme="minorBidi"/>
          <w:snapToGrid/>
          <w:sz w:val="24"/>
          <w:szCs w:val="24"/>
        </w:rPr>
        <w:t xml:space="preserve">that </w:t>
      </w:r>
      <w:r w:rsidRPr="004C590B">
        <w:rPr>
          <w:rFonts w:asciiTheme="minorHAnsi" w:eastAsiaTheme="minorHAnsi" w:hAnsiTheme="minorHAnsi" w:cstheme="minorBidi"/>
          <w:snapToGrid/>
          <w:sz w:val="24"/>
          <w:szCs w:val="24"/>
        </w:rPr>
        <w:t xml:space="preserve">appointments </w:t>
      </w:r>
      <w:proofErr w:type="gramStart"/>
      <w:r w:rsidRPr="004C590B">
        <w:rPr>
          <w:rFonts w:asciiTheme="minorHAnsi" w:eastAsiaTheme="minorHAnsi" w:hAnsiTheme="minorHAnsi" w:cstheme="minorBidi"/>
          <w:snapToGrid/>
          <w:sz w:val="24"/>
          <w:szCs w:val="24"/>
        </w:rPr>
        <w:t>are typically scheduled</w:t>
      </w:r>
      <w:proofErr w:type="gramEnd"/>
      <w:r w:rsidRPr="004C590B">
        <w:rPr>
          <w:rFonts w:asciiTheme="minorHAnsi" w:eastAsiaTheme="minorHAnsi" w:hAnsiTheme="minorHAnsi" w:cstheme="minorBidi"/>
          <w:snapToGrid/>
          <w:sz w:val="24"/>
          <w:szCs w:val="24"/>
        </w:rPr>
        <w:t xml:space="preserve"> at 3-4 month</w:t>
      </w:r>
      <w:r w:rsidR="00013768" w:rsidRPr="004C590B">
        <w:rPr>
          <w:rFonts w:asciiTheme="minorHAnsi" w:eastAsiaTheme="minorHAnsi" w:hAnsiTheme="minorHAnsi" w:cstheme="minorBidi"/>
          <w:snapToGrid/>
          <w:sz w:val="24"/>
          <w:szCs w:val="24"/>
        </w:rPr>
        <w:t xml:space="preserve"> intervals</w:t>
      </w:r>
      <w:r w:rsidRPr="004C590B">
        <w:rPr>
          <w:rFonts w:asciiTheme="minorHAnsi" w:eastAsiaTheme="minorHAnsi" w:hAnsiTheme="minorHAnsi" w:cstheme="minorBidi"/>
          <w:snapToGrid/>
          <w:sz w:val="24"/>
          <w:szCs w:val="24"/>
        </w:rPr>
        <w:t xml:space="preserve"> for patients with a stable response. </w:t>
      </w:r>
      <w:r w:rsidR="00F40D8E" w:rsidRPr="004C590B">
        <w:rPr>
          <w:rFonts w:asciiTheme="minorHAnsi" w:eastAsiaTheme="minorHAnsi" w:hAnsiTheme="minorHAnsi" w:cstheme="minorBidi"/>
          <w:snapToGrid/>
          <w:sz w:val="24"/>
          <w:szCs w:val="24"/>
        </w:rPr>
        <w:t xml:space="preserve">The submission </w:t>
      </w:r>
      <w:r w:rsidR="00E11973" w:rsidRPr="004C590B">
        <w:rPr>
          <w:rFonts w:asciiTheme="minorHAnsi" w:eastAsiaTheme="minorHAnsi" w:hAnsiTheme="minorHAnsi" w:cstheme="minorBidi"/>
          <w:snapToGrid/>
          <w:sz w:val="24"/>
          <w:szCs w:val="24"/>
        </w:rPr>
        <w:t>referred</w:t>
      </w:r>
      <w:r w:rsidR="00F40D8E" w:rsidRPr="004C590B">
        <w:rPr>
          <w:rFonts w:asciiTheme="minorHAnsi" w:eastAsiaTheme="minorHAnsi" w:hAnsiTheme="minorHAnsi" w:cstheme="minorBidi"/>
          <w:snapToGrid/>
          <w:sz w:val="24"/>
          <w:szCs w:val="24"/>
        </w:rPr>
        <w:t xml:space="preserve"> to recent PBS listings of </w:t>
      </w:r>
      <w:r w:rsidR="00771AFB" w:rsidRPr="004C590B">
        <w:rPr>
          <w:rFonts w:asciiTheme="minorHAnsi" w:eastAsiaTheme="minorHAnsi" w:hAnsiTheme="minorHAnsi" w:cstheme="minorBidi"/>
          <w:snapToGrid/>
          <w:sz w:val="24"/>
          <w:szCs w:val="24"/>
        </w:rPr>
        <w:t xml:space="preserve">other oral kinase inhibitors such as </w:t>
      </w:r>
      <w:proofErr w:type="spellStart"/>
      <w:r w:rsidR="00771AFB" w:rsidRPr="004C590B">
        <w:rPr>
          <w:rFonts w:asciiTheme="minorHAnsi" w:eastAsiaTheme="minorHAnsi" w:hAnsiTheme="minorHAnsi" w:cstheme="minorBidi"/>
          <w:snapToGrid/>
          <w:sz w:val="24"/>
          <w:szCs w:val="24"/>
        </w:rPr>
        <w:t>dabrafenib</w:t>
      </w:r>
      <w:proofErr w:type="spellEnd"/>
      <w:r w:rsidR="00771AFB" w:rsidRPr="004C590B">
        <w:rPr>
          <w:rFonts w:asciiTheme="minorHAnsi" w:eastAsiaTheme="minorHAnsi" w:hAnsiTheme="minorHAnsi" w:cstheme="minorBidi"/>
          <w:snapToGrid/>
          <w:sz w:val="24"/>
          <w:szCs w:val="24"/>
        </w:rPr>
        <w:t xml:space="preserve"> and </w:t>
      </w:r>
      <w:proofErr w:type="spellStart"/>
      <w:r w:rsidR="00771AFB" w:rsidRPr="004C590B">
        <w:rPr>
          <w:rFonts w:asciiTheme="minorHAnsi" w:eastAsiaTheme="minorHAnsi" w:hAnsiTheme="minorHAnsi" w:cstheme="minorBidi"/>
          <w:snapToGrid/>
          <w:sz w:val="24"/>
          <w:szCs w:val="24"/>
        </w:rPr>
        <w:t>trametinib</w:t>
      </w:r>
      <w:proofErr w:type="spellEnd"/>
      <w:r w:rsidR="00771AFB" w:rsidRPr="004C590B">
        <w:rPr>
          <w:rFonts w:asciiTheme="minorHAnsi" w:eastAsiaTheme="minorHAnsi" w:hAnsiTheme="minorHAnsi" w:cstheme="minorBidi"/>
          <w:snapToGrid/>
          <w:sz w:val="24"/>
          <w:szCs w:val="24"/>
        </w:rPr>
        <w:t xml:space="preserve">, </w:t>
      </w:r>
      <w:proofErr w:type="spellStart"/>
      <w:r w:rsidR="00771AFB" w:rsidRPr="004C590B">
        <w:rPr>
          <w:rFonts w:asciiTheme="minorHAnsi" w:eastAsiaTheme="minorHAnsi" w:hAnsiTheme="minorHAnsi" w:cstheme="minorBidi"/>
          <w:snapToGrid/>
          <w:sz w:val="24"/>
          <w:szCs w:val="24"/>
        </w:rPr>
        <w:t>vemurafenib</w:t>
      </w:r>
      <w:proofErr w:type="spellEnd"/>
      <w:r w:rsidR="00771AFB" w:rsidRPr="004C590B">
        <w:rPr>
          <w:rFonts w:asciiTheme="minorHAnsi" w:eastAsiaTheme="minorHAnsi" w:hAnsiTheme="minorHAnsi" w:cstheme="minorBidi"/>
          <w:snapToGrid/>
          <w:sz w:val="24"/>
          <w:szCs w:val="24"/>
        </w:rPr>
        <w:t xml:space="preserve"> and </w:t>
      </w:r>
      <w:proofErr w:type="spellStart"/>
      <w:r w:rsidR="00771AFB" w:rsidRPr="004C590B">
        <w:rPr>
          <w:rFonts w:asciiTheme="minorHAnsi" w:eastAsiaTheme="minorHAnsi" w:hAnsiTheme="minorHAnsi" w:cstheme="minorBidi"/>
          <w:snapToGrid/>
          <w:sz w:val="24"/>
          <w:szCs w:val="24"/>
        </w:rPr>
        <w:t>cobimetinib</w:t>
      </w:r>
      <w:proofErr w:type="spellEnd"/>
      <w:r w:rsidR="00771AFB" w:rsidRPr="004C590B">
        <w:rPr>
          <w:rFonts w:asciiTheme="minorHAnsi" w:eastAsiaTheme="minorHAnsi" w:hAnsiTheme="minorHAnsi" w:cstheme="minorBidi"/>
          <w:snapToGrid/>
          <w:sz w:val="24"/>
          <w:szCs w:val="24"/>
        </w:rPr>
        <w:t xml:space="preserve"> for BRAF V600 metastatic melanoma </w:t>
      </w:r>
      <w:r w:rsidR="00013768" w:rsidRPr="004C590B">
        <w:rPr>
          <w:rFonts w:asciiTheme="minorHAnsi" w:eastAsiaTheme="minorHAnsi" w:hAnsiTheme="minorHAnsi" w:cstheme="minorBidi"/>
          <w:snapToGrid/>
          <w:sz w:val="24"/>
          <w:szCs w:val="24"/>
        </w:rPr>
        <w:t>that are</w:t>
      </w:r>
      <w:r w:rsidR="00B732D5" w:rsidRPr="004C590B">
        <w:rPr>
          <w:rFonts w:asciiTheme="minorHAnsi" w:eastAsiaTheme="minorHAnsi" w:hAnsiTheme="minorHAnsi" w:cstheme="minorBidi"/>
          <w:snapToGrid/>
          <w:sz w:val="24"/>
          <w:szCs w:val="24"/>
        </w:rPr>
        <w:t xml:space="preserve"> Authority Required (STREAMLINED) and ha</w:t>
      </w:r>
      <w:r w:rsidR="00013768" w:rsidRPr="004C590B">
        <w:rPr>
          <w:rFonts w:asciiTheme="minorHAnsi" w:eastAsiaTheme="minorHAnsi" w:hAnsiTheme="minorHAnsi" w:cstheme="minorBidi"/>
          <w:snapToGrid/>
          <w:sz w:val="24"/>
          <w:szCs w:val="24"/>
        </w:rPr>
        <w:t>ve</w:t>
      </w:r>
      <w:r w:rsidR="00B732D5" w:rsidRPr="004C590B">
        <w:rPr>
          <w:rFonts w:asciiTheme="minorHAnsi" w:eastAsiaTheme="minorHAnsi" w:hAnsiTheme="minorHAnsi" w:cstheme="minorBidi"/>
          <w:snapToGrid/>
          <w:sz w:val="24"/>
          <w:szCs w:val="24"/>
        </w:rPr>
        <w:t xml:space="preserve"> </w:t>
      </w:r>
      <w:r w:rsidR="004C590B">
        <w:rPr>
          <w:rFonts w:asciiTheme="minorHAnsi" w:eastAsiaTheme="minorHAnsi" w:hAnsiTheme="minorHAnsi" w:cstheme="minorBidi"/>
          <w:snapToGrid/>
          <w:sz w:val="24"/>
          <w:szCs w:val="24"/>
        </w:rPr>
        <w:t xml:space="preserve">five </w:t>
      </w:r>
      <w:r w:rsidR="00752701" w:rsidRPr="004C590B">
        <w:rPr>
          <w:rFonts w:asciiTheme="minorHAnsi" w:eastAsiaTheme="minorHAnsi" w:hAnsiTheme="minorHAnsi" w:cstheme="minorBidi"/>
          <w:snapToGrid/>
          <w:sz w:val="24"/>
          <w:szCs w:val="24"/>
        </w:rPr>
        <w:t>repeat</w:t>
      </w:r>
      <w:r w:rsidR="00B732D5" w:rsidRPr="004C590B">
        <w:rPr>
          <w:rFonts w:asciiTheme="minorHAnsi" w:eastAsiaTheme="minorHAnsi" w:hAnsiTheme="minorHAnsi" w:cstheme="minorBidi"/>
          <w:snapToGrid/>
          <w:sz w:val="24"/>
          <w:szCs w:val="24"/>
        </w:rPr>
        <w:t>s</w:t>
      </w:r>
      <w:r w:rsidR="00771AFB" w:rsidRPr="004C590B">
        <w:rPr>
          <w:rFonts w:asciiTheme="minorHAnsi" w:eastAsiaTheme="minorHAnsi" w:hAnsiTheme="minorHAnsi" w:cstheme="minorBidi"/>
          <w:snapToGrid/>
          <w:sz w:val="24"/>
          <w:szCs w:val="24"/>
        </w:rPr>
        <w:t xml:space="preserve"> available</w:t>
      </w:r>
      <w:r w:rsidR="00752701" w:rsidRPr="004C590B">
        <w:rPr>
          <w:rFonts w:asciiTheme="minorHAnsi" w:eastAsiaTheme="minorHAnsi" w:hAnsiTheme="minorHAnsi" w:cstheme="minorBidi"/>
          <w:snapToGrid/>
          <w:sz w:val="24"/>
          <w:szCs w:val="24"/>
        </w:rPr>
        <w:t xml:space="preserve"> </w:t>
      </w:r>
      <w:r w:rsidR="00771AFB" w:rsidRPr="004C590B">
        <w:rPr>
          <w:rFonts w:asciiTheme="minorHAnsi" w:eastAsiaTheme="minorHAnsi" w:hAnsiTheme="minorHAnsi" w:cstheme="minorBidi"/>
          <w:snapToGrid/>
          <w:sz w:val="24"/>
          <w:szCs w:val="24"/>
        </w:rPr>
        <w:t>to patients with stable or responding disease.</w:t>
      </w:r>
    </w:p>
    <w:p w14:paraId="3844E910" w14:textId="77777777" w:rsidR="00AF157E" w:rsidRPr="004C590B" w:rsidRDefault="00AF157E" w:rsidP="00F847B0">
      <w:pPr>
        <w:pStyle w:val="Heading2"/>
        <w:keepLines/>
        <w:spacing w:before="120" w:after="120"/>
        <w:rPr>
          <w:rFonts w:asciiTheme="minorHAnsi" w:eastAsiaTheme="majorEastAsia" w:hAnsiTheme="minorHAnsi" w:cstheme="majorBidi"/>
          <w:sz w:val="28"/>
          <w:szCs w:val="28"/>
          <w:lang w:eastAsia="en-US"/>
        </w:rPr>
      </w:pPr>
      <w:r w:rsidRPr="004C590B">
        <w:rPr>
          <w:rFonts w:asciiTheme="minorHAnsi" w:eastAsiaTheme="majorEastAsia" w:hAnsiTheme="minorHAnsi" w:cstheme="majorBidi"/>
          <w:sz w:val="28"/>
          <w:szCs w:val="28"/>
          <w:lang w:eastAsia="en-US"/>
        </w:rPr>
        <w:t>Estimated PBS usage &amp; financial implications</w:t>
      </w:r>
    </w:p>
    <w:p w14:paraId="28A74F38" w14:textId="1418C32C" w:rsidR="00AF157E" w:rsidRPr="004C590B" w:rsidRDefault="00AF157E" w:rsidP="00F847B0">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4C590B">
        <w:rPr>
          <w:rFonts w:asciiTheme="minorHAnsi" w:eastAsiaTheme="minorHAnsi" w:hAnsiTheme="minorHAnsi" w:cstheme="minorBidi"/>
          <w:snapToGrid/>
          <w:sz w:val="24"/>
          <w:szCs w:val="22"/>
        </w:rPr>
        <w:t xml:space="preserve">The minor submission </w:t>
      </w:r>
      <w:r w:rsidR="00B70E9C" w:rsidRPr="004C590B">
        <w:rPr>
          <w:rFonts w:asciiTheme="minorHAnsi" w:eastAsiaTheme="minorHAnsi" w:hAnsiTheme="minorHAnsi" w:cstheme="minorBidi"/>
          <w:snapToGrid/>
          <w:sz w:val="24"/>
          <w:szCs w:val="22"/>
        </w:rPr>
        <w:t xml:space="preserve">did not </w:t>
      </w:r>
      <w:r w:rsidRPr="004C590B">
        <w:rPr>
          <w:rFonts w:asciiTheme="minorHAnsi" w:eastAsiaTheme="minorHAnsi" w:hAnsiTheme="minorHAnsi" w:cstheme="minorBidi"/>
          <w:snapToGrid/>
          <w:sz w:val="24"/>
          <w:szCs w:val="22"/>
        </w:rPr>
        <w:t xml:space="preserve">estimate financial implications to the PBS or changes in PBS usage. </w:t>
      </w:r>
    </w:p>
    <w:p w14:paraId="0500F7B7" w14:textId="3A4D4EA2" w:rsidR="000957D9" w:rsidRPr="004C590B" w:rsidRDefault="004822D9" w:rsidP="00F847B0">
      <w:pPr>
        <w:pStyle w:val="ListParagraph"/>
        <w:widowControl/>
        <w:numPr>
          <w:ilvl w:val="1"/>
          <w:numId w:val="14"/>
        </w:numPr>
        <w:spacing w:before="120" w:after="120"/>
        <w:contextualSpacing w:val="0"/>
        <w:rPr>
          <w:rFonts w:asciiTheme="minorHAnsi" w:hAnsiTheme="minorHAnsi"/>
          <w:sz w:val="24"/>
          <w:szCs w:val="24"/>
        </w:rPr>
      </w:pPr>
      <w:r w:rsidRPr="004C590B">
        <w:rPr>
          <w:rFonts w:asciiTheme="minorHAnsi" w:hAnsiTheme="minorHAnsi"/>
          <w:sz w:val="24"/>
          <w:szCs w:val="24"/>
        </w:rPr>
        <w:lastRenderedPageBreak/>
        <w:t xml:space="preserve">The </w:t>
      </w:r>
      <w:r w:rsidR="000957D9" w:rsidRPr="004C590B">
        <w:rPr>
          <w:rFonts w:asciiTheme="minorHAnsi" w:hAnsiTheme="minorHAnsi"/>
          <w:sz w:val="24"/>
          <w:szCs w:val="24"/>
        </w:rPr>
        <w:t xml:space="preserve">DUSC secretariat examined the utilisation of ALK inhibitors, including </w:t>
      </w:r>
      <w:proofErr w:type="spellStart"/>
      <w:r w:rsidR="000957D9" w:rsidRPr="004C590B">
        <w:rPr>
          <w:rFonts w:asciiTheme="minorHAnsi" w:hAnsiTheme="minorHAnsi"/>
          <w:sz w:val="24"/>
          <w:szCs w:val="24"/>
        </w:rPr>
        <w:t>crizotinib</w:t>
      </w:r>
      <w:proofErr w:type="spellEnd"/>
      <w:r w:rsidR="000957D9" w:rsidRPr="004C590B">
        <w:rPr>
          <w:rFonts w:asciiTheme="minorHAnsi" w:hAnsiTheme="minorHAnsi"/>
          <w:sz w:val="24"/>
          <w:szCs w:val="24"/>
        </w:rPr>
        <w:t xml:space="preserve">, </w:t>
      </w:r>
      <w:proofErr w:type="spellStart"/>
      <w:r w:rsidR="004C590B" w:rsidRPr="004C590B">
        <w:rPr>
          <w:rFonts w:asciiTheme="minorHAnsi" w:hAnsiTheme="minorHAnsi"/>
          <w:sz w:val="24"/>
          <w:szCs w:val="24"/>
        </w:rPr>
        <w:t>ceritinib</w:t>
      </w:r>
      <w:proofErr w:type="spellEnd"/>
      <w:r w:rsidR="000957D9" w:rsidRPr="004C590B">
        <w:rPr>
          <w:rFonts w:asciiTheme="minorHAnsi" w:hAnsiTheme="minorHAnsi"/>
          <w:sz w:val="24"/>
          <w:szCs w:val="24"/>
        </w:rPr>
        <w:t xml:space="preserve"> and </w:t>
      </w:r>
      <w:proofErr w:type="spellStart"/>
      <w:r w:rsidR="000957D9" w:rsidRPr="004C590B">
        <w:rPr>
          <w:rFonts w:asciiTheme="minorHAnsi" w:hAnsiTheme="minorHAnsi"/>
          <w:sz w:val="24"/>
          <w:szCs w:val="24"/>
        </w:rPr>
        <w:t>alectinib</w:t>
      </w:r>
      <w:proofErr w:type="spellEnd"/>
      <w:r w:rsidR="001E03FE" w:rsidRPr="004C590B">
        <w:rPr>
          <w:rFonts w:asciiTheme="minorHAnsi" w:hAnsiTheme="minorHAnsi"/>
          <w:sz w:val="24"/>
          <w:szCs w:val="24"/>
        </w:rPr>
        <w:t>,</w:t>
      </w:r>
      <w:r w:rsidR="000957D9" w:rsidRPr="004C590B">
        <w:rPr>
          <w:rFonts w:asciiTheme="minorHAnsi" w:hAnsiTheme="minorHAnsi"/>
          <w:sz w:val="24"/>
          <w:szCs w:val="24"/>
        </w:rPr>
        <w:t xml:space="preserve"> for the period 1 July 2015 to 31 December 2018 based on </w:t>
      </w:r>
      <w:r w:rsidR="00BA3B9D" w:rsidRPr="004C590B">
        <w:rPr>
          <w:rFonts w:asciiTheme="minorHAnsi" w:hAnsiTheme="minorHAnsi"/>
          <w:sz w:val="24"/>
          <w:szCs w:val="24"/>
        </w:rPr>
        <w:t xml:space="preserve">the </w:t>
      </w:r>
      <w:r w:rsidR="000957D9" w:rsidRPr="004C590B">
        <w:rPr>
          <w:rFonts w:asciiTheme="minorHAnsi" w:hAnsiTheme="minorHAnsi"/>
          <w:sz w:val="24"/>
          <w:szCs w:val="24"/>
        </w:rPr>
        <w:t>date of supply</w:t>
      </w:r>
      <w:r w:rsidR="00013768" w:rsidRPr="004C590B">
        <w:rPr>
          <w:rFonts w:asciiTheme="minorHAnsi" w:hAnsiTheme="minorHAnsi"/>
          <w:sz w:val="24"/>
          <w:szCs w:val="24"/>
        </w:rPr>
        <w:t xml:space="preserve"> data</w:t>
      </w:r>
      <w:r w:rsidR="000957D9" w:rsidRPr="004C590B">
        <w:rPr>
          <w:rFonts w:asciiTheme="minorHAnsi" w:hAnsiTheme="minorHAnsi"/>
          <w:sz w:val="24"/>
          <w:szCs w:val="24"/>
        </w:rPr>
        <w:t xml:space="preserve">.  </w:t>
      </w:r>
    </w:p>
    <w:p w14:paraId="48F85A8F" w14:textId="14FD2C45" w:rsidR="00214F74" w:rsidRPr="004C590B" w:rsidRDefault="000957D9" w:rsidP="00F847B0">
      <w:pPr>
        <w:pStyle w:val="ListParagraph"/>
        <w:widowControl/>
        <w:numPr>
          <w:ilvl w:val="1"/>
          <w:numId w:val="14"/>
        </w:numPr>
        <w:spacing w:before="120" w:after="120"/>
        <w:contextualSpacing w:val="0"/>
        <w:rPr>
          <w:rFonts w:asciiTheme="minorHAnsi" w:hAnsiTheme="minorHAnsi"/>
          <w:sz w:val="24"/>
          <w:szCs w:val="24"/>
        </w:rPr>
      </w:pPr>
      <w:r w:rsidRPr="004C590B">
        <w:rPr>
          <w:rFonts w:asciiTheme="minorHAnsi" w:hAnsiTheme="minorHAnsi"/>
          <w:sz w:val="24"/>
          <w:szCs w:val="24"/>
        </w:rPr>
        <w:t>Since first listing on 1 January 2018, t</w:t>
      </w:r>
      <w:r w:rsidR="00214F74" w:rsidRPr="004C590B">
        <w:rPr>
          <w:rFonts w:asciiTheme="minorHAnsi" w:hAnsiTheme="minorHAnsi"/>
          <w:sz w:val="24"/>
          <w:szCs w:val="24"/>
        </w:rPr>
        <w:t>he</w:t>
      </w:r>
      <w:r w:rsidRPr="004C590B">
        <w:rPr>
          <w:rFonts w:asciiTheme="minorHAnsi" w:hAnsiTheme="minorHAnsi"/>
          <w:sz w:val="24"/>
          <w:szCs w:val="24"/>
        </w:rPr>
        <w:t xml:space="preserve"> uptake of </w:t>
      </w:r>
      <w:proofErr w:type="spellStart"/>
      <w:r w:rsidRPr="004C590B">
        <w:rPr>
          <w:rFonts w:asciiTheme="minorHAnsi" w:hAnsiTheme="minorHAnsi"/>
          <w:sz w:val="24"/>
          <w:szCs w:val="24"/>
        </w:rPr>
        <w:t>alectinib</w:t>
      </w:r>
      <w:proofErr w:type="spellEnd"/>
      <w:r w:rsidRPr="004C590B">
        <w:rPr>
          <w:rFonts w:asciiTheme="minorHAnsi" w:hAnsiTheme="minorHAnsi"/>
          <w:sz w:val="24"/>
          <w:szCs w:val="24"/>
        </w:rPr>
        <w:t xml:space="preserve"> </w:t>
      </w:r>
      <w:r w:rsidR="00214F74" w:rsidRPr="004C590B">
        <w:rPr>
          <w:rFonts w:asciiTheme="minorHAnsi" w:hAnsiTheme="minorHAnsi"/>
          <w:sz w:val="24"/>
          <w:szCs w:val="24"/>
        </w:rPr>
        <w:t>ha</w:t>
      </w:r>
      <w:r w:rsidR="000B03F7" w:rsidRPr="004C590B">
        <w:rPr>
          <w:rFonts w:asciiTheme="minorHAnsi" w:hAnsiTheme="minorHAnsi"/>
          <w:sz w:val="24"/>
          <w:szCs w:val="24"/>
        </w:rPr>
        <w:t>d</w:t>
      </w:r>
      <w:r w:rsidR="00214F74" w:rsidRPr="004C590B">
        <w:rPr>
          <w:rFonts w:asciiTheme="minorHAnsi" w:hAnsiTheme="minorHAnsi"/>
          <w:sz w:val="24"/>
          <w:szCs w:val="24"/>
        </w:rPr>
        <w:t xml:space="preserve"> been increasing </w:t>
      </w:r>
      <w:r w:rsidRPr="004C590B">
        <w:rPr>
          <w:rFonts w:asciiTheme="minorHAnsi" w:hAnsiTheme="minorHAnsi"/>
          <w:sz w:val="24"/>
          <w:szCs w:val="24"/>
        </w:rPr>
        <w:t>as shown in Figure 1 below.</w:t>
      </w:r>
      <w:r w:rsidR="00A14EE6" w:rsidRPr="004C590B">
        <w:rPr>
          <w:rFonts w:asciiTheme="minorHAnsi" w:hAnsiTheme="minorHAnsi"/>
          <w:sz w:val="24"/>
          <w:szCs w:val="24"/>
        </w:rPr>
        <w:t xml:space="preserve"> </w:t>
      </w:r>
      <w:r w:rsidR="00D56BE2" w:rsidRPr="004C590B">
        <w:rPr>
          <w:rFonts w:asciiTheme="minorHAnsi" w:hAnsiTheme="minorHAnsi"/>
          <w:sz w:val="24"/>
          <w:szCs w:val="24"/>
        </w:rPr>
        <w:t xml:space="preserve">The number of approved </w:t>
      </w:r>
      <w:r w:rsidR="00013768" w:rsidRPr="004C590B">
        <w:rPr>
          <w:rFonts w:asciiTheme="minorHAnsi" w:hAnsiTheme="minorHAnsi"/>
          <w:sz w:val="24"/>
          <w:szCs w:val="24"/>
        </w:rPr>
        <w:t>a</w:t>
      </w:r>
      <w:r w:rsidR="00D56BE2" w:rsidRPr="004C590B">
        <w:rPr>
          <w:rFonts w:asciiTheme="minorHAnsi" w:hAnsiTheme="minorHAnsi"/>
          <w:sz w:val="24"/>
          <w:szCs w:val="24"/>
        </w:rPr>
        <w:t xml:space="preserve">uthorities for </w:t>
      </w:r>
      <w:proofErr w:type="spellStart"/>
      <w:r w:rsidR="00D56BE2" w:rsidRPr="004C590B">
        <w:rPr>
          <w:rFonts w:asciiTheme="minorHAnsi" w:hAnsiTheme="minorHAnsi"/>
          <w:sz w:val="24"/>
          <w:szCs w:val="24"/>
        </w:rPr>
        <w:t>alectinib</w:t>
      </w:r>
      <w:proofErr w:type="spellEnd"/>
      <w:r w:rsidR="00D56BE2" w:rsidRPr="004C590B">
        <w:rPr>
          <w:rFonts w:asciiTheme="minorHAnsi" w:hAnsiTheme="minorHAnsi"/>
          <w:sz w:val="24"/>
          <w:szCs w:val="24"/>
        </w:rPr>
        <w:t xml:space="preserve"> ha</w:t>
      </w:r>
      <w:r w:rsidR="000B03F7" w:rsidRPr="004C590B">
        <w:rPr>
          <w:rFonts w:asciiTheme="minorHAnsi" w:hAnsiTheme="minorHAnsi"/>
          <w:sz w:val="24"/>
          <w:szCs w:val="24"/>
        </w:rPr>
        <w:t>d</w:t>
      </w:r>
      <w:r w:rsidR="00D56BE2" w:rsidRPr="004C590B">
        <w:rPr>
          <w:rFonts w:asciiTheme="minorHAnsi" w:hAnsiTheme="minorHAnsi"/>
          <w:sz w:val="24"/>
          <w:szCs w:val="24"/>
        </w:rPr>
        <w:t xml:space="preserve"> </w:t>
      </w:r>
      <w:r w:rsidR="00214F74" w:rsidRPr="004C590B">
        <w:rPr>
          <w:rFonts w:asciiTheme="minorHAnsi" w:hAnsiTheme="minorHAnsi"/>
          <w:sz w:val="24"/>
          <w:szCs w:val="24"/>
        </w:rPr>
        <w:t xml:space="preserve">grown </w:t>
      </w:r>
      <w:r w:rsidR="00144055" w:rsidRPr="004C590B">
        <w:rPr>
          <w:rFonts w:asciiTheme="minorHAnsi" w:hAnsiTheme="minorHAnsi"/>
          <w:sz w:val="24"/>
          <w:szCs w:val="24"/>
        </w:rPr>
        <w:t xml:space="preserve">over </w:t>
      </w:r>
      <w:proofErr w:type="gramStart"/>
      <w:r w:rsidR="00144055" w:rsidRPr="004C590B">
        <w:rPr>
          <w:rFonts w:asciiTheme="minorHAnsi" w:hAnsiTheme="minorHAnsi"/>
          <w:sz w:val="24"/>
          <w:szCs w:val="24"/>
        </w:rPr>
        <w:t>2018,</w:t>
      </w:r>
      <w:proofErr w:type="gramEnd"/>
      <w:r w:rsidR="00144055" w:rsidRPr="004C590B">
        <w:rPr>
          <w:rFonts w:asciiTheme="minorHAnsi" w:hAnsiTheme="minorHAnsi"/>
          <w:sz w:val="24"/>
          <w:szCs w:val="24"/>
        </w:rPr>
        <w:t xml:space="preserve"> </w:t>
      </w:r>
      <w:r w:rsidR="00D56BE2" w:rsidRPr="004C590B">
        <w:rPr>
          <w:rFonts w:asciiTheme="minorHAnsi" w:hAnsiTheme="minorHAnsi"/>
          <w:sz w:val="24"/>
          <w:szCs w:val="24"/>
        </w:rPr>
        <w:t>a</w:t>
      </w:r>
      <w:r w:rsidR="001E03FE" w:rsidRPr="004C590B">
        <w:rPr>
          <w:rFonts w:asciiTheme="minorHAnsi" w:hAnsiTheme="minorHAnsi"/>
          <w:sz w:val="24"/>
          <w:szCs w:val="24"/>
        </w:rPr>
        <w:t>verag</w:t>
      </w:r>
      <w:r w:rsidR="00D56BE2" w:rsidRPr="004C590B">
        <w:rPr>
          <w:rFonts w:asciiTheme="minorHAnsi" w:hAnsiTheme="minorHAnsi"/>
          <w:sz w:val="24"/>
          <w:szCs w:val="24"/>
        </w:rPr>
        <w:t>ing 82 approvals per month (see Table 1 below).</w:t>
      </w:r>
    </w:p>
    <w:p w14:paraId="33856022" w14:textId="4CFE51F4" w:rsidR="00F169AA" w:rsidRPr="004C590B" w:rsidRDefault="004C590B" w:rsidP="00F847B0">
      <w:pPr>
        <w:pStyle w:val="ListParagraph"/>
        <w:widowControl/>
        <w:numPr>
          <w:ilvl w:val="1"/>
          <w:numId w:val="14"/>
        </w:numPr>
        <w:spacing w:before="120" w:after="120"/>
        <w:contextualSpacing w:val="0"/>
        <w:rPr>
          <w:rFonts w:asciiTheme="minorHAnsi" w:hAnsiTheme="minorHAnsi"/>
          <w:sz w:val="24"/>
          <w:szCs w:val="24"/>
        </w:rPr>
      </w:pPr>
      <w:r>
        <w:rPr>
          <w:rFonts w:asciiTheme="minorHAnsi" w:hAnsiTheme="minorHAnsi"/>
          <w:sz w:val="24"/>
          <w:szCs w:val="24"/>
        </w:rPr>
        <w:t>DUSC examined the t</w:t>
      </w:r>
      <w:r w:rsidRPr="004C590B">
        <w:rPr>
          <w:rFonts w:asciiTheme="minorHAnsi" w:hAnsiTheme="minorHAnsi"/>
          <w:sz w:val="24"/>
          <w:szCs w:val="24"/>
        </w:rPr>
        <w:t xml:space="preserve">ransition </w:t>
      </w:r>
      <w:r w:rsidR="00DD57DB" w:rsidRPr="004C590B">
        <w:rPr>
          <w:rFonts w:asciiTheme="minorHAnsi" w:hAnsiTheme="minorHAnsi"/>
          <w:sz w:val="24"/>
          <w:szCs w:val="24"/>
        </w:rPr>
        <w:t xml:space="preserve">among the </w:t>
      </w:r>
      <w:r w:rsidR="00F169AA" w:rsidRPr="004C590B">
        <w:rPr>
          <w:rFonts w:asciiTheme="minorHAnsi" w:hAnsiTheme="minorHAnsi"/>
          <w:sz w:val="24"/>
          <w:szCs w:val="24"/>
        </w:rPr>
        <w:t xml:space="preserve">ALK </w:t>
      </w:r>
      <w:r w:rsidR="000B03F7" w:rsidRPr="004C590B">
        <w:rPr>
          <w:rFonts w:asciiTheme="minorHAnsi" w:hAnsiTheme="minorHAnsi"/>
          <w:sz w:val="24"/>
          <w:szCs w:val="24"/>
        </w:rPr>
        <w:t xml:space="preserve">inhibitor products </w:t>
      </w:r>
      <w:r w:rsidR="00F169AA" w:rsidRPr="004C590B">
        <w:rPr>
          <w:rFonts w:asciiTheme="minorHAnsi" w:hAnsiTheme="minorHAnsi"/>
          <w:sz w:val="24"/>
          <w:szCs w:val="24"/>
        </w:rPr>
        <w:t xml:space="preserve">since the first listing of </w:t>
      </w:r>
      <w:proofErr w:type="spellStart"/>
      <w:r w:rsidR="00F169AA" w:rsidRPr="004C590B">
        <w:rPr>
          <w:rFonts w:asciiTheme="minorHAnsi" w:hAnsiTheme="minorHAnsi"/>
          <w:sz w:val="24"/>
          <w:szCs w:val="24"/>
        </w:rPr>
        <w:t>crizotinib</w:t>
      </w:r>
      <w:proofErr w:type="spellEnd"/>
      <w:r w:rsidR="00F169AA" w:rsidRPr="004C590B">
        <w:rPr>
          <w:rFonts w:asciiTheme="minorHAnsi" w:hAnsiTheme="minorHAnsi"/>
          <w:sz w:val="24"/>
          <w:szCs w:val="24"/>
        </w:rPr>
        <w:t xml:space="preserve"> </w:t>
      </w:r>
      <w:r w:rsidR="000B03F7" w:rsidRPr="004C590B">
        <w:rPr>
          <w:rFonts w:asciiTheme="minorHAnsi" w:hAnsiTheme="minorHAnsi"/>
          <w:sz w:val="24"/>
          <w:szCs w:val="24"/>
        </w:rPr>
        <w:t>o</w:t>
      </w:r>
      <w:r w:rsidR="00F169AA" w:rsidRPr="004C590B">
        <w:rPr>
          <w:rFonts w:asciiTheme="minorHAnsi" w:hAnsiTheme="minorHAnsi"/>
          <w:sz w:val="24"/>
          <w:szCs w:val="24"/>
        </w:rPr>
        <w:t xml:space="preserve">n 1 July 2015 </w:t>
      </w:r>
      <w:r w:rsidR="00FF6B82">
        <w:rPr>
          <w:rFonts w:asciiTheme="minorHAnsi" w:hAnsiTheme="minorHAnsi"/>
          <w:sz w:val="24"/>
          <w:szCs w:val="24"/>
        </w:rPr>
        <w:t xml:space="preserve">with </w:t>
      </w:r>
      <w:r w:rsidR="00FF6B82" w:rsidRPr="004C590B">
        <w:rPr>
          <w:rFonts w:asciiTheme="minorHAnsi" w:hAnsiTheme="minorHAnsi"/>
          <w:sz w:val="24"/>
          <w:szCs w:val="24"/>
        </w:rPr>
        <w:t>follow-up until 31 December 2018</w:t>
      </w:r>
      <w:r>
        <w:rPr>
          <w:rFonts w:asciiTheme="minorHAnsi" w:hAnsiTheme="minorHAnsi"/>
          <w:sz w:val="24"/>
          <w:szCs w:val="24"/>
        </w:rPr>
        <w:t xml:space="preserve">. </w:t>
      </w:r>
      <w:r w:rsidR="00F169AA" w:rsidRPr="004C590B">
        <w:rPr>
          <w:rFonts w:asciiTheme="minorHAnsi" w:hAnsiTheme="minorHAnsi"/>
          <w:sz w:val="24"/>
          <w:szCs w:val="24"/>
        </w:rPr>
        <w:t>The highes</w:t>
      </w:r>
      <w:r w:rsidR="009C166B" w:rsidRPr="004C590B">
        <w:rPr>
          <w:rFonts w:asciiTheme="minorHAnsi" w:hAnsiTheme="minorHAnsi"/>
          <w:sz w:val="24"/>
          <w:szCs w:val="24"/>
        </w:rPr>
        <w:t xml:space="preserve">t </w:t>
      </w:r>
      <w:r w:rsidR="000B03F7" w:rsidRPr="004C590B">
        <w:rPr>
          <w:rFonts w:asciiTheme="minorHAnsi" w:hAnsiTheme="minorHAnsi"/>
          <w:sz w:val="24"/>
          <w:szCs w:val="24"/>
        </w:rPr>
        <w:t xml:space="preserve">rate of change </w:t>
      </w:r>
      <w:r w:rsidR="009C166B" w:rsidRPr="004C590B">
        <w:rPr>
          <w:rFonts w:asciiTheme="minorHAnsi" w:hAnsiTheme="minorHAnsi"/>
          <w:sz w:val="24"/>
          <w:szCs w:val="24"/>
        </w:rPr>
        <w:t>occurred</w:t>
      </w:r>
      <w:r w:rsidR="00F169AA" w:rsidRPr="004C590B">
        <w:rPr>
          <w:rFonts w:asciiTheme="minorHAnsi" w:hAnsiTheme="minorHAnsi"/>
          <w:sz w:val="24"/>
          <w:szCs w:val="24"/>
        </w:rPr>
        <w:t xml:space="preserve"> </w:t>
      </w:r>
      <w:r w:rsidR="00FF6B82">
        <w:rPr>
          <w:rFonts w:asciiTheme="minorHAnsi" w:hAnsiTheme="minorHAnsi"/>
          <w:sz w:val="24"/>
          <w:szCs w:val="24"/>
        </w:rPr>
        <w:t xml:space="preserve">in </w:t>
      </w:r>
      <w:r w:rsidR="00F169AA" w:rsidRPr="004C590B">
        <w:rPr>
          <w:rFonts w:asciiTheme="minorHAnsi" w:hAnsiTheme="minorHAnsi"/>
          <w:sz w:val="24"/>
          <w:szCs w:val="24"/>
        </w:rPr>
        <w:t xml:space="preserve">patients </w:t>
      </w:r>
      <w:r w:rsidR="000B03F7" w:rsidRPr="004C590B">
        <w:rPr>
          <w:rFonts w:asciiTheme="minorHAnsi" w:hAnsiTheme="minorHAnsi"/>
          <w:sz w:val="24"/>
          <w:szCs w:val="24"/>
        </w:rPr>
        <w:t xml:space="preserve">who </w:t>
      </w:r>
      <w:r w:rsidR="00F169AA" w:rsidRPr="004C590B">
        <w:rPr>
          <w:rFonts w:asciiTheme="minorHAnsi" w:hAnsiTheme="minorHAnsi"/>
          <w:sz w:val="24"/>
          <w:szCs w:val="24"/>
        </w:rPr>
        <w:t>commenc</w:t>
      </w:r>
      <w:r w:rsidR="000B03F7" w:rsidRPr="004C590B">
        <w:rPr>
          <w:rFonts w:asciiTheme="minorHAnsi" w:hAnsiTheme="minorHAnsi"/>
          <w:sz w:val="24"/>
          <w:szCs w:val="24"/>
        </w:rPr>
        <w:t xml:space="preserve">ed </w:t>
      </w:r>
      <w:r w:rsidR="00F169AA" w:rsidRPr="004C590B">
        <w:rPr>
          <w:rFonts w:asciiTheme="minorHAnsi" w:hAnsiTheme="minorHAnsi"/>
          <w:sz w:val="24"/>
          <w:szCs w:val="24"/>
        </w:rPr>
        <w:t xml:space="preserve">on </w:t>
      </w:r>
      <w:proofErr w:type="spellStart"/>
      <w:r w:rsidR="00F169AA" w:rsidRPr="004C590B">
        <w:rPr>
          <w:rFonts w:asciiTheme="minorHAnsi" w:hAnsiTheme="minorHAnsi"/>
          <w:sz w:val="24"/>
          <w:szCs w:val="24"/>
        </w:rPr>
        <w:t>crizotinib</w:t>
      </w:r>
      <w:proofErr w:type="spellEnd"/>
      <w:r w:rsidR="00FF6B82">
        <w:rPr>
          <w:rFonts w:asciiTheme="minorHAnsi" w:hAnsiTheme="minorHAnsi"/>
          <w:sz w:val="24"/>
          <w:szCs w:val="24"/>
        </w:rPr>
        <w:t xml:space="preserve"> who</w:t>
      </w:r>
      <w:r w:rsidR="00F169AA" w:rsidRPr="004C590B">
        <w:rPr>
          <w:rFonts w:asciiTheme="minorHAnsi" w:hAnsiTheme="minorHAnsi"/>
          <w:sz w:val="24"/>
          <w:szCs w:val="24"/>
        </w:rPr>
        <w:t xml:space="preserve"> transition</w:t>
      </w:r>
      <w:r w:rsidR="000B03F7" w:rsidRPr="004C590B">
        <w:rPr>
          <w:rFonts w:asciiTheme="minorHAnsi" w:hAnsiTheme="minorHAnsi"/>
          <w:sz w:val="24"/>
          <w:szCs w:val="24"/>
        </w:rPr>
        <w:t>ed</w:t>
      </w:r>
      <w:r w:rsidR="00F169AA" w:rsidRPr="004C590B">
        <w:rPr>
          <w:rFonts w:asciiTheme="minorHAnsi" w:hAnsiTheme="minorHAnsi"/>
          <w:sz w:val="24"/>
          <w:szCs w:val="24"/>
        </w:rPr>
        <w:t xml:space="preserve"> to </w:t>
      </w:r>
      <w:proofErr w:type="spellStart"/>
      <w:r w:rsidR="00F169AA" w:rsidRPr="004C590B">
        <w:rPr>
          <w:rFonts w:asciiTheme="minorHAnsi" w:hAnsiTheme="minorHAnsi"/>
          <w:sz w:val="24"/>
          <w:szCs w:val="24"/>
        </w:rPr>
        <w:t>alectinib</w:t>
      </w:r>
      <w:proofErr w:type="spellEnd"/>
      <w:r w:rsidR="00656733" w:rsidRPr="004C590B">
        <w:rPr>
          <w:rFonts w:asciiTheme="minorHAnsi" w:hAnsiTheme="minorHAnsi"/>
          <w:sz w:val="24"/>
          <w:szCs w:val="24"/>
        </w:rPr>
        <w:t xml:space="preserve"> when </w:t>
      </w:r>
      <w:proofErr w:type="spellStart"/>
      <w:r w:rsidR="00656733" w:rsidRPr="004C590B">
        <w:rPr>
          <w:rFonts w:asciiTheme="minorHAnsi" w:hAnsiTheme="minorHAnsi"/>
          <w:sz w:val="24"/>
          <w:szCs w:val="24"/>
        </w:rPr>
        <w:t>alectinib</w:t>
      </w:r>
      <w:proofErr w:type="spellEnd"/>
      <w:r w:rsidR="00656733" w:rsidRPr="004C590B">
        <w:rPr>
          <w:rFonts w:asciiTheme="minorHAnsi" w:hAnsiTheme="minorHAnsi"/>
          <w:sz w:val="24"/>
          <w:szCs w:val="24"/>
        </w:rPr>
        <w:t xml:space="preserve"> </w:t>
      </w:r>
      <w:proofErr w:type="gramStart"/>
      <w:r w:rsidR="00656733" w:rsidRPr="004C590B">
        <w:rPr>
          <w:rFonts w:asciiTheme="minorHAnsi" w:hAnsiTheme="minorHAnsi"/>
          <w:sz w:val="24"/>
          <w:szCs w:val="24"/>
        </w:rPr>
        <w:t>was first listed</w:t>
      </w:r>
      <w:proofErr w:type="gramEnd"/>
      <w:r w:rsidR="00F169AA" w:rsidRPr="004C590B">
        <w:rPr>
          <w:rFonts w:asciiTheme="minorHAnsi" w:hAnsiTheme="minorHAnsi"/>
          <w:sz w:val="24"/>
          <w:szCs w:val="24"/>
        </w:rPr>
        <w:t xml:space="preserve"> (see Table 2 below).</w:t>
      </w:r>
    </w:p>
    <w:p w14:paraId="6D8FB9D4" w14:textId="23362D68" w:rsidR="008A4FAB" w:rsidRPr="004C590B" w:rsidRDefault="00656733" w:rsidP="00F847B0">
      <w:pPr>
        <w:pStyle w:val="ListParagraph"/>
        <w:widowControl/>
        <w:numPr>
          <w:ilvl w:val="1"/>
          <w:numId w:val="14"/>
        </w:numPr>
        <w:spacing w:before="120" w:after="120"/>
        <w:contextualSpacing w:val="0"/>
      </w:pPr>
      <w:r w:rsidRPr="004C590B">
        <w:rPr>
          <w:rFonts w:asciiTheme="minorHAnsi" w:hAnsiTheme="minorHAnsi"/>
          <w:sz w:val="24"/>
          <w:szCs w:val="24"/>
        </w:rPr>
        <w:t>Duration of</w:t>
      </w:r>
      <w:r w:rsidR="009C166B" w:rsidRPr="004C590B">
        <w:rPr>
          <w:rFonts w:asciiTheme="minorHAnsi" w:hAnsiTheme="minorHAnsi"/>
          <w:sz w:val="24"/>
          <w:szCs w:val="24"/>
        </w:rPr>
        <w:t xml:space="preserve"> ALK</w:t>
      </w:r>
      <w:r w:rsidR="00A14EE6" w:rsidRPr="004C590B">
        <w:rPr>
          <w:rFonts w:asciiTheme="minorHAnsi" w:hAnsiTheme="minorHAnsi"/>
          <w:sz w:val="24"/>
          <w:szCs w:val="24"/>
        </w:rPr>
        <w:t xml:space="preserve"> therapy</w:t>
      </w:r>
      <w:r w:rsidR="00C9353C" w:rsidRPr="004C590B">
        <w:rPr>
          <w:rFonts w:asciiTheme="minorHAnsi" w:hAnsiTheme="minorHAnsi"/>
          <w:sz w:val="24"/>
          <w:szCs w:val="24"/>
        </w:rPr>
        <w:t xml:space="preserve"> including </w:t>
      </w:r>
      <w:proofErr w:type="spellStart"/>
      <w:r w:rsidR="00C9353C" w:rsidRPr="004C590B">
        <w:rPr>
          <w:rFonts w:asciiTheme="minorHAnsi" w:hAnsiTheme="minorHAnsi"/>
          <w:sz w:val="24"/>
          <w:szCs w:val="24"/>
        </w:rPr>
        <w:t>crizotinib</w:t>
      </w:r>
      <w:proofErr w:type="spellEnd"/>
      <w:r w:rsidR="00C9353C" w:rsidRPr="004C590B">
        <w:rPr>
          <w:rFonts w:asciiTheme="minorHAnsi" w:hAnsiTheme="minorHAnsi"/>
          <w:sz w:val="24"/>
          <w:szCs w:val="24"/>
        </w:rPr>
        <w:t xml:space="preserve">, </w:t>
      </w:r>
      <w:proofErr w:type="spellStart"/>
      <w:r w:rsidR="00C9353C" w:rsidRPr="004C590B">
        <w:rPr>
          <w:rFonts w:asciiTheme="minorHAnsi" w:hAnsiTheme="minorHAnsi"/>
          <w:sz w:val="24"/>
          <w:szCs w:val="24"/>
        </w:rPr>
        <w:t>ceritinib</w:t>
      </w:r>
      <w:proofErr w:type="spellEnd"/>
      <w:r w:rsidR="00C9353C" w:rsidRPr="004C590B">
        <w:rPr>
          <w:rFonts w:asciiTheme="minorHAnsi" w:hAnsiTheme="minorHAnsi"/>
          <w:sz w:val="24"/>
          <w:szCs w:val="24"/>
        </w:rPr>
        <w:t xml:space="preserve"> and </w:t>
      </w:r>
      <w:proofErr w:type="spellStart"/>
      <w:r w:rsidR="00C9353C" w:rsidRPr="004C590B">
        <w:rPr>
          <w:rFonts w:asciiTheme="minorHAnsi" w:hAnsiTheme="minorHAnsi"/>
          <w:sz w:val="24"/>
          <w:szCs w:val="24"/>
        </w:rPr>
        <w:t>alectinib</w:t>
      </w:r>
      <w:proofErr w:type="spellEnd"/>
      <w:r w:rsidR="00A14EE6" w:rsidRPr="004C590B">
        <w:rPr>
          <w:rFonts w:asciiTheme="minorHAnsi" w:hAnsiTheme="minorHAnsi"/>
          <w:sz w:val="24"/>
          <w:szCs w:val="24"/>
        </w:rPr>
        <w:t xml:space="preserve"> </w:t>
      </w:r>
      <w:proofErr w:type="gramStart"/>
      <w:r w:rsidR="00A14EE6" w:rsidRPr="004C590B">
        <w:rPr>
          <w:rFonts w:asciiTheme="minorHAnsi" w:hAnsiTheme="minorHAnsi"/>
          <w:sz w:val="24"/>
          <w:szCs w:val="24"/>
        </w:rPr>
        <w:t xml:space="preserve">was </w:t>
      </w:r>
      <w:r w:rsidR="00C9353C" w:rsidRPr="004C590B">
        <w:rPr>
          <w:rFonts w:asciiTheme="minorHAnsi" w:hAnsiTheme="minorHAnsi"/>
          <w:sz w:val="24"/>
          <w:szCs w:val="24"/>
        </w:rPr>
        <w:t>tracked</w:t>
      </w:r>
      <w:proofErr w:type="gramEnd"/>
      <w:r w:rsidR="00C9353C" w:rsidRPr="004C590B">
        <w:rPr>
          <w:rFonts w:asciiTheme="minorHAnsi" w:hAnsiTheme="minorHAnsi"/>
          <w:sz w:val="24"/>
          <w:szCs w:val="24"/>
        </w:rPr>
        <w:t xml:space="preserve"> </w:t>
      </w:r>
      <w:r w:rsidR="00BA3B9D" w:rsidRPr="004C590B">
        <w:rPr>
          <w:rFonts w:asciiTheme="minorHAnsi" w:hAnsiTheme="minorHAnsi"/>
          <w:sz w:val="24"/>
          <w:szCs w:val="24"/>
        </w:rPr>
        <w:t xml:space="preserve">for patients initiating </w:t>
      </w:r>
      <w:r w:rsidRPr="004C590B">
        <w:rPr>
          <w:rFonts w:asciiTheme="minorHAnsi" w:hAnsiTheme="minorHAnsi"/>
          <w:sz w:val="24"/>
          <w:szCs w:val="24"/>
        </w:rPr>
        <w:t xml:space="preserve">treatment </w:t>
      </w:r>
      <w:r w:rsidR="00A14EE6" w:rsidRPr="004C590B">
        <w:rPr>
          <w:rFonts w:asciiTheme="minorHAnsi" w:hAnsiTheme="minorHAnsi"/>
          <w:sz w:val="24"/>
          <w:szCs w:val="24"/>
        </w:rPr>
        <w:t>in 2016 with follow-up until 31 December 2018.</w:t>
      </w:r>
      <w:r w:rsidR="004C590B">
        <w:rPr>
          <w:rFonts w:asciiTheme="minorHAnsi" w:hAnsiTheme="minorHAnsi"/>
          <w:sz w:val="24"/>
          <w:szCs w:val="24"/>
        </w:rPr>
        <w:t xml:space="preserve"> </w:t>
      </w:r>
      <w:r w:rsidR="00C9353C" w:rsidRPr="004C590B">
        <w:rPr>
          <w:rFonts w:asciiTheme="minorHAnsi" w:hAnsiTheme="minorHAnsi"/>
          <w:sz w:val="24"/>
          <w:szCs w:val="24"/>
        </w:rPr>
        <w:t xml:space="preserve">Over that period, </w:t>
      </w:r>
      <w:r w:rsidR="00A14EE6" w:rsidRPr="004C590B">
        <w:rPr>
          <w:rFonts w:asciiTheme="minorHAnsi" w:hAnsiTheme="minorHAnsi"/>
          <w:sz w:val="24"/>
          <w:szCs w:val="24"/>
        </w:rPr>
        <w:t>mean</w:t>
      </w:r>
      <w:r w:rsidR="00C9353C" w:rsidRPr="004C590B">
        <w:rPr>
          <w:rFonts w:asciiTheme="minorHAnsi" w:hAnsiTheme="minorHAnsi"/>
          <w:sz w:val="24"/>
          <w:szCs w:val="24"/>
        </w:rPr>
        <w:t>, median and maximum</w:t>
      </w:r>
      <w:r w:rsidR="00A14EE6" w:rsidRPr="004C590B">
        <w:rPr>
          <w:rFonts w:asciiTheme="minorHAnsi" w:hAnsiTheme="minorHAnsi"/>
          <w:sz w:val="24"/>
          <w:szCs w:val="24"/>
        </w:rPr>
        <w:t xml:space="preserve"> </w:t>
      </w:r>
      <w:r w:rsidR="00C9353C" w:rsidRPr="004C590B">
        <w:rPr>
          <w:rFonts w:asciiTheme="minorHAnsi" w:hAnsiTheme="minorHAnsi"/>
          <w:sz w:val="24"/>
          <w:szCs w:val="24"/>
        </w:rPr>
        <w:t>days of</w:t>
      </w:r>
      <w:r w:rsidR="0081573A" w:rsidRPr="004C590B">
        <w:rPr>
          <w:rFonts w:asciiTheme="minorHAnsi" w:hAnsiTheme="minorHAnsi"/>
          <w:sz w:val="24"/>
          <w:szCs w:val="24"/>
        </w:rPr>
        <w:t xml:space="preserve"> ALK inhibitor</w:t>
      </w:r>
      <w:r w:rsidR="00C9353C" w:rsidRPr="004C590B">
        <w:rPr>
          <w:rFonts w:asciiTheme="minorHAnsi" w:hAnsiTheme="minorHAnsi"/>
          <w:sz w:val="24"/>
          <w:szCs w:val="24"/>
        </w:rPr>
        <w:t xml:space="preserve"> </w:t>
      </w:r>
      <w:r w:rsidRPr="004C590B">
        <w:rPr>
          <w:rFonts w:asciiTheme="minorHAnsi" w:hAnsiTheme="minorHAnsi"/>
          <w:sz w:val="24"/>
          <w:szCs w:val="24"/>
        </w:rPr>
        <w:t>treatment duration</w:t>
      </w:r>
      <w:r w:rsidR="00A14EE6" w:rsidRPr="004C590B">
        <w:rPr>
          <w:rFonts w:asciiTheme="minorHAnsi" w:hAnsiTheme="minorHAnsi"/>
          <w:sz w:val="24"/>
          <w:szCs w:val="24"/>
        </w:rPr>
        <w:t xml:space="preserve"> </w:t>
      </w:r>
      <w:r w:rsidR="00C9353C" w:rsidRPr="004C590B">
        <w:rPr>
          <w:rFonts w:asciiTheme="minorHAnsi" w:hAnsiTheme="minorHAnsi"/>
          <w:sz w:val="24"/>
          <w:szCs w:val="24"/>
        </w:rPr>
        <w:t>was</w:t>
      </w:r>
      <w:r w:rsidR="00A14EE6" w:rsidRPr="004C590B">
        <w:rPr>
          <w:rFonts w:asciiTheme="minorHAnsi" w:hAnsiTheme="minorHAnsi"/>
          <w:sz w:val="24"/>
          <w:szCs w:val="24"/>
        </w:rPr>
        <w:t xml:space="preserve"> 597</w:t>
      </w:r>
      <w:r w:rsidR="00C9353C" w:rsidRPr="004C590B">
        <w:rPr>
          <w:rFonts w:asciiTheme="minorHAnsi" w:hAnsiTheme="minorHAnsi"/>
          <w:sz w:val="24"/>
          <w:szCs w:val="24"/>
        </w:rPr>
        <w:t>, 718 and 1080 respectively.</w:t>
      </w:r>
      <w:r w:rsidR="00214F74" w:rsidRPr="004C590B">
        <w:rPr>
          <w:rFonts w:asciiTheme="minorHAnsi" w:hAnsiTheme="minorHAnsi"/>
          <w:sz w:val="24"/>
          <w:szCs w:val="24"/>
        </w:rPr>
        <w:t xml:space="preserve"> The data </w:t>
      </w:r>
      <w:r w:rsidR="00917869" w:rsidRPr="004C590B">
        <w:rPr>
          <w:rFonts w:asciiTheme="minorHAnsi" w:hAnsiTheme="minorHAnsi"/>
          <w:sz w:val="24"/>
          <w:szCs w:val="24"/>
        </w:rPr>
        <w:t>did not capture duration</w:t>
      </w:r>
      <w:r w:rsidR="00C9353C" w:rsidRPr="004C590B">
        <w:rPr>
          <w:rFonts w:asciiTheme="minorHAnsi" w:hAnsiTheme="minorHAnsi"/>
          <w:sz w:val="24"/>
          <w:szCs w:val="24"/>
        </w:rPr>
        <w:t xml:space="preserve"> of treatment</w:t>
      </w:r>
      <w:r w:rsidR="00917869" w:rsidRPr="004C590B">
        <w:rPr>
          <w:rFonts w:asciiTheme="minorHAnsi" w:hAnsiTheme="minorHAnsi"/>
          <w:sz w:val="24"/>
          <w:szCs w:val="24"/>
        </w:rPr>
        <w:t xml:space="preserve"> on </w:t>
      </w:r>
      <w:proofErr w:type="spellStart"/>
      <w:r w:rsidR="00214F74" w:rsidRPr="004C590B">
        <w:rPr>
          <w:rFonts w:asciiTheme="minorHAnsi" w:hAnsiTheme="minorHAnsi"/>
          <w:sz w:val="24"/>
          <w:szCs w:val="24"/>
        </w:rPr>
        <w:t>alectinib</w:t>
      </w:r>
      <w:proofErr w:type="spellEnd"/>
      <w:r w:rsidR="00214F74" w:rsidRPr="004C590B">
        <w:rPr>
          <w:rFonts w:asciiTheme="minorHAnsi" w:hAnsiTheme="minorHAnsi"/>
          <w:sz w:val="24"/>
          <w:szCs w:val="24"/>
        </w:rPr>
        <w:t xml:space="preserve"> alone</w:t>
      </w:r>
      <w:r w:rsidR="00917869" w:rsidRPr="004C590B">
        <w:rPr>
          <w:rFonts w:asciiTheme="minorHAnsi" w:hAnsiTheme="minorHAnsi"/>
          <w:sz w:val="24"/>
          <w:szCs w:val="24"/>
        </w:rPr>
        <w:t>, as follow-up time from the</w:t>
      </w:r>
      <w:r w:rsidR="0081573A" w:rsidRPr="004C590B">
        <w:rPr>
          <w:rFonts w:asciiTheme="minorHAnsi" w:hAnsiTheme="minorHAnsi"/>
          <w:sz w:val="24"/>
          <w:szCs w:val="24"/>
        </w:rPr>
        <w:t xml:space="preserve"> </w:t>
      </w:r>
      <w:r w:rsidR="00A14EE6" w:rsidRPr="004C590B">
        <w:rPr>
          <w:rFonts w:asciiTheme="minorHAnsi" w:hAnsiTheme="minorHAnsi"/>
          <w:sz w:val="24"/>
          <w:szCs w:val="24"/>
        </w:rPr>
        <w:t>1 January 2018</w:t>
      </w:r>
      <w:r w:rsidR="00917869" w:rsidRPr="004C590B">
        <w:rPr>
          <w:rFonts w:asciiTheme="minorHAnsi" w:hAnsiTheme="minorHAnsi"/>
          <w:sz w:val="24"/>
          <w:szCs w:val="24"/>
        </w:rPr>
        <w:t xml:space="preserve"> listing date was insufficient</w:t>
      </w:r>
      <w:r w:rsidR="00013768" w:rsidRPr="004C590B">
        <w:rPr>
          <w:rFonts w:asciiTheme="minorHAnsi" w:hAnsiTheme="minorHAnsi"/>
          <w:sz w:val="24"/>
          <w:szCs w:val="24"/>
        </w:rPr>
        <w:t>.</w:t>
      </w:r>
      <w:r w:rsidR="00C9353C" w:rsidRPr="004C590B">
        <w:rPr>
          <w:rFonts w:asciiTheme="minorHAnsi" w:hAnsiTheme="minorHAnsi"/>
          <w:sz w:val="24"/>
          <w:szCs w:val="24"/>
        </w:rPr>
        <w:t xml:space="preserve"> </w:t>
      </w:r>
    </w:p>
    <w:p w14:paraId="3E79993C" w14:textId="77777777" w:rsidR="00CC52EC" w:rsidRPr="00FB62AC" w:rsidRDefault="00CC52EC" w:rsidP="00A344CD">
      <w:pPr>
        <w:rPr>
          <w:rFonts w:ascii="Arial Narrow" w:hAnsi="Arial Narrow"/>
          <w:b/>
          <w:sz w:val="20"/>
          <w:szCs w:val="22"/>
        </w:rPr>
      </w:pPr>
      <w:r w:rsidRPr="00FB62AC">
        <w:rPr>
          <w:rFonts w:ascii="Arial Narrow" w:hAnsi="Arial Narrow"/>
          <w:b/>
          <w:sz w:val="20"/>
          <w:szCs w:val="22"/>
        </w:rPr>
        <w:t>Figure 1: Market share summary of PBS-listed ALK inhibitors</w:t>
      </w:r>
    </w:p>
    <w:p w14:paraId="7538433A" w14:textId="5383C119" w:rsidR="00CC52EC" w:rsidRPr="004C590B" w:rsidRDefault="0031728D" w:rsidP="00A344CD">
      <w:pPr>
        <w:rPr>
          <w:rFonts w:asciiTheme="minorHAnsi" w:hAnsiTheme="minorHAnsi"/>
          <w:sz w:val="22"/>
          <w:szCs w:val="22"/>
        </w:rPr>
      </w:pPr>
      <w:r w:rsidRPr="00FF6B82">
        <w:rPr>
          <w:rFonts w:asciiTheme="minorHAnsi" w:hAnsiTheme="minorHAnsi"/>
          <w:noProof/>
          <w:sz w:val="22"/>
          <w:szCs w:val="22"/>
        </w:rPr>
        <w:drawing>
          <wp:inline distT="0" distB="0" distL="0" distR="0" wp14:anchorId="1534D0ED" wp14:editId="192BDA0C">
            <wp:extent cx="5791835" cy="3572510"/>
            <wp:effectExtent l="0" t="0" r="0" b="8890"/>
            <wp:docPr id="3" name="Picture 3" title="Figure 1: Market share summary of PBS-listed ALK inhibi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835" cy="3572510"/>
                    </a:xfrm>
                    <a:prstGeom prst="rect">
                      <a:avLst/>
                    </a:prstGeom>
                    <a:noFill/>
                  </pic:spPr>
                </pic:pic>
              </a:graphicData>
            </a:graphic>
          </wp:inline>
        </w:drawing>
      </w:r>
    </w:p>
    <w:p w14:paraId="32FB6377" w14:textId="40470636" w:rsidR="00A04BE8" w:rsidRPr="007445E0" w:rsidRDefault="00FF6B82" w:rsidP="00C0752A">
      <w:pPr>
        <w:rPr>
          <w:rFonts w:ascii="Arial Narrow" w:hAnsi="Arial Narrow" w:cstheme="minorHAnsi"/>
          <w:sz w:val="18"/>
          <w:szCs w:val="18"/>
        </w:rPr>
      </w:pPr>
      <w:r w:rsidRPr="007445E0">
        <w:rPr>
          <w:rFonts w:ascii="Arial Narrow" w:hAnsi="Arial Narrow" w:cstheme="minorHAnsi"/>
          <w:sz w:val="18"/>
          <w:szCs w:val="18"/>
        </w:rPr>
        <w:t xml:space="preserve">Source: Department of Human Services (DHS) Prescription database for the period 1 July 2015 to 31 December 2018 </w:t>
      </w:r>
      <w:proofErr w:type="gramStart"/>
      <w:r w:rsidRPr="007445E0">
        <w:rPr>
          <w:rFonts w:ascii="Arial Narrow" w:hAnsi="Arial Narrow" w:cstheme="minorHAnsi"/>
          <w:sz w:val="18"/>
          <w:szCs w:val="18"/>
        </w:rPr>
        <w:t>inclusive,</w:t>
      </w:r>
      <w:proofErr w:type="gramEnd"/>
      <w:r w:rsidRPr="007445E0">
        <w:rPr>
          <w:rFonts w:ascii="Arial Narrow" w:hAnsi="Arial Narrow" w:cstheme="minorHAnsi"/>
          <w:sz w:val="18"/>
          <w:szCs w:val="18"/>
        </w:rPr>
        <w:t xml:space="preserve"> based on the date that the prescription was supplied.</w:t>
      </w:r>
    </w:p>
    <w:p w14:paraId="7F39846B" w14:textId="77777777" w:rsidR="00FF6B82" w:rsidRPr="004C590B" w:rsidRDefault="00FF6B82" w:rsidP="00C0752A">
      <w:pPr>
        <w:rPr>
          <w:rFonts w:ascii="Arial Narrow" w:hAnsi="Arial Narrow" w:cstheme="minorHAnsi"/>
          <w:b/>
        </w:rPr>
      </w:pPr>
    </w:p>
    <w:p w14:paraId="40A24935" w14:textId="77777777" w:rsidR="005307C5" w:rsidRDefault="005307C5">
      <w:pPr>
        <w:rPr>
          <w:rFonts w:ascii="Arial Narrow" w:hAnsi="Arial Narrow" w:cstheme="minorHAnsi"/>
          <w:b/>
          <w:sz w:val="20"/>
          <w:szCs w:val="20"/>
        </w:rPr>
      </w:pPr>
      <w:r>
        <w:rPr>
          <w:rFonts w:ascii="Arial Narrow" w:hAnsi="Arial Narrow" w:cstheme="minorHAnsi"/>
          <w:b/>
          <w:sz w:val="20"/>
          <w:szCs w:val="20"/>
        </w:rPr>
        <w:br w:type="page"/>
      </w:r>
    </w:p>
    <w:p w14:paraId="3F22AECD" w14:textId="684BD7CA" w:rsidR="00A344CD" w:rsidRPr="004C590B" w:rsidRDefault="00FA3022" w:rsidP="00C0752A">
      <w:pPr>
        <w:rPr>
          <w:rFonts w:ascii="Arial Narrow" w:hAnsi="Arial Narrow" w:cstheme="minorHAnsi"/>
          <w:b/>
          <w:sz w:val="20"/>
          <w:szCs w:val="20"/>
        </w:rPr>
      </w:pPr>
      <w:r w:rsidRPr="004C590B">
        <w:rPr>
          <w:rFonts w:ascii="Arial Narrow" w:hAnsi="Arial Narrow" w:cstheme="minorHAnsi"/>
          <w:b/>
          <w:sz w:val="20"/>
          <w:szCs w:val="20"/>
        </w:rPr>
        <w:lastRenderedPageBreak/>
        <w:t xml:space="preserve">Table 1: </w:t>
      </w:r>
      <w:proofErr w:type="spellStart"/>
      <w:r w:rsidRPr="004C590B">
        <w:rPr>
          <w:rFonts w:ascii="Arial Narrow" w:hAnsi="Arial Narrow" w:cstheme="minorHAnsi"/>
          <w:b/>
          <w:sz w:val="20"/>
          <w:szCs w:val="20"/>
        </w:rPr>
        <w:t>Alectinib</w:t>
      </w:r>
      <w:proofErr w:type="spellEnd"/>
      <w:r w:rsidRPr="004C590B">
        <w:rPr>
          <w:rFonts w:ascii="Arial Narrow" w:hAnsi="Arial Narrow" w:cstheme="minorHAnsi"/>
          <w:b/>
          <w:sz w:val="20"/>
          <w:szCs w:val="20"/>
        </w:rPr>
        <w:t xml:space="preserve"> A</w:t>
      </w:r>
      <w:r w:rsidR="00CC52EC" w:rsidRPr="004C590B">
        <w:rPr>
          <w:rFonts w:ascii="Arial Narrow" w:hAnsi="Arial Narrow" w:cstheme="minorHAnsi"/>
          <w:b/>
          <w:sz w:val="20"/>
          <w:szCs w:val="20"/>
        </w:rPr>
        <w:t>uthority approvals per month</w:t>
      </w:r>
      <w:r w:rsidR="00DD57DB" w:rsidRPr="004C590B">
        <w:rPr>
          <w:rFonts w:ascii="Arial Narrow" w:hAnsi="Arial Narrow" w:cstheme="minorHAnsi"/>
          <w:b/>
          <w:sz w:val="20"/>
          <w:szCs w:val="20"/>
        </w:rPr>
        <w:t xml:space="preserve"> in 2018</w:t>
      </w:r>
    </w:p>
    <w:tbl>
      <w:tblPr>
        <w:tblStyle w:val="TableGrid"/>
        <w:tblW w:w="5000" w:type="pct"/>
        <w:tblLook w:val="04A0" w:firstRow="1" w:lastRow="0" w:firstColumn="1" w:lastColumn="0" w:noHBand="0" w:noVBand="1"/>
        <w:tblCaption w:val="Table 1: Alectinib Authority approvals per month in 2018"/>
      </w:tblPr>
      <w:tblGrid>
        <w:gridCol w:w="2801"/>
        <w:gridCol w:w="626"/>
        <w:gridCol w:w="514"/>
        <w:gridCol w:w="514"/>
        <w:gridCol w:w="485"/>
        <w:gridCol w:w="543"/>
        <w:gridCol w:w="494"/>
        <w:gridCol w:w="436"/>
        <w:gridCol w:w="525"/>
        <w:gridCol w:w="525"/>
        <w:gridCol w:w="505"/>
        <w:gridCol w:w="525"/>
        <w:gridCol w:w="523"/>
      </w:tblGrid>
      <w:tr w:rsidR="00A262A3" w:rsidRPr="007445E0" w14:paraId="27ACF87F" w14:textId="77777777" w:rsidTr="00067E77">
        <w:trPr>
          <w:trHeight w:val="345"/>
          <w:tblHeader/>
        </w:trPr>
        <w:tc>
          <w:tcPr>
            <w:tcW w:w="1554" w:type="pct"/>
            <w:noWrap/>
            <w:hideMark/>
          </w:tcPr>
          <w:p w14:paraId="386F5A8D" w14:textId="3C778C05" w:rsidR="00C64069" w:rsidRPr="007445E0" w:rsidRDefault="00C64069" w:rsidP="00C8180F">
            <w:pPr>
              <w:rPr>
                <w:rFonts w:ascii="Arial Narrow" w:hAnsi="Arial Narrow" w:cs="Calibri"/>
                <w:b/>
                <w:bCs/>
                <w:color w:val="000000"/>
                <w:sz w:val="20"/>
                <w:szCs w:val="22"/>
              </w:rPr>
            </w:pPr>
            <w:r w:rsidRPr="007445E0">
              <w:rPr>
                <w:rFonts w:ascii="Arial Narrow" w:hAnsi="Arial Narrow" w:cs="Calibri"/>
                <w:b/>
                <w:bCs/>
                <w:color w:val="000000"/>
                <w:sz w:val="20"/>
                <w:szCs w:val="22"/>
              </w:rPr>
              <w:t>Month</w:t>
            </w:r>
          </w:p>
        </w:tc>
        <w:tc>
          <w:tcPr>
            <w:tcW w:w="347" w:type="pct"/>
            <w:noWrap/>
            <w:hideMark/>
          </w:tcPr>
          <w:p w14:paraId="22F1A4F9" w14:textId="3F466C5B"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Jan</w:t>
            </w:r>
          </w:p>
        </w:tc>
        <w:tc>
          <w:tcPr>
            <w:tcW w:w="285" w:type="pct"/>
            <w:noWrap/>
            <w:hideMark/>
          </w:tcPr>
          <w:p w14:paraId="2B529E74" w14:textId="2936E17B"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Fe</w:t>
            </w:r>
            <w:r w:rsidR="00DD57DB" w:rsidRPr="007445E0">
              <w:rPr>
                <w:rFonts w:ascii="Arial Narrow" w:hAnsi="Arial Narrow" w:cs="Calibri"/>
                <w:color w:val="000000"/>
                <w:sz w:val="20"/>
                <w:szCs w:val="22"/>
              </w:rPr>
              <w:t>b</w:t>
            </w:r>
          </w:p>
        </w:tc>
        <w:tc>
          <w:tcPr>
            <w:tcW w:w="285" w:type="pct"/>
            <w:noWrap/>
            <w:hideMark/>
          </w:tcPr>
          <w:p w14:paraId="1B95923F" w14:textId="2DA3C58F" w:rsidR="00C64069" w:rsidRPr="007445E0" w:rsidRDefault="00C64069" w:rsidP="00DD57DB">
            <w:pPr>
              <w:jc w:val="center"/>
              <w:rPr>
                <w:rFonts w:ascii="Arial Narrow" w:hAnsi="Arial Narrow" w:cs="Calibri"/>
                <w:color w:val="000000"/>
                <w:sz w:val="20"/>
                <w:szCs w:val="22"/>
              </w:rPr>
            </w:pPr>
            <w:r w:rsidRPr="007445E0">
              <w:rPr>
                <w:rFonts w:ascii="Arial Narrow" w:hAnsi="Arial Narrow" w:cs="Calibri"/>
                <w:color w:val="000000"/>
                <w:sz w:val="20"/>
                <w:szCs w:val="22"/>
              </w:rPr>
              <w:t>Mar</w:t>
            </w:r>
          </w:p>
        </w:tc>
        <w:tc>
          <w:tcPr>
            <w:tcW w:w="269" w:type="pct"/>
            <w:noWrap/>
            <w:hideMark/>
          </w:tcPr>
          <w:p w14:paraId="54184703" w14:textId="402BC884" w:rsidR="00C64069" w:rsidRPr="007445E0" w:rsidRDefault="00C64069" w:rsidP="00DD57DB">
            <w:pPr>
              <w:jc w:val="center"/>
              <w:rPr>
                <w:rFonts w:ascii="Arial Narrow" w:hAnsi="Arial Narrow" w:cs="Calibri"/>
                <w:color w:val="000000"/>
                <w:sz w:val="20"/>
                <w:szCs w:val="22"/>
              </w:rPr>
            </w:pPr>
            <w:r w:rsidRPr="007445E0">
              <w:rPr>
                <w:rFonts w:ascii="Arial Narrow" w:hAnsi="Arial Narrow" w:cs="Calibri"/>
                <w:color w:val="000000"/>
                <w:sz w:val="20"/>
                <w:szCs w:val="22"/>
              </w:rPr>
              <w:t>Apr</w:t>
            </w:r>
          </w:p>
        </w:tc>
        <w:tc>
          <w:tcPr>
            <w:tcW w:w="301" w:type="pct"/>
            <w:noWrap/>
            <w:hideMark/>
          </w:tcPr>
          <w:p w14:paraId="42692CE9" w14:textId="30D3DBF8" w:rsidR="00C64069" w:rsidRPr="007445E0" w:rsidRDefault="00C64069" w:rsidP="00DD57DB">
            <w:pPr>
              <w:jc w:val="center"/>
              <w:rPr>
                <w:rFonts w:ascii="Arial Narrow" w:hAnsi="Arial Narrow" w:cs="Calibri"/>
                <w:color w:val="000000"/>
                <w:sz w:val="20"/>
                <w:szCs w:val="22"/>
              </w:rPr>
            </w:pPr>
            <w:r w:rsidRPr="007445E0">
              <w:rPr>
                <w:rFonts w:ascii="Arial Narrow" w:hAnsi="Arial Narrow" w:cs="Calibri"/>
                <w:color w:val="000000"/>
                <w:sz w:val="20"/>
                <w:szCs w:val="22"/>
              </w:rPr>
              <w:t>May</w:t>
            </w:r>
          </w:p>
        </w:tc>
        <w:tc>
          <w:tcPr>
            <w:tcW w:w="274" w:type="pct"/>
            <w:noWrap/>
            <w:hideMark/>
          </w:tcPr>
          <w:p w14:paraId="57ECB2EC" w14:textId="561EE469" w:rsidR="00C64069" w:rsidRPr="007445E0" w:rsidRDefault="00C64069" w:rsidP="00DD57DB">
            <w:pPr>
              <w:jc w:val="center"/>
              <w:rPr>
                <w:rFonts w:ascii="Arial Narrow" w:hAnsi="Arial Narrow" w:cs="Calibri"/>
                <w:color w:val="000000"/>
                <w:sz w:val="20"/>
                <w:szCs w:val="22"/>
              </w:rPr>
            </w:pPr>
            <w:r w:rsidRPr="007445E0">
              <w:rPr>
                <w:rFonts w:ascii="Arial Narrow" w:hAnsi="Arial Narrow" w:cs="Calibri"/>
                <w:color w:val="000000"/>
                <w:sz w:val="20"/>
                <w:szCs w:val="22"/>
              </w:rPr>
              <w:t>Jun</w:t>
            </w:r>
          </w:p>
        </w:tc>
        <w:tc>
          <w:tcPr>
            <w:tcW w:w="242" w:type="pct"/>
            <w:noWrap/>
            <w:hideMark/>
          </w:tcPr>
          <w:p w14:paraId="2E98DE21" w14:textId="14E43CE0" w:rsidR="00C64069" w:rsidRPr="007445E0" w:rsidRDefault="00C64069" w:rsidP="00DD57DB">
            <w:pPr>
              <w:jc w:val="center"/>
              <w:rPr>
                <w:rFonts w:ascii="Arial Narrow" w:hAnsi="Arial Narrow" w:cs="Calibri"/>
                <w:color w:val="000000"/>
                <w:sz w:val="20"/>
                <w:szCs w:val="22"/>
              </w:rPr>
            </w:pPr>
            <w:r w:rsidRPr="007445E0">
              <w:rPr>
                <w:rFonts w:ascii="Arial Narrow" w:hAnsi="Arial Narrow" w:cs="Calibri"/>
                <w:color w:val="000000"/>
                <w:sz w:val="20"/>
                <w:szCs w:val="22"/>
              </w:rPr>
              <w:t>Jul</w:t>
            </w:r>
          </w:p>
        </w:tc>
        <w:tc>
          <w:tcPr>
            <w:tcW w:w="291" w:type="pct"/>
            <w:noWrap/>
            <w:hideMark/>
          </w:tcPr>
          <w:p w14:paraId="398E5C06" w14:textId="74D13971" w:rsidR="00C64069" w:rsidRPr="007445E0" w:rsidRDefault="00C64069" w:rsidP="00DD57DB">
            <w:pPr>
              <w:jc w:val="center"/>
              <w:rPr>
                <w:rFonts w:ascii="Arial Narrow" w:hAnsi="Arial Narrow" w:cs="Calibri"/>
                <w:color w:val="000000"/>
                <w:sz w:val="20"/>
                <w:szCs w:val="22"/>
              </w:rPr>
            </w:pPr>
            <w:r w:rsidRPr="007445E0">
              <w:rPr>
                <w:rFonts w:ascii="Arial Narrow" w:hAnsi="Arial Narrow" w:cs="Calibri"/>
                <w:color w:val="000000"/>
                <w:sz w:val="20"/>
                <w:szCs w:val="22"/>
              </w:rPr>
              <w:t>Aug</w:t>
            </w:r>
          </w:p>
        </w:tc>
        <w:tc>
          <w:tcPr>
            <w:tcW w:w="291" w:type="pct"/>
            <w:noWrap/>
            <w:hideMark/>
          </w:tcPr>
          <w:p w14:paraId="256D2953" w14:textId="02FE54AB" w:rsidR="00C64069" w:rsidRPr="007445E0" w:rsidRDefault="00C64069" w:rsidP="00DD57DB">
            <w:pPr>
              <w:jc w:val="center"/>
              <w:rPr>
                <w:rFonts w:ascii="Arial Narrow" w:hAnsi="Arial Narrow" w:cs="Calibri"/>
                <w:color w:val="000000"/>
                <w:sz w:val="20"/>
                <w:szCs w:val="22"/>
              </w:rPr>
            </w:pPr>
            <w:r w:rsidRPr="007445E0">
              <w:rPr>
                <w:rFonts w:ascii="Arial Narrow" w:hAnsi="Arial Narrow" w:cs="Calibri"/>
                <w:color w:val="000000"/>
                <w:sz w:val="20"/>
                <w:szCs w:val="22"/>
              </w:rPr>
              <w:t>Sep</w:t>
            </w:r>
          </w:p>
        </w:tc>
        <w:tc>
          <w:tcPr>
            <w:tcW w:w="280" w:type="pct"/>
            <w:noWrap/>
            <w:hideMark/>
          </w:tcPr>
          <w:p w14:paraId="67D71224" w14:textId="7B2F8531" w:rsidR="00C64069" w:rsidRPr="007445E0" w:rsidRDefault="00C64069" w:rsidP="00DD57DB">
            <w:pPr>
              <w:jc w:val="center"/>
              <w:rPr>
                <w:rFonts w:ascii="Arial Narrow" w:hAnsi="Arial Narrow" w:cs="Calibri"/>
                <w:color w:val="000000"/>
                <w:sz w:val="20"/>
                <w:szCs w:val="22"/>
              </w:rPr>
            </w:pPr>
            <w:r w:rsidRPr="007445E0">
              <w:rPr>
                <w:rFonts w:ascii="Arial Narrow" w:hAnsi="Arial Narrow" w:cs="Calibri"/>
                <w:color w:val="000000"/>
                <w:sz w:val="20"/>
                <w:szCs w:val="22"/>
              </w:rPr>
              <w:t>Oct</w:t>
            </w:r>
          </w:p>
        </w:tc>
        <w:tc>
          <w:tcPr>
            <w:tcW w:w="291" w:type="pct"/>
            <w:noWrap/>
            <w:hideMark/>
          </w:tcPr>
          <w:p w14:paraId="40DFE9BC" w14:textId="7CE43E41" w:rsidR="00C64069" w:rsidRPr="007445E0" w:rsidRDefault="00C64069" w:rsidP="00DD57DB">
            <w:pPr>
              <w:jc w:val="center"/>
              <w:rPr>
                <w:rFonts w:ascii="Arial Narrow" w:hAnsi="Arial Narrow" w:cs="Calibri"/>
                <w:color w:val="000000"/>
                <w:sz w:val="20"/>
                <w:szCs w:val="22"/>
              </w:rPr>
            </w:pPr>
            <w:r w:rsidRPr="007445E0">
              <w:rPr>
                <w:rFonts w:ascii="Arial Narrow" w:hAnsi="Arial Narrow" w:cs="Calibri"/>
                <w:color w:val="000000"/>
                <w:sz w:val="20"/>
                <w:szCs w:val="22"/>
              </w:rPr>
              <w:t>Nov</w:t>
            </w:r>
          </w:p>
        </w:tc>
        <w:tc>
          <w:tcPr>
            <w:tcW w:w="291" w:type="pct"/>
            <w:noWrap/>
            <w:hideMark/>
          </w:tcPr>
          <w:p w14:paraId="6916B865" w14:textId="6581427C" w:rsidR="00C64069" w:rsidRPr="007445E0" w:rsidRDefault="00C64069" w:rsidP="00DD57DB">
            <w:pPr>
              <w:jc w:val="center"/>
              <w:rPr>
                <w:rFonts w:ascii="Arial Narrow" w:hAnsi="Arial Narrow" w:cs="Calibri"/>
                <w:color w:val="000000"/>
                <w:sz w:val="20"/>
                <w:szCs w:val="22"/>
              </w:rPr>
            </w:pPr>
            <w:r w:rsidRPr="007445E0">
              <w:rPr>
                <w:rFonts w:ascii="Arial Narrow" w:hAnsi="Arial Narrow" w:cs="Calibri"/>
                <w:color w:val="000000"/>
                <w:sz w:val="20"/>
                <w:szCs w:val="22"/>
              </w:rPr>
              <w:t>Dec</w:t>
            </w:r>
          </w:p>
        </w:tc>
      </w:tr>
      <w:tr w:rsidR="00A262A3" w:rsidRPr="007445E0" w14:paraId="222C825A" w14:textId="77777777" w:rsidTr="00067E77">
        <w:trPr>
          <w:trHeight w:val="345"/>
          <w:tblHeader/>
        </w:trPr>
        <w:tc>
          <w:tcPr>
            <w:tcW w:w="1554" w:type="pct"/>
            <w:noWrap/>
            <w:hideMark/>
          </w:tcPr>
          <w:p w14:paraId="31C5F901" w14:textId="77777777" w:rsidR="00C64069" w:rsidRPr="007445E0" w:rsidRDefault="00C64069" w:rsidP="00C8180F">
            <w:pPr>
              <w:rPr>
                <w:rFonts w:ascii="Arial Narrow" w:hAnsi="Arial Narrow" w:cs="Calibri"/>
                <w:b/>
                <w:bCs/>
                <w:color w:val="000000"/>
                <w:sz w:val="20"/>
                <w:szCs w:val="22"/>
              </w:rPr>
            </w:pPr>
            <w:r w:rsidRPr="007445E0">
              <w:rPr>
                <w:rFonts w:ascii="Arial Narrow" w:hAnsi="Arial Narrow" w:cs="Calibri"/>
                <w:b/>
                <w:bCs/>
                <w:color w:val="000000"/>
                <w:sz w:val="20"/>
                <w:szCs w:val="22"/>
              </w:rPr>
              <w:t>Number of Authority approvals</w:t>
            </w:r>
          </w:p>
        </w:tc>
        <w:tc>
          <w:tcPr>
            <w:tcW w:w="347" w:type="pct"/>
            <w:noWrap/>
            <w:hideMark/>
          </w:tcPr>
          <w:p w14:paraId="12EE5F2D"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70</w:t>
            </w:r>
          </w:p>
        </w:tc>
        <w:tc>
          <w:tcPr>
            <w:tcW w:w="285" w:type="pct"/>
            <w:noWrap/>
            <w:hideMark/>
          </w:tcPr>
          <w:p w14:paraId="5DC60395"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49</w:t>
            </w:r>
          </w:p>
        </w:tc>
        <w:tc>
          <w:tcPr>
            <w:tcW w:w="285" w:type="pct"/>
            <w:noWrap/>
            <w:hideMark/>
          </w:tcPr>
          <w:p w14:paraId="10845ADA"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75</w:t>
            </w:r>
          </w:p>
        </w:tc>
        <w:tc>
          <w:tcPr>
            <w:tcW w:w="269" w:type="pct"/>
            <w:noWrap/>
            <w:hideMark/>
          </w:tcPr>
          <w:p w14:paraId="409E0A01"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68</w:t>
            </w:r>
          </w:p>
        </w:tc>
        <w:tc>
          <w:tcPr>
            <w:tcW w:w="301" w:type="pct"/>
            <w:noWrap/>
            <w:hideMark/>
          </w:tcPr>
          <w:p w14:paraId="09F293AB"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84</w:t>
            </w:r>
          </w:p>
        </w:tc>
        <w:tc>
          <w:tcPr>
            <w:tcW w:w="274" w:type="pct"/>
            <w:noWrap/>
            <w:hideMark/>
          </w:tcPr>
          <w:p w14:paraId="3A17CFA7"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77</w:t>
            </w:r>
          </w:p>
        </w:tc>
        <w:tc>
          <w:tcPr>
            <w:tcW w:w="242" w:type="pct"/>
            <w:noWrap/>
            <w:hideMark/>
          </w:tcPr>
          <w:p w14:paraId="3E860CEA"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85</w:t>
            </w:r>
          </w:p>
        </w:tc>
        <w:tc>
          <w:tcPr>
            <w:tcW w:w="291" w:type="pct"/>
            <w:noWrap/>
            <w:hideMark/>
          </w:tcPr>
          <w:p w14:paraId="37AA3F48"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89</w:t>
            </w:r>
          </w:p>
        </w:tc>
        <w:tc>
          <w:tcPr>
            <w:tcW w:w="291" w:type="pct"/>
            <w:noWrap/>
            <w:hideMark/>
          </w:tcPr>
          <w:p w14:paraId="194A7192"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80</w:t>
            </w:r>
          </w:p>
        </w:tc>
        <w:tc>
          <w:tcPr>
            <w:tcW w:w="280" w:type="pct"/>
            <w:noWrap/>
            <w:hideMark/>
          </w:tcPr>
          <w:p w14:paraId="57F39B4B"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104</w:t>
            </w:r>
          </w:p>
        </w:tc>
        <w:tc>
          <w:tcPr>
            <w:tcW w:w="291" w:type="pct"/>
            <w:noWrap/>
            <w:hideMark/>
          </w:tcPr>
          <w:p w14:paraId="3799815C"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106</w:t>
            </w:r>
          </w:p>
        </w:tc>
        <w:tc>
          <w:tcPr>
            <w:tcW w:w="291" w:type="pct"/>
            <w:noWrap/>
            <w:hideMark/>
          </w:tcPr>
          <w:p w14:paraId="17047C98" w14:textId="77777777" w:rsidR="00C64069" w:rsidRPr="007445E0" w:rsidRDefault="00C64069">
            <w:pPr>
              <w:jc w:val="center"/>
              <w:rPr>
                <w:rFonts w:ascii="Arial Narrow" w:hAnsi="Arial Narrow" w:cs="Calibri"/>
                <w:color w:val="000000"/>
                <w:sz w:val="20"/>
                <w:szCs w:val="22"/>
              </w:rPr>
            </w:pPr>
            <w:r w:rsidRPr="007445E0">
              <w:rPr>
                <w:rFonts w:ascii="Arial Narrow" w:hAnsi="Arial Narrow" w:cs="Calibri"/>
                <w:color w:val="000000"/>
                <w:sz w:val="20"/>
                <w:szCs w:val="22"/>
              </w:rPr>
              <w:t>91</w:t>
            </w:r>
          </w:p>
        </w:tc>
      </w:tr>
    </w:tbl>
    <w:p w14:paraId="108A9D3D" w14:textId="0CE24300" w:rsidR="00C64069" w:rsidRPr="007445E0" w:rsidRDefault="00FF6B82" w:rsidP="00C0752A">
      <w:pPr>
        <w:rPr>
          <w:rFonts w:ascii="Arial Narrow" w:hAnsi="Arial Narrow" w:cstheme="minorHAnsi"/>
          <w:sz w:val="18"/>
          <w:szCs w:val="18"/>
        </w:rPr>
      </w:pPr>
      <w:r w:rsidRPr="007445E0">
        <w:rPr>
          <w:rFonts w:ascii="Arial Narrow" w:hAnsi="Arial Narrow" w:cstheme="minorHAnsi"/>
          <w:sz w:val="18"/>
          <w:szCs w:val="18"/>
        </w:rPr>
        <w:t xml:space="preserve">Source: Department of Human Services (DHS) Prescription database for the period 1 July 2015 to 31 December 2018 </w:t>
      </w:r>
      <w:proofErr w:type="gramStart"/>
      <w:r w:rsidRPr="007445E0">
        <w:rPr>
          <w:rFonts w:ascii="Arial Narrow" w:hAnsi="Arial Narrow" w:cstheme="minorHAnsi"/>
          <w:sz w:val="18"/>
          <w:szCs w:val="18"/>
        </w:rPr>
        <w:t>inclusive,</w:t>
      </w:r>
      <w:proofErr w:type="gramEnd"/>
      <w:r w:rsidRPr="007445E0">
        <w:rPr>
          <w:rFonts w:ascii="Arial Narrow" w:hAnsi="Arial Narrow" w:cstheme="minorHAnsi"/>
          <w:sz w:val="18"/>
          <w:szCs w:val="18"/>
        </w:rPr>
        <w:t xml:space="preserve"> based on the date that the prescription was supplied.</w:t>
      </w:r>
    </w:p>
    <w:p w14:paraId="381B4256" w14:textId="1AC62387" w:rsidR="00100AF5" w:rsidRDefault="00100AF5">
      <w:pPr>
        <w:rPr>
          <w:rFonts w:ascii="Arial Narrow" w:hAnsi="Arial Narrow" w:cstheme="minorHAnsi"/>
          <w:b/>
        </w:rPr>
      </w:pPr>
    </w:p>
    <w:p w14:paraId="2F43BE09" w14:textId="1885F1B9" w:rsidR="00C0752A" w:rsidRPr="007445E0" w:rsidRDefault="00C0752A" w:rsidP="00AE22D3">
      <w:pPr>
        <w:rPr>
          <w:rFonts w:ascii="Arial Narrow" w:hAnsi="Arial Narrow"/>
          <w:b/>
          <w:sz w:val="20"/>
          <w:szCs w:val="20"/>
        </w:rPr>
      </w:pPr>
      <w:r w:rsidRPr="007445E0">
        <w:rPr>
          <w:rFonts w:ascii="Arial Narrow" w:hAnsi="Arial Narrow"/>
          <w:b/>
          <w:sz w:val="20"/>
          <w:szCs w:val="20"/>
        </w:rPr>
        <w:t>Table 2: Drug sequence of PBS-listed ALK inhibitors</w:t>
      </w:r>
      <w:r w:rsidR="007A1E99" w:rsidRPr="007445E0">
        <w:rPr>
          <w:rFonts w:ascii="Arial Narrow" w:hAnsi="Arial Narrow"/>
          <w:b/>
          <w:sz w:val="20"/>
          <w:szCs w:val="20"/>
        </w:rPr>
        <w:t xml:space="preserve"> for first initiators in 2016</w:t>
      </w:r>
    </w:p>
    <w:tbl>
      <w:tblPr>
        <w:tblStyle w:val="TableGrid"/>
        <w:tblW w:w="5000" w:type="pct"/>
        <w:tblLook w:val="04A0" w:firstRow="1" w:lastRow="0" w:firstColumn="1" w:lastColumn="0" w:noHBand="0" w:noVBand="1"/>
        <w:tblCaption w:val="Table 2: Drug sequence of PBS-listed ALK inhibitors for first initiators in 2016"/>
      </w:tblPr>
      <w:tblGrid>
        <w:gridCol w:w="4685"/>
        <w:gridCol w:w="1985"/>
        <w:gridCol w:w="2346"/>
      </w:tblGrid>
      <w:tr w:rsidR="00C0752A" w:rsidRPr="007445E0" w14:paraId="47C18F45" w14:textId="697172A9" w:rsidTr="00067E77">
        <w:trPr>
          <w:trHeight w:val="300"/>
          <w:tblHeader/>
        </w:trPr>
        <w:tc>
          <w:tcPr>
            <w:tcW w:w="2598" w:type="pct"/>
            <w:noWrap/>
            <w:hideMark/>
          </w:tcPr>
          <w:p w14:paraId="3598D999" w14:textId="6869E8AC" w:rsidR="00C0752A" w:rsidRPr="007445E0" w:rsidRDefault="007A1E99" w:rsidP="00596F1A">
            <w:pPr>
              <w:rPr>
                <w:rFonts w:ascii="Arial Narrow" w:hAnsi="Arial Narrow"/>
                <w:b/>
                <w:bCs/>
                <w:sz w:val="20"/>
                <w:szCs w:val="22"/>
              </w:rPr>
            </w:pPr>
            <w:r w:rsidRPr="007445E0">
              <w:rPr>
                <w:rFonts w:ascii="Arial Narrow" w:hAnsi="Arial Narrow"/>
                <w:b/>
                <w:bCs/>
                <w:sz w:val="20"/>
                <w:szCs w:val="22"/>
              </w:rPr>
              <w:t>Drug sequence</w:t>
            </w:r>
          </w:p>
        </w:tc>
        <w:tc>
          <w:tcPr>
            <w:tcW w:w="1101" w:type="pct"/>
            <w:noWrap/>
            <w:hideMark/>
          </w:tcPr>
          <w:p w14:paraId="43E086C4" w14:textId="7A52E729" w:rsidR="00C0752A" w:rsidRPr="007445E0" w:rsidRDefault="007A1E99" w:rsidP="00596F1A">
            <w:pPr>
              <w:rPr>
                <w:rFonts w:ascii="Arial Narrow" w:hAnsi="Arial Narrow"/>
                <w:b/>
                <w:bCs/>
                <w:sz w:val="20"/>
                <w:szCs w:val="22"/>
              </w:rPr>
            </w:pPr>
            <w:r w:rsidRPr="007445E0">
              <w:rPr>
                <w:rFonts w:ascii="Arial Narrow" w:hAnsi="Arial Narrow"/>
                <w:b/>
                <w:bCs/>
                <w:sz w:val="20"/>
                <w:szCs w:val="22"/>
              </w:rPr>
              <w:t>Patient count</w:t>
            </w:r>
          </w:p>
        </w:tc>
        <w:tc>
          <w:tcPr>
            <w:tcW w:w="1301" w:type="pct"/>
            <w:noWrap/>
            <w:hideMark/>
          </w:tcPr>
          <w:p w14:paraId="179EF249" w14:textId="620EB638" w:rsidR="00C0752A" w:rsidRPr="007445E0" w:rsidRDefault="007A1E99" w:rsidP="00596F1A">
            <w:pPr>
              <w:rPr>
                <w:rFonts w:ascii="Arial Narrow" w:hAnsi="Arial Narrow"/>
                <w:b/>
                <w:bCs/>
                <w:sz w:val="20"/>
                <w:szCs w:val="22"/>
              </w:rPr>
            </w:pPr>
            <w:r w:rsidRPr="007445E0">
              <w:rPr>
                <w:rFonts w:ascii="Arial Narrow" w:hAnsi="Arial Narrow"/>
                <w:b/>
                <w:bCs/>
                <w:sz w:val="20"/>
                <w:szCs w:val="22"/>
              </w:rPr>
              <w:t xml:space="preserve">Percent </w:t>
            </w:r>
            <w:r w:rsidR="00C0752A" w:rsidRPr="007445E0">
              <w:rPr>
                <w:rFonts w:ascii="Arial Narrow" w:hAnsi="Arial Narrow"/>
                <w:b/>
                <w:bCs/>
                <w:sz w:val="20"/>
                <w:szCs w:val="22"/>
              </w:rPr>
              <w:t>(%)</w:t>
            </w:r>
          </w:p>
        </w:tc>
      </w:tr>
      <w:tr w:rsidR="00C0752A" w:rsidRPr="007445E0" w14:paraId="2D892228" w14:textId="12471F58" w:rsidTr="00C8180F">
        <w:trPr>
          <w:trHeight w:val="300"/>
        </w:trPr>
        <w:tc>
          <w:tcPr>
            <w:tcW w:w="2598" w:type="pct"/>
            <w:noWrap/>
            <w:hideMark/>
          </w:tcPr>
          <w:p w14:paraId="67A21F1C" w14:textId="3D79B7FA" w:rsidR="00C0752A" w:rsidRPr="007445E0" w:rsidRDefault="00C0752A" w:rsidP="00596F1A">
            <w:pPr>
              <w:rPr>
                <w:rFonts w:ascii="Arial Narrow" w:hAnsi="Arial Narrow"/>
                <w:sz w:val="20"/>
                <w:szCs w:val="22"/>
              </w:rPr>
            </w:pPr>
            <w:r w:rsidRPr="007445E0">
              <w:rPr>
                <w:rFonts w:ascii="Arial Narrow" w:hAnsi="Arial Narrow"/>
                <w:sz w:val="20"/>
                <w:szCs w:val="22"/>
              </w:rPr>
              <w:t>CRIZOTINIB</w:t>
            </w:r>
          </w:p>
        </w:tc>
        <w:tc>
          <w:tcPr>
            <w:tcW w:w="1101" w:type="pct"/>
            <w:noWrap/>
            <w:hideMark/>
          </w:tcPr>
          <w:p w14:paraId="5190553B" w14:textId="1BD3DCC5" w:rsidR="00C0752A" w:rsidRPr="007445E0" w:rsidRDefault="00C0752A" w:rsidP="00596F1A">
            <w:pPr>
              <w:rPr>
                <w:rFonts w:ascii="Arial Narrow" w:hAnsi="Arial Narrow"/>
                <w:sz w:val="20"/>
                <w:szCs w:val="22"/>
              </w:rPr>
            </w:pPr>
            <w:r w:rsidRPr="007445E0">
              <w:rPr>
                <w:rFonts w:ascii="Arial Narrow" w:hAnsi="Arial Narrow"/>
                <w:sz w:val="20"/>
                <w:szCs w:val="22"/>
              </w:rPr>
              <w:t>155</w:t>
            </w:r>
          </w:p>
        </w:tc>
        <w:tc>
          <w:tcPr>
            <w:tcW w:w="1301" w:type="pct"/>
            <w:noWrap/>
            <w:hideMark/>
          </w:tcPr>
          <w:p w14:paraId="29228D08" w14:textId="278772AD" w:rsidR="00C0752A" w:rsidRPr="007445E0" w:rsidRDefault="00C0752A" w:rsidP="00596F1A">
            <w:pPr>
              <w:rPr>
                <w:rFonts w:ascii="Arial Narrow" w:hAnsi="Arial Narrow"/>
                <w:sz w:val="20"/>
                <w:szCs w:val="22"/>
              </w:rPr>
            </w:pPr>
            <w:r w:rsidRPr="007445E0">
              <w:rPr>
                <w:rFonts w:ascii="Arial Narrow" w:hAnsi="Arial Narrow"/>
                <w:sz w:val="20"/>
                <w:szCs w:val="22"/>
              </w:rPr>
              <w:t>32.6</w:t>
            </w:r>
          </w:p>
        </w:tc>
        <w:bookmarkStart w:id="0" w:name="_GoBack"/>
        <w:bookmarkEnd w:id="0"/>
      </w:tr>
      <w:tr w:rsidR="00C0752A" w:rsidRPr="007445E0" w14:paraId="3B6687DC" w14:textId="24169A5A" w:rsidTr="00C8180F">
        <w:trPr>
          <w:trHeight w:val="300"/>
        </w:trPr>
        <w:tc>
          <w:tcPr>
            <w:tcW w:w="2598" w:type="pct"/>
            <w:noWrap/>
            <w:hideMark/>
          </w:tcPr>
          <w:p w14:paraId="00F01F7E" w14:textId="494EF55F" w:rsidR="00C0752A" w:rsidRPr="007445E0" w:rsidRDefault="00C0752A" w:rsidP="00596F1A">
            <w:pPr>
              <w:rPr>
                <w:rFonts w:ascii="Arial Narrow" w:hAnsi="Arial Narrow"/>
                <w:sz w:val="20"/>
                <w:szCs w:val="22"/>
              </w:rPr>
            </w:pPr>
            <w:r w:rsidRPr="007445E0">
              <w:rPr>
                <w:rFonts w:ascii="Arial Narrow" w:hAnsi="Arial Narrow"/>
                <w:sz w:val="20"/>
                <w:szCs w:val="22"/>
              </w:rPr>
              <w:t>ALECTINIB</w:t>
            </w:r>
          </w:p>
        </w:tc>
        <w:tc>
          <w:tcPr>
            <w:tcW w:w="1101" w:type="pct"/>
            <w:noWrap/>
            <w:hideMark/>
          </w:tcPr>
          <w:p w14:paraId="16F4D8C7" w14:textId="2095AC88" w:rsidR="00C0752A" w:rsidRPr="007445E0" w:rsidRDefault="00C0752A" w:rsidP="00596F1A">
            <w:pPr>
              <w:rPr>
                <w:rFonts w:ascii="Arial Narrow" w:hAnsi="Arial Narrow"/>
                <w:sz w:val="20"/>
                <w:szCs w:val="22"/>
              </w:rPr>
            </w:pPr>
            <w:r w:rsidRPr="007445E0">
              <w:rPr>
                <w:rFonts w:ascii="Arial Narrow" w:hAnsi="Arial Narrow"/>
                <w:sz w:val="20"/>
                <w:szCs w:val="22"/>
              </w:rPr>
              <w:t>124</w:t>
            </w:r>
          </w:p>
        </w:tc>
        <w:tc>
          <w:tcPr>
            <w:tcW w:w="1301" w:type="pct"/>
            <w:noWrap/>
            <w:hideMark/>
          </w:tcPr>
          <w:p w14:paraId="4A2D0004" w14:textId="48DEBD72" w:rsidR="00C0752A" w:rsidRPr="007445E0" w:rsidRDefault="00C0752A" w:rsidP="00596F1A">
            <w:pPr>
              <w:rPr>
                <w:rFonts w:ascii="Arial Narrow" w:hAnsi="Arial Narrow"/>
                <w:sz w:val="20"/>
                <w:szCs w:val="22"/>
              </w:rPr>
            </w:pPr>
            <w:r w:rsidRPr="007445E0">
              <w:rPr>
                <w:rFonts w:ascii="Arial Narrow" w:hAnsi="Arial Narrow"/>
                <w:sz w:val="20"/>
                <w:szCs w:val="22"/>
              </w:rPr>
              <w:t>26.1</w:t>
            </w:r>
          </w:p>
        </w:tc>
      </w:tr>
      <w:tr w:rsidR="00C0752A" w:rsidRPr="007445E0" w14:paraId="480C629E" w14:textId="07FDA397" w:rsidTr="00C8180F">
        <w:trPr>
          <w:trHeight w:val="300"/>
        </w:trPr>
        <w:tc>
          <w:tcPr>
            <w:tcW w:w="2598" w:type="pct"/>
            <w:noWrap/>
            <w:hideMark/>
          </w:tcPr>
          <w:p w14:paraId="6776E261" w14:textId="472CA9D9" w:rsidR="00C0752A" w:rsidRPr="007445E0" w:rsidRDefault="00C0752A" w:rsidP="00596F1A">
            <w:pPr>
              <w:rPr>
                <w:rFonts w:ascii="Arial Narrow" w:hAnsi="Arial Narrow"/>
                <w:sz w:val="20"/>
                <w:szCs w:val="22"/>
              </w:rPr>
            </w:pPr>
            <w:r w:rsidRPr="007445E0">
              <w:rPr>
                <w:rFonts w:ascii="Arial Narrow" w:hAnsi="Arial Narrow"/>
                <w:sz w:val="20"/>
                <w:szCs w:val="22"/>
              </w:rPr>
              <w:t>CRIZOTINIB -&gt; ALECTINIB</w:t>
            </w:r>
          </w:p>
        </w:tc>
        <w:tc>
          <w:tcPr>
            <w:tcW w:w="1101" w:type="pct"/>
            <w:noWrap/>
            <w:hideMark/>
          </w:tcPr>
          <w:p w14:paraId="56D78CD0" w14:textId="28405119" w:rsidR="00C0752A" w:rsidRPr="007445E0" w:rsidRDefault="00C0752A" w:rsidP="00596F1A">
            <w:pPr>
              <w:rPr>
                <w:rFonts w:ascii="Arial Narrow" w:hAnsi="Arial Narrow"/>
                <w:sz w:val="20"/>
                <w:szCs w:val="22"/>
              </w:rPr>
            </w:pPr>
            <w:r w:rsidRPr="007445E0">
              <w:rPr>
                <w:rFonts w:ascii="Arial Narrow" w:hAnsi="Arial Narrow"/>
                <w:sz w:val="20"/>
                <w:szCs w:val="22"/>
              </w:rPr>
              <w:t>80</w:t>
            </w:r>
          </w:p>
        </w:tc>
        <w:tc>
          <w:tcPr>
            <w:tcW w:w="1301" w:type="pct"/>
            <w:noWrap/>
            <w:hideMark/>
          </w:tcPr>
          <w:p w14:paraId="2641DEC8" w14:textId="69C6BAEA" w:rsidR="00C0752A" w:rsidRPr="007445E0" w:rsidRDefault="00C0752A" w:rsidP="00596F1A">
            <w:pPr>
              <w:rPr>
                <w:rFonts w:ascii="Arial Narrow" w:hAnsi="Arial Narrow"/>
                <w:sz w:val="20"/>
                <w:szCs w:val="22"/>
              </w:rPr>
            </w:pPr>
            <w:r w:rsidRPr="007445E0">
              <w:rPr>
                <w:rFonts w:ascii="Arial Narrow" w:hAnsi="Arial Narrow"/>
                <w:sz w:val="20"/>
                <w:szCs w:val="22"/>
              </w:rPr>
              <w:t>16.8</w:t>
            </w:r>
          </w:p>
        </w:tc>
      </w:tr>
      <w:tr w:rsidR="00C0752A" w:rsidRPr="007445E0" w14:paraId="1EE81FA3" w14:textId="7F6A9B73" w:rsidTr="00C8180F">
        <w:trPr>
          <w:trHeight w:val="300"/>
        </w:trPr>
        <w:tc>
          <w:tcPr>
            <w:tcW w:w="2598" w:type="pct"/>
            <w:noWrap/>
            <w:hideMark/>
          </w:tcPr>
          <w:p w14:paraId="1E301793" w14:textId="5822A1B9" w:rsidR="00C0752A" w:rsidRPr="007445E0" w:rsidRDefault="00C0752A" w:rsidP="00596F1A">
            <w:pPr>
              <w:rPr>
                <w:rFonts w:ascii="Arial Narrow" w:hAnsi="Arial Narrow"/>
                <w:sz w:val="20"/>
                <w:szCs w:val="22"/>
              </w:rPr>
            </w:pPr>
            <w:r w:rsidRPr="007445E0">
              <w:rPr>
                <w:rFonts w:ascii="Arial Narrow" w:hAnsi="Arial Narrow"/>
                <w:sz w:val="20"/>
                <w:szCs w:val="22"/>
              </w:rPr>
              <w:t>CRIZOTINIB -&gt; CERITINIB</w:t>
            </w:r>
          </w:p>
        </w:tc>
        <w:tc>
          <w:tcPr>
            <w:tcW w:w="1101" w:type="pct"/>
            <w:noWrap/>
            <w:hideMark/>
          </w:tcPr>
          <w:p w14:paraId="36052384" w14:textId="65F57CA0" w:rsidR="00C0752A" w:rsidRPr="007445E0" w:rsidRDefault="00C0752A" w:rsidP="00596F1A">
            <w:pPr>
              <w:rPr>
                <w:rFonts w:ascii="Arial Narrow" w:hAnsi="Arial Narrow"/>
                <w:sz w:val="20"/>
                <w:szCs w:val="22"/>
              </w:rPr>
            </w:pPr>
            <w:r w:rsidRPr="007445E0">
              <w:rPr>
                <w:rFonts w:ascii="Arial Narrow" w:hAnsi="Arial Narrow"/>
                <w:sz w:val="20"/>
                <w:szCs w:val="22"/>
              </w:rPr>
              <w:t>41</w:t>
            </w:r>
          </w:p>
        </w:tc>
        <w:tc>
          <w:tcPr>
            <w:tcW w:w="1301" w:type="pct"/>
            <w:noWrap/>
            <w:hideMark/>
          </w:tcPr>
          <w:p w14:paraId="7E3052DF" w14:textId="42A9994B" w:rsidR="00C0752A" w:rsidRPr="007445E0" w:rsidRDefault="00C0752A" w:rsidP="00596F1A">
            <w:pPr>
              <w:rPr>
                <w:rFonts w:ascii="Arial Narrow" w:hAnsi="Arial Narrow"/>
                <w:sz w:val="20"/>
                <w:szCs w:val="22"/>
              </w:rPr>
            </w:pPr>
            <w:r w:rsidRPr="007445E0">
              <w:rPr>
                <w:rFonts w:ascii="Arial Narrow" w:hAnsi="Arial Narrow"/>
                <w:sz w:val="20"/>
                <w:szCs w:val="22"/>
              </w:rPr>
              <w:t>8.6</w:t>
            </w:r>
          </w:p>
        </w:tc>
      </w:tr>
      <w:tr w:rsidR="00C0752A" w:rsidRPr="007445E0" w14:paraId="420AE788" w14:textId="3233205C" w:rsidTr="00C8180F">
        <w:trPr>
          <w:trHeight w:val="300"/>
        </w:trPr>
        <w:tc>
          <w:tcPr>
            <w:tcW w:w="2598" w:type="pct"/>
            <w:noWrap/>
            <w:hideMark/>
          </w:tcPr>
          <w:p w14:paraId="4A1275F9" w14:textId="52FC146B" w:rsidR="00C0752A" w:rsidRPr="007445E0" w:rsidRDefault="00C0752A" w:rsidP="00596F1A">
            <w:pPr>
              <w:rPr>
                <w:rFonts w:ascii="Arial Narrow" w:hAnsi="Arial Narrow"/>
                <w:sz w:val="20"/>
                <w:szCs w:val="22"/>
              </w:rPr>
            </w:pPr>
            <w:r w:rsidRPr="007445E0">
              <w:rPr>
                <w:rFonts w:ascii="Arial Narrow" w:hAnsi="Arial Narrow"/>
                <w:sz w:val="20"/>
                <w:szCs w:val="22"/>
              </w:rPr>
              <w:t>CRIZOTINIB -&gt; CERITINIB -&gt; ALECTINIB</w:t>
            </w:r>
          </w:p>
        </w:tc>
        <w:tc>
          <w:tcPr>
            <w:tcW w:w="1101" w:type="pct"/>
            <w:noWrap/>
            <w:hideMark/>
          </w:tcPr>
          <w:p w14:paraId="4144AF6B" w14:textId="6FECE2BD" w:rsidR="00C0752A" w:rsidRPr="007445E0" w:rsidRDefault="00C0752A" w:rsidP="00596F1A">
            <w:pPr>
              <w:rPr>
                <w:rFonts w:ascii="Arial Narrow" w:hAnsi="Arial Narrow"/>
                <w:sz w:val="20"/>
                <w:szCs w:val="22"/>
              </w:rPr>
            </w:pPr>
            <w:r w:rsidRPr="007445E0">
              <w:rPr>
                <w:rFonts w:ascii="Arial Narrow" w:hAnsi="Arial Narrow"/>
                <w:sz w:val="20"/>
                <w:szCs w:val="22"/>
              </w:rPr>
              <w:t>38</w:t>
            </w:r>
          </w:p>
        </w:tc>
        <w:tc>
          <w:tcPr>
            <w:tcW w:w="1301" w:type="pct"/>
            <w:noWrap/>
            <w:hideMark/>
          </w:tcPr>
          <w:p w14:paraId="030A6D2C" w14:textId="7C7F141A" w:rsidR="00C0752A" w:rsidRPr="007445E0" w:rsidRDefault="00C0752A" w:rsidP="00596F1A">
            <w:pPr>
              <w:rPr>
                <w:rFonts w:ascii="Arial Narrow" w:hAnsi="Arial Narrow"/>
                <w:sz w:val="20"/>
                <w:szCs w:val="22"/>
              </w:rPr>
            </w:pPr>
            <w:r w:rsidRPr="007445E0">
              <w:rPr>
                <w:rFonts w:ascii="Arial Narrow" w:hAnsi="Arial Narrow"/>
                <w:sz w:val="20"/>
                <w:szCs w:val="22"/>
              </w:rPr>
              <w:t>8.0</w:t>
            </w:r>
          </w:p>
        </w:tc>
      </w:tr>
      <w:tr w:rsidR="00C0752A" w:rsidRPr="007445E0" w14:paraId="1517C799" w14:textId="5B07CEA7" w:rsidTr="00C8180F">
        <w:trPr>
          <w:trHeight w:val="300"/>
        </w:trPr>
        <w:tc>
          <w:tcPr>
            <w:tcW w:w="2598" w:type="pct"/>
            <w:noWrap/>
            <w:hideMark/>
          </w:tcPr>
          <w:p w14:paraId="37612F3D" w14:textId="6C8163A3" w:rsidR="00C0752A" w:rsidRPr="007445E0" w:rsidRDefault="00C0752A" w:rsidP="00596F1A">
            <w:pPr>
              <w:rPr>
                <w:rFonts w:ascii="Arial Narrow" w:hAnsi="Arial Narrow"/>
                <w:sz w:val="20"/>
                <w:szCs w:val="22"/>
              </w:rPr>
            </w:pPr>
            <w:r w:rsidRPr="007445E0">
              <w:rPr>
                <w:rFonts w:ascii="Arial Narrow" w:hAnsi="Arial Narrow"/>
                <w:sz w:val="20"/>
                <w:szCs w:val="22"/>
              </w:rPr>
              <w:t>CERITINIB</w:t>
            </w:r>
          </w:p>
        </w:tc>
        <w:tc>
          <w:tcPr>
            <w:tcW w:w="1101" w:type="pct"/>
            <w:noWrap/>
            <w:hideMark/>
          </w:tcPr>
          <w:p w14:paraId="265E180B" w14:textId="1704D77D" w:rsidR="00C0752A" w:rsidRPr="007445E0" w:rsidRDefault="00C0752A" w:rsidP="00596F1A">
            <w:pPr>
              <w:rPr>
                <w:rFonts w:ascii="Arial Narrow" w:hAnsi="Arial Narrow"/>
                <w:sz w:val="20"/>
                <w:szCs w:val="22"/>
              </w:rPr>
            </w:pPr>
            <w:r w:rsidRPr="007445E0">
              <w:rPr>
                <w:rFonts w:ascii="Arial Narrow" w:hAnsi="Arial Narrow"/>
                <w:sz w:val="20"/>
                <w:szCs w:val="22"/>
              </w:rPr>
              <w:t>23</w:t>
            </w:r>
          </w:p>
        </w:tc>
        <w:tc>
          <w:tcPr>
            <w:tcW w:w="1301" w:type="pct"/>
            <w:noWrap/>
            <w:hideMark/>
          </w:tcPr>
          <w:p w14:paraId="02CD3285" w14:textId="2F1F3382" w:rsidR="00C0752A" w:rsidRPr="007445E0" w:rsidRDefault="00C0752A" w:rsidP="00596F1A">
            <w:pPr>
              <w:rPr>
                <w:rFonts w:ascii="Arial Narrow" w:hAnsi="Arial Narrow"/>
                <w:sz w:val="20"/>
                <w:szCs w:val="22"/>
              </w:rPr>
            </w:pPr>
            <w:r w:rsidRPr="007445E0">
              <w:rPr>
                <w:rFonts w:ascii="Arial Narrow" w:hAnsi="Arial Narrow"/>
                <w:sz w:val="20"/>
                <w:szCs w:val="22"/>
              </w:rPr>
              <w:t>4.8</w:t>
            </w:r>
          </w:p>
        </w:tc>
      </w:tr>
      <w:tr w:rsidR="00C0752A" w:rsidRPr="007445E0" w14:paraId="1DE23C33" w14:textId="04089092" w:rsidTr="00C8180F">
        <w:trPr>
          <w:trHeight w:val="300"/>
        </w:trPr>
        <w:tc>
          <w:tcPr>
            <w:tcW w:w="2598" w:type="pct"/>
            <w:noWrap/>
            <w:hideMark/>
          </w:tcPr>
          <w:p w14:paraId="4C5103A9" w14:textId="06EBD8CC" w:rsidR="00C0752A" w:rsidRPr="007445E0" w:rsidRDefault="00C0752A" w:rsidP="00596F1A">
            <w:pPr>
              <w:rPr>
                <w:rFonts w:ascii="Arial Narrow" w:hAnsi="Arial Narrow"/>
                <w:sz w:val="20"/>
                <w:szCs w:val="22"/>
              </w:rPr>
            </w:pPr>
            <w:r w:rsidRPr="007445E0">
              <w:rPr>
                <w:rFonts w:ascii="Arial Narrow" w:hAnsi="Arial Narrow"/>
                <w:sz w:val="20"/>
                <w:szCs w:val="22"/>
              </w:rPr>
              <w:t>CERITINIB -&gt; ALECTINIB</w:t>
            </w:r>
          </w:p>
        </w:tc>
        <w:tc>
          <w:tcPr>
            <w:tcW w:w="1101" w:type="pct"/>
            <w:noWrap/>
            <w:hideMark/>
          </w:tcPr>
          <w:p w14:paraId="5B065B63" w14:textId="1B733887" w:rsidR="00C0752A" w:rsidRPr="007445E0" w:rsidRDefault="00C0752A" w:rsidP="00596F1A">
            <w:pPr>
              <w:rPr>
                <w:rFonts w:ascii="Arial Narrow" w:hAnsi="Arial Narrow"/>
                <w:sz w:val="20"/>
                <w:szCs w:val="22"/>
              </w:rPr>
            </w:pPr>
            <w:r w:rsidRPr="007445E0">
              <w:rPr>
                <w:rFonts w:ascii="Arial Narrow" w:hAnsi="Arial Narrow"/>
                <w:sz w:val="20"/>
                <w:szCs w:val="22"/>
              </w:rPr>
              <w:t>9</w:t>
            </w:r>
          </w:p>
        </w:tc>
        <w:tc>
          <w:tcPr>
            <w:tcW w:w="1301" w:type="pct"/>
            <w:noWrap/>
            <w:hideMark/>
          </w:tcPr>
          <w:p w14:paraId="1DECBB82" w14:textId="43B7FA42" w:rsidR="00C0752A" w:rsidRPr="007445E0" w:rsidRDefault="00C0752A" w:rsidP="00596F1A">
            <w:pPr>
              <w:rPr>
                <w:rFonts w:ascii="Arial Narrow" w:hAnsi="Arial Narrow"/>
                <w:sz w:val="20"/>
                <w:szCs w:val="22"/>
              </w:rPr>
            </w:pPr>
            <w:r w:rsidRPr="007445E0">
              <w:rPr>
                <w:rFonts w:ascii="Arial Narrow" w:hAnsi="Arial Narrow"/>
                <w:sz w:val="20"/>
                <w:szCs w:val="22"/>
              </w:rPr>
              <w:t>1.9</w:t>
            </w:r>
          </w:p>
        </w:tc>
      </w:tr>
      <w:tr w:rsidR="00C0752A" w:rsidRPr="007445E0" w14:paraId="7A1861D4" w14:textId="232239C9" w:rsidTr="00C8180F">
        <w:trPr>
          <w:trHeight w:val="300"/>
        </w:trPr>
        <w:tc>
          <w:tcPr>
            <w:tcW w:w="2598" w:type="pct"/>
            <w:noWrap/>
            <w:hideMark/>
          </w:tcPr>
          <w:p w14:paraId="0B2C3F6E" w14:textId="0369E7E2" w:rsidR="00C0752A" w:rsidRPr="007445E0" w:rsidRDefault="00C0752A" w:rsidP="00596F1A">
            <w:pPr>
              <w:rPr>
                <w:rFonts w:ascii="Arial Narrow" w:hAnsi="Arial Narrow"/>
                <w:sz w:val="20"/>
                <w:szCs w:val="22"/>
              </w:rPr>
            </w:pPr>
            <w:r w:rsidRPr="007445E0">
              <w:rPr>
                <w:rFonts w:ascii="Arial Narrow" w:hAnsi="Arial Narrow"/>
                <w:sz w:val="20"/>
                <w:szCs w:val="22"/>
              </w:rPr>
              <w:t>ALECTINIB -&gt; CERITINIB</w:t>
            </w:r>
          </w:p>
        </w:tc>
        <w:tc>
          <w:tcPr>
            <w:tcW w:w="1101" w:type="pct"/>
            <w:noWrap/>
            <w:hideMark/>
          </w:tcPr>
          <w:p w14:paraId="3B8A1CB4" w14:textId="1A173905" w:rsidR="00C0752A" w:rsidRPr="007445E0" w:rsidRDefault="00C0752A" w:rsidP="00596F1A">
            <w:pPr>
              <w:rPr>
                <w:rFonts w:ascii="Arial Narrow" w:hAnsi="Arial Narrow"/>
                <w:sz w:val="20"/>
                <w:szCs w:val="22"/>
              </w:rPr>
            </w:pPr>
            <w:r w:rsidRPr="007445E0">
              <w:rPr>
                <w:rFonts w:ascii="Arial Narrow" w:hAnsi="Arial Narrow"/>
                <w:sz w:val="20"/>
                <w:szCs w:val="22"/>
              </w:rPr>
              <w:t>&lt;6</w:t>
            </w:r>
          </w:p>
        </w:tc>
        <w:tc>
          <w:tcPr>
            <w:tcW w:w="1301" w:type="pct"/>
            <w:noWrap/>
            <w:hideMark/>
          </w:tcPr>
          <w:p w14:paraId="3C7BF2A4" w14:textId="17E76534" w:rsidR="00C0752A" w:rsidRPr="007445E0" w:rsidRDefault="00C0752A" w:rsidP="00596F1A">
            <w:pPr>
              <w:rPr>
                <w:rFonts w:ascii="Arial Narrow" w:hAnsi="Arial Narrow"/>
                <w:sz w:val="20"/>
                <w:szCs w:val="22"/>
              </w:rPr>
            </w:pPr>
            <w:r w:rsidRPr="007445E0">
              <w:rPr>
                <w:rFonts w:ascii="Arial Narrow" w:hAnsi="Arial Narrow"/>
                <w:sz w:val="20"/>
                <w:szCs w:val="22"/>
              </w:rPr>
              <w:t>NR</w:t>
            </w:r>
          </w:p>
        </w:tc>
      </w:tr>
      <w:tr w:rsidR="00C0752A" w:rsidRPr="007445E0" w14:paraId="4BDB143C" w14:textId="236BCA36" w:rsidTr="00C8180F">
        <w:trPr>
          <w:trHeight w:val="300"/>
        </w:trPr>
        <w:tc>
          <w:tcPr>
            <w:tcW w:w="2598" w:type="pct"/>
            <w:noWrap/>
            <w:hideMark/>
          </w:tcPr>
          <w:p w14:paraId="146E0392" w14:textId="3601A27B" w:rsidR="00C0752A" w:rsidRPr="007445E0" w:rsidRDefault="00C0752A" w:rsidP="00596F1A">
            <w:pPr>
              <w:rPr>
                <w:rFonts w:ascii="Arial Narrow" w:hAnsi="Arial Narrow"/>
                <w:sz w:val="20"/>
                <w:szCs w:val="22"/>
              </w:rPr>
            </w:pPr>
            <w:r w:rsidRPr="007445E0">
              <w:rPr>
                <w:rFonts w:ascii="Arial Narrow" w:hAnsi="Arial Narrow"/>
                <w:sz w:val="20"/>
                <w:szCs w:val="22"/>
              </w:rPr>
              <w:t>ALECTINIB -&gt; CRIZOTINIB</w:t>
            </w:r>
          </w:p>
        </w:tc>
        <w:tc>
          <w:tcPr>
            <w:tcW w:w="1101" w:type="pct"/>
            <w:noWrap/>
            <w:hideMark/>
          </w:tcPr>
          <w:p w14:paraId="5B8BADC3" w14:textId="1460BCBC" w:rsidR="00C0752A" w:rsidRPr="007445E0" w:rsidRDefault="00C0752A" w:rsidP="00596F1A">
            <w:pPr>
              <w:rPr>
                <w:rFonts w:ascii="Arial Narrow" w:hAnsi="Arial Narrow"/>
                <w:sz w:val="20"/>
                <w:szCs w:val="22"/>
              </w:rPr>
            </w:pPr>
            <w:r w:rsidRPr="007445E0">
              <w:rPr>
                <w:rFonts w:ascii="Arial Narrow" w:hAnsi="Arial Narrow"/>
                <w:sz w:val="20"/>
                <w:szCs w:val="22"/>
              </w:rPr>
              <w:t>&lt;6</w:t>
            </w:r>
          </w:p>
        </w:tc>
        <w:tc>
          <w:tcPr>
            <w:tcW w:w="1301" w:type="pct"/>
            <w:noWrap/>
            <w:hideMark/>
          </w:tcPr>
          <w:p w14:paraId="1895F4BF" w14:textId="38C61DA3" w:rsidR="00C0752A" w:rsidRPr="007445E0" w:rsidRDefault="00C0752A" w:rsidP="00596F1A">
            <w:pPr>
              <w:rPr>
                <w:rFonts w:ascii="Arial Narrow" w:hAnsi="Arial Narrow"/>
                <w:sz w:val="20"/>
                <w:szCs w:val="22"/>
              </w:rPr>
            </w:pPr>
            <w:r w:rsidRPr="007445E0">
              <w:rPr>
                <w:rFonts w:ascii="Arial Narrow" w:hAnsi="Arial Narrow"/>
                <w:sz w:val="20"/>
                <w:szCs w:val="22"/>
              </w:rPr>
              <w:t>NR</w:t>
            </w:r>
          </w:p>
        </w:tc>
      </w:tr>
      <w:tr w:rsidR="00C0752A" w:rsidRPr="007445E0" w14:paraId="4FD48CC5" w14:textId="73D6B7EB" w:rsidTr="00C8180F">
        <w:trPr>
          <w:trHeight w:val="300"/>
        </w:trPr>
        <w:tc>
          <w:tcPr>
            <w:tcW w:w="2598" w:type="pct"/>
            <w:noWrap/>
            <w:hideMark/>
          </w:tcPr>
          <w:p w14:paraId="2EA41B43" w14:textId="2512FA65" w:rsidR="00C0752A" w:rsidRPr="007445E0" w:rsidRDefault="00C0752A" w:rsidP="00596F1A">
            <w:pPr>
              <w:rPr>
                <w:rFonts w:ascii="Arial Narrow" w:hAnsi="Arial Narrow"/>
                <w:sz w:val="20"/>
                <w:szCs w:val="22"/>
              </w:rPr>
            </w:pPr>
            <w:r w:rsidRPr="007445E0">
              <w:rPr>
                <w:rFonts w:ascii="Arial Narrow" w:hAnsi="Arial Narrow"/>
                <w:sz w:val="20"/>
                <w:szCs w:val="22"/>
              </w:rPr>
              <w:t>CERITINIB -&gt; CRIZOTINIB</w:t>
            </w:r>
          </w:p>
        </w:tc>
        <w:tc>
          <w:tcPr>
            <w:tcW w:w="1101" w:type="pct"/>
            <w:noWrap/>
            <w:hideMark/>
          </w:tcPr>
          <w:p w14:paraId="68B6AE88" w14:textId="3FD00D38" w:rsidR="00C0752A" w:rsidRPr="007445E0" w:rsidRDefault="00C0752A" w:rsidP="00596F1A">
            <w:pPr>
              <w:rPr>
                <w:rFonts w:ascii="Arial Narrow" w:hAnsi="Arial Narrow"/>
                <w:sz w:val="20"/>
                <w:szCs w:val="22"/>
              </w:rPr>
            </w:pPr>
            <w:r w:rsidRPr="007445E0">
              <w:rPr>
                <w:rFonts w:ascii="Arial Narrow" w:hAnsi="Arial Narrow"/>
                <w:sz w:val="20"/>
                <w:szCs w:val="22"/>
              </w:rPr>
              <w:t>&lt;6</w:t>
            </w:r>
          </w:p>
        </w:tc>
        <w:tc>
          <w:tcPr>
            <w:tcW w:w="1301" w:type="pct"/>
            <w:noWrap/>
            <w:hideMark/>
          </w:tcPr>
          <w:p w14:paraId="43528567" w14:textId="7CA57DC4" w:rsidR="00C0752A" w:rsidRPr="007445E0" w:rsidRDefault="00C0752A" w:rsidP="00596F1A">
            <w:pPr>
              <w:rPr>
                <w:rFonts w:ascii="Arial Narrow" w:hAnsi="Arial Narrow"/>
                <w:sz w:val="20"/>
                <w:szCs w:val="22"/>
              </w:rPr>
            </w:pPr>
            <w:r w:rsidRPr="007445E0">
              <w:rPr>
                <w:rFonts w:ascii="Arial Narrow" w:hAnsi="Arial Narrow"/>
                <w:sz w:val="20"/>
                <w:szCs w:val="22"/>
              </w:rPr>
              <w:t>NR</w:t>
            </w:r>
          </w:p>
        </w:tc>
      </w:tr>
    </w:tbl>
    <w:p w14:paraId="3E95BC94" w14:textId="5742A7D3" w:rsidR="0094594E" w:rsidRPr="004C590B" w:rsidRDefault="00FF6B82" w:rsidP="00AE22D3">
      <w:pPr>
        <w:rPr>
          <w:rFonts w:asciiTheme="minorHAnsi" w:hAnsiTheme="minorHAnsi"/>
          <w:sz w:val="22"/>
          <w:szCs w:val="22"/>
        </w:rPr>
      </w:pPr>
      <w:r w:rsidRPr="00FF6B82">
        <w:rPr>
          <w:rFonts w:ascii="Arial Narrow" w:hAnsi="Arial Narrow"/>
          <w:sz w:val="18"/>
          <w:szCs w:val="22"/>
        </w:rPr>
        <w:t xml:space="preserve">Source: Department of Human Services (DHS) Prescription database for the period 1 July 2015 to 31 December 2018 </w:t>
      </w:r>
      <w:proofErr w:type="gramStart"/>
      <w:r w:rsidRPr="00FF6B82">
        <w:rPr>
          <w:rFonts w:ascii="Arial Narrow" w:hAnsi="Arial Narrow"/>
          <w:sz w:val="18"/>
          <w:szCs w:val="22"/>
        </w:rPr>
        <w:t>inclusive,</w:t>
      </w:r>
      <w:proofErr w:type="gramEnd"/>
      <w:r w:rsidRPr="00FF6B82">
        <w:rPr>
          <w:rFonts w:ascii="Arial Narrow" w:hAnsi="Arial Narrow"/>
          <w:sz w:val="18"/>
          <w:szCs w:val="22"/>
        </w:rPr>
        <w:t xml:space="preserve"> based on the date that the prescription was supplied.</w:t>
      </w:r>
    </w:p>
    <w:p w14:paraId="2C5A47AD" w14:textId="7FBB7816" w:rsidR="000B1D20" w:rsidRPr="004C590B" w:rsidRDefault="00A04BE8" w:rsidP="00F847B0">
      <w:pPr>
        <w:pStyle w:val="ListParagraph"/>
        <w:widowControl/>
        <w:spacing w:before="120" w:after="120"/>
        <w:contextualSpacing w:val="0"/>
        <w:rPr>
          <w:rFonts w:asciiTheme="minorHAnsi" w:eastAsiaTheme="minorHAnsi" w:hAnsiTheme="minorHAnsi" w:cstheme="minorBidi"/>
          <w:i/>
          <w:snapToGrid/>
          <w:sz w:val="24"/>
          <w:szCs w:val="22"/>
        </w:rPr>
      </w:pPr>
      <w:r w:rsidRPr="004C590B">
        <w:rPr>
          <w:rFonts w:asciiTheme="minorHAnsi" w:eastAsiaTheme="minorHAnsi" w:hAnsiTheme="minorHAnsi" w:cstheme="minorBidi"/>
          <w:i/>
          <w:snapToGrid/>
          <w:sz w:val="24"/>
          <w:szCs w:val="22"/>
        </w:rPr>
        <w:t>For more detail on PBAC’s view, see section 5 PBAC outcome.</w:t>
      </w:r>
    </w:p>
    <w:p w14:paraId="7ED6FB11" w14:textId="77777777" w:rsidR="00A04BE8" w:rsidRPr="003B2EE7" w:rsidRDefault="00A04BE8" w:rsidP="00F847B0">
      <w:pPr>
        <w:pStyle w:val="Heading1"/>
        <w:keepNext/>
        <w:keepLines/>
        <w:widowControl/>
        <w:numPr>
          <w:ilvl w:val="0"/>
          <w:numId w:val="14"/>
        </w:numPr>
        <w:spacing w:before="120" w:after="120"/>
        <w:ind w:left="709" w:hanging="709"/>
        <w:contextualSpacing w:val="0"/>
        <w:jc w:val="left"/>
        <w:rPr>
          <w:rFonts w:asciiTheme="minorHAnsi" w:hAnsiTheme="minorHAnsi"/>
          <w:b w:val="0"/>
          <w:bCs/>
          <w:sz w:val="32"/>
        </w:rPr>
      </w:pPr>
      <w:r w:rsidRPr="003B2EE7">
        <w:rPr>
          <w:rFonts w:asciiTheme="minorHAnsi" w:hAnsiTheme="minorHAnsi"/>
          <w:bCs/>
          <w:sz w:val="32"/>
        </w:rPr>
        <w:t>PBAC Outcome</w:t>
      </w:r>
    </w:p>
    <w:p w14:paraId="76529FBC" w14:textId="3DCA1671" w:rsidR="000B1D20" w:rsidRPr="004C590B" w:rsidRDefault="00B4601D" w:rsidP="00F847B0">
      <w:pPr>
        <w:pStyle w:val="ListParagraph"/>
        <w:widowControl/>
        <w:numPr>
          <w:ilvl w:val="1"/>
          <w:numId w:val="14"/>
        </w:numPr>
        <w:spacing w:before="120" w:after="120"/>
        <w:contextualSpacing w:val="0"/>
        <w:rPr>
          <w:rFonts w:asciiTheme="minorHAnsi" w:hAnsiTheme="minorHAnsi"/>
          <w:sz w:val="24"/>
          <w:szCs w:val="24"/>
        </w:rPr>
      </w:pPr>
      <w:r w:rsidRPr="004C590B">
        <w:rPr>
          <w:rFonts w:asciiTheme="minorHAnsi" w:hAnsiTheme="minorHAnsi"/>
          <w:sz w:val="24"/>
          <w:szCs w:val="24"/>
        </w:rPr>
        <w:t xml:space="preserve">The PBAC did not recommend the requested changes to the PBS-listing of </w:t>
      </w:r>
      <w:proofErr w:type="spellStart"/>
      <w:r w:rsidRPr="004C590B">
        <w:rPr>
          <w:rFonts w:asciiTheme="minorHAnsi" w:hAnsiTheme="minorHAnsi"/>
          <w:sz w:val="24"/>
          <w:szCs w:val="24"/>
        </w:rPr>
        <w:t>alectinib</w:t>
      </w:r>
      <w:proofErr w:type="spellEnd"/>
      <w:r w:rsidRPr="004C590B">
        <w:rPr>
          <w:rFonts w:asciiTheme="minorHAnsi" w:hAnsiTheme="minorHAnsi"/>
          <w:sz w:val="24"/>
          <w:szCs w:val="24"/>
        </w:rPr>
        <w:t xml:space="preserve"> to lower the authority level from Authority Required (Telephone) to Authority Required (STREAMLINED)</w:t>
      </w:r>
      <w:r w:rsidR="00002FB7" w:rsidRPr="004C590B">
        <w:rPr>
          <w:rFonts w:asciiTheme="minorHAnsi" w:hAnsiTheme="minorHAnsi"/>
          <w:sz w:val="24"/>
          <w:szCs w:val="24"/>
        </w:rPr>
        <w:t xml:space="preserve"> and to allow for an increased </w:t>
      </w:r>
      <w:r w:rsidR="0027101F" w:rsidRPr="004C590B">
        <w:rPr>
          <w:rFonts w:asciiTheme="minorHAnsi" w:hAnsiTheme="minorHAnsi"/>
          <w:sz w:val="24"/>
          <w:szCs w:val="24"/>
        </w:rPr>
        <w:t xml:space="preserve">maximum </w:t>
      </w:r>
      <w:r w:rsidR="00002FB7" w:rsidRPr="004C590B">
        <w:rPr>
          <w:rFonts w:asciiTheme="minorHAnsi" w:hAnsiTheme="minorHAnsi"/>
          <w:sz w:val="24"/>
          <w:szCs w:val="24"/>
        </w:rPr>
        <w:t>number of repeats</w:t>
      </w:r>
      <w:r w:rsidR="00BA2DCE" w:rsidRPr="004C590B">
        <w:rPr>
          <w:rFonts w:asciiTheme="minorHAnsi" w:hAnsiTheme="minorHAnsi"/>
          <w:sz w:val="24"/>
          <w:szCs w:val="24"/>
        </w:rPr>
        <w:t xml:space="preserve"> from </w:t>
      </w:r>
      <w:r w:rsidR="004C590B">
        <w:rPr>
          <w:rFonts w:asciiTheme="minorHAnsi" w:hAnsiTheme="minorHAnsi"/>
          <w:sz w:val="24"/>
          <w:szCs w:val="24"/>
        </w:rPr>
        <w:t xml:space="preserve">one </w:t>
      </w:r>
      <w:r w:rsidR="00BA2DCE" w:rsidRPr="004C590B">
        <w:rPr>
          <w:rFonts w:asciiTheme="minorHAnsi" w:hAnsiTheme="minorHAnsi"/>
          <w:sz w:val="24"/>
          <w:szCs w:val="24"/>
        </w:rPr>
        <w:t xml:space="preserve">to </w:t>
      </w:r>
      <w:r w:rsidR="004C590B">
        <w:rPr>
          <w:rFonts w:asciiTheme="minorHAnsi" w:hAnsiTheme="minorHAnsi"/>
          <w:sz w:val="24"/>
          <w:szCs w:val="24"/>
        </w:rPr>
        <w:t>five</w:t>
      </w:r>
      <w:r w:rsidR="0081573A" w:rsidRPr="004C590B">
        <w:rPr>
          <w:rFonts w:asciiTheme="minorHAnsi" w:hAnsiTheme="minorHAnsi"/>
          <w:sz w:val="24"/>
          <w:szCs w:val="24"/>
        </w:rPr>
        <w:t xml:space="preserve">. </w:t>
      </w:r>
    </w:p>
    <w:p w14:paraId="277488E0" w14:textId="4EBF585E" w:rsidR="00BA2DCE" w:rsidRPr="004C590B" w:rsidRDefault="00BA2DCE" w:rsidP="00F847B0">
      <w:pPr>
        <w:pStyle w:val="ListParagraph"/>
        <w:widowControl/>
        <w:numPr>
          <w:ilvl w:val="1"/>
          <w:numId w:val="14"/>
        </w:numPr>
        <w:spacing w:before="120" w:after="120"/>
        <w:contextualSpacing w:val="0"/>
        <w:rPr>
          <w:rFonts w:asciiTheme="minorHAnsi" w:hAnsiTheme="minorHAnsi"/>
          <w:sz w:val="24"/>
          <w:szCs w:val="24"/>
        </w:rPr>
      </w:pPr>
      <w:r w:rsidRPr="004C590B">
        <w:rPr>
          <w:rFonts w:asciiTheme="minorHAnsi" w:hAnsiTheme="minorHAnsi"/>
          <w:sz w:val="24"/>
          <w:szCs w:val="24"/>
        </w:rPr>
        <w:t xml:space="preserve">The PBAC noted that </w:t>
      </w:r>
      <w:proofErr w:type="spellStart"/>
      <w:r w:rsidRPr="004C590B">
        <w:rPr>
          <w:rFonts w:asciiTheme="minorHAnsi" w:hAnsiTheme="minorHAnsi"/>
          <w:sz w:val="24"/>
          <w:szCs w:val="24"/>
        </w:rPr>
        <w:t>alectinib</w:t>
      </w:r>
      <w:proofErr w:type="spellEnd"/>
      <w:r w:rsidRPr="004C590B">
        <w:rPr>
          <w:rFonts w:asciiTheme="minorHAnsi" w:hAnsiTheme="minorHAnsi"/>
          <w:sz w:val="24"/>
          <w:szCs w:val="24"/>
        </w:rPr>
        <w:t xml:space="preserve"> was recent</w:t>
      </w:r>
      <w:r w:rsidR="0081573A" w:rsidRPr="004C590B">
        <w:rPr>
          <w:rFonts w:asciiTheme="minorHAnsi" w:hAnsiTheme="minorHAnsi"/>
          <w:sz w:val="24"/>
          <w:szCs w:val="24"/>
        </w:rPr>
        <w:t>ly</w:t>
      </w:r>
      <w:r w:rsidRPr="004C590B">
        <w:rPr>
          <w:rFonts w:asciiTheme="minorHAnsi" w:hAnsiTheme="minorHAnsi"/>
          <w:sz w:val="24"/>
          <w:szCs w:val="24"/>
        </w:rPr>
        <w:t xml:space="preserve"> </w:t>
      </w:r>
      <w:r w:rsidR="0081573A" w:rsidRPr="004C590B">
        <w:rPr>
          <w:rFonts w:asciiTheme="minorHAnsi" w:hAnsiTheme="minorHAnsi"/>
          <w:sz w:val="24"/>
          <w:szCs w:val="24"/>
        </w:rPr>
        <w:t>listed</w:t>
      </w:r>
      <w:r w:rsidRPr="004C590B">
        <w:rPr>
          <w:rFonts w:asciiTheme="minorHAnsi" w:hAnsiTheme="minorHAnsi"/>
          <w:sz w:val="24"/>
          <w:szCs w:val="24"/>
        </w:rPr>
        <w:t xml:space="preserve"> </w:t>
      </w:r>
      <w:r w:rsidR="0081573A" w:rsidRPr="004C590B">
        <w:rPr>
          <w:rFonts w:asciiTheme="minorHAnsi" w:hAnsiTheme="minorHAnsi"/>
          <w:sz w:val="24"/>
          <w:szCs w:val="24"/>
        </w:rPr>
        <w:t xml:space="preserve">on </w:t>
      </w:r>
      <w:r w:rsidRPr="004C590B">
        <w:rPr>
          <w:rFonts w:asciiTheme="minorHAnsi" w:hAnsiTheme="minorHAnsi"/>
          <w:sz w:val="24"/>
          <w:szCs w:val="24"/>
        </w:rPr>
        <w:t xml:space="preserve">the PBS (on 1 January 2018), and longer-term </w:t>
      </w:r>
      <w:r w:rsidR="006D6D5E" w:rsidRPr="004C590B">
        <w:rPr>
          <w:rFonts w:asciiTheme="minorHAnsi" w:hAnsiTheme="minorHAnsi"/>
          <w:sz w:val="24"/>
          <w:szCs w:val="24"/>
        </w:rPr>
        <w:t xml:space="preserve">utilisation </w:t>
      </w:r>
      <w:r w:rsidRPr="004C590B">
        <w:rPr>
          <w:rFonts w:asciiTheme="minorHAnsi" w:hAnsiTheme="minorHAnsi"/>
          <w:sz w:val="24"/>
          <w:szCs w:val="24"/>
        </w:rPr>
        <w:t xml:space="preserve">data would be required </w:t>
      </w:r>
      <w:r w:rsidR="00C2578A" w:rsidRPr="004C590B">
        <w:rPr>
          <w:rFonts w:asciiTheme="minorHAnsi" w:hAnsiTheme="minorHAnsi"/>
          <w:sz w:val="24"/>
          <w:szCs w:val="24"/>
        </w:rPr>
        <w:t xml:space="preserve">prior to amending the current listing, </w:t>
      </w:r>
      <w:r w:rsidRPr="004C590B">
        <w:rPr>
          <w:rFonts w:asciiTheme="minorHAnsi" w:hAnsiTheme="minorHAnsi"/>
          <w:sz w:val="24"/>
          <w:szCs w:val="24"/>
        </w:rPr>
        <w:t xml:space="preserve">to ensure </w:t>
      </w:r>
      <w:r w:rsidR="0081573A" w:rsidRPr="004C590B">
        <w:rPr>
          <w:rFonts w:asciiTheme="minorHAnsi" w:hAnsiTheme="minorHAnsi"/>
          <w:sz w:val="24"/>
          <w:szCs w:val="24"/>
        </w:rPr>
        <w:t>use</w:t>
      </w:r>
      <w:r w:rsidRPr="004C590B">
        <w:rPr>
          <w:rFonts w:asciiTheme="minorHAnsi" w:hAnsiTheme="minorHAnsi"/>
          <w:sz w:val="24"/>
          <w:szCs w:val="24"/>
        </w:rPr>
        <w:t xml:space="preserve"> remain</w:t>
      </w:r>
      <w:r w:rsidR="0081573A" w:rsidRPr="004C590B">
        <w:rPr>
          <w:rFonts w:asciiTheme="minorHAnsi" w:hAnsiTheme="minorHAnsi"/>
          <w:sz w:val="24"/>
          <w:szCs w:val="24"/>
        </w:rPr>
        <w:t>s</w:t>
      </w:r>
      <w:r w:rsidRPr="004C590B">
        <w:rPr>
          <w:rFonts w:asciiTheme="minorHAnsi" w:hAnsiTheme="minorHAnsi"/>
          <w:sz w:val="24"/>
          <w:szCs w:val="24"/>
        </w:rPr>
        <w:t xml:space="preserve"> cost-effective in the</w:t>
      </w:r>
      <w:r w:rsidR="0081573A" w:rsidRPr="004C590B">
        <w:rPr>
          <w:rFonts w:asciiTheme="minorHAnsi" w:hAnsiTheme="minorHAnsi"/>
          <w:sz w:val="24"/>
          <w:szCs w:val="24"/>
        </w:rPr>
        <w:t xml:space="preserve"> current</w:t>
      </w:r>
      <w:r w:rsidRPr="004C590B">
        <w:rPr>
          <w:rFonts w:asciiTheme="minorHAnsi" w:hAnsiTheme="minorHAnsi"/>
          <w:sz w:val="24"/>
          <w:szCs w:val="24"/>
        </w:rPr>
        <w:t xml:space="preserve"> patient population. </w:t>
      </w:r>
    </w:p>
    <w:p w14:paraId="51FE1A71" w14:textId="7573780C" w:rsidR="0081573A" w:rsidRPr="004C590B" w:rsidRDefault="00064FF6" w:rsidP="00F847B0">
      <w:pPr>
        <w:pStyle w:val="ListParagraph"/>
        <w:widowControl/>
        <w:numPr>
          <w:ilvl w:val="1"/>
          <w:numId w:val="14"/>
        </w:numPr>
        <w:spacing w:before="120" w:after="120"/>
        <w:contextualSpacing w:val="0"/>
        <w:rPr>
          <w:rFonts w:asciiTheme="minorHAnsi" w:hAnsiTheme="minorHAnsi"/>
          <w:sz w:val="24"/>
          <w:szCs w:val="24"/>
        </w:rPr>
      </w:pPr>
      <w:r w:rsidRPr="004C590B">
        <w:rPr>
          <w:rFonts w:asciiTheme="minorHAnsi" w:hAnsiTheme="minorHAnsi"/>
          <w:sz w:val="24"/>
          <w:szCs w:val="24"/>
        </w:rPr>
        <w:t>The PBAC acknowledged that stable patients on continuing treatment</w:t>
      </w:r>
      <w:r w:rsidRPr="004C590B" w:rsidDel="00596F1A">
        <w:rPr>
          <w:rFonts w:asciiTheme="minorHAnsi" w:hAnsiTheme="minorHAnsi"/>
          <w:sz w:val="24"/>
          <w:szCs w:val="24"/>
        </w:rPr>
        <w:t xml:space="preserve"> </w:t>
      </w:r>
      <w:r w:rsidRPr="004C590B">
        <w:rPr>
          <w:rFonts w:asciiTheme="minorHAnsi" w:hAnsiTheme="minorHAnsi"/>
          <w:sz w:val="24"/>
          <w:szCs w:val="24"/>
        </w:rPr>
        <w:t xml:space="preserve">are currently required to schedule some medical appointments only to obtain prescriptions for ongoing treatment, and considered that increasing maximum repeats to align with the monitoring regime in these patients could be beneficial. However, the PBAC considered that increasing the repeats from </w:t>
      </w:r>
      <w:r w:rsidR="004C590B">
        <w:rPr>
          <w:rFonts w:asciiTheme="minorHAnsi" w:hAnsiTheme="minorHAnsi"/>
          <w:sz w:val="24"/>
          <w:szCs w:val="24"/>
        </w:rPr>
        <w:t xml:space="preserve">one </w:t>
      </w:r>
      <w:r w:rsidRPr="004C590B">
        <w:rPr>
          <w:rFonts w:asciiTheme="minorHAnsi" w:hAnsiTheme="minorHAnsi"/>
          <w:sz w:val="24"/>
          <w:szCs w:val="24"/>
        </w:rPr>
        <w:t xml:space="preserve">to </w:t>
      </w:r>
      <w:r w:rsidR="004C590B">
        <w:rPr>
          <w:rFonts w:asciiTheme="minorHAnsi" w:hAnsiTheme="minorHAnsi"/>
          <w:sz w:val="24"/>
          <w:szCs w:val="24"/>
        </w:rPr>
        <w:t xml:space="preserve">five </w:t>
      </w:r>
      <w:r w:rsidRPr="004C590B">
        <w:rPr>
          <w:rFonts w:asciiTheme="minorHAnsi" w:hAnsiTheme="minorHAnsi"/>
          <w:sz w:val="24"/>
          <w:szCs w:val="24"/>
        </w:rPr>
        <w:t xml:space="preserve">could inappropriately extend the treatment duration in some patients, </w:t>
      </w:r>
      <w:r w:rsidR="00FE7CCE">
        <w:rPr>
          <w:rFonts w:asciiTheme="minorHAnsi" w:hAnsiTheme="minorHAnsi"/>
          <w:sz w:val="24"/>
          <w:szCs w:val="24"/>
        </w:rPr>
        <w:t xml:space="preserve">with the risk of continuing an ineffective treatment and/or unmanaged toxicity, </w:t>
      </w:r>
      <w:r w:rsidRPr="004C590B">
        <w:rPr>
          <w:rFonts w:asciiTheme="minorHAnsi" w:hAnsiTheme="minorHAnsi"/>
          <w:sz w:val="24"/>
          <w:szCs w:val="24"/>
        </w:rPr>
        <w:t xml:space="preserve">and </w:t>
      </w:r>
      <w:r w:rsidR="00CE6AEA" w:rsidRPr="004C590B">
        <w:rPr>
          <w:rFonts w:asciiTheme="minorHAnsi" w:hAnsiTheme="minorHAnsi"/>
          <w:sz w:val="24"/>
          <w:szCs w:val="24"/>
        </w:rPr>
        <w:t xml:space="preserve">that </w:t>
      </w:r>
      <w:r w:rsidRPr="004C590B">
        <w:rPr>
          <w:rFonts w:asciiTheme="minorHAnsi" w:hAnsiTheme="minorHAnsi"/>
          <w:sz w:val="24"/>
          <w:szCs w:val="24"/>
        </w:rPr>
        <w:t xml:space="preserve">the impact on the cost effectiveness of </w:t>
      </w:r>
      <w:r w:rsidR="0081573A" w:rsidRPr="004C590B">
        <w:rPr>
          <w:rFonts w:asciiTheme="minorHAnsi" w:hAnsiTheme="minorHAnsi"/>
          <w:sz w:val="24"/>
          <w:szCs w:val="24"/>
        </w:rPr>
        <w:t xml:space="preserve">such </w:t>
      </w:r>
      <w:r w:rsidRPr="004C590B">
        <w:rPr>
          <w:rFonts w:asciiTheme="minorHAnsi" w:hAnsiTheme="minorHAnsi"/>
          <w:sz w:val="24"/>
          <w:szCs w:val="24"/>
        </w:rPr>
        <w:t xml:space="preserve">extended treatment is unclear. </w:t>
      </w:r>
    </w:p>
    <w:p w14:paraId="540C0F09" w14:textId="10D112D9" w:rsidR="0081573A" w:rsidRPr="004C590B" w:rsidRDefault="00064FF6" w:rsidP="00F847B0">
      <w:pPr>
        <w:pStyle w:val="ListParagraph"/>
        <w:widowControl/>
        <w:numPr>
          <w:ilvl w:val="1"/>
          <w:numId w:val="14"/>
        </w:numPr>
        <w:spacing w:before="120" w:after="120"/>
        <w:contextualSpacing w:val="0"/>
        <w:rPr>
          <w:rFonts w:asciiTheme="minorHAnsi" w:hAnsiTheme="minorHAnsi"/>
          <w:sz w:val="24"/>
          <w:szCs w:val="24"/>
        </w:rPr>
      </w:pPr>
      <w:r w:rsidRPr="004C590B">
        <w:rPr>
          <w:rFonts w:asciiTheme="minorHAnsi" w:hAnsiTheme="minorHAnsi"/>
          <w:sz w:val="24"/>
          <w:szCs w:val="24"/>
        </w:rPr>
        <w:t xml:space="preserve">The PBAC noted the recent utilisation data for </w:t>
      </w:r>
      <w:r w:rsidR="0081573A" w:rsidRPr="004C590B">
        <w:rPr>
          <w:rFonts w:asciiTheme="minorHAnsi" w:hAnsiTheme="minorHAnsi"/>
          <w:sz w:val="24"/>
          <w:szCs w:val="24"/>
        </w:rPr>
        <w:t>ALK-inhibitors</w:t>
      </w:r>
      <w:r w:rsidRPr="004C590B">
        <w:rPr>
          <w:rFonts w:asciiTheme="minorHAnsi" w:hAnsiTheme="minorHAnsi"/>
          <w:sz w:val="24"/>
          <w:szCs w:val="24"/>
        </w:rPr>
        <w:t xml:space="preserve"> </w:t>
      </w:r>
      <w:r w:rsidR="00C2578A" w:rsidRPr="004C590B">
        <w:rPr>
          <w:rFonts w:asciiTheme="minorHAnsi" w:hAnsiTheme="minorHAnsi"/>
          <w:sz w:val="24"/>
          <w:szCs w:val="24"/>
        </w:rPr>
        <w:t>across</w:t>
      </w:r>
      <w:r w:rsidRPr="004C590B">
        <w:rPr>
          <w:rFonts w:asciiTheme="minorHAnsi" w:hAnsiTheme="minorHAnsi"/>
          <w:sz w:val="24"/>
          <w:szCs w:val="24"/>
        </w:rPr>
        <w:t xml:space="preserve"> all lines of therapy</w:t>
      </w:r>
      <w:r w:rsidR="00C2578A" w:rsidRPr="004C590B">
        <w:rPr>
          <w:rFonts w:asciiTheme="minorHAnsi" w:hAnsiTheme="minorHAnsi"/>
          <w:sz w:val="24"/>
          <w:szCs w:val="24"/>
        </w:rPr>
        <w:t xml:space="preserve"> showed a</w:t>
      </w:r>
      <w:r w:rsidRPr="004C590B">
        <w:rPr>
          <w:rFonts w:asciiTheme="minorHAnsi" w:hAnsiTheme="minorHAnsi"/>
          <w:sz w:val="24"/>
          <w:szCs w:val="24"/>
        </w:rPr>
        <w:t xml:space="preserve"> steady </w:t>
      </w:r>
      <w:r w:rsidR="004C590B">
        <w:rPr>
          <w:rFonts w:asciiTheme="minorHAnsi" w:hAnsiTheme="minorHAnsi"/>
          <w:sz w:val="24"/>
          <w:szCs w:val="24"/>
        </w:rPr>
        <w:t xml:space="preserve">increase </w:t>
      </w:r>
      <w:r w:rsidRPr="004C590B">
        <w:rPr>
          <w:rFonts w:asciiTheme="minorHAnsi" w:hAnsiTheme="minorHAnsi"/>
          <w:sz w:val="24"/>
          <w:szCs w:val="24"/>
        </w:rPr>
        <w:t xml:space="preserve">in </w:t>
      </w:r>
      <w:r w:rsidR="00C2578A" w:rsidRPr="004C590B">
        <w:rPr>
          <w:rFonts w:asciiTheme="minorHAnsi" w:hAnsiTheme="minorHAnsi"/>
          <w:sz w:val="24"/>
          <w:szCs w:val="24"/>
        </w:rPr>
        <w:t xml:space="preserve">uptake, </w:t>
      </w:r>
      <w:r w:rsidR="00FF29F0" w:rsidRPr="004C590B">
        <w:rPr>
          <w:rFonts w:asciiTheme="minorHAnsi" w:hAnsiTheme="minorHAnsi"/>
          <w:sz w:val="24"/>
          <w:szCs w:val="24"/>
        </w:rPr>
        <w:t xml:space="preserve">particularly following the listing of </w:t>
      </w:r>
      <w:proofErr w:type="spellStart"/>
      <w:r w:rsidR="00FF29F0" w:rsidRPr="004C590B">
        <w:rPr>
          <w:rFonts w:asciiTheme="minorHAnsi" w:hAnsiTheme="minorHAnsi"/>
          <w:sz w:val="24"/>
          <w:szCs w:val="24"/>
        </w:rPr>
        <w:t>alectinib</w:t>
      </w:r>
      <w:proofErr w:type="spellEnd"/>
      <w:r w:rsidR="00C2578A" w:rsidRPr="004C590B">
        <w:rPr>
          <w:rFonts w:asciiTheme="minorHAnsi" w:hAnsiTheme="minorHAnsi"/>
          <w:sz w:val="24"/>
          <w:szCs w:val="24"/>
        </w:rPr>
        <w:t xml:space="preserve">. </w:t>
      </w:r>
      <w:r w:rsidR="00FE7CCE">
        <w:rPr>
          <w:rFonts w:asciiTheme="minorHAnsi" w:hAnsiTheme="minorHAnsi"/>
          <w:sz w:val="24"/>
          <w:szCs w:val="24"/>
        </w:rPr>
        <w:t>The PBAC also noted that there was a risk of leakage to other cancers with ALK gene rearrangement that were being identified through tumour whole genome mutation testing, where there was absence of robust evidence of effectiveness and cost-</w:t>
      </w:r>
      <w:r w:rsidR="00FE7CCE">
        <w:rPr>
          <w:rFonts w:asciiTheme="minorHAnsi" w:hAnsiTheme="minorHAnsi"/>
          <w:sz w:val="24"/>
          <w:szCs w:val="24"/>
        </w:rPr>
        <w:lastRenderedPageBreak/>
        <w:t xml:space="preserve">effectiveness. </w:t>
      </w:r>
      <w:r w:rsidR="00C2578A" w:rsidRPr="004C590B">
        <w:rPr>
          <w:rFonts w:asciiTheme="minorHAnsi" w:hAnsiTheme="minorHAnsi"/>
          <w:sz w:val="24"/>
          <w:szCs w:val="24"/>
        </w:rPr>
        <w:t>The PBAC</w:t>
      </w:r>
      <w:r w:rsidRPr="004C590B">
        <w:rPr>
          <w:rFonts w:asciiTheme="minorHAnsi" w:hAnsiTheme="minorHAnsi"/>
          <w:sz w:val="24"/>
          <w:szCs w:val="24"/>
        </w:rPr>
        <w:t xml:space="preserve"> advised that a</w:t>
      </w:r>
      <w:r w:rsidR="00FF29F0" w:rsidRPr="004C590B">
        <w:rPr>
          <w:rFonts w:asciiTheme="minorHAnsi" w:hAnsiTheme="minorHAnsi"/>
          <w:sz w:val="24"/>
          <w:szCs w:val="24"/>
        </w:rPr>
        <w:t xml:space="preserve">n </w:t>
      </w:r>
      <w:r w:rsidRPr="004C590B">
        <w:rPr>
          <w:rFonts w:asciiTheme="minorHAnsi" w:hAnsiTheme="minorHAnsi"/>
          <w:sz w:val="24"/>
          <w:szCs w:val="24"/>
        </w:rPr>
        <w:t>Authority</w:t>
      </w:r>
      <w:r w:rsidR="00FF29F0" w:rsidRPr="004C590B">
        <w:rPr>
          <w:rFonts w:asciiTheme="minorHAnsi" w:hAnsiTheme="minorHAnsi"/>
          <w:sz w:val="24"/>
          <w:szCs w:val="24"/>
        </w:rPr>
        <w:t xml:space="preserve"> Required (STREAMLINED)</w:t>
      </w:r>
      <w:r w:rsidRPr="004C590B">
        <w:rPr>
          <w:rFonts w:asciiTheme="minorHAnsi" w:hAnsiTheme="minorHAnsi"/>
          <w:sz w:val="24"/>
          <w:szCs w:val="24"/>
        </w:rPr>
        <w:t xml:space="preserve"> listing would be inappropriate at this time</w:t>
      </w:r>
      <w:r w:rsidR="0081573A" w:rsidRPr="004C590B">
        <w:rPr>
          <w:rFonts w:asciiTheme="minorHAnsi" w:hAnsiTheme="minorHAnsi"/>
          <w:sz w:val="24"/>
          <w:szCs w:val="24"/>
        </w:rPr>
        <w:t xml:space="preserve"> until the ALK-inhibitor market had stabilised. </w:t>
      </w:r>
    </w:p>
    <w:p w14:paraId="122AB092" w14:textId="1E7CA665" w:rsidR="008A05A6" w:rsidRDefault="008A05A6" w:rsidP="00F847B0">
      <w:pPr>
        <w:pStyle w:val="ListParagraph"/>
        <w:widowControl/>
        <w:numPr>
          <w:ilvl w:val="1"/>
          <w:numId w:val="14"/>
        </w:numPr>
        <w:spacing w:before="120" w:after="120"/>
        <w:contextualSpacing w:val="0"/>
        <w:rPr>
          <w:rFonts w:asciiTheme="minorHAnsi" w:hAnsiTheme="minorHAnsi"/>
          <w:sz w:val="24"/>
          <w:szCs w:val="24"/>
        </w:rPr>
      </w:pPr>
      <w:r w:rsidRPr="004C590B">
        <w:rPr>
          <w:rFonts w:asciiTheme="minorHAnsi" w:hAnsiTheme="minorHAnsi"/>
          <w:sz w:val="24"/>
          <w:szCs w:val="24"/>
        </w:rPr>
        <w:t>The PBAC noted that it would</w:t>
      </w:r>
      <w:r w:rsidR="00FF29F0" w:rsidRPr="004C590B">
        <w:rPr>
          <w:rFonts w:asciiTheme="minorHAnsi" w:hAnsiTheme="minorHAnsi"/>
          <w:sz w:val="24"/>
          <w:szCs w:val="24"/>
        </w:rPr>
        <w:t xml:space="preserve"> be willing to</w:t>
      </w:r>
      <w:r w:rsidRPr="004C590B">
        <w:rPr>
          <w:rFonts w:asciiTheme="minorHAnsi" w:hAnsiTheme="minorHAnsi"/>
          <w:sz w:val="24"/>
          <w:szCs w:val="24"/>
        </w:rPr>
        <w:t xml:space="preserve"> reconsider a future request for</w:t>
      </w:r>
      <w:r w:rsidR="008A194A" w:rsidRPr="004C590B">
        <w:rPr>
          <w:rFonts w:asciiTheme="minorHAnsi" w:hAnsiTheme="minorHAnsi"/>
          <w:sz w:val="24"/>
          <w:szCs w:val="24"/>
        </w:rPr>
        <w:t xml:space="preserve"> </w:t>
      </w:r>
      <w:r w:rsidRPr="004C590B">
        <w:rPr>
          <w:rFonts w:asciiTheme="minorHAnsi" w:hAnsiTheme="minorHAnsi"/>
          <w:sz w:val="24"/>
          <w:szCs w:val="24"/>
        </w:rPr>
        <w:t>lowering the authority level and increas</w:t>
      </w:r>
      <w:r w:rsidR="00FF29F0" w:rsidRPr="004C590B">
        <w:rPr>
          <w:rFonts w:asciiTheme="minorHAnsi" w:hAnsiTheme="minorHAnsi"/>
          <w:sz w:val="24"/>
          <w:szCs w:val="24"/>
        </w:rPr>
        <w:t>ing</w:t>
      </w:r>
      <w:r w:rsidRPr="004C590B">
        <w:rPr>
          <w:rFonts w:asciiTheme="minorHAnsi" w:hAnsiTheme="minorHAnsi"/>
          <w:sz w:val="24"/>
          <w:szCs w:val="24"/>
        </w:rPr>
        <w:t xml:space="preserve"> repeats for continuing treatment when</w:t>
      </w:r>
      <w:r w:rsidR="00497D15" w:rsidRPr="004C590B">
        <w:rPr>
          <w:rFonts w:asciiTheme="minorHAnsi" w:hAnsiTheme="minorHAnsi"/>
          <w:sz w:val="24"/>
          <w:szCs w:val="24"/>
        </w:rPr>
        <w:t xml:space="preserve"> longer-</w:t>
      </w:r>
      <w:r w:rsidRPr="004C590B">
        <w:rPr>
          <w:rFonts w:asciiTheme="minorHAnsi" w:hAnsiTheme="minorHAnsi"/>
          <w:sz w:val="24"/>
          <w:szCs w:val="24"/>
        </w:rPr>
        <w:t>term PBS utilisation data</w:t>
      </w:r>
      <w:r w:rsidR="008A194A" w:rsidRPr="004C590B">
        <w:rPr>
          <w:rFonts w:asciiTheme="minorHAnsi" w:hAnsiTheme="minorHAnsi"/>
          <w:sz w:val="24"/>
          <w:szCs w:val="24"/>
        </w:rPr>
        <w:t xml:space="preserve"> (at least 24 months) </w:t>
      </w:r>
      <w:r w:rsidRPr="004C590B">
        <w:rPr>
          <w:rFonts w:asciiTheme="minorHAnsi" w:hAnsiTheme="minorHAnsi"/>
          <w:sz w:val="24"/>
          <w:szCs w:val="24"/>
        </w:rPr>
        <w:t xml:space="preserve">is available for </w:t>
      </w:r>
      <w:proofErr w:type="spellStart"/>
      <w:r w:rsidRPr="004C590B">
        <w:rPr>
          <w:rFonts w:asciiTheme="minorHAnsi" w:hAnsiTheme="minorHAnsi"/>
          <w:sz w:val="24"/>
          <w:szCs w:val="24"/>
        </w:rPr>
        <w:t>alectinib</w:t>
      </w:r>
      <w:proofErr w:type="spellEnd"/>
      <w:r w:rsidRPr="004C590B">
        <w:rPr>
          <w:rFonts w:asciiTheme="minorHAnsi" w:hAnsiTheme="minorHAnsi"/>
          <w:sz w:val="24"/>
          <w:szCs w:val="24"/>
        </w:rPr>
        <w:t xml:space="preserve">. The PBAC </w:t>
      </w:r>
      <w:r w:rsidR="000F4523" w:rsidRPr="004C590B">
        <w:rPr>
          <w:rFonts w:asciiTheme="minorHAnsi" w:hAnsiTheme="minorHAnsi"/>
          <w:sz w:val="24"/>
          <w:szCs w:val="24"/>
        </w:rPr>
        <w:t xml:space="preserve">advised that </w:t>
      </w:r>
      <w:r w:rsidRPr="004C590B">
        <w:rPr>
          <w:rFonts w:asciiTheme="minorHAnsi" w:hAnsiTheme="minorHAnsi"/>
          <w:sz w:val="24"/>
          <w:szCs w:val="24"/>
        </w:rPr>
        <w:t xml:space="preserve">such a request would also need to </w:t>
      </w:r>
      <w:proofErr w:type="gramStart"/>
      <w:r w:rsidR="000F4523" w:rsidRPr="004C590B">
        <w:rPr>
          <w:rFonts w:asciiTheme="minorHAnsi" w:hAnsiTheme="minorHAnsi"/>
          <w:sz w:val="24"/>
          <w:szCs w:val="24"/>
        </w:rPr>
        <w:t>be considered</w:t>
      </w:r>
      <w:proofErr w:type="gramEnd"/>
      <w:r w:rsidR="000F4523" w:rsidRPr="004C590B">
        <w:rPr>
          <w:rFonts w:asciiTheme="minorHAnsi" w:hAnsiTheme="minorHAnsi"/>
          <w:sz w:val="24"/>
          <w:szCs w:val="24"/>
        </w:rPr>
        <w:t xml:space="preserve"> in the context of</w:t>
      </w:r>
      <w:r w:rsidRPr="004C590B">
        <w:rPr>
          <w:rFonts w:asciiTheme="minorHAnsi" w:hAnsiTheme="minorHAnsi"/>
          <w:sz w:val="24"/>
          <w:szCs w:val="24"/>
        </w:rPr>
        <w:t xml:space="preserve"> changes to ot</w:t>
      </w:r>
      <w:r w:rsidR="003712D6" w:rsidRPr="004C590B">
        <w:rPr>
          <w:rFonts w:asciiTheme="minorHAnsi" w:hAnsiTheme="minorHAnsi"/>
          <w:sz w:val="24"/>
          <w:szCs w:val="24"/>
        </w:rPr>
        <w:t xml:space="preserve">her PBS-listed </w:t>
      </w:r>
      <w:r w:rsidR="006F5D2B" w:rsidRPr="004C590B">
        <w:rPr>
          <w:rFonts w:asciiTheme="minorHAnsi" w:hAnsiTheme="minorHAnsi"/>
          <w:sz w:val="24"/>
          <w:szCs w:val="24"/>
        </w:rPr>
        <w:t>ALK-in</w:t>
      </w:r>
      <w:r w:rsidR="003712D6" w:rsidRPr="004C590B">
        <w:rPr>
          <w:rFonts w:asciiTheme="minorHAnsi" w:hAnsiTheme="minorHAnsi"/>
          <w:sz w:val="24"/>
          <w:szCs w:val="24"/>
        </w:rPr>
        <w:t>hibitors for this condition</w:t>
      </w:r>
      <w:r w:rsidR="0081573A" w:rsidRPr="004C590B">
        <w:rPr>
          <w:rFonts w:asciiTheme="minorHAnsi" w:hAnsiTheme="minorHAnsi"/>
          <w:sz w:val="24"/>
          <w:szCs w:val="24"/>
        </w:rPr>
        <w:t xml:space="preserve"> including </w:t>
      </w:r>
      <w:proofErr w:type="spellStart"/>
      <w:r w:rsidR="0081573A" w:rsidRPr="004C590B">
        <w:rPr>
          <w:rFonts w:asciiTheme="minorHAnsi" w:hAnsiTheme="minorHAnsi"/>
          <w:sz w:val="24"/>
          <w:szCs w:val="24"/>
        </w:rPr>
        <w:t>ceritinib</w:t>
      </w:r>
      <w:proofErr w:type="spellEnd"/>
      <w:r w:rsidR="0081573A" w:rsidRPr="004C590B">
        <w:rPr>
          <w:rFonts w:asciiTheme="minorHAnsi" w:hAnsiTheme="minorHAnsi"/>
          <w:sz w:val="24"/>
          <w:szCs w:val="24"/>
        </w:rPr>
        <w:t xml:space="preserve"> and </w:t>
      </w:r>
      <w:proofErr w:type="spellStart"/>
      <w:r w:rsidR="0081573A" w:rsidRPr="004C590B">
        <w:rPr>
          <w:rFonts w:asciiTheme="minorHAnsi" w:hAnsiTheme="minorHAnsi"/>
          <w:sz w:val="24"/>
          <w:szCs w:val="24"/>
        </w:rPr>
        <w:t>crizotinib</w:t>
      </w:r>
      <w:proofErr w:type="spellEnd"/>
      <w:r w:rsidR="003712D6" w:rsidRPr="004C590B">
        <w:rPr>
          <w:rFonts w:asciiTheme="minorHAnsi" w:hAnsiTheme="minorHAnsi"/>
          <w:sz w:val="24"/>
          <w:szCs w:val="24"/>
        </w:rPr>
        <w:t>.</w:t>
      </w:r>
    </w:p>
    <w:p w14:paraId="2F084211" w14:textId="6328CAAD" w:rsidR="00FE134B" w:rsidRPr="00FE134B" w:rsidRDefault="00FE134B" w:rsidP="00F847B0">
      <w:pPr>
        <w:pStyle w:val="ListParagraph"/>
        <w:numPr>
          <w:ilvl w:val="1"/>
          <w:numId w:val="14"/>
        </w:numPr>
        <w:spacing w:before="120" w:after="12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noted that this submission is not eligible for an Independent Review </w:t>
      </w:r>
      <w:r w:rsidRPr="00FE134B">
        <w:rPr>
          <w:rFonts w:asciiTheme="minorHAnsi" w:eastAsiaTheme="minorHAnsi" w:hAnsiTheme="minorHAnsi" w:cstheme="minorBidi"/>
          <w:snapToGrid/>
          <w:sz w:val="24"/>
          <w:szCs w:val="22"/>
        </w:rPr>
        <w:t>as the request is not for an entirely different disease or condition, an objectively different</w:t>
      </w:r>
      <w:r>
        <w:rPr>
          <w:rFonts w:asciiTheme="minorHAnsi" w:eastAsiaTheme="minorHAnsi" w:hAnsiTheme="minorHAnsi" w:cstheme="minorBidi"/>
          <w:snapToGrid/>
          <w:sz w:val="24"/>
          <w:szCs w:val="22"/>
        </w:rPr>
        <w:t xml:space="preserve"> subtype of the same disease(s), </w:t>
      </w:r>
      <w:r w:rsidRPr="00FE134B">
        <w:rPr>
          <w:rFonts w:asciiTheme="minorHAnsi" w:eastAsiaTheme="minorHAnsi" w:hAnsiTheme="minorHAnsi" w:cstheme="minorBidi"/>
          <w:snapToGrid/>
          <w:sz w:val="24"/>
          <w:szCs w:val="22"/>
        </w:rPr>
        <w:t xml:space="preserve">or targeting a different population or disease stage. </w:t>
      </w:r>
    </w:p>
    <w:p w14:paraId="136040B2" w14:textId="77777777" w:rsidR="008F7F5F" w:rsidRPr="00FB62AC" w:rsidRDefault="008F7F5F" w:rsidP="00F847B0">
      <w:pPr>
        <w:spacing w:before="120" w:after="120"/>
        <w:jc w:val="both"/>
        <w:rPr>
          <w:rFonts w:asciiTheme="minorHAnsi" w:hAnsiTheme="minorHAnsi" w:cs="Arial"/>
          <w:b/>
          <w:bCs/>
          <w:snapToGrid w:val="0"/>
        </w:rPr>
      </w:pPr>
      <w:r w:rsidRPr="00FB62AC">
        <w:rPr>
          <w:rFonts w:asciiTheme="minorHAnsi" w:hAnsiTheme="minorHAnsi" w:cs="Arial"/>
          <w:b/>
          <w:bCs/>
          <w:snapToGrid w:val="0"/>
        </w:rPr>
        <w:t>Outcome:</w:t>
      </w:r>
    </w:p>
    <w:p w14:paraId="57106FA3" w14:textId="702C18A8" w:rsidR="008F7F5F" w:rsidRPr="00FB62AC" w:rsidRDefault="007362E6" w:rsidP="00F847B0">
      <w:pPr>
        <w:spacing w:before="120" w:after="120"/>
        <w:jc w:val="both"/>
        <w:rPr>
          <w:rFonts w:asciiTheme="minorHAnsi" w:hAnsiTheme="minorHAnsi" w:cs="Arial"/>
          <w:bCs/>
          <w:snapToGrid w:val="0"/>
        </w:rPr>
      </w:pPr>
      <w:r w:rsidRPr="00FB62AC">
        <w:rPr>
          <w:rFonts w:asciiTheme="minorHAnsi" w:hAnsiTheme="minorHAnsi" w:cs="Arial"/>
          <w:bCs/>
          <w:snapToGrid w:val="0"/>
        </w:rPr>
        <w:t xml:space="preserve">Rejected </w:t>
      </w:r>
    </w:p>
    <w:p w14:paraId="40437C16" w14:textId="6987C310" w:rsidR="003A2C81" w:rsidRPr="003A2C81" w:rsidRDefault="003A2C81" w:rsidP="00F847B0">
      <w:pPr>
        <w:pStyle w:val="Heading1"/>
        <w:keepNext/>
        <w:keepLines/>
        <w:widowControl/>
        <w:numPr>
          <w:ilvl w:val="0"/>
          <w:numId w:val="14"/>
        </w:numPr>
        <w:spacing w:before="120" w:after="120"/>
        <w:ind w:left="709" w:hanging="709"/>
        <w:contextualSpacing w:val="0"/>
        <w:jc w:val="left"/>
        <w:rPr>
          <w:rFonts w:asciiTheme="minorHAnsi" w:hAnsiTheme="minorHAnsi"/>
          <w:bCs/>
          <w:sz w:val="32"/>
        </w:rPr>
      </w:pPr>
      <w:r w:rsidRPr="003A2C81">
        <w:rPr>
          <w:rFonts w:asciiTheme="minorHAnsi" w:hAnsiTheme="minorHAnsi"/>
          <w:bCs/>
          <w:sz w:val="32"/>
        </w:rPr>
        <w:t>Context for Decision</w:t>
      </w:r>
    </w:p>
    <w:p w14:paraId="21472799" w14:textId="47D0FC65" w:rsidR="003A2C81" w:rsidRPr="008B051B" w:rsidRDefault="003A2C81" w:rsidP="00F847B0">
      <w:pPr>
        <w:spacing w:before="120" w:after="120"/>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41C6CA1C" w14:textId="26D61A35" w:rsidR="003A2C81" w:rsidRPr="003A2C81" w:rsidRDefault="003A2C81" w:rsidP="00F847B0">
      <w:pPr>
        <w:pStyle w:val="Heading1"/>
        <w:keepNext/>
        <w:keepLines/>
        <w:widowControl/>
        <w:numPr>
          <w:ilvl w:val="0"/>
          <w:numId w:val="14"/>
        </w:numPr>
        <w:spacing w:before="120" w:after="120"/>
        <w:ind w:left="709" w:hanging="709"/>
        <w:contextualSpacing w:val="0"/>
        <w:jc w:val="left"/>
        <w:rPr>
          <w:rFonts w:asciiTheme="minorHAnsi" w:hAnsiTheme="minorHAnsi"/>
          <w:bCs/>
          <w:sz w:val="32"/>
        </w:rPr>
      </w:pPr>
      <w:r w:rsidRPr="003A2C81">
        <w:rPr>
          <w:rFonts w:asciiTheme="minorHAnsi" w:hAnsiTheme="minorHAnsi"/>
          <w:bCs/>
          <w:sz w:val="32"/>
        </w:rPr>
        <w:t>Sponsor’s Comment</w:t>
      </w:r>
    </w:p>
    <w:p w14:paraId="6BE88455" w14:textId="42A86200" w:rsidR="00F64CC1" w:rsidRPr="00F847B0" w:rsidRDefault="00295794" w:rsidP="00F847B0">
      <w:pPr>
        <w:spacing w:before="120" w:after="120"/>
        <w:ind w:left="709"/>
        <w:jc w:val="both"/>
        <w:rPr>
          <w:rFonts w:asciiTheme="minorHAnsi" w:hAnsiTheme="minorHAnsi" w:cs="Arial"/>
        </w:rPr>
      </w:pPr>
      <w:r w:rsidRPr="00122B44">
        <w:rPr>
          <w:rFonts w:asciiTheme="minorHAnsi" w:hAnsiTheme="minorHAnsi" w:cs="Arial"/>
        </w:rPr>
        <w:t>Roche is disappointed with the decision and is committed to ensuring optimal outcomes for patients with ALK-positive NSCLC. Roche put forward this application based on patient and clinical community feedback on the current PBS listing. Roche will work with the relevant stakeholders to progress a future change to the PBS listing.</w:t>
      </w:r>
      <w:r>
        <w:rPr>
          <w:rFonts w:asciiTheme="minorHAnsi" w:hAnsiTheme="minorHAnsi" w:cs="Arial"/>
        </w:rPr>
        <w:t xml:space="preserve"> </w:t>
      </w:r>
    </w:p>
    <w:sectPr w:rsidR="00F64CC1" w:rsidRPr="00F847B0"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9D4CD" w14:textId="77777777" w:rsidR="006D6D5E" w:rsidRDefault="006D6D5E">
      <w:r>
        <w:separator/>
      </w:r>
    </w:p>
    <w:p w14:paraId="1F25798B" w14:textId="77777777" w:rsidR="006D6D5E" w:rsidRDefault="006D6D5E"/>
  </w:endnote>
  <w:endnote w:type="continuationSeparator" w:id="0">
    <w:p w14:paraId="5661CBAC" w14:textId="77777777" w:rsidR="006D6D5E" w:rsidRDefault="006D6D5E">
      <w:r>
        <w:continuationSeparator/>
      </w:r>
    </w:p>
    <w:p w14:paraId="00CF5D61" w14:textId="77777777" w:rsidR="006D6D5E" w:rsidRDefault="006D6D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D5E" w14:paraId="1751F1B5" w14:textId="77777777" w:rsidTr="005A3173">
      <w:trPr>
        <w:trHeight w:val="151"/>
      </w:trPr>
      <w:tc>
        <w:tcPr>
          <w:tcW w:w="2250" w:type="pct"/>
          <w:tcBorders>
            <w:top w:val="nil"/>
            <w:left w:val="nil"/>
            <w:bottom w:val="single" w:sz="4" w:space="0" w:color="4F81BD"/>
            <w:right w:val="nil"/>
          </w:tcBorders>
        </w:tcPr>
        <w:p w14:paraId="30CBEB71" w14:textId="77777777" w:rsidR="006D6D5E" w:rsidRPr="005A3173" w:rsidRDefault="006D6D5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A142E30" w14:textId="77777777" w:rsidR="006D6D5E" w:rsidRPr="005A3173" w:rsidRDefault="006D6D5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33C9CA4" w14:textId="77777777" w:rsidR="006D6D5E" w:rsidRPr="005A3173" w:rsidRDefault="006D6D5E" w:rsidP="005A3173">
          <w:pPr>
            <w:pStyle w:val="Header"/>
            <w:spacing w:line="276" w:lineRule="auto"/>
            <w:rPr>
              <w:rFonts w:ascii="Calibri" w:eastAsia="MS Gothic" w:hAnsi="Calibri"/>
              <w:b/>
              <w:bCs/>
              <w:color w:val="4F81BD"/>
            </w:rPr>
          </w:pPr>
        </w:p>
      </w:tc>
    </w:tr>
    <w:tr w:rsidR="006D6D5E" w14:paraId="64773A7C" w14:textId="77777777" w:rsidTr="005A3173">
      <w:trPr>
        <w:trHeight w:val="150"/>
      </w:trPr>
      <w:tc>
        <w:tcPr>
          <w:tcW w:w="2250" w:type="pct"/>
          <w:tcBorders>
            <w:top w:val="single" w:sz="4" w:space="0" w:color="4F81BD"/>
            <w:left w:val="nil"/>
            <w:bottom w:val="nil"/>
            <w:right w:val="nil"/>
          </w:tcBorders>
        </w:tcPr>
        <w:p w14:paraId="3DB27416" w14:textId="77777777" w:rsidR="006D6D5E" w:rsidRPr="005A3173" w:rsidRDefault="006D6D5E" w:rsidP="005A3173">
          <w:pPr>
            <w:pStyle w:val="Header"/>
            <w:spacing w:line="276" w:lineRule="auto"/>
            <w:rPr>
              <w:rFonts w:ascii="Calibri" w:eastAsia="MS Gothic" w:hAnsi="Calibri"/>
              <w:b/>
              <w:bCs/>
              <w:color w:val="4F81BD"/>
            </w:rPr>
          </w:pPr>
        </w:p>
      </w:tc>
      <w:tc>
        <w:tcPr>
          <w:tcW w:w="0" w:type="auto"/>
          <w:vMerge/>
          <w:vAlign w:val="center"/>
          <w:hideMark/>
        </w:tcPr>
        <w:p w14:paraId="021C46D7" w14:textId="77777777" w:rsidR="006D6D5E" w:rsidRPr="005A3173" w:rsidRDefault="006D6D5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11D6473A" w14:textId="77777777" w:rsidR="006D6D5E" w:rsidRPr="005A3173" w:rsidRDefault="006D6D5E" w:rsidP="005A3173">
          <w:pPr>
            <w:pStyle w:val="Header"/>
            <w:spacing w:line="276" w:lineRule="auto"/>
            <w:rPr>
              <w:rFonts w:ascii="Calibri" w:eastAsia="MS Gothic" w:hAnsi="Calibri"/>
              <w:b/>
              <w:bCs/>
              <w:color w:val="4F81BD"/>
            </w:rPr>
          </w:pPr>
        </w:p>
      </w:tc>
    </w:tr>
  </w:tbl>
  <w:p w14:paraId="4D0BA3A7" w14:textId="77777777" w:rsidR="006D6D5E" w:rsidRDefault="006D6D5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921A21" w14:textId="77777777" w:rsidR="006D6D5E" w:rsidRDefault="006D6D5E">
    <w:pPr>
      <w:pStyle w:val="Footer"/>
    </w:pPr>
  </w:p>
  <w:p w14:paraId="4A01435F" w14:textId="77777777" w:rsidR="006D6D5E" w:rsidRDefault="006D6D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99042"/>
      <w:docPartObj>
        <w:docPartGallery w:val="Page Numbers (Bottom of Page)"/>
        <w:docPartUnique/>
      </w:docPartObj>
    </w:sdtPr>
    <w:sdtEndPr>
      <w:rPr>
        <w:b/>
        <w:noProof/>
      </w:rPr>
    </w:sdtEndPr>
    <w:sdtContent>
      <w:p w14:paraId="00FA383D" w14:textId="57434B5A" w:rsidR="006D6D5E" w:rsidRPr="00C9668E" w:rsidRDefault="006D6D5E" w:rsidP="00C9668E">
        <w:pPr>
          <w:pStyle w:val="Footer"/>
          <w:jc w:val="center"/>
          <w:rPr>
            <w:b/>
          </w:rPr>
        </w:pPr>
        <w:r w:rsidRPr="003B2EE7">
          <w:rPr>
            <w:rFonts w:asciiTheme="minorHAnsi" w:hAnsiTheme="minorHAnsi" w:cstheme="minorHAnsi"/>
            <w:b/>
          </w:rPr>
          <w:fldChar w:fldCharType="begin"/>
        </w:r>
        <w:r w:rsidRPr="003B2EE7">
          <w:rPr>
            <w:rFonts w:asciiTheme="minorHAnsi" w:hAnsiTheme="minorHAnsi" w:cstheme="minorHAnsi"/>
            <w:b/>
          </w:rPr>
          <w:instrText xml:space="preserve"> PAGE   \* MERGEFORMAT </w:instrText>
        </w:r>
        <w:r w:rsidRPr="003B2EE7">
          <w:rPr>
            <w:rFonts w:asciiTheme="minorHAnsi" w:hAnsiTheme="minorHAnsi" w:cstheme="minorHAnsi"/>
            <w:b/>
          </w:rPr>
          <w:fldChar w:fldCharType="separate"/>
        </w:r>
        <w:r w:rsidR="00067E77">
          <w:rPr>
            <w:rFonts w:asciiTheme="minorHAnsi" w:hAnsiTheme="minorHAnsi" w:cstheme="minorHAnsi"/>
            <w:b/>
            <w:noProof/>
          </w:rPr>
          <w:t>6</w:t>
        </w:r>
        <w:r w:rsidRPr="003B2EE7">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D6D5E" w14:paraId="683206F0" w14:textId="77777777" w:rsidTr="005A3173">
      <w:trPr>
        <w:trHeight w:val="151"/>
      </w:trPr>
      <w:tc>
        <w:tcPr>
          <w:tcW w:w="2250" w:type="pct"/>
          <w:tcBorders>
            <w:top w:val="nil"/>
            <w:left w:val="nil"/>
            <w:bottom w:val="single" w:sz="4" w:space="0" w:color="4F81BD"/>
            <w:right w:val="nil"/>
          </w:tcBorders>
        </w:tcPr>
        <w:p w14:paraId="7DE09641" w14:textId="77777777" w:rsidR="006D6D5E" w:rsidRPr="005A3173" w:rsidRDefault="006D6D5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2BF13FDD" w14:textId="77777777" w:rsidR="006D6D5E" w:rsidRPr="005A3173" w:rsidRDefault="006D6D5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12BCBB0" w14:textId="77777777" w:rsidR="006D6D5E" w:rsidRPr="005A3173" w:rsidRDefault="006D6D5E" w:rsidP="005A3173">
          <w:pPr>
            <w:pStyle w:val="Header"/>
            <w:spacing w:line="276" w:lineRule="auto"/>
            <w:rPr>
              <w:rFonts w:ascii="Calibri" w:eastAsia="MS Gothic" w:hAnsi="Calibri"/>
              <w:b/>
              <w:bCs/>
              <w:color w:val="4F81BD"/>
            </w:rPr>
          </w:pPr>
        </w:p>
      </w:tc>
    </w:tr>
    <w:tr w:rsidR="006D6D5E" w14:paraId="55577AFA" w14:textId="77777777" w:rsidTr="005A3173">
      <w:trPr>
        <w:trHeight w:val="150"/>
      </w:trPr>
      <w:tc>
        <w:tcPr>
          <w:tcW w:w="2250" w:type="pct"/>
          <w:tcBorders>
            <w:top w:val="single" w:sz="4" w:space="0" w:color="4F81BD"/>
            <w:left w:val="nil"/>
            <w:bottom w:val="nil"/>
            <w:right w:val="nil"/>
          </w:tcBorders>
        </w:tcPr>
        <w:p w14:paraId="62410385" w14:textId="77777777" w:rsidR="006D6D5E" w:rsidRPr="005A3173" w:rsidRDefault="006D6D5E" w:rsidP="005A3173">
          <w:pPr>
            <w:pStyle w:val="Header"/>
            <w:spacing w:line="276" w:lineRule="auto"/>
            <w:rPr>
              <w:rFonts w:ascii="Calibri" w:eastAsia="MS Gothic" w:hAnsi="Calibri"/>
              <w:b/>
              <w:bCs/>
              <w:color w:val="4F81BD"/>
            </w:rPr>
          </w:pPr>
        </w:p>
      </w:tc>
      <w:tc>
        <w:tcPr>
          <w:tcW w:w="0" w:type="auto"/>
          <w:vMerge/>
          <w:vAlign w:val="center"/>
          <w:hideMark/>
        </w:tcPr>
        <w:p w14:paraId="7330F974" w14:textId="77777777" w:rsidR="006D6D5E" w:rsidRPr="005A3173" w:rsidRDefault="006D6D5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38DEC5CF" w14:textId="77777777" w:rsidR="006D6D5E" w:rsidRPr="005A3173" w:rsidRDefault="006D6D5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D6D5E" w14:paraId="38C5A0BC" w14:textId="77777777" w:rsidTr="005A3173">
      <w:trPr>
        <w:trHeight w:val="151"/>
      </w:trPr>
      <w:tc>
        <w:tcPr>
          <w:tcW w:w="2250" w:type="pct"/>
          <w:tcBorders>
            <w:top w:val="nil"/>
            <w:left w:val="nil"/>
            <w:bottom w:val="single" w:sz="4" w:space="0" w:color="4F81BD"/>
            <w:right w:val="nil"/>
          </w:tcBorders>
        </w:tcPr>
        <w:p w14:paraId="1815AE6D" w14:textId="77777777" w:rsidR="006D6D5E" w:rsidRPr="005A3173" w:rsidRDefault="006D6D5E"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2D14AC4" w14:textId="77777777" w:rsidR="006D6D5E" w:rsidRPr="005A3173" w:rsidRDefault="006D6D5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22DF967" w14:textId="77777777" w:rsidR="006D6D5E" w:rsidRPr="005A3173" w:rsidRDefault="006D6D5E" w:rsidP="005A3173">
          <w:pPr>
            <w:pStyle w:val="Header"/>
            <w:spacing w:line="276" w:lineRule="auto"/>
            <w:rPr>
              <w:rFonts w:ascii="Calibri" w:eastAsia="MS Gothic" w:hAnsi="Calibri"/>
              <w:b/>
              <w:bCs/>
              <w:color w:val="4F81BD"/>
            </w:rPr>
          </w:pPr>
        </w:p>
      </w:tc>
    </w:tr>
    <w:tr w:rsidR="006D6D5E" w14:paraId="2D76B5B5" w14:textId="77777777" w:rsidTr="005A3173">
      <w:trPr>
        <w:trHeight w:val="150"/>
      </w:trPr>
      <w:tc>
        <w:tcPr>
          <w:tcW w:w="2250" w:type="pct"/>
          <w:tcBorders>
            <w:top w:val="single" w:sz="4" w:space="0" w:color="4F81BD"/>
            <w:left w:val="nil"/>
            <w:bottom w:val="nil"/>
            <w:right w:val="nil"/>
          </w:tcBorders>
        </w:tcPr>
        <w:p w14:paraId="10B42E9C" w14:textId="77777777" w:rsidR="006D6D5E" w:rsidRPr="005A3173" w:rsidRDefault="006D6D5E" w:rsidP="005A3173">
          <w:pPr>
            <w:pStyle w:val="Header"/>
            <w:spacing w:line="276" w:lineRule="auto"/>
            <w:rPr>
              <w:rFonts w:ascii="Calibri" w:eastAsia="MS Gothic" w:hAnsi="Calibri"/>
              <w:b/>
              <w:bCs/>
              <w:color w:val="4F81BD"/>
            </w:rPr>
          </w:pPr>
        </w:p>
      </w:tc>
      <w:tc>
        <w:tcPr>
          <w:tcW w:w="0" w:type="auto"/>
          <w:vMerge/>
          <w:vAlign w:val="center"/>
          <w:hideMark/>
        </w:tcPr>
        <w:p w14:paraId="6B6CC6C6" w14:textId="77777777" w:rsidR="006D6D5E" w:rsidRPr="005A3173" w:rsidRDefault="006D6D5E" w:rsidP="005A3173">
          <w:pPr>
            <w:rPr>
              <w:rFonts w:ascii="Calibri" w:hAnsi="Calibri"/>
              <w:color w:val="365F91"/>
              <w:sz w:val="22"/>
              <w:szCs w:val="22"/>
            </w:rPr>
          </w:pPr>
        </w:p>
      </w:tc>
      <w:tc>
        <w:tcPr>
          <w:tcW w:w="2250" w:type="pct"/>
          <w:tcBorders>
            <w:top w:val="single" w:sz="4" w:space="0" w:color="4F81BD"/>
            <w:left w:val="nil"/>
            <w:bottom w:val="nil"/>
            <w:right w:val="nil"/>
          </w:tcBorders>
        </w:tcPr>
        <w:p w14:paraId="47128B4C" w14:textId="77777777" w:rsidR="006D6D5E" w:rsidRPr="005A3173" w:rsidRDefault="006D6D5E" w:rsidP="005A3173">
          <w:pPr>
            <w:pStyle w:val="Header"/>
            <w:spacing w:line="276" w:lineRule="auto"/>
            <w:rPr>
              <w:rFonts w:ascii="Calibri" w:eastAsia="MS Gothic" w:hAnsi="Calibri"/>
              <w:b/>
              <w:bCs/>
              <w:color w:val="4F81BD"/>
            </w:rPr>
          </w:pPr>
        </w:p>
      </w:tc>
    </w:tr>
  </w:tbl>
  <w:p w14:paraId="3E25A517" w14:textId="77777777" w:rsidR="006D6D5E" w:rsidRPr="007C0F57" w:rsidRDefault="006D6D5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453B3002" w14:textId="77777777" w:rsidR="006D6D5E" w:rsidRPr="007C0F57" w:rsidRDefault="006D6D5E" w:rsidP="007C0F57">
    <w:pPr>
      <w:pStyle w:val="Footer"/>
      <w:jc w:val="center"/>
      <w:rPr>
        <w:b/>
        <w:i/>
        <w:sz w:val="20"/>
        <w:szCs w:val="20"/>
      </w:rPr>
    </w:pPr>
    <w:r w:rsidRPr="007C0F57">
      <w:rPr>
        <w:b/>
        <w:i/>
        <w:sz w:val="20"/>
        <w:szCs w:val="20"/>
      </w:rPr>
      <w:t>Commercial-in-Confidence</w:t>
    </w:r>
  </w:p>
  <w:p w14:paraId="0AAD8F9A" w14:textId="77777777" w:rsidR="006D6D5E" w:rsidRDefault="006D6D5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A7B05" w14:textId="77777777" w:rsidR="006D6D5E" w:rsidRDefault="006D6D5E">
      <w:r>
        <w:separator/>
      </w:r>
    </w:p>
    <w:p w14:paraId="549E5877" w14:textId="77777777" w:rsidR="006D6D5E" w:rsidRDefault="006D6D5E"/>
  </w:footnote>
  <w:footnote w:type="continuationSeparator" w:id="0">
    <w:p w14:paraId="0320E7B7" w14:textId="77777777" w:rsidR="006D6D5E" w:rsidRDefault="006D6D5E">
      <w:r>
        <w:continuationSeparator/>
      </w:r>
    </w:p>
    <w:p w14:paraId="206601AB" w14:textId="77777777" w:rsidR="006D6D5E" w:rsidRDefault="006D6D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D6D5E" w:rsidRPr="008E0D90" w14:paraId="4E85D6F6" w14:textId="77777777" w:rsidTr="00A06225">
      <w:trPr>
        <w:trHeight w:val="151"/>
      </w:trPr>
      <w:tc>
        <w:tcPr>
          <w:tcW w:w="2389" w:type="pct"/>
          <w:tcBorders>
            <w:top w:val="nil"/>
            <w:left w:val="nil"/>
            <w:bottom w:val="single" w:sz="4" w:space="0" w:color="4F81BD"/>
            <w:right w:val="nil"/>
          </w:tcBorders>
        </w:tcPr>
        <w:p w14:paraId="3A73968B" w14:textId="77777777" w:rsidR="006D6D5E" w:rsidRPr="00A06225" w:rsidRDefault="006D6D5E">
          <w:pPr>
            <w:pStyle w:val="Header"/>
            <w:spacing w:line="276" w:lineRule="auto"/>
            <w:rPr>
              <w:rFonts w:ascii="Cambria" w:eastAsia="MS Gothic" w:hAnsi="Cambria"/>
              <w:b/>
              <w:bCs/>
              <w:color w:val="4F81BD"/>
            </w:rPr>
          </w:pPr>
        </w:p>
      </w:tc>
      <w:tc>
        <w:tcPr>
          <w:tcW w:w="333" w:type="pct"/>
          <w:vMerge w:val="restart"/>
          <w:noWrap/>
          <w:vAlign w:val="center"/>
          <w:hideMark/>
        </w:tcPr>
        <w:p w14:paraId="7F6332DA" w14:textId="77777777" w:rsidR="006D6D5E" w:rsidRPr="00A06225" w:rsidRDefault="006D6D5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1BA2C5AA" w14:textId="77777777" w:rsidR="006D6D5E" w:rsidRPr="00A06225" w:rsidRDefault="006D6D5E">
          <w:pPr>
            <w:pStyle w:val="Header"/>
            <w:spacing w:line="276" w:lineRule="auto"/>
            <w:rPr>
              <w:rFonts w:ascii="Cambria" w:eastAsia="MS Gothic" w:hAnsi="Cambria"/>
              <w:b/>
              <w:bCs/>
              <w:color w:val="4F81BD"/>
            </w:rPr>
          </w:pPr>
        </w:p>
      </w:tc>
    </w:tr>
    <w:tr w:rsidR="006D6D5E" w:rsidRPr="008E0D90" w14:paraId="1BE74166" w14:textId="77777777" w:rsidTr="00A06225">
      <w:trPr>
        <w:trHeight w:val="150"/>
      </w:trPr>
      <w:tc>
        <w:tcPr>
          <w:tcW w:w="2389" w:type="pct"/>
          <w:tcBorders>
            <w:top w:val="single" w:sz="4" w:space="0" w:color="4F81BD"/>
            <w:left w:val="nil"/>
            <w:bottom w:val="nil"/>
            <w:right w:val="nil"/>
          </w:tcBorders>
        </w:tcPr>
        <w:p w14:paraId="7F946ACA" w14:textId="77777777" w:rsidR="006D6D5E" w:rsidRPr="00A06225" w:rsidRDefault="006D6D5E">
          <w:pPr>
            <w:pStyle w:val="Header"/>
            <w:spacing w:line="276" w:lineRule="auto"/>
            <w:rPr>
              <w:rFonts w:ascii="Cambria" w:eastAsia="MS Gothic" w:hAnsi="Cambria"/>
              <w:b/>
              <w:bCs/>
              <w:color w:val="4F81BD"/>
            </w:rPr>
          </w:pPr>
        </w:p>
      </w:tc>
      <w:tc>
        <w:tcPr>
          <w:tcW w:w="0" w:type="auto"/>
          <w:vMerge/>
          <w:vAlign w:val="center"/>
          <w:hideMark/>
        </w:tcPr>
        <w:p w14:paraId="7BD1B5E6" w14:textId="77777777" w:rsidR="006D6D5E" w:rsidRPr="00A06225" w:rsidRDefault="006D6D5E">
          <w:pPr>
            <w:rPr>
              <w:rFonts w:ascii="Cambria" w:hAnsi="Cambria"/>
              <w:color w:val="4F81BD"/>
              <w:sz w:val="22"/>
              <w:szCs w:val="22"/>
            </w:rPr>
          </w:pPr>
        </w:p>
      </w:tc>
      <w:tc>
        <w:tcPr>
          <w:tcW w:w="2278" w:type="pct"/>
          <w:tcBorders>
            <w:top w:val="single" w:sz="4" w:space="0" w:color="4F81BD"/>
            <w:left w:val="nil"/>
            <w:bottom w:val="nil"/>
            <w:right w:val="nil"/>
          </w:tcBorders>
        </w:tcPr>
        <w:p w14:paraId="373C35C3" w14:textId="77777777" w:rsidR="006D6D5E" w:rsidRPr="00A06225" w:rsidRDefault="006D6D5E">
          <w:pPr>
            <w:pStyle w:val="Header"/>
            <w:spacing w:line="276" w:lineRule="auto"/>
            <w:rPr>
              <w:rFonts w:ascii="Cambria" w:eastAsia="MS Gothic" w:hAnsi="Cambria"/>
              <w:b/>
              <w:bCs/>
              <w:color w:val="4F81BD"/>
            </w:rPr>
          </w:pPr>
        </w:p>
      </w:tc>
    </w:tr>
  </w:tbl>
  <w:p w14:paraId="11C4AB71" w14:textId="77777777" w:rsidR="006D6D5E" w:rsidRDefault="006D6D5E">
    <w:pPr>
      <w:pStyle w:val="Header"/>
    </w:pPr>
  </w:p>
  <w:p w14:paraId="40F1C92B" w14:textId="77777777" w:rsidR="006D6D5E" w:rsidRDefault="006D6D5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092E3" w14:textId="00EB5081" w:rsidR="006D6D5E" w:rsidRPr="007205D1" w:rsidRDefault="009F53EF" w:rsidP="00F87548">
    <w:pPr>
      <w:pStyle w:val="Header"/>
      <w:ind w:left="360"/>
      <w:jc w:val="center"/>
      <w:rPr>
        <w:rFonts w:asciiTheme="minorHAnsi" w:hAnsiTheme="minorHAnsi"/>
        <w:i/>
        <w:color w:val="808080"/>
      </w:rPr>
    </w:pPr>
    <w:r>
      <w:rPr>
        <w:rFonts w:asciiTheme="minorHAnsi" w:hAnsiTheme="minorHAnsi"/>
        <w:i/>
        <w:color w:val="808080"/>
      </w:rPr>
      <w:t>Public Summary Document</w:t>
    </w:r>
    <w:r w:rsidR="006D6D5E">
      <w:rPr>
        <w:rFonts w:asciiTheme="minorHAnsi" w:hAnsiTheme="minorHAnsi"/>
        <w:i/>
        <w:color w:val="808080"/>
      </w:rPr>
      <w:t xml:space="preserve"> March 2019</w:t>
    </w:r>
    <w:r w:rsidR="006D6D5E" w:rsidRPr="007205D1">
      <w:rPr>
        <w:rFonts w:asciiTheme="minorHAnsi" w:hAnsiTheme="minorHAnsi"/>
        <w:i/>
        <w:color w:val="808080"/>
      </w:rPr>
      <w:t xml:space="preserve"> PBAC Meeting</w:t>
    </w:r>
  </w:p>
  <w:p w14:paraId="20C46FEC" w14:textId="77777777" w:rsidR="006D6D5E" w:rsidRDefault="006D6D5E"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A3FC3"/>
    <w:multiLevelType w:val="hybridMultilevel"/>
    <w:tmpl w:val="B77A76D4"/>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2"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3F1B1B"/>
    <w:multiLevelType w:val="multilevel"/>
    <w:tmpl w:val="0A1082D4"/>
    <w:lvl w:ilvl="0">
      <w:start w:val="1"/>
      <w:numFmt w:val="decimal"/>
      <w:lvlText w:val="%1"/>
      <w:lvlJc w:val="left"/>
      <w:pPr>
        <w:ind w:left="720" w:hanging="720"/>
      </w:pPr>
      <w:rPr>
        <w:rFonts w:hint="default"/>
        <w:b/>
      </w:rPr>
    </w:lvl>
    <w:lvl w:ilvl="1">
      <w:start w:val="1"/>
      <w:numFmt w:val="decimal"/>
      <w:lvlText w:val="%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4D033C"/>
    <w:multiLevelType w:val="multilevel"/>
    <w:tmpl w:val="C99E26E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2"/>
  </w:num>
  <w:num w:numId="5">
    <w:abstractNumId w:val="15"/>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5"/>
  </w:num>
  <w:num w:numId="15">
    <w:abstractNumId w:val="13"/>
  </w:num>
  <w:num w:numId="16">
    <w:abstractNumId w:val="11"/>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2FB7"/>
    <w:rsid w:val="0000335D"/>
    <w:rsid w:val="00013768"/>
    <w:rsid w:val="00021CA5"/>
    <w:rsid w:val="0002464A"/>
    <w:rsid w:val="0003106B"/>
    <w:rsid w:val="000421A1"/>
    <w:rsid w:val="0004240E"/>
    <w:rsid w:val="00045E26"/>
    <w:rsid w:val="000514B5"/>
    <w:rsid w:val="00060E64"/>
    <w:rsid w:val="00063A72"/>
    <w:rsid w:val="00064FF6"/>
    <w:rsid w:val="00066755"/>
    <w:rsid w:val="00067E77"/>
    <w:rsid w:val="00077143"/>
    <w:rsid w:val="00082169"/>
    <w:rsid w:val="00082800"/>
    <w:rsid w:val="000845AF"/>
    <w:rsid w:val="000957D9"/>
    <w:rsid w:val="000969AD"/>
    <w:rsid w:val="000A7DC9"/>
    <w:rsid w:val="000B03F7"/>
    <w:rsid w:val="000B084F"/>
    <w:rsid w:val="000B1D20"/>
    <w:rsid w:val="000B3731"/>
    <w:rsid w:val="000B43BE"/>
    <w:rsid w:val="000B558D"/>
    <w:rsid w:val="000C2CC2"/>
    <w:rsid w:val="000C6996"/>
    <w:rsid w:val="000D23BA"/>
    <w:rsid w:val="000E681E"/>
    <w:rsid w:val="000F0003"/>
    <w:rsid w:val="000F4523"/>
    <w:rsid w:val="000F4E6A"/>
    <w:rsid w:val="00100AF5"/>
    <w:rsid w:val="00104227"/>
    <w:rsid w:val="001107BF"/>
    <w:rsid w:val="00113E12"/>
    <w:rsid w:val="001204B3"/>
    <w:rsid w:val="0012417C"/>
    <w:rsid w:val="00142395"/>
    <w:rsid w:val="00142714"/>
    <w:rsid w:val="00144055"/>
    <w:rsid w:val="001452ED"/>
    <w:rsid w:val="00163329"/>
    <w:rsid w:val="00164623"/>
    <w:rsid w:val="00165B4C"/>
    <w:rsid w:val="00165B64"/>
    <w:rsid w:val="00167860"/>
    <w:rsid w:val="00180713"/>
    <w:rsid w:val="001830CE"/>
    <w:rsid w:val="0018643B"/>
    <w:rsid w:val="00196307"/>
    <w:rsid w:val="001A33EA"/>
    <w:rsid w:val="001A39CC"/>
    <w:rsid w:val="001A502C"/>
    <w:rsid w:val="001B017F"/>
    <w:rsid w:val="001B2BBC"/>
    <w:rsid w:val="001B5129"/>
    <w:rsid w:val="001C1195"/>
    <w:rsid w:val="001D0168"/>
    <w:rsid w:val="001E03FE"/>
    <w:rsid w:val="001E0AB8"/>
    <w:rsid w:val="001E2445"/>
    <w:rsid w:val="001F1850"/>
    <w:rsid w:val="001F40E8"/>
    <w:rsid w:val="001F45D8"/>
    <w:rsid w:val="00202C23"/>
    <w:rsid w:val="00203FAC"/>
    <w:rsid w:val="00211380"/>
    <w:rsid w:val="00213CFB"/>
    <w:rsid w:val="00214F74"/>
    <w:rsid w:val="00216099"/>
    <w:rsid w:val="00217BE1"/>
    <w:rsid w:val="00220195"/>
    <w:rsid w:val="002646BD"/>
    <w:rsid w:val="00265297"/>
    <w:rsid w:val="002654AD"/>
    <w:rsid w:val="0027101F"/>
    <w:rsid w:val="00271BA1"/>
    <w:rsid w:val="002762FA"/>
    <w:rsid w:val="00277505"/>
    <w:rsid w:val="0028080D"/>
    <w:rsid w:val="0029458F"/>
    <w:rsid w:val="00295794"/>
    <w:rsid w:val="002A104C"/>
    <w:rsid w:val="002A358E"/>
    <w:rsid w:val="002A4960"/>
    <w:rsid w:val="002B1AE6"/>
    <w:rsid w:val="002B2DE8"/>
    <w:rsid w:val="002B30F8"/>
    <w:rsid w:val="002B5596"/>
    <w:rsid w:val="002C212F"/>
    <w:rsid w:val="002C6C19"/>
    <w:rsid w:val="002C79E5"/>
    <w:rsid w:val="002D195B"/>
    <w:rsid w:val="002D4543"/>
    <w:rsid w:val="002E3153"/>
    <w:rsid w:val="002E72CA"/>
    <w:rsid w:val="002F600D"/>
    <w:rsid w:val="00300AD6"/>
    <w:rsid w:val="00314F90"/>
    <w:rsid w:val="0031728D"/>
    <w:rsid w:val="00317C6C"/>
    <w:rsid w:val="00322E08"/>
    <w:rsid w:val="00326E79"/>
    <w:rsid w:val="0033518A"/>
    <w:rsid w:val="003367EF"/>
    <w:rsid w:val="00341AE4"/>
    <w:rsid w:val="00347A4A"/>
    <w:rsid w:val="003712D6"/>
    <w:rsid w:val="00372BCF"/>
    <w:rsid w:val="00374E60"/>
    <w:rsid w:val="0038576D"/>
    <w:rsid w:val="003872CF"/>
    <w:rsid w:val="0039782C"/>
    <w:rsid w:val="003A2C81"/>
    <w:rsid w:val="003A59E8"/>
    <w:rsid w:val="003A5B4A"/>
    <w:rsid w:val="003B23C5"/>
    <w:rsid w:val="003B2A75"/>
    <w:rsid w:val="003B2EE7"/>
    <w:rsid w:val="003B6124"/>
    <w:rsid w:val="003C06BF"/>
    <w:rsid w:val="003C2FB5"/>
    <w:rsid w:val="003D4AC4"/>
    <w:rsid w:val="003D60EA"/>
    <w:rsid w:val="003D63B7"/>
    <w:rsid w:val="003D7A2F"/>
    <w:rsid w:val="003E0014"/>
    <w:rsid w:val="003E468B"/>
    <w:rsid w:val="003E49F2"/>
    <w:rsid w:val="003F3228"/>
    <w:rsid w:val="003F5C8C"/>
    <w:rsid w:val="003F6BE1"/>
    <w:rsid w:val="003F7E6F"/>
    <w:rsid w:val="004252EC"/>
    <w:rsid w:val="004465BD"/>
    <w:rsid w:val="0044704B"/>
    <w:rsid w:val="00453D9F"/>
    <w:rsid w:val="00464734"/>
    <w:rsid w:val="00464E28"/>
    <w:rsid w:val="00465C55"/>
    <w:rsid w:val="00466ADA"/>
    <w:rsid w:val="00476245"/>
    <w:rsid w:val="00480522"/>
    <w:rsid w:val="004822D9"/>
    <w:rsid w:val="00483035"/>
    <w:rsid w:val="00485940"/>
    <w:rsid w:val="00491020"/>
    <w:rsid w:val="004926BE"/>
    <w:rsid w:val="00497D15"/>
    <w:rsid w:val="004A2484"/>
    <w:rsid w:val="004A5A85"/>
    <w:rsid w:val="004A71D1"/>
    <w:rsid w:val="004B5640"/>
    <w:rsid w:val="004C1BD7"/>
    <w:rsid w:val="004C31FE"/>
    <w:rsid w:val="004C590B"/>
    <w:rsid w:val="004C691D"/>
    <w:rsid w:val="004C6C07"/>
    <w:rsid w:val="004D7112"/>
    <w:rsid w:val="004E692D"/>
    <w:rsid w:val="004E7860"/>
    <w:rsid w:val="00501554"/>
    <w:rsid w:val="00514CCE"/>
    <w:rsid w:val="00514CD7"/>
    <w:rsid w:val="00525969"/>
    <w:rsid w:val="00526681"/>
    <w:rsid w:val="005307C5"/>
    <w:rsid w:val="005319B2"/>
    <w:rsid w:val="00532402"/>
    <w:rsid w:val="00532C74"/>
    <w:rsid w:val="00534E2E"/>
    <w:rsid w:val="00544552"/>
    <w:rsid w:val="00577C4D"/>
    <w:rsid w:val="00581932"/>
    <w:rsid w:val="00581D69"/>
    <w:rsid w:val="005963BB"/>
    <w:rsid w:val="00596F1A"/>
    <w:rsid w:val="005A1F20"/>
    <w:rsid w:val="005A3173"/>
    <w:rsid w:val="005A3223"/>
    <w:rsid w:val="005A3DA3"/>
    <w:rsid w:val="005A52C4"/>
    <w:rsid w:val="005A5C6E"/>
    <w:rsid w:val="005B006C"/>
    <w:rsid w:val="005D03AB"/>
    <w:rsid w:val="005D5017"/>
    <w:rsid w:val="005D7AFF"/>
    <w:rsid w:val="005E1333"/>
    <w:rsid w:val="005E5BCB"/>
    <w:rsid w:val="00601A91"/>
    <w:rsid w:val="00602BA3"/>
    <w:rsid w:val="00604D66"/>
    <w:rsid w:val="00606EED"/>
    <w:rsid w:val="00612E34"/>
    <w:rsid w:val="00614159"/>
    <w:rsid w:val="00614D2A"/>
    <w:rsid w:val="00617C00"/>
    <w:rsid w:val="006263BF"/>
    <w:rsid w:val="0062748A"/>
    <w:rsid w:val="00630A2C"/>
    <w:rsid w:val="00630A97"/>
    <w:rsid w:val="0063682E"/>
    <w:rsid w:val="006436CD"/>
    <w:rsid w:val="00651169"/>
    <w:rsid w:val="00653D69"/>
    <w:rsid w:val="00656733"/>
    <w:rsid w:val="00662A77"/>
    <w:rsid w:val="00664A86"/>
    <w:rsid w:val="006670BE"/>
    <w:rsid w:val="00670A76"/>
    <w:rsid w:val="006711AA"/>
    <w:rsid w:val="00672B57"/>
    <w:rsid w:val="00673344"/>
    <w:rsid w:val="00675622"/>
    <w:rsid w:val="0067747D"/>
    <w:rsid w:val="006906DB"/>
    <w:rsid w:val="00691E6C"/>
    <w:rsid w:val="00696129"/>
    <w:rsid w:val="00697CF2"/>
    <w:rsid w:val="006A12A5"/>
    <w:rsid w:val="006A574A"/>
    <w:rsid w:val="006A69C7"/>
    <w:rsid w:val="006B0810"/>
    <w:rsid w:val="006B0D94"/>
    <w:rsid w:val="006B288D"/>
    <w:rsid w:val="006B485D"/>
    <w:rsid w:val="006C708E"/>
    <w:rsid w:val="006D14E7"/>
    <w:rsid w:val="006D6493"/>
    <w:rsid w:val="006D6D5E"/>
    <w:rsid w:val="006D6EC7"/>
    <w:rsid w:val="006D76D2"/>
    <w:rsid w:val="006E3211"/>
    <w:rsid w:val="006F2DE3"/>
    <w:rsid w:val="006F5125"/>
    <w:rsid w:val="006F5D2B"/>
    <w:rsid w:val="006F7A76"/>
    <w:rsid w:val="00702B6F"/>
    <w:rsid w:val="0071340B"/>
    <w:rsid w:val="00715A12"/>
    <w:rsid w:val="007174BB"/>
    <w:rsid w:val="00717E8C"/>
    <w:rsid w:val="0072025D"/>
    <w:rsid w:val="007353D3"/>
    <w:rsid w:val="007362E6"/>
    <w:rsid w:val="00737F71"/>
    <w:rsid w:val="007445E0"/>
    <w:rsid w:val="00744C2D"/>
    <w:rsid w:val="00752701"/>
    <w:rsid w:val="007529AC"/>
    <w:rsid w:val="00762C30"/>
    <w:rsid w:val="0076420C"/>
    <w:rsid w:val="00771AFB"/>
    <w:rsid w:val="00772518"/>
    <w:rsid w:val="007753C2"/>
    <w:rsid w:val="007838B8"/>
    <w:rsid w:val="00796CFA"/>
    <w:rsid w:val="007A1D4F"/>
    <w:rsid w:val="007A1E99"/>
    <w:rsid w:val="007C0F57"/>
    <w:rsid w:val="007C40B6"/>
    <w:rsid w:val="007C729F"/>
    <w:rsid w:val="007D7172"/>
    <w:rsid w:val="007E1D28"/>
    <w:rsid w:val="007F1A89"/>
    <w:rsid w:val="007F2641"/>
    <w:rsid w:val="007F7C36"/>
    <w:rsid w:val="00806796"/>
    <w:rsid w:val="008107B4"/>
    <w:rsid w:val="008113FB"/>
    <w:rsid w:val="008151D6"/>
    <w:rsid w:val="0081573A"/>
    <w:rsid w:val="00826F6D"/>
    <w:rsid w:val="00827D29"/>
    <w:rsid w:val="008306F3"/>
    <w:rsid w:val="008435A4"/>
    <w:rsid w:val="00856DDD"/>
    <w:rsid w:val="008611AB"/>
    <w:rsid w:val="008612A8"/>
    <w:rsid w:val="00863E68"/>
    <w:rsid w:val="0086725F"/>
    <w:rsid w:val="00882085"/>
    <w:rsid w:val="00883188"/>
    <w:rsid w:val="00883C19"/>
    <w:rsid w:val="00897698"/>
    <w:rsid w:val="00897D58"/>
    <w:rsid w:val="00897F22"/>
    <w:rsid w:val="008A05A6"/>
    <w:rsid w:val="008A194A"/>
    <w:rsid w:val="008A1956"/>
    <w:rsid w:val="008A261B"/>
    <w:rsid w:val="008A4937"/>
    <w:rsid w:val="008A499C"/>
    <w:rsid w:val="008A4FAB"/>
    <w:rsid w:val="008A50F1"/>
    <w:rsid w:val="008B051B"/>
    <w:rsid w:val="008D1B5C"/>
    <w:rsid w:val="008D2D60"/>
    <w:rsid w:val="008D3C82"/>
    <w:rsid w:val="008D447E"/>
    <w:rsid w:val="008D640C"/>
    <w:rsid w:val="008D7A41"/>
    <w:rsid w:val="008E3680"/>
    <w:rsid w:val="008E524E"/>
    <w:rsid w:val="008E5870"/>
    <w:rsid w:val="008E6749"/>
    <w:rsid w:val="008F1434"/>
    <w:rsid w:val="008F3A9E"/>
    <w:rsid w:val="008F7355"/>
    <w:rsid w:val="008F7F5F"/>
    <w:rsid w:val="00902A23"/>
    <w:rsid w:val="009067B7"/>
    <w:rsid w:val="00917869"/>
    <w:rsid w:val="00930937"/>
    <w:rsid w:val="00933E6C"/>
    <w:rsid w:val="00937958"/>
    <w:rsid w:val="00941ACC"/>
    <w:rsid w:val="00942160"/>
    <w:rsid w:val="009447B7"/>
    <w:rsid w:val="0094594E"/>
    <w:rsid w:val="0095146F"/>
    <w:rsid w:val="009602C5"/>
    <w:rsid w:val="0096151E"/>
    <w:rsid w:val="00962223"/>
    <w:rsid w:val="00966D0D"/>
    <w:rsid w:val="00974C21"/>
    <w:rsid w:val="00981A22"/>
    <w:rsid w:val="00985999"/>
    <w:rsid w:val="00990DBE"/>
    <w:rsid w:val="00996105"/>
    <w:rsid w:val="009A2CE6"/>
    <w:rsid w:val="009B0F67"/>
    <w:rsid w:val="009C166B"/>
    <w:rsid w:val="009C703C"/>
    <w:rsid w:val="009D3CAA"/>
    <w:rsid w:val="009D4E3A"/>
    <w:rsid w:val="009E40E1"/>
    <w:rsid w:val="009F4E46"/>
    <w:rsid w:val="009F53EF"/>
    <w:rsid w:val="009F5B65"/>
    <w:rsid w:val="009F5F2E"/>
    <w:rsid w:val="009F7D88"/>
    <w:rsid w:val="00A03AD1"/>
    <w:rsid w:val="00A04BE8"/>
    <w:rsid w:val="00A06225"/>
    <w:rsid w:val="00A128E6"/>
    <w:rsid w:val="00A14EE6"/>
    <w:rsid w:val="00A262A3"/>
    <w:rsid w:val="00A27ED0"/>
    <w:rsid w:val="00A344CD"/>
    <w:rsid w:val="00A34E6C"/>
    <w:rsid w:val="00A37C8D"/>
    <w:rsid w:val="00A5273B"/>
    <w:rsid w:val="00A53A9D"/>
    <w:rsid w:val="00A54699"/>
    <w:rsid w:val="00A55FEE"/>
    <w:rsid w:val="00A6097A"/>
    <w:rsid w:val="00A62C1A"/>
    <w:rsid w:val="00A63F8B"/>
    <w:rsid w:val="00A6426D"/>
    <w:rsid w:val="00A665C1"/>
    <w:rsid w:val="00A70622"/>
    <w:rsid w:val="00A70977"/>
    <w:rsid w:val="00A71D0A"/>
    <w:rsid w:val="00A72A0C"/>
    <w:rsid w:val="00A77613"/>
    <w:rsid w:val="00A8390C"/>
    <w:rsid w:val="00A874E1"/>
    <w:rsid w:val="00A928BD"/>
    <w:rsid w:val="00A97AB2"/>
    <w:rsid w:val="00AA4857"/>
    <w:rsid w:val="00AA4D1C"/>
    <w:rsid w:val="00AC193C"/>
    <w:rsid w:val="00AC3478"/>
    <w:rsid w:val="00AC5206"/>
    <w:rsid w:val="00AD05C8"/>
    <w:rsid w:val="00AD7A58"/>
    <w:rsid w:val="00AE11A5"/>
    <w:rsid w:val="00AE13E2"/>
    <w:rsid w:val="00AE22D3"/>
    <w:rsid w:val="00AF157E"/>
    <w:rsid w:val="00AF62DF"/>
    <w:rsid w:val="00AF68CC"/>
    <w:rsid w:val="00B1059E"/>
    <w:rsid w:val="00B14B3B"/>
    <w:rsid w:val="00B176C8"/>
    <w:rsid w:val="00B17A05"/>
    <w:rsid w:val="00B205AA"/>
    <w:rsid w:val="00B22E84"/>
    <w:rsid w:val="00B240D7"/>
    <w:rsid w:val="00B25C6F"/>
    <w:rsid w:val="00B25F75"/>
    <w:rsid w:val="00B26B3F"/>
    <w:rsid w:val="00B43E90"/>
    <w:rsid w:val="00B4601D"/>
    <w:rsid w:val="00B467DC"/>
    <w:rsid w:val="00B56118"/>
    <w:rsid w:val="00B6773F"/>
    <w:rsid w:val="00B70E9C"/>
    <w:rsid w:val="00B732D5"/>
    <w:rsid w:val="00B801BA"/>
    <w:rsid w:val="00B84D5C"/>
    <w:rsid w:val="00B935FA"/>
    <w:rsid w:val="00B96350"/>
    <w:rsid w:val="00BA2DCE"/>
    <w:rsid w:val="00BA3B9D"/>
    <w:rsid w:val="00BB3CC8"/>
    <w:rsid w:val="00BB69F5"/>
    <w:rsid w:val="00BB7EC3"/>
    <w:rsid w:val="00BC4B9A"/>
    <w:rsid w:val="00BD784C"/>
    <w:rsid w:val="00BD78BA"/>
    <w:rsid w:val="00BE0DD1"/>
    <w:rsid w:val="00BE3C12"/>
    <w:rsid w:val="00BE7F2C"/>
    <w:rsid w:val="00BF4CB6"/>
    <w:rsid w:val="00C00DA7"/>
    <w:rsid w:val="00C0752A"/>
    <w:rsid w:val="00C1266D"/>
    <w:rsid w:val="00C12768"/>
    <w:rsid w:val="00C14CE4"/>
    <w:rsid w:val="00C2578A"/>
    <w:rsid w:val="00C27B58"/>
    <w:rsid w:val="00C35996"/>
    <w:rsid w:val="00C4747E"/>
    <w:rsid w:val="00C51E0C"/>
    <w:rsid w:val="00C5342C"/>
    <w:rsid w:val="00C603D4"/>
    <w:rsid w:val="00C6256A"/>
    <w:rsid w:val="00C64069"/>
    <w:rsid w:val="00C77891"/>
    <w:rsid w:val="00C8180F"/>
    <w:rsid w:val="00C91449"/>
    <w:rsid w:val="00C92D10"/>
    <w:rsid w:val="00C9353C"/>
    <w:rsid w:val="00C93736"/>
    <w:rsid w:val="00C93FEA"/>
    <w:rsid w:val="00C9668E"/>
    <w:rsid w:val="00CA131F"/>
    <w:rsid w:val="00CC52EC"/>
    <w:rsid w:val="00CE10C4"/>
    <w:rsid w:val="00CE27B5"/>
    <w:rsid w:val="00CE6AEA"/>
    <w:rsid w:val="00CF5874"/>
    <w:rsid w:val="00CF5D2A"/>
    <w:rsid w:val="00D0321E"/>
    <w:rsid w:val="00D1455A"/>
    <w:rsid w:val="00D241FD"/>
    <w:rsid w:val="00D31150"/>
    <w:rsid w:val="00D3138B"/>
    <w:rsid w:val="00D3280C"/>
    <w:rsid w:val="00D3406A"/>
    <w:rsid w:val="00D41E0D"/>
    <w:rsid w:val="00D4572C"/>
    <w:rsid w:val="00D469B2"/>
    <w:rsid w:val="00D56BE2"/>
    <w:rsid w:val="00D741EB"/>
    <w:rsid w:val="00D83605"/>
    <w:rsid w:val="00D84934"/>
    <w:rsid w:val="00D91271"/>
    <w:rsid w:val="00D919F5"/>
    <w:rsid w:val="00D94F03"/>
    <w:rsid w:val="00DA2CB5"/>
    <w:rsid w:val="00DA4BAC"/>
    <w:rsid w:val="00DB67B7"/>
    <w:rsid w:val="00DC48CE"/>
    <w:rsid w:val="00DD2E42"/>
    <w:rsid w:val="00DD57DB"/>
    <w:rsid w:val="00DE6D27"/>
    <w:rsid w:val="00DF1E33"/>
    <w:rsid w:val="00DF217D"/>
    <w:rsid w:val="00DF26A7"/>
    <w:rsid w:val="00DF34CA"/>
    <w:rsid w:val="00DF6654"/>
    <w:rsid w:val="00E03568"/>
    <w:rsid w:val="00E11973"/>
    <w:rsid w:val="00E15627"/>
    <w:rsid w:val="00E1632C"/>
    <w:rsid w:val="00E164B3"/>
    <w:rsid w:val="00E16910"/>
    <w:rsid w:val="00E2096C"/>
    <w:rsid w:val="00E419FA"/>
    <w:rsid w:val="00E42BDB"/>
    <w:rsid w:val="00E5311F"/>
    <w:rsid w:val="00E57EEB"/>
    <w:rsid w:val="00E62949"/>
    <w:rsid w:val="00E62D94"/>
    <w:rsid w:val="00E65E54"/>
    <w:rsid w:val="00E80155"/>
    <w:rsid w:val="00E808EA"/>
    <w:rsid w:val="00E81F28"/>
    <w:rsid w:val="00E848C0"/>
    <w:rsid w:val="00E85ECB"/>
    <w:rsid w:val="00E91B96"/>
    <w:rsid w:val="00E941A1"/>
    <w:rsid w:val="00E95CE3"/>
    <w:rsid w:val="00EA2825"/>
    <w:rsid w:val="00EB0B63"/>
    <w:rsid w:val="00EB1936"/>
    <w:rsid w:val="00EB5088"/>
    <w:rsid w:val="00ED1644"/>
    <w:rsid w:val="00ED2593"/>
    <w:rsid w:val="00ED7D9C"/>
    <w:rsid w:val="00EE749B"/>
    <w:rsid w:val="00EF44A0"/>
    <w:rsid w:val="00EF4FED"/>
    <w:rsid w:val="00F050BD"/>
    <w:rsid w:val="00F05657"/>
    <w:rsid w:val="00F169AA"/>
    <w:rsid w:val="00F25578"/>
    <w:rsid w:val="00F258E5"/>
    <w:rsid w:val="00F300BC"/>
    <w:rsid w:val="00F302DF"/>
    <w:rsid w:val="00F3334E"/>
    <w:rsid w:val="00F36CCB"/>
    <w:rsid w:val="00F374E5"/>
    <w:rsid w:val="00F40D8E"/>
    <w:rsid w:val="00F43AF2"/>
    <w:rsid w:val="00F5007E"/>
    <w:rsid w:val="00F50EC4"/>
    <w:rsid w:val="00F546F7"/>
    <w:rsid w:val="00F550CF"/>
    <w:rsid w:val="00F57A6D"/>
    <w:rsid w:val="00F638CC"/>
    <w:rsid w:val="00F64CC1"/>
    <w:rsid w:val="00F72317"/>
    <w:rsid w:val="00F72927"/>
    <w:rsid w:val="00F80475"/>
    <w:rsid w:val="00F8247A"/>
    <w:rsid w:val="00F847B0"/>
    <w:rsid w:val="00F87548"/>
    <w:rsid w:val="00F9629A"/>
    <w:rsid w:val="00F97EFC"/>
    <w:rsid w:val="00FA182D"/>
    <w:rsid w:val="00FA3022"/>
    <w:rsid w:val="00FA5883"/>
    <w:rsid w:val="00FA6055"/>
    <w:rsid w:val="00FB322F"/>
    <w:rsid w:val="00FB442F"/>
    <w:rsid w:val="00FB62AC"/>
    <w:rsid w:val="00FC1929"/>
    <w:rsid w:val="00FC5B46"/>
    <w:rsid w:val="00FC7CFC"/>
    <w:rsid w:val="00FD6D8E"/>
    <w:rsid w:val="00FE0E94"/>
    <w:rsid w:val="00FE134B"/>
    <w:rsid w:val="00FE7CCE"/>
    <w:rsid w:val="00FF00BD"/>
    <w:rsid w:val="00FF1ED4"/>
    <w:rsid w:val="00FF2801"/>
    <w:rsid w:val="00FF29F0"/>
    <w:rsid w:val="00FF3B7F"/>
    <w:rsid w:val="00FF6B82"/>
    <w:rsid w:val="00FF6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0BC4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Revision">
    <w:name w:val="Revision"/>
    <w:hidden/>
    <w:uiPriority w:val="71"/>
    <w:semiHidden/>
    <w:rsid w:val="000845AF"/>
    <w:rPr>
      <w:sz w:val="24"/>
      <w:szCs w:val="24"/>
    </w:rPr>
  </w:style>
  <w:style w:type="paragraph" w:styleId="FootnoteText">
    <w:name w:val="footnote text"/>
    <w:basedOn w:val="Normal"/>
    <w:link w:val="FootnoteTextChar"/>
    <w:semiHidden/>
    <w:unhideWhenUsed/>
    <w:rsid w:val="00E62949"/>
    <w:rPr>
      <w:sz w:val="20"/>
      <w:szCs w:val="20"/>
    </w:rPr>
  </w:style>
  <w:style w:type="character" w:customStyle="1" w:styleId="FootnoteTextChar">
    <w:name w:val="Footnote Text Char"/>
    <w:basedOn w:val="DefaultParagraphFont"/>
    <w:link w:val="FootnoteText"/>
    <w:semiHidden/>
    <w:rsid w:val="00E62949"/>
  </w:style>
  <w:style w:type="character" w:styleId="FootnoteReference">
    <w:name w:val="footnote reference"/>
    <w:basedOn w:val="DefaultParagraphFont"/>
    <w:semiHidden/>
    <w:unhideWhenUsed/>
    <w:rsid w:val="00E62949"/>
    <w:rPr>
      <w:vertAlign w:val="superscript"/>
    </w:rPr>
  </w:style>
  <w:style w:type="character" w:styleId="FollowedHyperlink">
    <w:name w:val="FollowedHyperlink"/>
    <w:basedOn w:val="DefaultParagraphFont"/>
    <w:semiHidden/>
    <w:unhideWhenUsed/>
    <w:rsid w:val="00DD2E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81300831">
      <w:bodyDiv w:val="1"/>
      <w:marLeft w:val="0"/>
      <w:marRight w:val="0"/>
      <w:marTop w:val="0"/>
      <w:marBottom w:val="0"/>
      <w:divBdr>
        <w:top w:val="none" w:sz="0" w:space="0" w:color="auto"/>
        <w:left w:val="none" w:sz="0" w:space="0" w:color="auto"/>
        <w:bottom w:val="none" w:sz="0" w:space="0" w:color="auto"/>
        <w:right w:val="none" w:sz="0" w:space="0" w:color="auto"/>
      </w:divBdr>
    </w:div>
    <w:div w:id="419645086">
      <w:bodyDiv w:val="1"/>
      <w:marLeft w:val="0"/>
      <w:marRight w:val="0"/>
      <w:marTop w:val="0"/>
      <w:marBottom w:val="0"/>
      <w:divBdr>
        <w:top w:val="none" w:sz="0" w:space="0" w:color="auto"/>
        <w:left w:val="none" w:sz="0" w:space="0" w:color="auto"/>
        <w:bottom w:val="none" w:sz="0" w:space="0" w:color="auto"/>
        <w:right w:val="none" w:sz="0" w:space="0" w:color="auto"/>
      </w:divBdr>
    </w:div>
    <w:div w:id="468983644">
      <w:bodyDiv w:val="1"/>
      <w:marLeft w:val="0"/>
      <w:marRight w:val="0"/>
      <w:marTop w:val="0"/>
      <w:marBottom w:val="0"/>
      <w:divBdr>
        <w:top w:val="none" w:sz="0" w:space="0" w:color="auto"/>
        <w:left w:val="none" w:sz="0" w:space="0" w:color="auto"/>
        <w:bottom w:val="none" w:sz="0" w:space="0" w:color="auto"/>
        <w:right w:val="none" w:sz="0" w:space="0" w:color="auto"/>
      </w:divBdr>
    </w:div>
    <w:div w:id="59640798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73530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1045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4FA23-776F-4F0A-A9BB-B8144DB0E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1781</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2019-06-25T07:32:00Z</dcterms:created>
  <dcterms:modified xsi:type="dcterms:W3CDTF">2019-07-05T02:00:00Z</dcterms:modified>
</cp:coreProperties>
</file>