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D5C" w:rsidRDefault="002C5E32" w:rsidP="00C73D5C">
      <w:pPr>
        <w:ind w:left="851" w:hanging="851"/>
        <w:jc w:val="left"/>
        <w:rPr>
          <w:rFonts w:asciiTheme="minorHAnsi" w:hAnsiTheme="minorHAnsi"/>
          <w:b/>
          <w:sz w:val="32"/>
        </w:rPr>
      </w:pPr>
      <w:bookmarkStart w:id="0" w:name="_GoBack"/>
      <w:bookmarkEnd w:id="0"/>
      <w:r>
        <w:rPr>
          <w:b/>
          <w:sz w:val="36"/>
          <w:szCs w:val="36"/>
        </w:rPr>
        <w:t>5.17</w:t>
      </w:r>
      <w:r>
        <w:rPr>
          <w:b/>
          <w:sz w:val="36"/>
          <w:szCs w:val="36"/>
        </w:rPr>
        <w:tab/>
      </w:r>
      <w:r w:rsidRPr="008B348A">
        <w:rPr>
          <w:rFonts w:asciiTheme="minorHAnsi" w:hAnsiTheme="minorHAnsi"/>
          <w:b/>
          <w:sz w:val="32"/>
        </w:rPr>
        <w:t>R</w:t>
      </w:r>
      <w:r>
        <w:rPr>
          <w:rFonts w:asciiTheme="minorHAnsi" w:hAnsiTheme="minorHAnsi"/>
          <w:b/>
          <w:sz w:val="32"/>
        </w:rPr>
        <w:t xml:space="preserve">ECOMBINANT VARICELLA ZOSTER VIRUS </w:t>
      </w:r>
      <w:r w:rsidR="00FC746D">
        <w:rPr>
          <w:rFonts w:asciiTheme="minorHAnsi" w:hAnsiTheme="minorHAnsi"/>
          <w:b/>
          <w:sz w:val="32"/>
        </w:rPr>
        <w:t>VACCINE</w:t>
      </w:r>
      <w:r w:rsidRPr="008B348A">
        <w:rPr>
          <w:rFonts w:asciiTheme="minorHAnsi" w:hAnsiTheme="minorHAnsi"/>
          <w:b/>
          <w:sz w:val="32"/>
        </w:rPr>
        <w:t>,</w:t>
      </w:r>
      <w:r>
        <w:rPr>
          <w:rFonts w:asciiTheme="minorHAnsi" w:hAnsiTheme="minorHAnsi"/>
          <w:b/>
          <w:sz w:val="32"/>
        </w:rPr>
        <w:t xml:space="preserve"> </w:t>
      </w:r>
      <w:r w:rsidR="00FC746D">
        <w:rPr>
          <w:rFonts w:asciiTheme="minorHAnsi" w:hAnsiTheme="minorHAnsi"/>
          <w:b/>
          <w:sz w:val="32"/>
        </w:rPr>
        <w:t>Injection [1 vial] &amp; adjuvant substance diluent [0.5 mL vial],</w:t>
      </w:r>
    </w:p>
    <w:p w:rsidR="00B60939" w:rsidRDefault="002C5E32" w:rsidP="00C73D5C">
      <w:pPr>
        <w:ind w:left="851"/>
        <w:jc w:val="left"/>
        <w:rPr>
          <w:b/>
          <w:sz w:val="36"/>
          <w:szCs w:val="36"/>
        </w:rPr>
      </w:pPr>
      <w:proofErr w:type="spellStart"/>
      <w:r w:rsidRPr="008B348A">
        <w:rPr>
          <w:rFonts w:asciiTheme="minorHAnsi" w:hAnsiTheme="minorHAnsi"/>
          <w:b/>
          <w:sz w:val="32"/>
        </w:rPr>
        <w:t>Shingrix</w:t>
      </w:r>
      <w:proofErr w:type="spellEnd"/>
      <w:r>
        <w:rPr>
          <w:rFonts w:asciiTheme="minorHAnsi" w:hAnsiTheme="minorHAnsi" w:cstheme="minorHAnsi"/>
          <w:b/>
          <w:sz w:val="32"/>
        </w:rPr>
        <w:t>®</w:t>
      </w:r>
      <w:r w:rsidRPr="008B348A">
        <w:rPr>
          <w:rFonts w:asciiTheme="minorHAnsi" w:hAnsiTheme="minorHAnsi"/>
          <w:b/>
          <w:sz w:val="32"/>
        </w:rPr>
        <w:t>,</w:t>
      </w:r>
      <w:r>
        <w:rPr>
          <w:rFonts w:asciiTheme="minorHAnsi" w:hAnsiTheme="minorHAnsi"/>
          <w:b/>
          <w:sz w:val="32"/>
        </w:rPr>
        <w:t xml:space="preserve"> </w:t>
      </w:r>
      <w:r w:rsidRPr="008B348A">
        <w:rPr>
          <w:rFonts w:asciiTheme="minorHAnsi" w:hAnsiTheme="minorHAnsi"/>
          <w:b/>
          <w:sz w:val="32"/>
        </w:rPr>
        <w:t>GlaxoSmithKline</w:t>
      </w:r>
      <w:r w:rsidRPr="008B348A">
        <w:rPr>
          <w:b/>
          <w:sz w:val="36"/>
          <w:szCs w:val="36"/>
        </w:rPr>
        <w:t xml:space="preserve"> </w:t>
      </w:r>
    </w:p>
    <w:p w:rsidR="00433044" w:rsidRPr="008B348A" w:rsidRDefault="00433044" w:rsidP="00281014">
      <w:pPr>
        <w:pStyle w:val="BodyText"/>
      </w:pPr>
    </w:p>
    <w:p w:rsidR="00B50DB8" w:rsidRPr="002D1A95" w:rsidRDefault="00B50DB8" w:rsidP="002D1A95">
      <w:pPr>
        <w:pStyle w:val="Heading1"/>
      </w:pPr>
      <w:bookmarkStart w:id="1" w:name="_Toc524340201"/>
      <w:r w:rsidRPr="002D1A95">
        <w:t>Purpose of Application</w:t>
      </w:r>
      <w:bookmarkEnd w:id="1"/>
    </w:p>
    <w:p w:rsidR="002C2775" w:rsidRDefault="00441452" w:rsidP="00ED2457">
      <w:pPr>
        <w:pStyle w:val="ListParagraph"/>
        <w:widowControl/>
        <w:numPr>
          <w:ilvl w:val="1"/>
          <w:numId w:val="2"/>
        </w:numPr>
      </w:pPr>
      <w:r>
        <w:t>National Immunisation Program (</w:t>
      </w:r>
      <w:r w:rsidR="00720ED4" w:rsidRPr="008B348A">
        <w:t>NIP</w:t>
      </w:r>
      <w:r>
        <w:t>)</w:t>
      </w:r>
      <w:r w:rsidR="00720ED4" w:rsidRPr="008B348A">
        <w:t xml:space="preserve"> </w:t>
      </w:r>
      <w:r w:rsidR="008B1757" w:rsidRPr="008B348A">
        <w:t xml:space="preserve">listing for </w:t>
      </w:r>
      <w:r w:rsidR="00720ED4" w:rsidRPr="008B348A">
        <w:t>the recombinant varicella zoster virus glycoprotein E antigen (AS01</w:t>
      </w:r>
      <w:r w:rsidR="00720ED4" w:rsidRPr="002C5E32">
        <w:rPr>
          <w:vertAlign w:val="subscript"/>
        </w:rPr>
        <w:t>B</w:t>
      </w:r>
      <w:r w:rsidR="00720ED4" w:rsidRPr="008B348A">
        <w:t xml:space="preserve"> </w:t>
      </w:r>
      <w:proofErr w:type="spellStart"/>
      <w:r w:rsidR="00720ED4" w:rsidRPr="008B348A">
        <w:t>adjuvanted</w:t>
      </w:r>
      <w:proofErr w:type="spellEnd"/>
      <w:r w:rsidR="00720ED4" w:rsidRPr="008B348A">
        <w:t>) vaccine (</w:t>
      </w:r>
      <w:r w:rsidR="00B03D76">
        <w:t xml:space="preserve">hereafter referred to as </w:t>
      </w:r>
      <w:r w:rsidR="00720ED4" w:rsidRPr="008B348A">
        <w:t>the HZ/</w:t>
      </w:r>
      <w:proofErr w:type="spellStart"/>
      <w:r w:rsidR="00720ED4" w:rsidRPr="008B348A">
        <w:t>su</w:t>
      </w:r>
      <w:proofErr w:type="spellEnd"/>
      <w:r w:rsidR="00720ED4" w:rsidRPr="008B348A">
        <w:t xml:space="preserve"> vaccine) </w:t>
      </w:r>
      <w:r w:rsidR="00B03D76">
        <w:t xml:space="preserve">at 60 years (with a five-year catch-up program), </w:t>
      </w:r>
      <w:r w:rsidR="008B1757" w:rsidRPr="008B348A">
        <w:t xml:space="preserve">for </w:t>
      </w:r>
      <w:r w:rsidR="00720ED4" w:rsidRPr="008B348A">
        <w:t xml:space="preserve">the prevention </w:t>
      </w:r>
      <w:r w:rsidR="008B1757" w:rsidRPr="008B348A">
        <w:t>of</w:t>
      </w:r>
      <w:r w:rsidR="00FB7343" w:rsidRPr="008B348A">
        <w:t xml:space="preserve"> </w:t>
      </w:r>
      <w:r w:rsidR="002C5E32">
        <w:t>herpes zoster (</w:t>
      </w:r>
      <w:r w:rsidR="00FB7343" w:rsidRPr="008B348A">
        <w:t>HZ</w:t>
      </w:r>
      <w:r w:rsidR="002C5E32">
        <w:t>)</w:t>
      </w:r>
      <w:r w:rsidR="00FB7343" w:rsidRPr="008B348A">
        <w:t xml:space="preserve"> and </w:t>
      </w:r>
      <w:r w:rsidR="002C5E32">
        <w:t>post-herpetic neuralgia (</w:t>
      </w:r>
      <w:r w:rsidR="006000E6" w:rsidRPr="008B348A">
        <w:t>PHN</w:t>
      </w:r>
      <w:r w:rsidR="002C5E32">
        <w:t>)</w:t>
      </w:r>
      <w:r w:rsidR="00FB7343" w:rsidRPr="008B348A">
        <w:t xml:space="preserve">. </w:t>
      </w:r>
      <w:r w:rsidR="00720ED4" w:rsidRPr="008B348A">
        <w:t xml:space="preserve">The PBAC has not </w:t>
      </w:r>
      <w:r w:rsidR="00FB7343" w:rsidRPr="008B348A">
        <w:t>previously considered this vaccine.</w:t>
      </w:r>
    </w:p>
    <w:p w:rsidR="00D2762E" w:rsidRPr="008B348A" w:rsidRDefault="00D2762E" w:rsidP="00ED2457">
      <w:pPr>
        <w:pStyle w:val="ListParagraph"/>
        <w:widowControl/>
        <w:numPr>
          <w:ilvl w:val="1"/>
          <w:numId w:val="2"/>
        </w:numPr>
      </w:pPr>
      <w:r>
        <w:t xml:space="preserve">In November 2014 the PBAC recommended listing vaccination of immunocompetent individuals </w:t>
      </w:r>
      <w:r w:rsidR="00B03D76">
        <w:t xml:space="preserve">aged 70 years </w:t>
      </w:r>
      <w:r>
        <w:t xml:space="preserve">with the </w:t>
      </w:r>
      <w:r w:rsidR="00B03D76">
        <w:t>zoster virus vaccine live (</w:t>
      </w:r>
      <w:r>
        <w:t>live-HZ</w:t>
      </w:r>
      <w:r w:rsidR="00B03D76">
        <w:t>)</w:t>
      </w:r>
      <w:r>
        <w:t xml:space="preserve">, with a </w:t>
      </w:r>
      <w:r w:rsidR="00B03D76">
        <w:t>five</w:t>
      </w:r>
      <w:r>
        <w:t>-year catch-up program for immunocompetent individuals aged 70-79 years.</w:t>
      </w:r>
    </w:p>
    <w:p w:rsidR="00C2778B" w:rsidRPr="008B348A" w:rsidRDefault="00FB7343" w:rsidP="00ED2457">
      <w:pPr>
        <w:pStyle w:val="ListParagraph"/>
        <w:widowControl/>
        <w:numPr>
          <w:ilvl w:val="1"/>
          <w:numId w:val="2"/>
        </w:numPr>
        <w:spacing w:after="120"/>
      </w:pPr>
      <w:r w:rsidRPr="008B348A">
        <w:t xml:space="preserve">The requested basis for listing </w:t>
      </w:r>
      <w:r w:rsidR="00B03D76">
        <w:t>HZ/</w:t>
      </w:r>
      <w:proofErr w:type="spellStart"/>
      <w:r w:rsidR="00B03D76">
        <w:t>su</w:t>
      </w:r>
      <w:proofErr w:type="spellEnd"/>
      <w:r w:rsidR="00B03D76">
        <w:t xml:space="preserve"> </w:t>
      </w:r>
      <w:r w:rsidRPr="008B348A">
        <w:t xml:space="preserve">was cost-effectiveness compared to no vaccine </w:t>
      </w:r>
      <w:r w:rsidR="00270C22">
        <w:t>and</w:t>
      </w:r>
      <w:r w:rsidRPr="008B348A">
        <w:t xml:space="preserve"> </w:t>
      </w:r>
      <w:r w:rsidR="00B03D76">
        <w:t>the</w:t>
      </w:r>
      <w:r w:rsidRPr="008B348A">
        <w:t xml:space="preserve"> live</w:t>
      </w:r>
      <w:r w:rsidR="00E7500C" w:rsidRPr="008B348A">
        <w:t>-</w:t>
      </w:r>
      <w:r w:rsidRPr="008B348A">
        <w:t>HZ vaccine</w:t>
      </w:r>
      <w:r w:rsidR="00554D48">
        <w:t>.</w:t>
      </w:r>
    </w:p>
    <w:p w:rsidR="008B1757" w:rsidRPr="008B348A" w:rsidRDefault="008B1757" w:rsidP="001F1BD8">
      <w:pPr>
        <w:keepNext/>
        <w:rPr>
          <w:rStyle w:val="CommentReference"/>
        </w:rPr>
      </w:pPr>
      <w:r w:rsidRPr="008B348A">
        <w:rPr>
          <w:rStyle w:val="CommentReference"/>
        </w:rPr>
        <w:t xml:space="preserve">Table </w:t>
      </w:r>
      <w:r w:rsidR="00FB7343" w:rsidRPr="008B348A">
        <w:rPr>
          <w:rStyle w:val="CommentReference"/>
        </w:rPr>
        <w:t>1</w:t>
      </w:r>
      <w:r w:rsidRPr="008B348A">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8B1757" w:rsidRPr="008B348A" w:rsidTr="00441452">
        <w:trPr>
          <w:cantSplit/>
          <w:tblHeader/>
        </w:trPr>
        <w:tc>
          <w:tcPr>
            <w:tcW w:w="1271" w:type="dxa"/>
            <w:shd w:val="clear" w:color="auto" w:fill="auto"/>
          </w:tcPr>
          <w:p w:rsidR="008B1757" w:rsidRPr="008B348A" w:rsidRDefault="008B1757" w:rsidP="001F1BD8">
            <w:pPr>
              <w:pStyle w:val="Tabletext"/>
              <w:keepNext/>
              <w:rPr>
                <w:b/>
                <w:szCs w:val="20"/>
              </w:rPr>
            </w:pPr>
            <w:r w:rsidRPr="008B348A">
              <w:rPr>
                <w:b/>
              </w:rPr>
              <w:t>Component</w:t>
            </w:r>
          </w:p>
        </w:tc>
        <w:tc>
          <w:tcPr>
            <w:tcW w:w="7909" w:type="dxa"/>
            <w:shd w:val="clear" w:color="auto" w:fill="auto"/>
          </w:tcPr>
          <w:p w:rsidR="008B1757" w:rsidRPr="008B348A" w:rsidRDefault="008B1757" w:rsidP="001F1BD8">
            <w:pPr>
              <w:pStyle w:val="Tabletext"/>
              <w:keepNext/>
              <w:jc w:val="center"/>
              <w:rPr>
                <w:b/>
              </w:rPr>
            </w:pPr>
            <w:r w:rsidRPr="008B348A">
              <w:rPr>
                <w:b/>
              </w:rPr>
              <w:t>Description</w:t>
            </w:r>
          </w:p>
        </w:tc>
      </w:tr>
      <w:tr w:rsidR="00FB7343" w:rsidRPr="008B348A" w:rsidTr="00441452">
        <w:trPr>
          <w:cantSplit/>
        </w:trPr>
        <w:tc>
          <w:tcPr>
            <w:tcW w:w="1271" w:type="dxa"/>
            <w:shd w:val="clear" w:color="auto" w:fill="auto"/>
          </w:tcPr>
          <w:p w:rsidR="00FB7343" w:rsidRPr="008B348A" w:rsidRDefault="00FB7343" w:rsidP="001F1BD8">
            <w:pPr>
              <w:pStyle w:val="Tabletext"/>
              <w:keepNext/>
            </w:pPr>
            <w:r w:rsidRPr="008B348A">
              <w:t>Population</w:t>
            </w:r>
          </w:p>
        </w:tc>
        <w:tc>
          <w:tcPr>
            <w:tcW w:w="7909" w:type="dxa"/>
            <w:shd w:val="clear" w:color="auto" w:fill="auto"/>
            <w:vAlign w:val="center"/>
          </w:tcPr>
          <w:p w:rsidR="00FB7343" w:rsidRPr="008B348A" w:rsidRDefault="00FB7343" w:rsidP="001F1BD8">
            <w:pPr>
              <w:pStyle w:val="Tabletext"/>
              <w:keepNext/>
            </w:pPr>
            <w:r w:rsidRPr="008B348A">
              <w:t>Adults aged 60 years old and older.</w:t>
            </w:r>
          </w:p>
        </w:tc>
      </w:tr>
      <w:tr w:rsidR="00FB7343" w:rsidRPr="008B348A" w:rsidTr="00441452">
        <w:trPr>
          <w:cantSplit/>
        </w:trPr>
        <w:tc>
          <w:tcPr>
            <w:tcW w:w="1271" w:type="dxa"/>
            <w:shd w:val="clear" w:color="auto" w:fill="auto"/>
          </w:tcPr>
          <w:p w:rsidR="00FB7343" w:rsidRPr="008B348A" w:rsidRDefault="00FB7343" w:rsidP="001F1BD8">
            <w:pPr>
              <w:pStyle w:val="Tabletext"/>
              <w:keepNext/>
            </w:pPr>
            <w:r w:rsidRPr="008B348A">
              <w:t>Intervention</w:t>
            </w:r>
          </w:p>
        </w:tc>
        <w:tc>
          <w:tcPr>
            <w:tcW w:w="7909" w:type="dxa"/>
            <w:shd w:val="clear" w:color="auto" w:fill="auto"/>
            <w:vAlign w:val="center"/>
          </w:tcPr>
          <w:p w:rsidR="00FB7343" w:rsidRPr="008B348A" w:rsidRDefault="00FB7343" w:rsidP="001F1BD8">
            <w:pPr>
              <w:pStyle w:val="Tabletext"/>
              <w:keepNext/>
            </w:pPr>
            <w:r w:rsidRPr="008B348A">
              <w:t>Recombinant Varicella Zoster Virus glycoprotein E antigen (AS01</w:t>
            </w:r>
            <w:r w:rsidRPr="002C5E32">
              <w:rPr>
                <w:vertAlign w:val="subscript"/>
              </w:rPr>
              <w:t>B</w:t>
            </w:r>
            <w:r w:rsidRPr="008B348A">
              <w:t xml:space="preserve"> </w:t>
            </w:r>
            <w:proofErr w:type="spellStart"/>
            <w:r w:rsidRPr="008B348A">
              <w:t>adjuvanted</w:t>
            </w:r>
            <w:proofErr w:type="spellEnd"/>
            <w:r w:rsidRPr="008B348A">
              <w:t>) vaccine (</w:t>
            </w:r>
            <w:proofErr w:type="spellStart"/>
            <w:r w:rsidRPr="008B348A">
              <w:t>Shingrix</w:t>
            </w:r>
            <w:proofErr w:type="spellEnd"/>
            <w:r w:rsidR="002C5E32" w:rsidRPr="002C5E32">
              <w:rPr>
                <w:vertAlign w:val="superscript"/>
              </w:rPr>
              <w:t>®</w:t>
            </w:r>
            <w:r w:rsidRPr="008B348A">
              <w:t>)</w:t>
            </w:r>
          </w:p>
        </w:tc>
      </w:tr>
      <w:tr w:rsidR="00FB7343" w:rsidRPr="008B348A" w:rsidTr="00441452">
        <w:trPr>
          <w:cantSplit/>
        </w:trPr>
        <w:tc>
          <w:tcPr>
            <w:tcW w:w="1271" w:type="dxa"/>
            <w:shd w:val="clear" w:color="auto" w:fill="auto"/>
          </w:tcPr>
          <w:p w:rsidR="00FB7343" w:rsidRPr="008B348A" w:rsidRDefault="00FB7343" w:rsidP="001F1BD8">
            <w:pPr>
              <w:pStyle w:val="Tabletext"/>
              <w:keepNext/>
            </w:pPr>
            <w:r w:rsidRPr="008B348A">
              <w:t>Comparator</w:t>
            </w:r>
          </w:p>
        </w:tc>
        <w:tc>
          <w:tcPr>
            <w:tcW w:w="7909" w:type="dxa"/>
            <w:shd w:val="clear" w:color="auto" w:fill="auto"/>
            <w:vAlign w:val="center"/>
          </w:tcPr>
          <w:p w:rsidR="00FB7343" w:rsidRPr="008B348A" w:rsidRDefault="00FB7343" w:rsidP="001F1BD8">
            <w:pPr>
              <w:pStyle w:val="Tabletext"/>
              <w:keepNext/>
            </w:pPr>
            <w:r w:rsidRPr="008B348A">
              <w:t>60-69 year olds: No vaccine</w:t>
            </w:r>
          </w:p>
          <w:p w:rsidR="00FB7343" w:rsidRPr="008B348A" w:rsidRDefault="00FB7343" w:rsidP="001F1BD8">
            <w:pPr>
              <w:pStyle w:val="Tabletext"/>
              <w:keepNext/>
            </w:pPr>
            <w:r w:rsidRPr="008B348A">
              <w:t>70-79 year olds: Live herpes zoster (live</w:t>
            </w:r>
            <w:r w:rsidR="00E7500C" w:rsidRPr="008B348A">
              <w:t>-</w:t>
            </w:r>
            <w:r w:rsidRPr="008B348A">
              <w:t>HZ) vaccine (</w:t>
            </w:r>
            <w:proofErr w:type="spellStart"/>
            <w:r w:rsidRPr="008B348A">
              <w:t>Zostavax</w:t>
            </w:r>
            <w:proofErr w:type="spellEnd"/>
            <w:r w:rsidR="002C5E32" w:rsidRPr="002C5E32">
              <w:rPr>
                <w:vertAlign w:val="superscript"/>
              </w:rPr>
              <w:t>®</w:t>
            </w:r>
            <w:r w:rsidRPr="008B348A">
              <w:t>)</w:t>
            </w:r>
          </w:p>
          <w:p w:rsidR="00FB7343" w:rsidRPr="008B348A" w:rsidRDefault="00FB7343" w:rsidP="001F1BD8">
            <w:pPr>
              <w:pStyle w:val="Tabletext"/>
              <w:keepNext/>
            </w:pPr>
            <w:r w:rsidRPr="008B348A">
              <w:t>80+ year olds: No vaccine</w:t>
            </w:r>
          </w:p>
        </w:tc>
      </w:tr>
      <w:tr w:rsidR="00FB7343" w:rsidRPr="008B348A" w:rsidTr="00441452">
        <w:trPr>
          <w:cantSplit/>
        </w:trPr>
        <w:tc>
          <w:tcPr>
            <w:tcW w:w="1271" w:type="dxa"/>
            <w:shd w:val="clear" w:color="auto" w:fill="auto"/>
          </w:tcPr>
          <w:p w:rsidR="00FB7343" w:rsidRPr="008B348A" w:rsidRDefault="00FB7343" w:rsidP="001F1BD8">
            <w:pPr>
              <w:pStyle w:val="Tabletext"/>
              <w:keepNext/>
            </w:pPr>
            <w:r w:rsidRPr="008B348A">
              <w:t>Outcomes</w:t>
            </w:r>
          </w:p>
        </w:tc>
        <w:tc>
          <w:tcPr>
            <w:tcW w:w="7909" w:type="dxa"/>
            <w:shd w:val="clear" w:color="auto" w:fill="auto"/>
            <w:vAlign w:val="center"/>
          </w:tcPr>
          <w:p w:rsidR="00FB7343" w:rsidRPr="008B348A" w:rsidRDefault="00FB7343" w:rsidP="001F1BD8">
            <w:pPr>
              <w:pStyle w:val="Tabletext"/>
              <w:keepNext/>
            </w:pPr>
            <w:r w:rsidRPr="008B348A">
              <w:t>Cases of HZ</w:t>
            </w:r>
          </w:p>
          <w:p w:rsidR="00FB7343" w:rsidRPr="008B348A" w:rsidRDefault="00712687" w:rsidP="001F1BD8">
            <w:pPr>
              <w:pStyle w:val="Tabletext"/>
              <w:keepNext/>
            </w:pPr>
            <w:r>
              <w:t>Cases of post</w:t>
            </w:r>
            <w:r w:rsidR="002C5E32">
              <w:t>-</w:t>
            </w:r>
            <w:r w:rsidR="00FB7343" w:rsidRPr="008B348A">
              <w:t>herpetic neuralgia</w:t>
            </w:r>
          </w:p>
          <w:p w:rsidR="00FB7343" w:rsidRPr="008B348A" w:rsidRDefault="00FB7343" w:rsidP="001F1BD8">
            <w:pPr>
              <w:pStyle w:val="Tabletext"/>
              <w:keepNext/>
            </w:pPr>
            <w:r w:rsidRPr="008B348A">
              <w:t>HZ-associated complications</w:t>
            </w:r>
          </w:p>
          <w:p w:rsidR="00FB7343" w:rsidRPr="008B348A" w:rsidRDefault="00FB7343" w:rsidP="001F1BD8">
            <w:pPr>
              <w:pStyle w:val="Tabletext"/>
              <w:keepNext/>
            </w:pPr>
            <w:r w:rsidRPr="008B348A">
              <w:t>HZ-related mortality and hospitalisations</w:t>
            </w:r>
          </w:p>
          <w:p w:rsidR="00FB7343" w:rsidRPr="008B348A" w:rsidRDefault="00FB7343" w:rsidP="001F1BD8">
            <w:pPr>
              <w:pStyle w:val="Tabletext"/>
              <w:keepNext/>
            </w:pPr>
            <w:r w:rsidRPr="008B348A">
              <w:t>HZ-associated pain</w:t>
            </w:r>
          </w:p>
          <w:p w:rsidR="00FB7343" w:rsidRPr="008B348A" w:rsidRDefault="00FB7343" w:rsidP="001F1BD8">
            <w:pPr>
              <w:pStyle w:val="Tabletext"/>
              <w:keepNext/>
            </w:pPr>
            <w:r w:rsidRPr="008B348A">
              <w:t>Vaccine immunogenicity</w:t>
            </w:r>
          </w:p>
          <w:p w:rsidR="00FB7343" w:rsidRPr="008B348A" w:rsidRDefault="00FB7343" w:rsidP="001F1BD8">
            <w:pPr>
              <w:pStyle w:val="Tabletext"/>
              <w:keepNext/>
            </w:pPr>
            <w:r w:rsidRPr="008B348A">
              <w:t xml:space="preserve">Vaccine safety and </w:t>
            </w:r>
            <w:proofErr w:type="spellStart"/>
            <w:r w:rsidRPr="008B348A">
              <w:t>reactogenicity</w:t>
            </w:r>
            <w:proofErr w:type="spellEnd"/>
            <w:r w:rsidRPr="008B348A">
              <w:t>.</w:t>
            </w:r>
          </w:p>
        </w:tc>
      </w:tr>
      <w:tr w:rsidR="00FB7343" w:rsidRPr="008B348A" w:rsidTr="00441452">
        <w:trPr>
          <w:cantSplit/>
        </w:trPr>
        <w:tc>
          <w:tcPr>
            <w:tcW w:w="1271" w:type="dxa"/>
            <w:shd w:val="clear" w:color="auto" w:fill="auto"/>
          </w:tcPr>
          <w:p w:rsidR="00FB7343" w:rsidRPr="008B348A" w:rsidRDefault="00FB7343" w:rsidP="001F1BD8">
            <w:pPr>
              <w:pStyle w:val="Tabletext"/>
              <w:keepNext/>
            </w:pPr>
            <w:r w:rsidRPr="008B348A">
              <w:t>Clinical claim</w:t>
            </w:r>
          </w:p>
        </w:tc>
        <w:tc>
          <w:tcPr>
            <w:tcW w:w="7909" w:type="dxa"/>
            <w:shd w:val="clear" w:color="auto" w:fill="auto"/>
            <w:vAlign w:val="center"/>
          </w:tcPr>
          <w:p w:rsidR="00FB7343" w:rsidRPr="008B348A" w:rsidRDefault="00FB7343" w:rsidP="001F1BD8">
            <w:pPr>
              <w:pStyle w:val="Tabletext"/>
              <w:keepNext/>
            </w:pPr>
            <w:r w:rsidRPr="008B348A">
              <w:t>In 70-79 year olds, the HZ/</w:t>
            </w:r>
            <w:proofErr w:type="spellStart"/>
            <w:r w:rsidRPr="008B348A">
              <w:t>su</w:t>
            </w:r>
            <w:proofErr w:type="spellEnd"/>
            <w:r w:rsidRPr="008B348A">
              <w:t xml:space="preserve"> vaccine administered as a two-dose vaccine provides superior efficacy and a similar safety profile but is more </w:t>
            </w:r>
            <w:proofErr w:type="spellStart"/>
            <w:r w:rsidRPr="008B348A">
              <w:t>reactogenic</w:t>
            </w:r>
            <w:proofErr w:type="spellEnd"/>
            <w:r w:rsidRPr="008B348A">
              <w:t xml:space="preserve"> compared with the live</w:t>
            </w:r>
            <w:r w:rsidR="00E7500C" w:rsidRPr="008B348A">
              <w:t>-</w:t>
            </w:r>
            <w:r w:rsidRPr="008B348A">
              <w:t>HZ vaccine.</w:t>
            </w:r>
          </w:p>
          <w:p w:rsidR="00FB7343" w:rsidRPr="008B348A" w:rsidRDefault="00FB7343" w:rsidP="001F1BD8">
            <w:pPr>
              <w:pStyle w:val="Tabletext"/>
              <w:keepNext/>
            </w:pPr>
          </w:p>
          <w:p w:rsidR="00FB7343" w:rsidRPr="008B348A" w:rsidRDefault="00FB7343" w:rsidP="001F1BD8">
            <w:pPr>
              <w:pStyle w:val="Tabletext"/>
              <w:keepNext/>
            </w:pPr>
            <w:r w:rsidRPr="008B348A">
              <w:t>In 60-69 and 80+ year olds, the HZ/</w:t>
            </w:r>
            <w:proofErr w:type="spellStart"/>
            <w:r w:rsidRPr="008B348A">
              <w:t>su</w:t>
            </w:r>
            <w:proofErr w:type="spellEnd"/>
            <w:r w:rsidRPr="008B348A">
              <w:t xml:space="preserve"> vaccine administered as a two-dose vaccine provides superior efficacy and slightly inferior safety compared with no vaccine.</w:t>
            </w:r>
          </w:p>
        </w:tc>
      </w:tr>
    </w:tbl>
    <w:p w:rsidR="00FB7343" w:rsidRPr="008B348A" w:rsidRDefault="00FB7343" w:rsidP="00FB7343">
      <w:pPr>
        <w:pStyle w:val="TableFooter"/>
      </w:pPr>
      <w:r w:rsidRPr="008B348A">
        <w:t>HZ: herpes zoster</w:t>
      </w:r>
    </w:p>
    <w:p w:rsidR="008B1757" w:rsidRDefault="00FB7343" w:rsidP="00FB7343">
      <w:pPr>
        <w:pStyle w:val="TableFooter"/>
      </w:pPr>
      <w:r w:rsidRPr="008B348A">
        <w:t>Source: Compiled during the evaluation based on p26, p66 and p100 of the submission</w:t>
      </w:r>
    </w:p>
    <w:p w:rsidR="0098559C" w:rsidRDefault="0098559C" w:rsidP="00651FFE">
      <w:pPr>
        <w:pStyle w:val="TableFooter"/>
      </w:pPr>
    </w:p>
    <w:p w:rsidR="0098559C" w:rsidRPr="0098559C" w:rsidRDefault="0098559C" w:rsidP="0098559C">
      <w:pPr>
        <w:rPr>
          <w:i/>
        </w:rPr>
      </w:pPr>
      <w:r w:rsidRPr="0098559C">
        <w:rPr>
          <w:i/>
        </w:rPr>
        <w:t>For more detail on PBAC’s view, see Section 7 PBAC outcome.</w:t>
      </w:r>
    </w:p>
    <w:p w:rsidR="00D3253B" w:rsidRPr="0098559C" w:rsidRDefault="00D3253B" w:rsidP="00FB7343">
      <w:pPr>
        <w:pStyle w:val="TableFooter"/>
        <w:rPr>
          <w:i/>
        </w:rPr>
      </w:pPr>
    </w:p>
    <w:p w:rsidR="00B60939" w:rsidRPr="00260903" w:rsidRDefault="00B50DB8" w:rsidP="002D1A95">
      <w:pPr>
        <w:pStyle w:val="Heading1"/>
        <w:rPr>
          <w:caps/>
        </w:rPr>
      </w:pPr>
      <w:bookmarkStart w:id="2" w:name="_Toc524340202"/>
      <w:r w:rsidRPr="00260903">
        <w:lastRenderedPageBreak/>
        <w:t>Requested listing</w:t>
      </w:r>
      <w:bookmarkEnd w:id="2"/>
    </w:p>
    <w:tbl>
      <w:tblPr>
        <w:tblW w:w="4977" w:type="pct"/>
        <w:tblInd w:w="28" w:type="dxa"/>
        <w:tblCellMar>
          <w:left w:w="28" w:type="dxa"/>
          <w:right w:w="28" w:type="dxa"/>
        </w:tblCellMar>
        <w:tblLook w:val="0000" w:firstRow="0" w:lastRow="0" w:firstColumn="0" w:lastColumn="0" w:noHBand="0" w:noVBand="0"/>
      </w:tblPr>
      <w:tblGrid>
        <w:gridCol w:w="2239"/>
        <w:gridCol w:w="1119"/>
        <w:gridCol w:w="1076"/>
        <w:gridCol w:w="835"/>
        <w:gridCol w:w="1507"/>
        <w:gridCol w:w="728"/>
        <w:gridCol w:w="1484"/>
      </w:tblGrid>
      <w:tr w:rsidR="003517F9" w:rsidRPr="008B348A" w:rsidTr="00E92F71">
        <w:trPr>
          <w:cantSplit/>
          <w:trHeight w:val="463"/>
        </w:trPr>
        <w:tc>
          <w:tcPr>
            <w:tcW w:w="1869" w:type="pct"/>
            <w:gridSpan w:val="2"/>
            <w:tcBorders>
              <w:top w:val="single" w:sz="4" w:space="0" w:color="auto"/>
              <w:bottom w:val="single" w:sz="4" w:space="0" w:color="auto"/>
            </w:tcBorders>
            <w:vAlign w:val="center"/>
          </w:tcPr>
          <w:p w:rsidR="00617E12" w:rsidRPr="008B348A" w:rsidRDefault="00617E12" w:rsidP="00617E12">
            <w:pPr>
              <w:keepNext/>
              <w:jc w:val="left"/>
              <w:rPr>
                <w:rFonts w:ascii="Arial Narrow" w:hAnsi="Arial Narrow"/>
                <w:b/>
                <w:sz w:val="20"/>
              </w:rPr>
            </w:pPr>
            <w:r w:rsidRPr="008B348A">
              <w:rPr>
                <w:rFonts w:ascii="Arial Narrow" w:hAnsi="Arial Narrow"/>
                <w:b/>
                <w:sz w:val="20"/>
              </w:rPr>
              <w:t>Name, Restriction,</w:t>
            </w:r>
          </w:p>
          <w:p w:rsidR="00617E12" w:rsidRPr="008B348A" w:rsidRDefault="00617E12" w:rsidP="00617E12">
            <w:pPr>
              <w:keepNext/>
              <w:jc w:val="left"/>
              <w:rPr>
                <w:rFonts w:ascii="Arial Narrow" w:hAnsi="Arial Narrow"/>
                <w:b/>
                <w:sz w:val="20"/>
              </w:rPr>
            </w:pPr>
            <w:r w:rsidRPr="008B348A">
              <w:rPr>
                <w:rFonts w:ascii="Arial Narrow" w:hAnsi="Arial Narrow"/>
                <w:b/>
                <w:sz w:val="20"/>
              </w:rPr>
              <w:t>Manner of administration and form</w:t>
            </w:r>
          </w:p>
        </w:tc>
        <w:tc>
          <w:tcPr>
            <w:tcW w:w="599" w:type="pct"/>
            <w:tcBorders>
              <w:top w:val="single" w:sz="4" w:space="0" w:color="auto"/>
              <w:bottom w:val="single" w:sz="4" w:space="0" w:color="auto"/>
            </w:tcBorders>
            <w:vAlign w:val="center"/>
          </w:tcPr>
          <w:p w:rsidR="00617E12" w:rsidRPr="008B348A" w:rsidRDefault="00617E12" w:rsidP="00617E12">
            <w:pPr>
              <w:keepNext/>
              <w:jc w:val="center"/>
              <w:rPr>
                <w:rFonts w:ascii="Arial Narrow" w:hAnsi="Arial Narrow"/>
                <w:b/>
                <w:sz w:val="20"/>
              </w:rPr>
            </w:pPr>
            <w:r w:rsidRPr="008B348A">
              <w:rPr>
                <w:rFonts w:ascii="Arial Narrow" w:hAnsi="Arial Narrow"/>
                <w:b/>
                <w:sz w:val="20"/>
              </w:rPr>
              <w:t>Max.</w:t>
            </w:r>
          </w:p>
          <w:p w:rsidR="00617E12" w:rsidRPr="008B348A" w:rsidRDefault="00617E12" w:rsidP="006000E6">
            <w:pPr>
              <w:keepNext/>
              <w:jc w:val="center"/>
              <w:rPr>
                <w:rFonts w:ascii="Arial Narrow" w:hAnsi="Arial Narrow"/>
                <w:b/>
                <w:sz w:val="20"/>
              </w:rPr>
            </w:pPr>
            <w:r w:rsidRPr="008B348A">
              <w:rPr>
                <w:rFonts w:ascii="Arial Narrow" w:hAnsi="Arial Narrow"/>
                <w:b/>
                <w:sz w:val="20"/>
              </w:rPr>
              <w:t>Qty</w:t>
            </w:r>
          </w:p>
        </w:tc>
        <w:tc>
          <w:tcPr>
            <w:tcW w:w="465" w:type="pct"/>
            <w:tcBorders>
              <w:top w:val="single" w:sz="4" w:space="0" w:color="auto"/>
              <w:bottom w:val="single" w:sz="4" w:space="0" w:color="auto"/>
            </w:tcBorders>
            <w:vAlign w:val="center"/>
          </w:tcPr>
          <w:p w:rsidR="00617E12" w:rsidRPr="008B348A" w:rsidRDefault="00617E12" w:rsidP="00617E12">
            <w:pPr>
              <w:keepNext/>
              <w:jc w:val="center"/>
              <w:rPr>
                <w:rFonts w:ascii="Arial Narrow" w:hAnsi="Arial Narrow"/>
                <w:b/>
                <w:sz w:val="20"/>
              </w:rPr>
            </w:pPr>
            <w:r w:rsidRPr="008B348A">
              <w:rPr>
                <w:rFonts w:ascii="Arial Narrow" w:hAnsi="Arial Narrow" w:cs="Times New Roman"/>
                <w:b/>
                <w:sz w:val="20"/>
              </w:rPr>
              <w:t>№</w:t>
            </w:r>
            <w:r w:rsidRPr="008B348A">
              <w:rPr>
                <w:rFonts w:ascii="Arial Narrow" w:hAnsi="Arial Narrow"/>
                <w:b/>
                <w:sz w:val="20"/>
              </w:rPr>
              <w:t>.of</w:t>
            </w:r>
          </w:p>
          <w:p w:rsidR="00617E12" w:rsidRPr="008B348A" w:rsidRDefault="00617E12" w:rsidP="00617E12">
            <w:pPr>
              <w:keepNext/>
              <w:jc w:val="center"/>
              <w:rPr>
                <w:rFonts w:ascii="Arial Narrow" w:hAnsi="Arial Narrow"/>
                <w:b/>
                <w:sz w:val="20"/>
              </w:rPr>
            </w:pPr>
            <w:r w:rsidRPr="008B348A">
              <w:rPr>
                <w:rFonts w:ascii="Arial Narrow" w:hAnsi="Arial Narrow"/>
                <w:b/>
                <w:sz w:val="20"/>
              </w:rPr>
              <w:t>Rpts</w:t>
            </w:r>
          </w:p>
        </w:tc>
        <w:tc>
          <w:tcPr>
            <w:tcW w:w="839" w:type="pct"/>
            <w:tcBorders>
              <w:top w:val="single" w:sz="4" w:space="0" w:color="auto"/>
              <w:bottom w:val="single" w:sz="4" w:space="0" w:color="auto"/>
            </w:tcBorders>
            <w:vAlign w:val="center"/>
          </w:tcPr>
          <w:p w:rsidR="00617E12" w:rsidRPr="008B348A" w:rsidRDefault="00617E12" w:rsidP="006000E6">
            <w:pPr>
              <w:keepNext/>
              <w:jc w:val="center"/>
              <w:rPr>
                <w:rFonts w:ascii="Arial Narrow" w:hAnsi="Arial Narrow"/>
                <w:b/>
                <w:sz w:val="20"/>
              </w:rPr>
            </w:pPr>
            <w:r w:rsidRPr="008B348A">
              <w:rPr>
                <w:rFonts w:ascii="Arial Narrow" w:hAnsi="Arial Narrow"/>
                <w:b/>
                <w:sz w:val="20"/>
              </w:rPr>
              <w:t>Dispensed Price for Max. Qty</w:t>
            </w:r>
          </w:p>
        </w:tc>
        <w:tc>
          <w:tcPr>
            <w:tcW w:w="1228" w:type="pct"/>
            <w:gridSpan w:val="2"/>
            <w:tcBorders>
              <w:top w:val="single" w:sz="4" w:space="0" w:color="auto"/>
              <w:bottom w:val="single" w:sz="4" w:space="0" w:color="auto"/>
            </w:tcBorders>
            <w:vAlign w:val="center"/>
          </w:tcPr>
          <w:p w:rsidR="00617E12" w:rsidRPr="008B348A" w:rsidRDefault="00617E12" w:rsidP="00617E12">
            <w:pPr>
              <w:keepNext/>
              <w:jc w:val="center"/>
              <w:rPr>
                <w:rFonts w:ascii="Arial Narrow" w:hAnsi="Arial Narrow"/>
                <w:b/>
                <w:sz w:val="20"/>
              </w:rPr>
            </w:pPr>
            <w:r w:rsidRPr="008B348A">
              <w:rPr>
                <w:rFonts w:ascii="Arial Narrow" w:hAnsi="Arial Narrow"/>
                <w:b/>
                <w:sz w:val="20"/>
              </w:rPr>
              <w:t>Proprietary Name and Manufacturer</w:t>
            </w:r>
          </w:p>
        </w:tc>
      </w:tr>
      <w:tr w:rsidR="003517F9" w:rsidRPr="008B348A" w:rsidTr="00E92F71">
        <w:trPr>
          <w:cantSplit/>
          <w:trHeight w:val="567"/>
        </w:trPr>
        <w:tc>
          <w:tcPr>
            <w:tcW w:w="1869" w:type="pct"/>
            <w:gridSpan w:val="2"/>
            <w:vAlign w:val="center"/>
          </w:tcPr>
          <w:p w:rsidR="006000E6" w:rsidRPr="004A7756" w:rsidRDefault="006000E6" w:rsidP="006000E6">
            <w:pPr>
              <w:pStyle w:val="Tabletext"/>
              <w:rPr>
                <w:rFonts w:cs="Arial"/>
                <w:smallCaps/>
                <w:snapToGrid w:val="0"/>
              </w:rPr>
            </w:pPr>
            <w:r w:rsidRPr="004A7756">
              <w:rPr>
                <w:rFonts w:cs="Arial"/>
                <w:smallCaps/>
                <w:snapToGrid w:val="0"/>
              </w:rPr>
              <w:t xml:space="preserve">Recombinant Varicella Zoster Virus </w:t>
            </w:r>
            <w:r w:rsidR="002C5E32" w:rsidRPr="004A7756">
              <w:rPr>
                <w:rFonts w:cs="Arial"/>
                <w:smallCaps/>
                <w:snapToGrid w:val="0"/>
              </w:rPr>
              <w:t>G</w:t>
            </w:r>
            <w:r w:rsidR="0022116F" w:rsidRPr="004A7756">
              <w:rPr>
                <w:rFonts w:cs="Arial"/>
                <w:smallCaps/>
                <w:snapToGrid w:val="0"/>
              </w:rPr>
              <w:t>lycoprotein E A</w:t>
            </w:r>
            <w:r w:rsidRPr="004A7756">
              <w:rPr>
                <w:rFonts w:cs="Arial"/>
                <w:smallCaps/>
                <w:snapToGrid w:val="0"/>
              </w:rPr>
              <w:t>ntigen (AS01</w:t>
            </w:r>
            <w:r w:rsidRPr="004A7756">
              <w:rPr>
                <w:rFonts w:cs="Arial"/>
                <w:smallCaps/>
                <w:snapToGrid w:val="0"/>
                <w:vertAlign w:val="subscript"/>
              </w:rPr>
              <w:t>B</w:t>
            </w:r>
            <w:r w:rsidRPr="004A7756">
              <w:rPr>
                <w:rFonts w:cs="Arial"/>
                <w:smallCaps/>
                <w:snapToGrid w:val="0"/>
              </w:rPr>
              <w:t xml:space="preserve"> </w:t>
            </w:r>
            <w:proofErr w:type="spellStart"/>
            <w:r w:rsidR="002C5E32" w:rsidRPr="004A7756">
              <w:rPr>
                <w:rFonts w:cs="Arial"/>
                <w:smallCaps/>
                <w:snapToGrid w:val="0"/>
              </w:rPr>
              <w:t>A</w:t>
            </w:r>
            <w:r w:rsidRPr="004A7756">
              <w:rPr>
                <w:rFonts w:cs="Arial"/>
                <w:smallCaps/>
                <w:snapToGrid w:val="0"/>
              </w:rPr>
              <w:t>djuvanted</w:t>
            </w:r>
            <w:proofErr w:type="spellEnd"/>
            <w:r w:rsidRPr="004A7756">
              <w:rPr>
                <w:rFonts w:cs="Arial"/>
                <w:smallCaps/>
                <w:snapToGrid w:val="0"/>
              </w:rPr>
              <w:t xml:space="preserve">) </w:t>
            </w:r>
            <w:r w:rsidR="002C5E32" w:rsidRPr="004A7756">
              <w:rPr>
                <w:rFonts w:cs="Arial"/>
                <w:smallCaps/>
                <w:snapToGrid w:val="0"/>
              </w:rPr>
              <w:t>V</w:t>
            </w:r>
            <w:r w:rsidRPr="004A7756">
              <w:rPr>
                <w:rFonts w:cs="Arial"/>
                <w:smallCaps/>
                <w:snapToGrid w:val="0"/>
              </w:rPr>
              <w:t>accine</w:t>
            </w:r>
          </w:p>
          <w:p w:rsidR="00617E12" w:rsidRPr="004A7756" w:rsidRDefault="006000E6" w:rsidP="002C5E32">
            <w:pPr>
              <w:keepNext/>
              <w:jc w:val="left"/>
              <w:rPr>
                <w:rFonts w:ascii="Arial Narrow" w:hAnsi="Arial Narrow"/>
                <w:sz w:val="20"/>
              </w:rPr>
            </w:pPr>
            <w:r w:rsidRPr="004A7756">
              <w:rPr>
                <w:rFonts w:ascii="Arial Narrow" w:hAnsi="Arial Narrow" w:cs="Times New Roman"/>
                <w:snapToGrid/>
                <w:sz w:val="20"/>
              </w:rPr>
              <w:t>Powder and suspension for injection, 0.5 </w:t>
            </w:r>
            <w:r w:rsidR="002C5E32" w:rsidRPr="004A7756">
              <w:rPr>
                <w:rFonts w:ascii="Arial Narrow" w:hAnsi="Arial Narrow" w:cs="Times New Roman"/>
                <w:snapToGrid/>
                <w:sz w:val="20"/>
              </w:rPr>
              <w:t>mL</w:t>
            </w:r>
          </w:p>
        </w:tc>
        <w:tc>
          <w:tcPr>
            <w:tcW w:w="599" w:type="pct"/>
            <w:vAlign w:val="center"/>
          </w:tcPr>
          <w:p w:rsidR="00617E12" w:rsidRPr="004A7756" w:rsidRDefault="006000E6" w:rsidP="00617E12">
            <w:pPr>
              <w:keepNext/>
              <w:jc w:val="center"/>
              <w:rPr>
                <w:rFonts w:ascii="Arial Narrow" w:hAnsi="Arial Narrow"/>
                <w:sz w:val="20"/>
              </w:rPr>
            </w:pPr>
            <w:r w:rsidRPr="004A7756">
              <w:rPr>
                <w:rFonts w:ascii="Arial Narrow" w:hAnsi="Arial Narrow"/>
                <w:sz w:val="20"/>
              </w:rPr>
              <w:t>NS</w:t>
            </w:r>
          </w:p>
        </w:tc>
        <w:tc>
          <w:tcPr>
            <w:tcW w:w="465" w:type="pct"/>
            <w:vAlign w:val="center"/>
          </w:tcPr>
          <w:p w:rsidR="00617E12" w:rsidRPr="004A7756" w:rsidRDefault="006000E6" w:rsidP="00617E12">
            <w:pPr>
              <w:keepNext/>
              <w:jc w:val="center"/>
              <w:rPr>
                <w:rFonts w:ascii="Arial Narrow" w:hAnsi="Arial Narrow"/>
                <w:sz w:val="20"/>
              </w:rPr>
            </w:pPr>
            <w:r w:rsidRPr="004A7756">
              <w:rPr>
                <w:rFonts w:ascii="Arial Narrow" w:hAnsi="Arial Narrow"/>
                <w:sz w:val="20"/>
              </w:rPr>
              <w:t>NS</w:t>
            </w:r>
          </w:p>
        </w:tc>
        <w:tc>
          <w:tcPr>
            <w:tcW w:w="839" w:type="pct"/>
            <w:vAlign w:val="center"/>
          </w:tcPr>
          <w:p w:rsidR="00617E12" w:rsidRPr="004A7756" w:rsidRDefault="006000E6" w:rsidP="00617E12">
            <w:pPr>
              <w:keepNext/>
              <w:jc w:val="center"/>
              <w:rPr>
                <w:rFonts w:ascii="Arial Narrow" w:hAnsi="Arial Narrow"/>
                <w:sz w:val="20"/>
              </w:rPr>
            </w:pPr>
            <w:r w:rsidRPr="004A7756">
              <w:rPr>
                <w:rFonts w:ascii="Arial Narrow" w:hAnsi="Arial Narrow"/>
                <w:sz w:val="20"/>
              </w:rPr>
              <w:t>NS</w:t>
            </w:r>
          </w:p>
        </w:tc>
        <w:tc>
          <w:tcPr>
            <w:tcW w:w="402" w:type="pct"/>
            <w:vAlign w:val="center"/>
          </w:tcPr>
          <w:p w:rsidR="00617E12" w:rsidRPr="004A7756" w:rsidRDefault="006000E6" w:rsidP="00617E12">
            <w:pPr>
              <w:keepNext/>
              <w:jc w:val="center"/>
              <w:rPr>
                <w:rFonts w:ascii="Arial Narrow" w:hAnsi="Arial Narrow"/>
                <w:sz w:val="20"/>
              </w:rPr>
            </w:pPr>
            <w:proofErr w:type="spellStart"/>
            <w:r w:rsidRPr="004A7756">
              <w:rPr>
                <w:rFonts w:ascii="Arial Narrow" w:hAnsi="Arial Narrow"/>
                <w:sz w:val="20"/>
              </w:rPr>
              <w:t>Shingrix</w:t>
            </w:r>
            <w:proofErr w:type="spellEnd"/>
            <w:r w:rsidR="00AB1032" w:rsidRPr="004A7756">
              <w:rPr>
                <w:rFonts w:ascii="Arial Narrow" w:hAnsi="Arial Narrow"/>
                <w:sz w:val="20"/>
                <w:vertAlign w:val="superscript"/>
              </w:rPr>
              <w:t>®</w:t>
            </w:r>
          </w:p>
        </w:tc>
        <w:tc>
          <w:tcPr>
            <w:tcW w:w="826" w:type="pct"/>
            <w:vAlign w:val="center"/>
          </w:tcPr>
          <w:p w:rsidR="00591957" w:rsidRPr="004A7756" w:rsidRDefault="006000E6" w:rsidP="006000E6">
            <w:pPr>
              <w:keepNext/>
              <w:jc w:val="center"/>
              <w:rPr>
                <w:rFonts w:ascii="Arial Narrow" w:hAnsi="Arial Narrow"/>
                <w:sz w:val="20"/>
              </w:rPr>
            </w:pPr>
            <w:r w:rsidRPr="004A7756">
              <w:rPr>
                <w:rFonts w:ascii="Arial Narrow" w:hAnsi="Arial Narrow"/>
                <w:sz w:val="20"/>
              </w:rPr>
              <w:t>GlaxoSmithKline</w:t>
            </w:r>
          </w:p>
        </w:tc>
      </w:tr>
      <w:tr w:rsidR="00542C2D" w:rsidRPr="008B348A" w:rsidTr="00E92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6" w:type="pct"/>
            <w:tcBorders>
              <w:top w:val="single" w:sz="4" w:space="0" w:color="auto"/>
              <w:left w:val="single" w:sz="4" w:space="0" w:color="auto"/>
              <w:bottom w:val="single" w:sz="4" w:space="0" w:color="auto"/>
              <w:right w:val="single" w:sz="4" w:space="0" w:color="auto"/>
            </w:tcBorders>
            <w:hideMark/>
          </w:tcPr>
          <w:p w:rsidR="00542C2D" w:rsidRPr="008B348A" w:rsidRDefault="00591957" w:rsidP="00591957">
            <w:pPr>
              <w:pStyle w:val="Tabletext"/>
              <w:rPr>
                <w:lang w:eastAsia="en-AU"/>
              </w:rPr>
            </w:pPr>
            <w:r w:rsidRPr="008B348A">
              <w:rPr>
                <w:lang w:eastAsia="en-AU"/>
              </w:rPr>
              <w:t>Category/Program:</w:t>
            </w:r>
          </w:p>
        </w:tc>
        <w:tc>
          <w:tcPr>
            <w:tcW w:w="3754" w:type="pct"/>
            <w:gridSpan w:val="6"/>
            <w:tcBorders>
              <w:top w:val="single" w:sz="4" w:space="0" w:color="auto"/>
              <w:left w:val="single" w:sz="4" w:space="0" w:color="auto"/>
              <w:bottom w:val="single" w:sz="4" w:space="0" w:color="auto"/>
              <w:right w:val="single" w:sz="4" w:space="0" w:color="auto"/>
            </w:tcBorders>
          </w:tcPr>
          <w:p w:rsidR="00542C2D" w:rsidRPr="008B348A" w:rsidRDefault="006000E6" w:rsidP="00591957">
            <w:pPr>
              <w:pStyle w:val="Tabletext"/>
              <w:rPr>
                <w:lang w:eastAsia="en-AU"/>
              </w:rPr>
            </w:pPr>
            <w:r w:rsidRPr="008B348A">
              <w:rPr>
                <w:lang w:eastAsia="en-AU"/>
              </w:rPr>
              <w:t>National Immunisation Program</w:t>
            </w:r>
          </w:p>
        </w:tc>
      </w:tr>
    </w:tbl>
    <w:p w:rsidR="006000E6" w:rsidRPr="008B348A" w:rsidRDefault="006000E6" w:rsidP="006000E6">
      <w:pPr>
        <w:pStyle w:val="TableFooter"/>
      </w:pPr>
      <w:r w:rsidRPr="008B348A">
        <w:t>NS: not specified.</w:t>
      </w:r>
    </w:p>
    <w:p w:rsidR="006000E6" w:rsidRDefault="006000E6" w:rsidP="006000E6">
      <w:pPr>
        <w:pStyle w:val="TableFooter"/>
      </w:pPr>
      <w:r w:rsidRPr="008B348A">
        <w:t>Source: Table 1, p18 of the submission and compiled during the evaluation</w:t>
      </w:r>
      <w:r w:rsidR="00783954">
        <w:t>.</w:t>
      </w:r>
    </w:p>
    <w:p w:rsidR="00E92F71" w:rsidRPr="008B348A" w:rsidRDefault="00E92F71" w:rsidP="006000E6">
      <w:pPr>
        <w:pStyle w:val="TableFooter"/>
      </w:pPr>
    </w:p>
    <w:p w:rsidR="00DF7A69" w:rsidRDefault="00DF7A69" w:rsidP="00ED2457">
      <w:pPr>
        <w:pStyle w:val="ListParagraph"/>
        <w:widowControl/>
        <w:numPr>
          <w:ilvl w:val="1"/>
          <w:numId w:val="2"/>
        </w:numPr>
      </w:pPr>
      <w:r>
        <w:t>The submission proposed the following administration schedule.</w:t>
      </w:r>
    </w:p>
    <w:p w:rsidR="00DF7A69" w:rsidRPr="00DF7A69" w:rsidRDefault="00DF7A69" w:rsidP="00DF7A69">
      <w:pPr>
        <w:pStyle w:val="TableHeadingCA"/>
        <w:jc w:val="left"/>
        <w:rPr>
          <w:rStyle w:val="CommentReference"/>
          <w:b/>
        </w:rPr>
      </w:pPr>
      <w:r w:rsidRPr="00DF7A69">
        <w:rPr>
          <w:rStyle w:val="CommentReference"/>
          <w:b/>
        </w:rPr>
        <w:t>Table 2: Requested NIP listing</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57" w:type="dxa"/>
          <w:right w:w="57" w:type="dxa"/>
        </w:tblCellMar>
        <w:tblLook w:val="04A0" w:firstRow="1" w:lastRow="0" w:firstColumn="1" w:lastColumn="0" w:noHBand="0" w:noVBand="1"/>
      </w:tblPr>
      <w:tblGrid>
        <w:gridCol w:w="2575"/>
        <w:gridCol w:w="4616"/>
        <w:gridCol w:w="1829"/>
      </w:tblGrid>
      <w:tr w:rsidR="00DF7A69" w:rsidRPr="008B348A" w:rsidTr="00DF7A69">
        <w:trPr>
          <w:trHeight w:val="305"/>
          <w:tblHeader/>
        </w:trPr>
        <w:tc>
          <w:tcPr>
            <w:tcW w:w="1427" w:type="pct"/>
            <w:tcBorders>
              <w:top w:val="single" w:sz="4" w:space="0" w:color="000000"/>
            </w:tcBorders>
            <w:shd w:val="clear" w:color="auto" w:fill="auto"/>
            <w:vAlign w:val="center"/>
          </w:tcPr>
          <w:p w:rsidR="00DF7A69" w:rsidRPr="008B348A" w:rsidRDefault="00DF7A69" w:rsidP="00DF7A69">
            <w:pPr>
              <w:pStyle w:val="Tabletext"/>
              <w:keepNext/>
              <w:rPr>
                <w:b/>
              </w:rPr>
            </w:pPr>
            <w:r w:rsidRPr="008B348A">
              <w:rPr>
                <w:b/>
              </w:rPr>
              <w:t>Age at time of first injection</w:t>
            </w:r>
          </w:p>
        </w:tc>
        <w:tc>
          <w:tcPr>
            <w:tcW w:w="2559" w:type="pct"/>
            <w:tcBorders>
              <w:top w:val="single" w:sz="4" w:space="0" w:color="000000"/>
            </w:tcBorders>
            <w:shd w:val="clear" w:color="auto" w:fill="auto"/>
            <w:vAlign w:val="center"/>
          </w:tcPr>
          <w:p w:rsidR="00DF7A69" w:rsidRPr="008B348A" w:rsidRDefault="00DF7A69" w:rsidP="00DF7A69">
            <w:pPr>
              <w:pStyle w:val="Tabletext"/>
              <w:keepNext/>
              <w:jc w:val="center"/>
              <w:rPr>
                <w:b/>
              </w:rPr>
            </w:pPr>
            <w:r w:rsidRPr="008B348A">
              <w:rPr>
                <w:b/>
              </w:rPr>
              <w:t>Immunisation and schedule</w:t>
            </w:r>
          </w:p>
        </w:tc>
        <w:tc>
          <w:tcPr>
            <w:tcW w:w="1015" w:type="pct"/>
            <w:tcBorders>
              <w:top w:val="single" w:sz="4" w:space="0" w:color="000000"/>
            </w:tcBorders>
            <w:shd w:val="clear" w:color="auto" w:fill="auto"/>
            <w:vAlign w:val="center"/>
          </w:tcPr>
          <w:p w:rsidR="00DF7A69" w:rsidRPr="008B348A" w:rsidRDefault="00DF7A69" w:rsidP="00DF7A69">
            <w:pPr>
              <w:pStyle w:val="Tabletext"/>
              <w:keepNext/>
              <w:jc w:val="center"/>
              <w:rPr>
                <w:b/>
              </w:rPr>
            </w:pPr>
            <w:r w:rsidRPr="008B348A">
              <w:rPr>
                <w:b/>
              </w:rPr>
              <w:t>Duration of NIP listing</w:t>
            </w:r>
          </w:p>
        </w:tc>
      </w:tr>
      <w:tr w:rsidR="00DF7A69" w:rsidRPr="008B348A" w:rsidTr="00DF7A69">
        <w:trPr>
          <w:trHeight w:val="143"/>
        </w:trPr>
        <w:tc>
          <w:tcPr>
            <w:tcW w:w="1427" w:type="pct"/>
            <w:vAlign w:val="center"/>
          </w:tcPr>
          <w:p w:rsidR="00DF7A69" w:rsidRPr="008B348A" w:rsidRDefault="00DF7A69" w:rsidP="00DF7A69">
            <w:pPr>
              <w:pStyle w:val="Tabletext"/>
            </w:pPr>
            <w:r w:rsidRPr="008B348A">
              <w:t>60 years</w:t>
            </w:r>
          </w:p>
        </w:tc>
        <w:tc>
          <w:tcPr>
            <w:tcW w:w="2559" w:type="pct"/>
            <w:vMerge w:val="restart"/>
            <w:vAlign w:val="center"/>
          </w:tcPr>
          <w:p w:rsidR="00DF7A69" w:rsidRDefault="00DF7A69" w:rsidP="00DF7A69">
            <w:pPr>
              <w:pStyle w:val="Tabletext"/>
            </w:pPr>
            <w:r w:rsidRPr="008B348A">
              <w:t>Two doses each of 0.5 m</w:t>
            </w:r>
            <w:r>
              <w:t>L;</w:t>
            </w:r>
            <w:r w:rsidRPr="008B348A">
              <w:t xml:space="preserve"> </w:t>
            </w:r>
          </w:p>
          <w:p w:rsidR="00DF7A69" w:rsidRPr="008B348A" w:rsidRDefault="00DF7A69" w:rsidP="00DF7A69">
            <w:pPr>
              <w:pStyle w:val="Tabletext"/>
            </w:pPr>
            <w:r w:rsidRPr="008B348A">
              <w:t>The second dose given two months to six months after the first dose</w:t>
            </w:r>
            <w:r>
              <w:t>.</w:t>
            </w:r>
          </w:p>
        </w:tc>
        <w:tc>
          <w:tcPr>
            <w:tcW w:w="1015" w:type="pct"/>
            <w:vAlign w:val="center"/>
          </w:tcPr>
          <w:p w:rsidR="00DF7A69" w:rsidRPr="008B348A" w:rsidRDefault="00DF7A69" w:rsidP="00DF7A69">
            <w:pPr>
              <w:pStyle w:val="Tabletext"/>
            </w:pPr>
            <w:r w:rsidRPr="008B348A">
              <w:t>Ongoing NIP cohort</w:t>
            </w:r>
          </w:p>
        </w:tc>
      </w:tr>
      <w:tr w:rsidR="00DF7A69" w:rsidRPr="008B348A" w:rsidTr="00DF7A69">
        <w:trPr>
          <w:trHeight w:val="132"/>
        </w:trPr>
        <w:tc>
          <w:tcPr>
            <w:tcW w:w="1427" w:type="pct"/>
            <w:vAlign w:val="center"/>
          </w:tcPr>
          <w:p w:rsidR="00DF7A69" w:rsidRPr="008B348A" w:rsidRDefault="00DF7A69" w:rsidP="00DF7A69">
            <w:pPr>
              <w:pStyle w:val="Tabletext"/>
            </w:pPr>
            <w:r w:rsidRPr="008B348A">
              <w:t>60-69 years</w:t>
            </w:r>
          </w:p>
        </w:tc>
        <w:tc>
          <w:tcPr>
            <w:tcW w:w="2559" w:type="pct"/>
            <w:vMerge/>
            <w:vAlign w:val="center"/>
          </w:tcPr>
          <w:p w:rsidR="00DF7A69" w:rsidRPr="008B348A" w:rsidRDefault="00DF7A69" w:rsidP="00DF7A69">
            <w:pPr>
              <w:pStyle w:val="Tabletext"/>
            </w:pPr>
          </w:p>
        </w:tc>
        <w:tc>
          <w:tcPr>
            <w:tcW w:w="1015" w:type="pct"/>
            <w:vMerge w:val="restart"/>
            <w:vAlign w:val="center"/>
          </w:tcPr>
          <w:p w:rsidR="00DF7A69" w:rsidRPr="008B348A" w:rsidRDefault="00DF7A69" w:rsidP="00DF7A69">
            <w:pPr>
              <w:pStyle w:val="Tabletext"/>
            </w:pPr>
            <w:r w:rsidRPr="008B348A">
              <w:t>5 year catch-up</w:t>
            </w:r>
          </w:p>
        </w:tc>
      </w:tr>
      <w:tr w:rsidR="00DF7A69" w:rsidRPr="008B348A" w:rsidTr="00DF7A69">
        <w:trPr>
          <w:trHeight w:val="53"/>
        </w:trPr>
        <w:tc>
          <w:tcPr>
            <w:tcW w:w="1427" w:type="pct"/>
            <w:vAlign w:val="center"/>
          </w:tcPr>
          <w:p w:rsidR="00DF7A69" w:rsidRPr="008B348A" w:rsidRDefault="00DF7A69" w:rsidP="00DF7A69">
            <w:pPr>
              <w:pStyle w:val="Tabletext"/>
            </w:pPr>
            <w:r w:rsidRPr="008B348A">
              <w:t>70-79 years</w:t>
            </w:r>
          </w:p>
        </w:tc>
        <w:tc>
          <w:tcPr>
            <w:tcW w:w="2559" w:type="pct"/>
            <w:vMerge/>
          </w:tcPr>
          <w:p w:rsidR="00DF7A69" w:rsidRPr="008B348A" w:rsidRDefault="00DF7A69" w:rsidP="00DF7A69">
            <w:pPr>
              <w:pStyle w:val="Tabletext"/>
            </w:pPr>
          </w:p>
        </w:tc>
        <w:tc>
          <w:tcPr>
            <w:tcW w:w="1015" w:type="pct"/>
            <w:vMerge/>
          </w:tcPr>
          <w:p w:rsidR="00DF7A69" w:rsidRPr="008B348A" w:rsidRDefault="00DF7A69" w:rsidP="00DF7A69">
            <w:pPr>
              <w:pStyle w:val="Tabletext"/>
            </w:pPr>
          </w:p>
        </w:tc>
      </w:tr>
      <w:tr w:rsidR="00DF7A69" w:rsidRPr="008B348A" w:rsidTr="00DF7A69">
        <w:trPr>
          <w:trHeight w:val="109"/>
        </w:trPr>
        <w:tc>
          <w:tcPr>
            <w:tcW w:w="1427" w:type="pct"/>
            <w:tcBorders>
              <w:bottom w:val="single" w:sz="4" w:space="0" w:color="000000"/>
            </w:tcBorders>
            <w:vAlign w:val="center"/>
          </w:tcPr>
          <w:p w:rsidR="00DF7A69" w:rsidRPr="008B348A" w:rsidRDefault="00DF7A69" w:rsidP="00DF7A69">
            <w:pPr>
              <w:pStyle w:val="Tabletext"/>
            </w:pPr>
            <w:r w:rsidRPr="008B348A">
              <w:t>80 years and over</w:t>
            </w:r>
          </w:p>
        </w:tc>
        <w:tc>
          <w:tcPr>
            <w:tcW w:w="2559" w:type="pct"/>
            <w:vMerge/>
            <w:tcBorders>
              <w:bottom w:val="single" w:sz="4" w:space="0" w:color="000000"/>
            </w:tcBorders>
          </w:tcPr>
          <w:p w:rsidR="00DF7A69" w:rsidRPr="008B348A" w:rsidRDefault="00DF7A69" w:rsidP="00DF7A69">
            <w:pPr>
              <w:pStyle w:val="Tabletext"/>
            </w:pPr>
          </w:p>
        </w:tc>
        <w:tc>
          <w:tcPr>
            <w:tcW w:w="1015" w:type="pct"/>
            <w:vMerge/>
            <w:tcBorders>
              <w:bottom w:val="single" w:sz="4" w:space="0" w:color="000000"/>
            </w:tcBorders>
          </w:tcPr>
          <w:p w:rsidR="00DF7A69" w:rsidRPr="008B348A" w:rsidRDefault="00DF7A69" w:rsidP="00DF7A69">
            <w:pPr>
              <w:pStyle w:val="Tabletext"/>
            </w:pPr>
          </w:p>
        </w:tc>
      </w:tr>
    </w:tbl>
    <w:p w:rsidR="00DF7A69" w:rsidRPr="00DF7A69" w:rsidRDefault="00DF7A69" w:rsidP="00DF7A69">
      <w:pPr>
        <w:pStyle w:val="TableNoteBullet"/>
        <w:numPr>
          <w:ilvl w:val="0"/>
          <w:numId w:val="0"/>
        </w:numPr>
        <w:ind w:left="357" w:hanging="357"/>
        <w:rPr>
          <w:rFonts w:ascii="Arial Narrow" w:hAnsi="Arial Narrow"/>
        </w:rPr>
      </w:pPr>
      <w:r w:rsidRPr="00DF7A69">
        <w:rPr>
          <w:rFonts w:ascii="Arial Narrow" w:hAnsi="Arial Narrow"/>
        </w:rPr>
        <w:t>Source: Table 3, p27 of the vaccine.</w:t>
      </w:r>
    </w:p>
    <w:p w:rsidR="006000E6" w:rsidRPr="0086667F" w:rsidRDefault="006000E6" w:rsidP="00ED2457">
      <w:pPr>
        <w:pStyle w:val="ListParagraph"/>
        <w:widowControl/>
        <w:numPr>
          <w:ilvl w:val="1"/>
          <w:numId w:val="2"/>
        </w:numPr>
      </w:pPr>
      <w:r w:rsidRPr="0086667F">
        <w:t xml:space="preserve">The requested NIP listing </w:t>
      </w:r>
      <w:r w:rsidR="00B03D76">
        <w:t xml:space="preserve">for those aged 60, with a five-year catch-up program, </w:t>
      </w:r>
      <w:r w:rsidRPr="0086667F">
        <w:t>is a sub-set of the TGA indication</w:t>
      </w:r>
      <w:r w:rsidR="006470C2">
        <w:t>, which is for individuals aged 50 years and older</w:t>
      </w:r>
      <w:r w:rsidRPr="0086667F">
        <w:t xml:space="preserve">. </w:t>
      </w:r>
      <w:r w:rsidR="006470C2">
        <w:t>The PBAC noted that the requested NIP listing did not include the ATAGI recommended populations of individuals aged 50 years and over who are: (</w:t>
      </w:r>
      <w:proofErr w:type="spellStart"/>
      <w:r w:rsidR="006470C2">
        <w:t>i</w:t>
      </w:r>
      <w:proofErr w:type="spellEnd"/>
      <w:r w:rsidR="006470C2">
        <w:t>) immunocompromised or immunosuppressed</w:t>
      </w:r>
      <w:r w:rsidR="00752886">
        <w:t xml:space="preserve"> </w:t>
      </w:r>
      <w:r w:rsidR="00B34832">
        <w:t>who</w:t>
      </w:r>
      <w:r w:rsidR="00752886">
        <w:t xml:space="preserve"> cannot receive the live-HZ vaccine</w:t>
      </w:r>
      <w:r w:rsidR="006470C2">
        <w:t>; or (ii) Aboriginal or Torres Strait Islander</w:t>
      </w:r>
      <w:r w:rsidR="004710EC">
        <w:t>, who have a greater burden of disease</w:t>
      </w:r>
      <w:r w:rsidR="006470C2">
        <w:t>.</w:t>
      </w:r>
    </w:p>
    <w:p w:rsidR="006000E6" w:rsidRPr="0098559C" w:rsidRDefault="006000E6" w:rsidP="00ED2457">
      <w:pPr>
        <w:pStyle w:val="ListParagraph"/>
        <w:widowControl/>
        <w:numPr>
          <w:ilvl w:val="1"/>
          <w:numId w:val="2"/>
        </w:numPr>
        <w:spacing w:after="0"/>
      </w:pPr>
      <w:r w:rsidRPr="0098559C">
        <w:t xml:space="preserve">The </w:t>
      </w:r>
      <w:r w:rsidR="004C319D" w:rsidRPr="0098559C">
        <w:t xml:space="preserve">ESC noted that the </w:t>
      </w:r>
      <w:r w:rsidRPr="0098559C">
        <w:t>key clinical trials excluded</w:t>
      </w:r>
      <w:r w:rsidR="00B03D76">
        <w:t xml:space="preserve"> individuals who</w:t>
      </w:r>
      <w:r w:rsidRPr="0098559C">
        <w:t>:</w:t>
      </w:r>
    </w:p>
    <w:p w:rsidR="006000E6" w:rsidRPr="0098559C" w:rsidRDefault="006000E6" w:rsidP="00ED2457">
      <w:pPr>
        <w:pStyle w:val="ListParagraph"/>
        <w:widowControl/>
        <w:numPr>
          <w:ilvl w:val="1"/>
          <w:numId w:val="7"/>
        </w:numPr>
        <w:spacing w:before="40" w:after="40"/>
        <w:ind w:left="1077" w:hanging="357"/>
      </w:pPr>
      <w:proofErr w:type="gramStart"/>
      <w:r w:rsidRPr="0098559C">
        <w:t>ha</w:t>
      </w:r>
      <w:r w:rsidR="00B03D76">
        <w:t>d</w:t>
      </w:r>
      <w:proofErr w:type="gramEnd"/>
      <w:r w:rsidRPr="0098559C">
        <w:t xml:space="preserve"> </w:t>
      </w:r>
      <w:r w:rsidR="00400A69" w:rsidRPr="0098559C">
        <w:t xml:space="preserve">previously </w:t>
      </w:r>
      <w:r w:rsidRPr="0098559C">
        <w:t>received the live-HZ vaccine.</w:t>
      </w:r>
    </w:p>
    <w:p w:rsidR="006000E6" w:rsidRPr="0098559C" w:rsidRDefault="006000E6" w:rsidP="00ED2457">
      <w:pPr>
        <w:pStyle w:val="ListParagraph"/>
        <w:widowControl/>
        <w:numPr>
          <w:ilvl w:val="1"/>
          <w:numId w:val="7"/>
        </w:numPr>
        <w:spacing w:before="40" w:after="40"/>
        <w:ind w:left="1077" w:hanging="357"/>
      </w:pPr>
      <w:proofErr w:type="gramStart"/>
      <w:r w:rsidRPr="0098559C">
        <w:t>ha</w:t>
      </w:r>
      <w:r w:rsidR="00B03D76">
        <w:t>d</w:t>
      </w:r>
      <w:proofErr w:type="gramEnd"/>
      <w:r w:rsidRPr="0098559C">
        <w:t xml:space="preserve"> previously had HZ.</w:t>
      </w:r>
    </w:p>
    <w:p w:rsidR="004C319D" w:rsidRPr="0098559C" w:rsidRDefault="00B03D76" w:rsidP="00ED2457">
      <w:pPr>
        <w:pStyle w:val="ListParagraph"/>
        <w:widowControl/>
        <w:numPr>
          <w:ilvl w:val="1"/>
          <w:numId w:val="7"/>
        </w:numPr>
        <w:spacing w:before="40"/>
        <w:ind w:left="1077" w:hanging="357"/>
      </w:pPr>
      <w:proofErr w:type="gramStart"/>
      <w:r>
        <w:t>were</w:t>
      </w:r>
      <w:proofErr w:type="gramEnd"/>
      <w:r w:rsidR="006000E6" w:rsidRPr="0098559C">
        <w:t xml:space="preserve"> immunosuppressed or immunocompromised.</w:t>
      </w:r>
    </w:p>
    <w:p w:rsidR="00AB3080" w:rsidRPr="0098559C" w:rsidRDefault="004C319D" w:rsidP="00AB3080">
      <w:pPr>
        <w:pStyle w:val="ListParagraph"/>
        <w:widowControl/>
        <w:numPr>
          <w:ilvl w:val="1"/>
          <w:numId w:val="2"/>
        </w:numPr>
      </w:pPr>
      <w:r w:rsidRPr="0098559C">
        <w:t xml:space="preserve">The </w:t>
      </w:r>
      <w:r w:rsidR="00160DDF" w:rsidRPr="0098559C">
        <w:t>P</w:t>
      </w:r>
      <w:r w:rsidR="000A48EB" w:rsidRPr="0098559C">
        <w:t>re-Sub-Committee Response (</w:t>
      </w:r>
      <w:r w:rsidRPr="0098559C">
        <w:t>PSCR</w:t>
      </w:r>
      <w:r w:rsidR="000A48EB" w:rsidRPr="0098559C">
        <w:t>)</w:t>
      </w:r>
      <w:r w:rsidRPr="0098559C">
        <w:t xml:space="preserve"> noted that the approved Australian Product Information for the HZ/</w:t>
      </w:r>
      <w:proofErr w:type="spellStart"/>
      <w:r w:rsidRPr="0098559C">
        <w:t>su</w:t>
      </w:r>
      <w:proofErr w:type="spellEnd"/>
      <w:r w:rsidRPr="0098559C">
        <w:t xml:space="preserve"> vaccine does not exclude vaccination of adults </w:t>
      </w:r>
      <w:r w:rsidR="00BD10F1">
        <w:t>over</w:t>
      </w:r>
      <w:r w:rsidRPr="0098559C">
        <w:t xml:space="preserve"> 50 years </w:t>
      </w:r>
      <w:r w:rsidR="00BD10F1">
        <w:t xml:space="preserve">of age </w:t>
      </w:r>
      <w:r w:rsidR="004B6B1C" w:rsidRPr="0098559C">
        <w:t xml:space="preserve">who have previously received a varicella/HZ vaccine, have had a previous history of HZ or who are immunocompromised or immunosuppressed. </w:t>
      </w:r>
      <w:r w:rsidR="000A48EB" w:rsidRPr="0098559C">
        <w:t xml:space="preserve">In addition, the PSCR </w:t>
      </w:r>
      <w:r w:rsidR="004B754F" w:rsidRPr="0098559C">
        <w:t xml:space="preserve">stated that </w:t>
      </w:r>
      <w:r w:rsidR="000A48EB" w:rsidRPr="0098559C">
        <w:t>a number of studies demonstrated vaccine efficacy and acceptable safety in these patient groups.</w:t>
      </w:r>
      <w:r w:rsidR="00AB3080" w:rsidRPr="0098559C">
        <w:t xml:space="preserve"> </w:t>
      </w:r>
      <w:r w:rsidR="00E1270B" w:rsidRPr="0098559C">
        <w:t xml:space="preserve">The ESC considered this informative but noted that </w:t>
      </w:r>
      <w:r w:rsidR="00DD0768">
        <w:t>although</w:t>
      </w:r>
      <w:r w:rsidR="00E1270B" w:rsidRPr="0098559C">
        <w:t xml:space="preserve"> immunocompromised patients were at higher risk of HZ, adjusting for this risk in the economic and financial estimates may have resulted in an overestimate of HZ and PHN events avoided.</w:t>
      </w:r>
      <w:r w:rsidR="001D1991">
        <w:t xml:space="preserve"> The pre-PBAC Response </w:t>
      </w:r>
      <w:r w:rsidR="00E562E3">
        <w:t>argu</w:t>
      </w:r>
      <w:r w:rsidR="001D1991">
        <w:t>ed that immunocompromised or immunosuppressed patients make up less than 2% of the adult population</w:t>
      </w:r>
      <w:r w:rsidR="001D1991">
        <w:rPr>
          <w:rStyle w:val="FootnoteReference"/>
        </w:rPr>
        <w:footnoteReference w:id="1"/>
      </w:r>
      <w:r w:rsidR="001D1991">
        <w:t xml:space="preserve">; therefore, considered that any impact on the economic evaluation </w:t>
      </w:r>
      <w:r w:rsidR="001D1991">
        <w:lastRenderedPageBreak/>
        <w:t>would be minimal.</w:t>
      </w:r>
      <w:r w:rsidR="00E562E3">
        <w:t xml:space="preserve"> The PBAC considered this number might be higher given the increasing number of patients on immunotherapies. </w:t>
      </w:r>
    </w:p>
    <w:p w:rsidR="00EA58C9" w:rsidRPr="00B03D76" w:rsidRDefault="00EA58C9" w:rsidP="00ED2457">
      <w:pPr>
        <w:pStyle w:val="ListParagraph"/>
        <w:widowControl/>
        <w:numPr>
          <w:ilvl w:val="1"/>
          <w:numId w:val="2"/>
        </w:numPr>
      </w:pPr>
      <w:r w:rsidRPr="00B03D76">
        <w:t xml:space="preserve">The </w:t>
      </w:r>
      <w:r w:rsidR="00A94D06" w:rsidRPr="00B03D76">
        <w:t xml:space="preserve">financial </w:t>
      </w:r>
      <w:r w:rsidR="001F1BD8" w:rsidRPr="00B03D76">
        <w:t xml:space="preserve">estimates </w:t>
      </w:r>
      <w:r w:rsidR="00B03D76">
        <w:t>we</w:t>
      </w:r>
      <w:r w:rsidR="001F1BD8" w:rsidRPr="00B03D76">
        <w:t>re</w:t>
      </w:r>
      <w:r w:rsidR="00A94D06" w:rsidRPr="00B03D76">
        <w:t xml:space="preserve"> not consistent with the </w:t>
      </w:r>
      <w:r w:rsidR="001F1BD8" w:rsidRPr="00B03D76">
        <w:t xml:space="preserve">requested </w:t>
      </w:r>
      <w:r w:rsidRPr="00B03D76">
        <w:t>NIP listing</w:t>
      </w:r>
      <w:r w:rsidR="00A94D06" w:rsidRPr="00B03D76">
        <w:t xml:space="preserve">. The </w:t>
      </w:r>
      <w:r w:rsidRPr="00B03D76">
        <w:t xml:space="preserve">financial impact </w:t>
      </w:r>
      <w:r w:rsidR="001F1BD8" w:rsidRPr="00B03D76">
        <w:t xml:space="preserve">estimates </w:t>
      </w:r>
      <w:r w:rsidR="004E7CAD" w:rsidRPr="00B03D76">
        <w:t>include</w:t>
      </w:r>
      <w:r w:rsidR="00DD0768">
        <w:t>d</w:t>
      </w:r>
      <w:r w:rsidR="004E7CAD" w:rsidRPr="00B03D76">
        <w:t xml:space="preserve"> individuals receiving vaccinations </w:t>
      </w:r>
      <w:r w:rsidR="00737E23" w:rsidRPr="00B03D76">
        <w:t xml:space="preserve">in Year 6 </w:t>
      </w:r>
      <w:r w:rsidR="004E7CAD" w:rsidRPr="00B03D76">
        <w:t>at 70 years and 80 years across the forward estimates</w:t>
      </w:r>
      <w:r w:rsidR="00737E23" w:rsidRPr="00B03D76">
        <w:t xml:space="preserve">. After the </w:t>
      </w:r>
      <w:r w:rsidR="00DD0768">
        <w:t>five-</w:t>
      </w:r>
      <w:r w:rsidR="004E7CAD" w:rsidRPr="00B03D76">
        <w:t>year catch-up</w:t>
      </w:r>
      <w:r w:rsidR="00244036" w:rsidRPr="00B03D76">
        <w:t xml:space="preserve"> </w:t>
      </w:r>
      <w:r w:rsidR="004E7CAD" w:rsidRPr="00B03D76">
        <w:t xml:space="preserve">the ongoing NIP cohort will be for </w:t>
      </w:r>
      <w:r w:rsidR="00DD0768">
        <w:t xml:space="preserve">individuals aged </w:t>
      </w:r>
      <w:r w:rsidR="004E7CAD" w:rsidRPr="00B03D76">
        <w:t>60 year</w:t>
      </w:r>
      <w:r w:rsidR="00DD0768">
        <w:t>s</w:t>
      </w:r>
      <w:r w:rsidR="004E7CAD" w:rsidRPr="00B03D76">
        <w:t xml:space="preserve"> only</w:t>
      </w:r>
      <w:r w:rsidRPr="00B03D76">
        <w:t>.</w:t>
      </w:r>
      <w:r w:rsidR="00CB0B40" w:rsidRPr="00B03D76">
        <w:t xml:space="preserve"> Also, the inclusion of 70 year old and 80 year old programs as well as catch up cohorts may have double counted some individuals. </w:t>
      </w:r>
      <w:r w:rsidR="00BD10F1">
        <w:t>The pre-PBAC R</w:t>
      </w:r>
      <w:r w:rsidR="00E562E3" w:rsidRPr="00B03D76">
        <w:t xml:space="preserve">esponse </w:t>
      </w:r>
      <w:r w:rsidR="00BD10F1">
        <w:t>stated that</w:t>
      </w:r>
      <w:r w:rsidR="00E562E3" w:rsidRPr="00B03D76">
        <w:t xml:space="preserve"> the </w:t>
      </w:r>
      <w:r w:rsidR="00E562E3" w:rsidRPr="00B03D76">
        <w:rPr>
          <w:rFonts w:asciiTheme="minorHAnsi" w:hAnsiTheme="minorHAnsi" w:cstheme="minorHAnsi"/>
        </w:rPr>
        <w:t xml:space="preserve">separate costs </w:t>
      </w:r>
      <w:r w:rsidR="00BD10F1">
        <w:rPr>
          <w:rFonts w:asciiTheme="minorHAnsi" w:hAnsiTheme="minorHAnsi" w:cstheme="minorHAnsi"/>
        </w:rPr>
        <w:t>for the</w:t>
      </w:r>
      <w:r w:rsidR="00E562E3" w:rsidRPr="00B03D76">
        <w:rPr>
          <w:rFonts w:asciiTheme="minorHAnsi" w:hAnsiTheme="minorHAnsi" w:cstheme="minorHAnsi"/>
        </w:rPr>
        <w:t xml:space="preserve"> 60, 70 </w:t>
      </w:r>
      <w:r w:rsidR="00341E88" w:rsidRPr="00B03D76">
        <w:rPr>
          <w:rFonts w:asciiTheme="minorHAnsi" w:hAnsiTheme="minorHAnsi" w:cstheme="minorHAnsi"/>
        </w:rPr>
        <w:t>and</w:t>
      </w:r>
      <w:r w:rsidR="00E562E3" w:rsidRPr="00B03D76">
        <w:rPr>
          <w:rFonts w:asciiTheme="minorHAnsi" w:hAnsiTheme="minorHAnsi" w:cstheme="minorHAnsi"/>
        </w:rPr>
        <w:t xml:space="preserve"> 80 year old cohorts (together with separate catch-up programs for 61-69, 71-79 and 81 year olds, respectively) was so that the PBAC could assess the potential cost to Government for each age cohort. </w:t>
      </w:r>
    </w:p>
    <w:p w:rsidR="0098559C" w:rsidRPr="0098559C" w:rsidRDefault="0098559C" w:rsidP="0098559C">
      <w:pPr>
        <w:pStyle w:val="ListParagraph"/>
        <w:widowControl/>
        <w:rPr>
          <w:i/>
        </w:rPr>
      </w:pPr>
      <w:r w:rsidRPr="0098559C">
        <w:rPr>
          <w:i/>
        </w:rPr>
        <w:t>For more detail on PBAC’s view, see Section 7 PBAC outcome.</w:t>
      </w:r>
    </w:p>
    <w:p w:rsidR="00B50DB8" w:rsidRPr="00260903" w:rsidRDefault="00B50DB8" w:rsidP="002D1A95">
      <w:pPr>
        <w:pStyle w:val="Heading1"/>
        <w:rPr>
          <w:caps/>
        </w:rPr>
      </w:pPr>
      <w:bookmarkStart w:id="3" w:name="_Toc524340203"/>
      <w:r w:rsidRPr="00260903">
        <w:t>Background</w:t>
      </w:r>
      <w:bookmarkEnd w:id="3"/>
    </w:p>
    <w:p w:rsidR="00B60939" w:rsidRPr="00E92F71" w:rsidRDefault="00591957" w:rsidP="00E92F71">
      <w:pPr>
        <w:pStyle w:val="Heading2"/>
      </w:pPr>
      <w:r w:rsidRPr="00E92F71">
        <w:t>Registration status</w:t>
      </w:r>
    </w:p>
    <w:p w:rsidR="006000E6" w:rsidRDefault="006000E6" w:rsidP="00ED2457">
      <w:pPr>
        <w:pStyle w:val="ListParagraph"/>
        <w:keepNext/>
        <w:widowControl/>
        <w:numPr>
          <w:ilvl w:val="1"/>
          <w:numId w:val="2"/>
        </w:numPr>
      </w:pPr>
      <w:r w:rsidRPr="008B348A">
        <w:t>The HZ/</w:t>
      </w:r>
      <w:proofErr w:type="spellStart"/>
      <w:r w:rsidRPr="008B348A">
        <w:t>su</w:t>
      </w:r>
      <w:proofErr w:type="spellEnd"/>
      <w:r w:rsidRPr="008B348A">
        <w:t xml:space="preserve"> vaccine was recommended for registration by the TGA delegate on 28 June 2018 for the prevention of herpes zoster (HZ) and </w:t>
      </w:r>
      <w:r w:rsidR="009042CD">
        <w:t>post-herpetic</w:t>
      </w:r>
      <w:r w:rsidRPr="008B348A">
        <w:t xml:space="preserve"> neuralgia (PHN), in adults 50 years of age or older.</w:t>
      </w:r>
    </w:p>
    <w:p w:rsidR="00737E23" w:rsidRDefault="00737E23" w:rsidP="00737E23">
      <w:pPr>
        <w:pStyle w:val="Heading2"/>
      </w:pPr>
      <w:r>
        <w:t>Previous considerations</w:t>
      </w:r>
    </w:p>
    <w:p w:rsidR="00737E23" w:rsidRDefault="00737E23" w:rsidP="00ED2457">
      <w:pPr>
        <w:pStyle w:val="ListParagraph"/>
        <w:keepNext/>
        <w:widowControl/>
        <w:numPr>
          <w:ilvl w:val="1"/>
          <w:numId w:val="2"/>
        </w:numPr>
      </w:pPr>
      <w:r w:rsidRPr="0098559C">
        <w:t xml:space="preserve">In November 2014 the PBAC recommended listing zoster virus vaccine live (live-HZ) on the NIP for immunocompetent persons aged 70 years, with a catch-up cohort of persons aged 71 to 79 years. </w:t>
      </w:r>
    </w:p>
    <w:p w:rsidR="00B50DB8" w:rsidRPr="00260903" w:rsidRDefault="00203181" w:rsidP="002D1A95">
      <w:pPr>
        <w:pStyle w:val="Heading1"/>
        <w:rPr>
          <w:caps/>
        </w:rPr>
      </w:pPr>
      <w:bookmarkStart w:id="4" w:name="_Toc524340204"/>
      <w:r w:rsidRPr="00260903">
        <w:t xml:space="preserve">Population and </w:t>
      </w:r>
      <w:r w:rsidR="008E0D3C" w:rsidRPr="00260903">
        <w:t>d</w:t>
      </w:r>
      <w:r w:rsidRPr="00260903">
        <w:t>isease</w:t>
      </w:r>
      <w:bookmarkEnd w:id="4"/>
    </w:p>
    <w:p w:rsidR="001F119E" w:rsidRPr="008B348A" w:rsidRDefault="00401859" w:rsidP="00ED2457">
      <w:pPr>
        <w:pStyle w:val="ListParagraph"/>
        <w:widowControl/>
        <w:numPr>
          <w:ilvl w:val="1"/>
          <w:numId w:val="2"/>
        </w:numPr>
      </w:pPr>
      <w:r w:rsidRPr="008B348A">
        <w:t xml:space="preserve">Primary </w:t>
      </w:r>
      <w:r w:rsidR="00160DDF">
        <w:t>varicella zoster virus</w:t>
      </w:r>
      <w:r w:rsidR="00160DDF" w:rsidRPr="008B348A">
        <w:t xml:space="preserve"> </w:t>
      </w:r>
      <w:r w:rsidRPr="008B348A">
        <w:t xml:space="preserve">infection results in varicella (or chickenpox), after which the virus becomes latent in neurons of dorsal root and cranial nerve ganglia. </w:t>
      </w:r>
      <w:r w:rsidR="001F119E" w:rsidRPr="008B348A">
        <w:t>HZ (or shingles) results from the reactivation of latent varicella zoster virus in sensory ganglia. Symptoms include: pain, itching, numbness or tingling (</w:t>
      </w:r>
      <w:proofErr w:type="spellStart"/>
      <w:r w:rsidR="001F119E" w:rsidRPr="008B348A">
        <w:t>paraesthesias</w:t>
      </w:r>
      <w:proofErr w:type="spellEnd"/>
      <w:r w:rsidR="001F119E" w:rsidRPr="008B348A">
        <w:t>), unpleasant sensations (</w:t>
      </w:r>
      <w:proofErr w:type="spellStart"/>
      <w:r w:rsidR="001F119E" w:rsidRPr="008B348A">
        <w:t>dysaesthesias</w:t>
      </w:r>
      <w:proofErr w:type="spellEnd"/>
      <w:r w:rsidR="001F119E" w:rsidRPr="008B348A">
        <w:t xml:space="preserve">) or sensitivity to touch (allodynia) in one to three dermatomes; malaise, headache and fever; unilateral maculopapular rash; and acute pain typically lasting 10 </w:t>
      </w:r>
      <w:r w:rsidR="00443F85">
        <w:t>to</w:t>
      </w:r>
      <w:r w:rsidR="001F119E" w:rsidRPr="008B348A">
        <w:t xml:space="preserve"> 15 days.</w:t>
      </w:r>
    </w:p>
    <w:p w:rsidR="00E55BB5" w:rsidRDefault="001F119E" w:rsidP="00ED2457">
      <w:pPr>
        <w:pStyle w:val="ListParagraph"/>
        <w:widowControl/>
        <w:numPr>
          <w:ilvl w:val="1"/>
          <w:numId w:val="2"/>
        </w:numPr>
      </w:pPr>
      <w:r w:rsidRPr="008B348A">
        <w:t xml:space="preserve">The key complication of HZ is PHN, which is defined as a pain score of least </w:t>
      </w:r>
      <w:r w:rsidR="00D12E83">
        <w:t>three</w:t>
      </w:r>
      <w:r w:rsidR="00D12E83" w:rsidRPr="008B348A">
        <w:t xml:space="preserve"> </w:t>
      </w:r>
      <w:r w:rsidRPr="008B348A">
        <w:t xml:space="preserve">on the </w:t>
      </w:r>
      <w:r w:rsidR="00B47D08">
        <w:t>Zoster Brief Pain Inventory (</w:t>
      </w:r>
      <w:r w:rsidRPr="008B348A">
        <w:t>ZBPI</w:t>
      </w:r>
      <w:r w:rsidR="00B47D08">
        <w:t>)</w:t>
      </w:r>
      <w:r w:rsidRPr="008B348A">
        <w:t xml:space="preserve"> scale persisting for </w:t>
      </w:r>
      <w:r w:rsidR="00DD0768">
        <w:t>longer than</w:t>
      </w:r>
      <w:r w:rsidRPr="008B348A">
        <w:t xml:space="preserve"> 90 days.</w:t>
      </w:r>
    </w:p>
    <w:p w:rsidR="00BD5534" w:rsidRPr="00BD5534" w:rsidRDefault="00BD5534" w:rsidP="00BD5534">
      <w:pPr>
        <w:pStyle w:val="ListParagraph"/>
        <w:widowControl/>
        <w:rPr>
          <w:i/>
        </w:rPr>
      </w:pPr>
      <w:r w:rsidRPr="00BD5534">
        <w:rPr>
          <w:i/>
        </w:rPr>
        <w:t>For more detail on PBAC’s view, see Section 7 PBAC outcome.</w:t>
      </w:r>
    </w:p>
    <w:p w:rsidR="00B50DB8" w:rsidRPr="00260903" w:rsidRDefault="00B50DB8" w:rsidP="002D1A95">
      <w:pPr>
        <w:pStyle w:val="Heading1"/>
        <w:rPr>
          <w:caps/>
        </w:rPr>
      </w:pPr>
      <w:bookmarkStart w:id="5" w:name="_Toc524340205"/>
      <w:r w:rsidRPr="00260903">
        <w:lastRenderedPageBreak/>
        <w:t>Comparator</w:t>
      </w:r>
      <w:bookmarkEnd w:id="5"/>
    </w:p>
    <w:p w:rsidR="00200F61" w:rsidRPr="008B348A" w:rsidRDefault="00200F61" w:rsidP="00ED2457">
      <w:pPr>
        <w:pStyle w:val="ListParagraph"/>
        <w:widowControl/>
        <w:numPr>
          <w:ilvl w:val="1"/>
          <w:numId w:val="2"/>
        </w:numPr>
        <w:spacing w:after="40"/>
        <w:rPr>
          <w:rFonts w:cs="Calibri"/>
          <w:snapToGrid/>
          <w:szCs w:val="24"/>
          <w:lang w:eastAsia="en-AU"/>
        </w:rPr>
      </w:pPr>
      <w:r w:rsidRPr="008B348A">
        <w:rPr>
          <w:rFonts w:cs="Calibri"/>
          <w:snapToGrid/>
          <w:szCs w:val="24"/>
          <w:lang w:eastAsia="en-AU"/>
        </w:rPr>
        <w:t>The submission nominated the following comparators:</w:t>
      </w:r>
    </w:p>
    <w:p w:rsidR="00200F61" w:rsidRPr="008B348A" w:rsidRDefault="00D2762E" w:rsidP="00ED2457">
      <w:pPr>
        <w:pStyle w:val="ListParagraph"/>
        <w:widowControl/>
        <w:numPr>
          <w:ilvl w:val="1"/>
          <w:numId w:val="6"/>
        </w:numPr>
        <w:spacing w:after="40"/>
        <w:ind w:left="1077" w:hanging="357"/>
        <w:rPr>
          <w:rFonts w:cs="Calibri"/>
          <w:snapToGrid/>
          <w:szCs w:val="24"/>
          <w:lang w:eastAsia="en-AU"/>
        </w:rPr>
      </w:pPr>
      <w:r>
        <w:rPr>
          <w:rFonts w:cs="Calibri"/>
          <w:snapToGrid/>
          <w:szCs w:val="24"/>
          <w:lang w:eastAsia="en-AU"/>
        </w:rPr>
        <w:t xml:space="preserve">Individuals aged </w:t>
      </w:r>
      <w:r w:rsidR="00200F61" w:rsidRPr="008B348A">
        <w:rPr>
          <w:rFonts w:cs="Calibri"/>
          <w:snapToGrid/>
          <w:szCs w:val="24"/>
          <w:lang w:eastAsia="en-AU"/>
        </w:rPr>
        <w:t xml:space="preserve">60-69 year olds: </w:t>
      </w:r>
      <w:r w:rsidR="00DD0768">
        <w:rPr>
          <w:rFonts w:cs="Calibri"/>
          <w:snapToGrid/>
          <w:szCs w:val="24"/>
          <w:lang w:eastAsia="en-AU"/>
        </w:rPr>
        <w:t>n</w:t>
      </w:r>
      <w:r w:rsidR="00200F61" w:rsidRPr="008B348A">
        <w:rPr>
          <w:rFonts w:cs="Calibri"/>
          <w:snapToGrid/>
          <w:szCs w:val="24"/>
          <w:lang w:eastAsia="en-AU"/>
        </w:rPr>
        <w:t>o vaccine</w:t>
      </w:r>
    </w:p>
    <w:p w:rsidR="00200F61" w:rsidRPr="008B348A" w:rsidRDefault="00D2762E" w:rsidP="00ED2457">
      <w:pPr>
        <w:pStyle w:val="ListParagraph"/>
        <w:widowControl/>
        <w:numPr>
          <w:ilvl w:val="1"/>
          <w:numId w:val="6"/>
        </w:numPr>
        <w:spacing w:after="40"/>
        <w:ind w:left="1077" w:hanging="357"/>
        <w:rPr>
          <w:rFonts w:cs="Calibri"/>
          <w:snapToGrid/>
          <w:szCs w:val="24"/>
          <w:lang w:eastAsia="en-AU"/>
        </w:rPr>
      </w:pPr>
      <w:r>
        <w:rPr>
          <w:rFonts w:cs="Calibri"/>
          <w:snapToGrid/>
          <w:szCs w:val="24"/>
          <w:lang w:eastAsia="en-AU"/>
        </w:rPr>
        <w:t xml:space="preserve">Individuals aged </w:t>
      </w:r>
      <w:r w:rsidR="00DD0768">
        <w:rPr>
          <w:rFonts w:cs="Calibri"/>
          <w:snapToGrid/>
          <w:szCs w:val="24"/>
          <w:lang w:eastAsia="en-AU"/>
        </w:rPr>
        <w:t>70-79 year olds: l</w:t>
      </w:r>
      <w:r w:rsidR="00200F61" w:rsidRPr="008B348A">
        <w:rPr>
          <w:rFonts w:cs="Calibri"/>
          <w:snapToGrid/>
          <w:szCs w:val="24"/>
          <w:lang w:eastAsia="en-AU"/>
        </w:rPr>
        <w:t>ive-HZ vaccine</w:t>
      </w:r>
    </w:p>
    <w:p w:rsidR="00200F61" w:rsidRPr="008B348A" w:rsidRDefault="00D2762E" w:rsidP="00DD0768">
      <w:pPr>
        <w:pStyle w:val="ListParagraph"/>
        <w:widowControl/>
        <w:numPr>
          <w:ilvl w:val="1"/>
          <w:numId w:val="6"/>
        </w:numPr>
        <w:spacing w:after="120"/>
        <w:ind w:left="1077" w:hanging="357"/>
        <w:rPr>
          <w:rFonts w:cs="Calibri"/>
          <w:snapToGrid/>
          <w:szCs w:val="24"/>
          <w:lang w:eastAsia="en-AU"/>
        </w:rPr>
      </w:pPr>
      <w:r>
        <w:rPr>
          <w:rFonts w:cs="Calibri"/>
          <w:snapToGrid/>
          <w:szCs w:val="24"/>
          <w:lang w:eastAsia="en-AU"/>
        </w:rPr>
        <w:t xml:space="preserve">Individuals aged </w:t>
      </w:r>
      <w:r w:rsidR="00DD0768">
        <w:rPr>
          <w:rFonts w:cs="Calibri"/>
          <w:snapToGrid/>
          <w:szCs w:val="24"/>
          <w:lang w:eastAsia="en-AU"/>
        </w:rPr>
        <w:t>80+ year olds: n</w:t>
      </w:r>
      <w:r w:rsidR="00200F61" w:rsidRPr="008B348A">
        <w:rPr>
          <w:rFonts w:cs="Calibri"/>
          <w:snapToGrid/>
          <w:szCs w:val="24"/>
          <w:lang w:eastAsia="en-AU"/>
        </w:rPr>
        <w:t>o vaccine</w:t>
      </w:r>
    </w:p>
    <w:p w:rsidR="006000E6" w:rsidRPr="0086667F" w:rsidRDefault="00200F61" w:rsidP="00ED2457">
      <w:pPr>
        <w:pStyle w:val="ListParagraph"/>
        <w:widowControl/>
        <w:numPr>
          <w:ilvl w:val="1"/>
          <w:numId w:val="2"/>
        </w:numPr>
        <w:rPr>
          <w:rFonts w:cs="Calibri"/>
          <w:snapToGrid/>
          <w:szCs w:val="24"/>
          <w:lang w:eastAsia="en-AU"/>
        </w:rPr>
      </w:pPr>
      <w:r w:rsidRPr="008B348A">
        <w:rPr>
          <w:rFonts w:cs="Calibri"/>
          <w:snapToGrid/>
          <w:szCs w:val="24"/>
          <w:lang w:eastAsia="en-AU"/>
        </w:rPr>
        <w:t xml:space="preserve">The main arguments provided in support of this nomination were that the live-HZ vaccine is currently listed on the NIP </w:t>
      </w:r>
      <w:r w:rsidR="00AB1032">
        <w:rPr>
          <w:rFonts w:cs="Calibri"/>
          <w:snapToGrid/>
          <w:szCs w:val="24"/>
          <w:lang w:eastAsia="en-AU"/>
        </w:rPr>
        <w:t>for</w:t>
      </w:r>
      <w:r w:rsidR="00AB1032" w:rsidRPr="008B348A">
        <w:rPr>
          <w:rFonts w:cs="Calibri"/>
          <w:snapToGrid/>
          <w:szCs w:val="24"/>
          <w:lang w:eastAsia="en-AU"/>
        </w:rPr>
        <w:t xml:space="preserve"> </w:t>
      </w:r>
      <w:r w:rsidRPr="008B348A">
        <w:rPr>
          <w:rFonts w:cs="Calibri"/>
          <w:snapToGrid/>
          <w:szCs w:val="24"/>
          <w:lang w:eastAsia="en-AU"/>
        </w:rPr>
        <w:t>adults aged 70+ years.</w:t>
      </w:r>
      <w:r w:rsidRPr="008B348A">
        <w:rPr>
          <w:rFonts w:cs="Calibri"/>
          <w:i/>
          <w:snapToGrid/>
          <w:szCs w:val="24"/>
          <w:lang w:eastAsia="en-AU"/>
        </w:rPr>
        <w:t xml:space="preserve"> </w:t>
      </w:r>
      <w:r w:rsidRPr="0086667F">
        <w:rPr>
          <w:rFonts w:cs="Calibri"/>
          <w:snapToGrid/>
          <w:szCs w:val="24"/>
          <w:lang w:eastAsia="en-AU"/>
        </w:rPr>
        <w:t>A single dose is listed for 70 year olds, with a single catch-up dose for adults aged 71-</w:t>
      </w:r>
      <w:r w:rsidR="00F90EBD" w:rsidRPr="0086667F">
        <w:rPr>
          <w:rFonts w:cs="Calibri"/>
          <w:snapToGrid/>
          <w:szCs w:val="24"/>
          <w:lang w:eastAsia="en-AU"/>
        </w:rPr>
        <w:t xml:space="preserve">79 </w:t>
      </w:r>
      <w:r w:rsidRPr="0086667F">
        <w:rPr>
          <w:rFonts w:cs="Calibri"/>
          <w:snapToGrid/>
          <w:szCs w:val="24"/>
          <w:lang w:eastAsia="en-AU"/>
        </w:rPr>
        <w:t>years until 31 October 2021.</w:t>
      </w:r>
    </w:p>
    <w:p w:rsidR="00FB0204" w:rsidRDefault="00BD5534" w:rsidP="00FB0204">
      <w:pPr>
        <w:pStyle w:val="ListParagraph"/>
        <w:widowControl/>
        <w:rPr>
          <w:rFonts w:cs="Calibri"/>
          <w:i/>
          <w:snapToGrid/>
          <w:szCs w:val="24"/>
          <w:lang w:eastAsia="en-AU"/>
        </w:rPr>
      </w:pPr>
      <w:r w:rsidRPr="00BD5534">
        <w:rPr>
          <w:rFonts w:cs="Calibri"/>
          <w:i/>
          <w:snapToGrid/>
          <w:szCs w:val="24"/>
          <w:lang w:eastAsia="en-AU"/>
        </w:rPr>
        <w:t>For more detail on PBAC’s view, see Section 7 PBAC outcome</w:t>
      </w:r>
      <w:r w:rsidR="00FB0204">
        <w:rPr>
          <w:rFonts w:cs="Calibri"/>
          <w:i/>
          <w:snapToGrid/>
          <w:szCs w:val="24"/>
          <w:lang w:eastAsia="en-AU"/>
        </w:rPr>
        <w:t>.</w:t>
      </w:r>
    </w:p>
    <w:p w:rsidR="00B50DB8" w:rsidRPr="00260903" w:rsidRDefault="00BD6CF3" w:rsidP="002D1A95">
      <w:pPr>
        <w:pStyle w:val="Heading1"/>
        <w:rPr>
          <w:caps/>
        </w:rPr>
      </w:pPr>
      <w:bookmarkStart w:id="6" w:name="_Toc524340206"/>
      <w:r w:rsidRPr="00260903">
        <w:t>C</w:t>
      </w:r>
      <w:r w:rsidR="00B50DB8" w:rsidRPr="00260903">
        <w:t>onsideration of the evidence</w:t>
      </w:r>
      <w:bookmarkEnd w:id="6"/>
    </w:p>
    <w:p w:rsidR="00BD5534" w:rsidRPr="00443F85" w:rsidRDefault="00BD5534" w:rsidP="00BD5534">
      <w:pPr>
        <w:pStyle w:val="Heading2"/>
      </w:pPr>
      <w:bookmarkStart w:id="7" w:name="_Toc524340207"/>
      <w:r w:rsidRPr="00443F85">
        <w:t>Sponsor hearing</w:t>
      </w:r>
    </w:p>
    <w:p w:rsidR="00BD5534" w:rsidRPr="00443F85" w:rsidRDefault="00BD5534" w:rsidP="00BD5534">
      <w:pPr>
        <w:numPr>
          <w:ilvl w:val="1"/>
          <w:numId w:val="2"/>
        </w:numPr>
        <w:spacing w:after="120"/>
        <w:rPr>
          <w:rFonts w:asciiTheme="minorHAnsi" w:hAnsiTheme="minorHAnsi"/>
          <w:bCs/>
        </w:rPr>
      </w:pPr>
      <w:r w:rsidRPr="00443F85">
        <w:rPr>
          <w:rFonts w:asciiTheme="minorHAnsi" w:hAnsiTheme="minorHAnsi"/>
          <w:bCs/>
        </w:rPr>
        <w:t>There was no hearing for this item.</w:t>
      </w:r>
    </w:p>
    <w:p w:rsidR="00BD5534" w:rsidRPr="00443F85" w:rsidRDefault="00BD5534" w:rsidP="00BD5534">
      <w:pPr>
        <w:pStyle w:val="Heading2"/>
      </w:pPr>
      <w:r w:rsidRPr="00443F85">
        <w:t>Consumer comments</w:t>
      </w:r>
    </w:p>
    <w:p w:rsidR="00BD5534" w:rsidRPr="00443F85" w:rsidRDefault="00BD5534" w:rsidP="00BD5534">
      <w:pPr>
        <w:numPr>
          <w:ilvl w:val="1"/>
          <w:numId w:val="2"/>
        </w:numPr>
        <w:spacing w:after="120"/>
        <w:rPr>
          <w:rFonts w:asciiTheme="minorHAnsi" w:hAnsiTheme="minorHAnsi"/>
          <w:bCs/>
        </w:rPr>
      </w:pPr>
      <w:r w:rsidRPr="00443F85">
        <w:rPr>
          <w:rFonts w:asciiTheme="minorHAnsi" w:hAnsiTheme="minorHAnsi"/>
          <w:bCs/>
        </w:rPr>
        <w:t>The PBAC noted that no consumer comments were received for this item.</w:t>
      </w:r>
    </w:p>
    <w:p w:rsidR="00B60939" w:rsidRPr="008B348A" w:rsidRDefault="00B60939" w:rsidP="00E92F71">
      <w:pPr>
        <w:pStyle w:val="Heading2"/>
      </w:pPr>
      <w:r w:rsidRPr="008B348A">
        <w:t>Clinical trials</w:t>
      </w:r>
      <w:bookmarkEnd w:id="7"/>
    </w:p>
    <w:p w:rsidR="00200F61" w:rsidRPr="008B348A" w:rsidRDefault="00A73134" w:rsidP="00ED2457">
      <w:pPr>
        <w:pStyle w:val="ListParagraph"/>
        <w:widowControl/>
        <w:numPr>
          <w:ilvl w:val="1"/>
          <w:numId w:val="2"/>
        </w:numPr>
        <w:spacing w:after="40"/>
      </w:pPr>
      <w:r w:rsidRPr="008B348A">
        <w:rPr>
          <w:rFonts w:cs="Calibri"/>
          <w:snapToGrid/>
          <w:szCs w:val="24"/>
          <w:lang w:eastAsia="en-AU"/>
        </w:rPr>
        <w:t xml:space="preserve">The submission </w:t>
      </w:r>
      <w:r w:rsidR="00200F61" w:rsidRPr="008B348A">
        <w:rPr>
          <w:rFonts w:cs="Calibri"/>
          <w:snapToGrid/>
          <w:szCs w:val="24"/>
          <w:lang w:eastAsia="en-AU"/>
        </w:rPr>
        <w:t>was</w:t>
      </w:r>
      <w:r w:rsidRPr="008B348A">
        <w:rPr>
          <w:rFonts w:cs="Calibri"/>
          <w:snapToGrid/>
          <w:szCs w:val="24"/>
          <w:lang w:eastAsia="en-AU"/>
        </w:rPr>
        <w:t xml:space="preserve"> based on </w:t>
      </w:r>
      <w:r w:rsidR="00200F61" w:rsidRPr="008B348A">
        <w:rPr>
          <w:rFonts w:cs="Calibri"/>
          <w:snapToGrid/>
          <w:szCs w:val="24"/>
          <w:lang w:eastAsia="en-AU"/>
        </w:rPr>
        <w:t>two randomi</w:t>
      </w:r>
      <w:r w:rsidR="00415785">
        <w:rPr>
          <w:rFonts w:cs="Calibri"/>
          <w:snapToGrid/>
          <w:szCs w:val="24"/>
          <w:lang w:eastAsia="en-AU"/>
        </w:rPr>
        <w:t>s</w:t>
      </w:r>
      <w:r w:rsidR="00200F61" w:rsidRPr="008B348A">
        <w:rPr>
          <w:rFonts w:cs="Calibri"/>
          <w:snapToGrid/>
          <w:szCs w:val="24"/>
          <w:lang w:eastAsia="en-AU"/>
        </w:rPr>
        <w:t>ed trials:</w:t>
      </w:r>
    </w:p>
    <w:p w:rsidR="00200F61" w:rsidRPr="008B348A" w:rsidRDefault="00200F61" w:rsidP="00ED2457">
      <w:pPr>
        <w:pStyle w:val="ListParagraph"/>
        <w:widowControl/>
        <w:numPr>
          <w:ilvl w:val="1"/>
          <w:numId w:val="5"/>
        </w:numPr>
        <w:spacing w:before="40" w:after="40"/>
        <w:ind w:left="1077" w:hanging="357"/>
        <w:rPr>
          <w:rFonts w:cs="Calibri"/>
          <w:snapToGrid/>
          <w:szCs w:val="24"/>
          <w:lang w:eastAsia="en-AU"/>
        </w:rPr>
      </w:pPr>
      <w:r w:rsidRPr="008B348A">
        <w:rPr>
          <w:rFonts w:cs="Calibri"/>
          <w:snapToGrid/>
          <w:szCs w:val="24"/>
          <w:lang w:eastAsia="en-AU"/>
        </w:rPr>
        <w:t>ZOE-50: Compared two doses of the HZ/</w:t>
      </w:r>
      <w:proofErr w:type="spellStart"/>
      <w:r w:rsidRPr="008B348A">
        <w:rPr>
          <w:rFonts w:cs="Calibri"/>
          <w:snapToGrid/>
          <w:szCs w:val="24"/>
          <w:lang w:eastAsia="en-AU"/>
        </w:rPr>
        <w:t>su</w:t>
      </w:r>
      <w:proofErr w:type="spellEnd"/>
      <w:r w:rsidRPr="008B348A">
        <w:rPr>
          <w:rFonts w:cs="Calibri"/>
          <w:snapToGrid/>
          <w:szCs w:val="24"/>
          <w:lang w:eastAsia="en-AU"/>
        </w:rPr>
        <w:t xml:space="preserve"> vaccine to placebo in adults aged 50 years and over (N=15,411)</w:t>
      </w:r>
    </w:p>
    <w:p w:rsidR="00200F61" w:rsidRPr="008B348A" w:rsidRDefault="00200F61" w:rsidP="00ED2457">
      <w:pPr>
        <w:pStyle w:val="ListParagraph"/>
        <w:widowControl/>
        <w:numPr>
          <w:ilvl w:val="1"/>
          <w:numId w:val="5"/>
        </w:numPr>
        <w:spacing w:before="40" w:after="40"/>
        <w:ind w:left="1077" w:hanging="357"/>
        <w:rPr>
          <w:rFonts w:cs="Calibri"/>
          <w:snapToGrid/>
          <w:szCs w:val="24"/>
          <w:lang w:eastAsia="en-AU"/>
        </w:rPr>
      </w:pPr>
      <w:r w:rsidRPr="008B348A">
        <w:rPr>
          <w:rFonts w:cs="Calibri"/>
          <w:snapToGrid/>
          <w:szCs w:val="24"/>
          <w:lang w:eastAsia="en-AU"/>
        </w:rPr>
        <w:t>ZOE-70: Compared two doses of the HZ/</w:t>
      </w:r>
      <w:proofErr w:type="spellStart"/>
      <w:r w:rsidRPr="008B348A">
        <w:rPr>
          <w:rFonts w:cs="Calibri"/>
          <w:snapToGrid/>
          <w:szCs w:val="24"/>
          <w:lang w:eastAsia="en-AU"/>
        </w:rPr>
        <w:t>su</w:t>
      </w:r>
      <w:proofErr w:type="spellEnd"/>
      <w:r w:rsidRPr="008B348A">
        <w:rPr>
          <w:rFonts w:cs="Calibri"/>
          <w:snapToGrid/>
          <w:szCs w:val="24"/>
          <w:lang w:eastAsia="en-AU"/>
        </w:rPr>
        <w:t xml:space="preserve"> vaccine to placebo in adults aged 70 years and over (N=13,900)</w:t>
      </w:r>
    </w:p>
    <w:p w:rsidR="00200F61" w:rsidRPr="008B348A" w:rsidRDefault="00200F61" w:rsidP="00ED2457">
      <w:pPr>
        <w:pStyle w:val="ListParagraph"/>
        <w:widowControl/>
        <w:numPr>
          <w:ilvl w:val="1"/>
          <w:numId w:val="2"/>
        </w:numPr>
        <w:spacing w:after="0"/>
        <w:rPr>
          <w:rFonts w:cs="Calibri"/>
          <w:snapToGrid/>
          <w:szCs w:val="24"/>
          <w:lang w:eastAsia="en-AU"/>
        </w:rPr>
      </w:pPr>
      <w:r w:rsidRPr="008B348A">
        <w:rPr>
          <w:rFonts w:cs="Calibri"/>
          <w:snapToGrid/>
          <w:szCs w:val="24"/>
          <w:lang w:eastAsia="en-AU"/>
        </w:rPr>
        <w:t>The submission also presented an indirect comparison of the HZ/</w:t>
      </w:r>
      <w:proofErr w:type="spellStart"/>
      <w:r w:rsidRPr="008B348A">
        <w:rPr>
          <w:rFonts w:cs="Calibri"/>
          <w:snapToGrid/>
          <w:szCs w:val="24"/>
          <w:lang w:eastAsia="en-AU"/>
        </w:rPr>
        <w:t>su</w:t>
      </w:r>
      <w:proofErr w:type="spellEnd"/>
      <w:r w:rsidRPr="008B348A">
        <w:rPr>
          <w:rFonts w:cs="Calibri"/>
          <w:snapToGrid/>
          <w:szCs w:val="24"/>
          <w:lang w:eastAsia="en-AU"/>
        </w:rPr>
        <w:t xml:space="preserve"> vaccine to the live-HZ vaccine</w:t>
      </w:r>
      <w:r w:rsidR="00BD10F1">
        <w:rPr>
          <w:rFonts w:cs="Calibri"/>
          <w:snapToGrid/>
          <w:szCs w:val="24"/>
          <w:lang w:eastAsia="en-AU"/>
        </w:rPr>
        <w:t>,</w:t>
      </w:r>
      <w:r w:rsidRPr="008B348A">
        <w:rPr>
          <w:rFonts w:cs="Calibri"/>
          <w:snapToGrid/>
          <w:szCs w:val="24"/>
          <w:lang w:eastAsia="en-AU"/>
        </w:rPr>
        <w:t xml:space="preserve"> using placebo as the common comparator, based on the following:</w:t>
      </w:r>
    </w:p>
    <w:p w:rsidR="00F47308" w:rsidRPr="008B348A" w:rsidRDefault="00F47308" w:rsidP="00ED2457">
      <w:pPr>
        <w:pStyle w:val="ListParagraph"/>
        <w:widowControl/>
        <w:numPr>
          <w:ilvl w:val="1"/>
          <w:numId w:val="5"/>
        </w:numPr>
        <w:spacing w:before="40" w:after="40"/>
        <w:ind w:left="1077" w:hanging="357"/>
        <w:rPr>
          <w:rFonts w:cs="Calibri"/>
          <w:snapToGrid/>
          <w:szCs w:val="24"/>
          <w:lang w:eastAsia="en-AU"/>
        </w:rPr>
      </w:pPr>
      <w:r w:rsidRPr="008B348A">
        <w:rPr>
          <w:rFonts w:cs="Calibri"/>
          <w:snapToGrid/>
          <w:szCs w:val="24"/>
          <w:lang w:eastAsia="en-AU"/>
        </w:rPr>
        <w:t>Pooled analysis of ZOE-50 and ZOE-70: Compared two doses of the HZ/</w:t>
      </w:r>
      <w:proofErr w:type="spellStart"/>
      <w:r w:rsidRPr="008B348A">
        <w:rPr>
          <w:rFonts w:cs="Calibri"/>
          <w:snapToGrid/>
          <w:szCs w:val="24"/>
          <w:lang w:eastAsia="en-AU"/>
        </w:rPr>
        <w:t>su</w:t>
      </w:r>
      <w:proofErr w:type="spellEnd"/>
      <w:r w:rsidRPr="008B348A">
        <w:rPr>
          <w:rFonts w:cs="Calibri"/>
          <w:snapToGrid/>
          <w:szCs w:val="24"/>
          <w:lang w:eastAsia="en-AU"/>
        </w:rPr>
        <w:t xml:space="preserve"> vaccine to placebo in adults aged 70 years and over (N=16,596)</w:t>
      </w:r>
    </w:p>
    <w:p w:rsidR="00200F61" w:rsidRPr="004C319D" w:rsidRDefault="00200F61" w:rsidP="00ED2457">
      <w:pPr>
        <w:pStyle w:val="ListParagraph"/>
        <w:widowControl/>
        <w:numPr>
          <w:ilvl w:val="1"/>
          <w:numId w:val="5"/>
        </w:numPr>
        <w:spacing w:before="40" w:after="40"/>
        <w:ind w:left="1077" w:hanging="357"/>
        <w:rPr>
          <w:rFonts w:cs="Calibri"/>
          <w:i/>
          <w:snapToGrid/>
          <w:szCs w:val="24"/>
          <w:lang w:eastAsia="en-AU"/>
        </w:rPr>
      </w:pPr>
      <w:r w:rsidRPr="008B348A">
        <w:rPr>
          <w:rFonts w:cs="Calibri"/>
          <w:snapToGrid/>
          <w:szCs w:val="24"/>
          <w:lang w:eastAsia="en-AU"/>
        </w:rPr>
        <w:t>SPS</w:t>
      </w:r>
      <w:r w:rsidR="00DD0768">
        <w:rPr>
          <w:rFonts w:cs="Calibri"/>
          <w:snapToGrid/>
          <w:szCs w:val="24"/>
          <w:lang w:eastAsia="en-AU"/>
        </w:rPr>
        <w:t xml:space="preserve"> trial</w:t>
      </w:r>
      <w:r w:rsidRPr="008B348A">
        <w:rPr>
          <w:rFonts w:cs="Calibri"/>
          <w:snapToGrid/>
          <w:szCs w:val="24"/>
          <w:lang w:eastAsia="en-AU"/>
        </w:rPr>
        <w:t>: Compared the live-HZ vaccine to placebo in adults aged 60 years and over (N=38,546).</w:t>
      </w:r>
    </w:p>
    <w:p w:rsidR="00862502" w:rsidRPr="008B348A" w:rsidRDefault="00A73134" w:rsidP="00ED2457">
      <w:pPr>
        <w:pStyle w:val="ListParagraph"/>
        <w:widowControl/>
        <w:numPr>
          <w:ilvl w:val="1"/>
          <w:numId w:val="2"/>
        </w:numPr>
      </w:pPr>
      <w:r w:rsidRPr="008B348A">
        <w:rPr>
          <w:rFonts w:cs="Calibri"/>
          <w:snapToGrid/>
          <w:szCs w:val="24"/>
          <w:lang w:eastAsia="en-AU"/>
        </w:rPr>
        <w:t xml:space="preserve">Details of the trials presented in the submission are provided in </w:t>
      </w:r>
      <w:r w:rsidR="00BC710F">
        <w:rPr>
          <w:rFonts w:cs="Calibri"/>
          <w:snapToGrid/>
          <w:szCs w:val="24"/>
          <w:lang w:eastAsia="en-AU"/>
        </w:rPr>
        <w:t xml:space="preserve">Table </w:t>
      </w:r>
      <w:r w:rsidR="00DF7A69">
        <w:rPr>
          <w:rFonts w:cs="Calibri"/>
          <w:snapToGrid/>
          <w:szCs w:val="24"/>
          <w:lang w:eastAsia="en-AU"/>
        </w:rPr>
        <w:t>3</w:t>
      </w:r>
      <w:r w:rsidRPr="008B348A">
        <w:rPr>
          <w:rFonts w:cs="Calibri"/>
          <w:snapToGrid/>
          <w:szCs w:val="24"/>
          <w:lang w:eastAsia="en-AU"/>
        </w:rPr>
        <w:t>.</w:t>
      </w:r>
    </w:p>
    <w:p w:rsidR="008E0D3C" w:rsidRPr="008B348A" w:rsidRDefault="008E0D3C" w:rsidP="00C27A63">
      <w:pPr>
        <w:keepNext/>
        <w:rPr>
          <w:rStyle w:val="CommentReference"/>
        </w:rPr>
      </w:pPr>
      <w:r w:rsidRPr="008B348A">
        <w:rPr>
          <w:rStyle w:val="CommentReference"/>
        </w:rPr>
        <w:lastRenderedPageBreak/>
        <w:t xml:space="preserve">Table </w:t>
      </w:r>
      <w:r w:rsidR="00DF7A69">
        <w:rPr>
          <w:rStyle w:val="CommentReference"/>
        </w:rPr>
        <w:t>3</w:t>
      </w:r>
      <w:r w:rsidRPr="008B348A">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65"/>
        <w:gridCol w:w="5980"/>
        <w:gridCol w:w="1375"/>
      </w:tblGrid>
      <w:tr w:rsidR="008E0D3C" w:rsidRPr="008B348A" w:rsidTr="00F47308">
        <w:trPr>
          <w:tblHeader/>
        </w:trPr>
        <w:tc>
          <w:tcPr>
            <w:tcW w:w="923" w:type="pct"/>
            <w:vAlign w:val="center"/>
          </w:tcPr>
          <w:p w:rsidR="008E0D3C" w:rsidRPr="008B348A" w:rsidRDefault="008E0D3C" w:rsidP="00C27A63">
            <w:pPr>
              <w:pStyle w:val="Tabletext"/>
              <w:keepNext/>
              <w:rPr>
                <w:b/>
              </w:rPr>
            </w:pPr>
            <w:r w:rsidRPr="008B348A">
              <w:rPr>
                <w:b/>
              </w:rPr>
              <w:t>Trial ID</w:t>
            </w:r>
          </w:p>
        </w:tc>
        <w:tc>
          <w:tcPr>
            <w:tcW w:w="3315" w:type="pct"/>
            <w:vAlign w:val="center"/>
          </w:tcPr>
          <w:p w:rsidR="008E0D3C" w:rsidRPr="008B348A" w:rsidRDefault="008E0D3C" w:rsidP="00C27A63">
            <w:pPr>
              <w:pStyle w:val="Tabletext"/>
              <w:keepNext/>
              <w:jc w:val="center"/>
              <w:rPr>
                <w:b/>
              </w:rPr>
            </w:pPr>
            <w:r w:rsidRPr="008B348A">
              <w:rPr>
                <w:b/>
              </w:rPr>
              <w:t>Protocol title/ Publication title</w:t>
            </w:r>
          </w:p>
        </w:tc>
        <w:tc>
          <w:tcPr>
            <w:tcW w:w="762" w:type="pct"/>
            <w:vAlign w:val="center"/>
          </w:tcPr>
          <w:p w:rsidR="008E0D3C" w:rsidRPr="008B348A" w:rsidRDefault="008E0D3C" w:rsidP="00C27A63">
            <w:pPr>
              <w:pStyle w:val="Tabletext"/>
              <w:keepNext/>
              <w:jc w:val="center"/>
              <w:rPr>
                <w:b/>
              </w:rPr>
            </w:pPr>
            <w:r w:rsidRPr="008B348A">
              <w:rPr>
                <w:b/>
              </w:rPr>
              <w:t>Publication citation</w:t>
            </w:r>
          </w:p>
        </w:tc>
      </w:tr>
      <w:tr w:rsidR="00200F61" w:rsidRPr="008B348A" w:rsidTr="00DD0768">
        <w:trPr>
          <w:cantSplit/>
        </w:trPr>
        <w:tc>
          <w:tcPr>
            <w:tcW w:w="923" w:type="pct"/>
            <w:vMerge w:val="restart"/>
          </w:tcPr>
          <w:p w:rsidR="00200F61" w:rsidRPr="008B348A" w:rsidRDefault="00200F61" w:rsidP="00DD0768">
            <w:pPr>
              <w:pStyle w:val="Tabletext"/>
              <w:keepNext/>
            </w:pPr>
            <w:r w:rsidRPr="008B348A">
              <w:t>ZOE-50</w:t>
            </w:r>
          </w:p>
          <w:p w:rsidR="00200F61" w:rsidRPr="008B348A" w:rsidRDefault="00200F61" w:rsidP="00DD0768">
            <w:pPr>
              <w:pStyle w:val="Tabletext"/>
              <w:keepNext/>
              <w:rPr>
                <w:rFonts w:ascii="Times" w:hAnsi="Times"/>
              </w:rPr>
            </w:pPr>
            <w:r w:rsidRPr="008B348A">
              <w:t>(ZOSTER-006, study 110390, NCT01165177)</w:t>
            </w:r>
          </w:p>
        </w:tc>
        <w:tc>
          <w:tcPr>
            <w:tcW w:w="3315" w:type="pct"/>
            <w:tcBorders>
              <w:bottom w:val="nil"/>
            </w:tcBorders>
            <w:vAlign w:val="center"/>
          </w:tcPr>
          <w:p w:rsidR="00200F61" w:rsidRPr="008B348A" w:rsidRDefault="00200F61" w:rsidP="00C27A63">
            <w:pPr>
              <w:pStyle w:val="Tabletext"/>
              <w:keepNext/>
              <w:rPr>
                <w:szCs w:val="18"/>
              </w:rPr>
            </w:pPr>
            <w:r w:rsidRPr="008B348A">
              <w:rPr>
                <w:szCs w:val="18"/>
              </w:rPr>
              <w:t xml:space="preserve">A phase III, randomized, observer-blind, placebo-controlled, multicentre, clinical vaccination trial to assess the prophylactic efficacy, safety, and immunogenicity of GSK Biologicals’ </w:t>
            </w:r>
            <w:proofErr w:type="spellStart"/>
            <w:r w:rsidRPr="008B348A">
              <w:rPr>
                <w:szCs w:val="18"/>
              </w:rPr>
              <w:t>gE</w:t>
            </w:r>
            <w:proofErr w:type="spellEnd"/>
            <w:r w:rsidRPr="008B348A">
              <w:rPr>
                <w:szCs w:val="18"/>
              </w:rPr>
              <w:t>/AS01B vaccine when administered intramuscularly on a 0, 2-month schedule in adults aged 50 years and older, clinical study report</w:t>
            </w:r>
          </w:p>
        </w:tc>
        <w:tc>
          <w:tcPr>
            <w:tcW w:w="762" w:type="pct"/>
            <w:tcBorders>
              <w:bottom w:val="nil"/>
            </w:tcBorders>
          </w:tcPr>
          <w:p w:rsidR="00200F61" w:rsidRPr="008B348A" w:rsidRDefault="00200F61" w:rsidP="00C27A63">
            <w:pPr>
              <w:pStyle w:val="Tabletext"/>
              <w:keepNext/>
              <w:rPr>
                <w:rFonts w:ascii="Times" w:hAnsi="Times"/>
              </w:rPr>
            </w:pPr>
            <w:r w:rsidRPr="008B348A">
              <w:t>18 May 2016</w:t>
            </w:r>
          </w:p>
        </w:tc>
      </w:tr>
      <w:tr w:rsidR="001F1BD8" w:rsidRPr="008B348A" w:rsidTr="00DD0768">
        <w:trPr>
          <w:trHeight w:val="325"/>
        </w:trPr>
        <w:tc>
          <w:tcPr>
            <w:tcW w:w="923" w:type="pct"/>
            <w:vMerge/>
          </w:tcPr>
          <w:p w:rsidR="001F1BD8" w:rsidRPr="008B348A" w:rsidRDefault="001F1BD8" w:rsidP="00DD0768">
            <w:pPr>
              <w:pStyle w:val="Tabletext"/>
              <w:keepNext/>
            </w:pPr>
          </w:p>
        </w:tc>
        <w:tc>
          <w:tcPr>
            <w:tcW w:w="3315" w:type="pct"/>
            <w:tcBorders>
              <w:top w:val="nil"/>
            </w:tcBorders>
            <w:vAlign w:val="center"/>
          </w:tcPr>
          <w:p w:rsidR="001F1BD8" w:rsidRPr="008B348A" w:rsidRDefault="001F1BD8" w:rsidP="00C27A63">
            <w:pPr>
              <w:pStyle w:val="Tabletext"/>
              <w:keepNext/>
              <w:rPr>
                <w:szCs w:val="18"/>
                <w:lang w:eastAsia="en-AU"/>
              </w:rPr>
            </w:pPr>
            <w:r w:rsidRPr="008B348A">
              <w:rPr>
                <w:szCs w:val="20"/>
              </w:rPr>
              <w:t xml:space="preserve">Lal 2015, Efficacy of an </w:t>
            </w:r>
            <w:proofErr w:type="spellStart"/>
            <w:r w:rsidRPr="008B348A">
              <w:rPr>
                <w:szCs w:val="20"/>
              </w:rPr>
              <w:t>adjuvanted</w:t>
            </w:r>
            <w:proofErr w:type="spellEnd"/>
            <w:r w:rsidRPr="008B348A">
              <w:rPr>
                <w:szCs w:val="20"/>
              </w:rPr>
              <w:t xml:space="preserve"> herpes zoster subunit vaccine in older adults.</w:t>
            </w:r>
          </w:p>
        </w:tc>
        <w:tc>
          <w:tcPr>
            <w:tcW w:w="762" w:type="pct"/>
            <w:tcBorders>
              <w:top w:val="nil"/>
            </w:tcBorders>
          </w:tcPr>
          <w:p w:rsidR="001F1BD8" w:rsidRDefault="001F1BD8" w:rsidP="00C27A63">
            <w:pPr>
              <w:pStyle w:val="Tabletext"/>
              <w:keepNext/>
              <w:rPr>
                <w:i/>
                <w:szCs w:val="18"/>
                <w:lang w:eastAsia="en-AU"/>
              </w:rPr>
            </w:pPr>
          </w:p>
          <w:p w:rsidR="001F1BD8" w:rsidRPr="008B348A" w:rsidRDefault="001F1BD8" w:rsidP="00C27A63">
            <w:pPr>
              <w:pStyle w:val="Tabletext"/>
              <w:keepNext/>
              <w:rPr>
                <w:szCs w:val="18"/>
                <w:lang w:eastAsia="en-AU"/>
              </w:rPr>
            </w:pPr>
            <w:r w:rsidRPr="008B348A">
              <w:rPr>
                <w:i/>
                <w:szCs w:val="18"/>
                <w:lang w:eastAsia="en-AU"/>
              </w:rPr>
              <w:t>NEJM</w:t>
            </w:r>
            <w:r w:rsidRPr="008B348A">
              <w:rPr>
                <w:szCs w:val="18"/>
                <w:lang w:eastAsia="en-AU"/>
              </w:rPr>
              <w:t xml:space="preserve"> 2015; </w:t>
            </w:r>
            <w:r w:rsidRPr="008B348A">
              <w:rPr>
                <w:szCs w:val="20"/>
              </w:rPr>
              <w:t>372, 2087-2096</w:t>
            </w:r>
          </w:p>
        </w:tc>
      </w:tr>
      <w:tr w:rsidR="00200F61" w:rsidRPr="008B348A" w:rsidTr="00DD0768">
        <w:tc>
          <w:tcPr>
            <w:tcW w:w="923" w:type="pct"/>
            <w:vMerge w:val="restart"/>
          </w:tcPr>
          <w:p w:rsidR="00200F61" w:rsidRPr="008B348A" w:rsidRDefault="00200F61" w:rsidP="00DD0768">
            <w:pPr>
              <w:pStyle w:val="Tabletext"/>
              <w:keepNext/>
            </w:pPr>
            <w:r w:rsidRPr="008B348A">
              <w:t>ZOE-70</w:t>
            </w:r>
          </w:p>
          <w:p w:rsidR="00200F61" w:rsidRPr="008B348A" w:rsidRDefault="00200F61" w:rsidP="00DD0768">
            <w:pPr>
              <w:pStyle w:val="Tabletext"/>
              <w:keepNext/>
              <w:rPr>
                <w:rFonts w:ascii="Times" w:hAnsi="Times"/>
              </w:rPr>
            </w:pPr>
            <w:r w:rsidRPr="008B348A">
              <w:t>(ZOSTER-022, study 113077, NCT01165229)</w:t>
            </w:r>
          </w:p>
        </w:tc>
        <w:tc>
          <w:tcPr>
            <w:tcW w:w="3315" w:type="pct"/>
            <w:tcBorders>
              <w:bottom w:val="nil"/>
            </w:tcBorders>
            <w:vAlign w:val="center"/>
          </w:tcPr>
          <w:p w:rsidR="00200F61" w:rsidRPr="008B348A" w:rsidRDefault="00200F61" w:rsidP="00C27A63">
            <w:pPr>
              <w:pStyle w:val="Tabletext"/>
              <w:keepNext/>
              <w:rPr>
                <w:szCs w:val="18"/>
              </w:rPr>
            </w:pPr>
            <w:r w:rsidRPr="008B348A">
              <w:rPr>
                <w:szCs w:val="18"/>
              </w:rPr>
              <w:t xml:space="preserve">A phase III, randomized, observer-blind, placebo-controlled, multicentre, clinical vaccination trial to assess the prophylactic efficacy, safety and immunogenicity of GSK Biologicals’ </w:t>
            </w:r>
            <w:proofErr w:type="spellStart"/>
            <w:r w:rsidRPr="008B348A">
              <w:rPr>
                <w:szCs w:val="18"/>
              </w:rPr>
              <w:t>gE</w:t>
            </w:r>
            <w:proofErr w:type="spellEnd"/>
            <w:r w:rsidRPr="008B348A">
              <w:rPr>
                <w:szCs w:val="18"/>
              </w:rPr>
              <w:t>/AS01B vaccine when administered intramuscularly on a 0, 2-month schedule in adults aged 70 years and older</w:t>
            </w:r>
          </w:p>
          <w:p w:rsidR="00200F61" w:rsidRPr="008B348A" w:rsidRDefault="00200F61" w:rsidP="00C27A63">
            <w:pPr>
              <w:pStyle w:val="Tabletext"/>
              <w:keepNext/>
              <w:rPr>
                <w:rFonts w:ascii="Times" w:hAnsi="Times"/>
              </w:rPr>
            </w:pPr>
          </w:p>
        </w:tc>
        <w:tc>
          <w:tcPr>
            <w:tcW w:w="762" w:type="pct"/>
            <w:tcBorders>
              <w:bottom w:val="nil"/>
            </w:tcBorders>
          </w:tcPr>
          <w:p w:rsidR="00200F61" w:rsidRPr="008B348A" w:rsidRDefault="00200F61" w:rsidP="00C27A63">
            <w:pPr>
              <w:pStyle w:val="Tabletext"/>
              <w:keepNext/>
            </w:pPr>
            <w:r w:rsidRPr="008B348A">
              <w:t>18 May 2016</w:t>
            </w:r>
          </w:p>
        </w:tc>
      </w:tr>
      <w:tr w:rsidR="00200F61" w:rsidRPr="008B348A" w:rsidTr="00DD0768">
        <w:tc>
          <w:tcPr>
            <w:tcW w:w="923" w:type="pct"/>
            <w:vMerge/>
          </w:tcPr>
          <w:p w:rsidR="00200F61" w:rsidRPr="008B348A" w:rsidRDefault="00200F61" w:rsidP="00DD0768">
            <w:pPr>
              <w:pStyle w:val="Tabletext"/>
              <w:keepNext/>
            </w:pPr>
          </w:p>
        </w:tc>
        <w:tc>
          <w:tcPr>
            <w:tcW w:w="3315" w:type="pct"/>
            <w:tcBorders>
              <w:top w:val="nil"/>
              <w:bottom w:val="nil"/>
            </w:tcBorders>
            <w:vAlign w:val="center"/>
          </w:tcPr>
          <w:p w:rsidR="00200F61" w:rsidRPr="008B348A" w:rsidRDefault="00200F61" w:rsidP="00C27A63">
            <w:pPr>
              <w:pStyle w:val="Tabletext"/>
              <w:keepNext/>
              <w:rPr>
                <w:szCs w:val="20"/>
              </w:rPr>
            </w:pPr>
            <w:r w:rsidRPr="008B348A">
              <w:rPr>
                <w:szCs w:val="20"/>
              </w:rPr>
              <w:t>Cunningham 2016, Efficacy of the herpes zoster subunit vaccine in adults 70 years of age or older.</w:t>
            </w:r>
          </w:p>
          <w:p w:rsidR="00200F61" w:rsidRPr="008B348A" w:rsidRDefault="00200F61" w:rsidP="00C27A63">
            <w:pPr>
              <w:pStyle w:val="Tabletext"/>
              <w:keepNext/>
              <w:rPr>
                <w:szCs w:val="18"/>
              </w:rPr>
            </w:pPr>
          </w:p>
        </w:tc>
        <w:tc>
          <w:tcPr>
            <w:tcW w:w="762" w:type="pct"/>
            <w:tcBorders>
              <w:top w:val="nil"/>
              <w:bottom w:val="nil"/>
            </w:tcBorders>
          </w:tcPr>
          <w:p w:rsidR="00200F61" w:rsidRPr="008B348A" w:rsidRDefault="00200F61" w:rsidP="00C27A63">
            <w:pPr>
              <w:pStyle w:val="Tabletext"/>
              <w:keepNext/>
              <w:rPr>
                <w:i/>
              </w:rPr>
            </w:pPr>
            <w:r w:rsidRPr="008B348A">
              <w:rPr>
                <w:i/>
                <w:szCs w:val="18"/>
              </w:rPr>
              <w:t xml:space="preserve">NEJM </w:t>
            </w:r>
            <w:r w:rsidRPr="008B348A">
              <w:rPr>
                <w:szCs w:val="18"/>
              </w:rPr>
              <w:t xml:space="preserve">2016; </w:t>
            </w:r>
            <w:r w:rsidRPr="008B348A">
              <w:rPr>
                <w:szCs w:val="20"/>
              </w:rPr>
              <w:t>375, 1019-1032.</w:t>
            </w:r>
          </w:p>
        </w:tc>
      </w:tr>
      <w:tr w:rsidR="00200F61" w:rsidRPr="008B348A" w:rsidTr="00DD0768">
        <w:tc>
          <w:tcPr>
            <w:tcW w:w="923" w:type="pct"/>
            <w:vMerge/>
            <w:tcBorders>
              <w:bottom w:val="nil"/>
            </w:tcBorders>
          </w:tcPr>
          <w:p w:rsidR="00200F61" w:rsidRPr="008B348A" w:rsidRDefault="00200F61" w:rsidP="00DD0768">
            <w:pPr>
              <w:pStyle w:val="Tabletext"/>
              <w:keepNext/>
            </w:pPr>
          </w:p>
        </w:tc>
        <w:tc>
          <w:tcPr>
            <w:tcW w:w="3315" w:type="pct"/>
            <w:tcBorders>
              <w:top w:val="nil"/>
              <w:bottom w:val="nil"/>
            </w:tcBorders>
            <w:vAlign w:val="center"/>
          </w:tcPr>
          <w:p w:rsidR="00200F61" w:rsidRPr="001F1BD8" w:rsidRDefault="00200F61" w:rsidP="00C27A63">
            <w:pPr>
              <w:keepNext/>
              <w:rPr>
                <w:rFonts w:ascii="Arial Narrow" w:hAnsi="Arial Narrow"/>
                <w:sz w:val="20"/>
                <w:szCs w:val="20"/>
              </w:rPr>
            </w:pPr>
            <w:r w:rsidRPr="008B348A">
              <w:rPr>
                <w:rFonts w:ascii="Arial Narrow" w:hAnsi="Arial Narrow"/>
                <w:sz w:val="20"/>
                <w:szCs w:val="20"/>
              </w:rPr>
              <w:t xml:space="preserve">McElhaney 2016, Efficacy, Immunogenicity and Safety of an Investigational Subunit </w:t>
            </w:r>
            <w:proofErr w:type="spellStart"/>
            <w:r w:rsidRPr="008B348A">
              <w:rPr>
                <w:rFonts w:ascii="Arial Narrow" w:hAnsi="Arial Narrow"/>
                <w:sz w:val="20"/>
                <w:szCs w:val="20"/>
              </w:rPr>
              <w:t>Adjuvanted</w:t>
            </w:r>
            <w:proofErr w:type="spellEnd"/>
            <w:r w:rsidRPr="008B348A">
              <w:rPr>
                <w:rFonts w:ascii="Arial Narrow" w:hAnsi="Arial Narrow"/>
                <w:sz w:val="20"/>
                <w:szCs w:val="20"/>
              </w:rPr>
              <w:t xml:space="preserve"> Herpes Zoster Vaccine in Adults Aged 60 Years and Older: Results from the ZOE-50 and ZOE-70 Efficacy Studies</w:t>
            </w:r>
          </w:p>
        </w:tc>
        <w:tc>
          <w:tcPr>
            <w:tcW w:w="762" w:type="pct"/>
            <w:tcBorders>
              <w:top w:val="nil"/>
              <w:bottom w:val="nil"/>
            </w:tcBorders>
          </w:tcPr>
          <w:p w:rsidR="00200F61" w:rsidRPr="008B348A" w:rsidRDefault="00200F61" w:rsidP="00C27A63">
            <w:pPr>
              <w:pStyle w:val="Tabletext"/>
              <w:keepNext/>
              <w:rPr>
                <w:rFonts w:ascii="Times" w:hAnsi="Times"/>
              </w:rPr>
            </w:pPr>
            <w:r w:rsidRPr="008B348A">
              <w:rPr>
                <w:i/>
                <w:szCs w:val="18"/>
              </w:rPr>
              <w:t>Oral abstract. Conference not reported.</w:t>
            </w:r>
          </w:p>
        </w:tc>
      </w:tr>
      <w:tr w:rsidR="00200F61" w:rsidRPr="008B348A" w:rsidTr="00DD0768">
        <w:tc>
          <w:tcPr>
            <w:tcW w:w="923" w:type="pct"/>
            <w:vMerge w:val="restart"/>
          </w:tcPr>
          <w:p w:rsidR="00200F61" w:rsidRPr="008B348A" w:rsidRDefault="00200F61" w:rsidP="00DD0768">
            <w:pPr>
              <w:pStyle w:val="Tabletext"/>
              <w:keepNext/>
            </w:pPr>
            <w:r w:rsidRPr="008B348A">
              <w:t>SPS</w:t>
            </w:r>
          </w:p>
        </w:tc>
        <w:tc>
          <w:tcPr>
            <w:tcW w:w="3315" w:type="pct"/>
            <w:tcBorders>
              <w:bottom w:val="nil"/>
            </w:tcBorders>
            <w:vAlign w:val="center"/>
          </w:tcPr>
          <w:p w:rsidR="00200F61" w:rsidRPr="008B348A" w:rsidRDefault="00200F61" w:rsidP="00C27A63">
            <w:pPr>
              <w:pStyle w:val="Tabletext"/>
              <w:keepNext/>
              <w:rPr>
                <w:szCs w:val="20"/>
              </w:rPr>
            </w:pPr>
            <w:proofErr w:type="spellStart"/>
            <w:r w:rsidRPr="008B348A">
              <w:rPr>
                <w:szCs w:val="20"/>
              </w:rPr>
              <w:t>Oxman</w:t>
            </w:r>
            <w:proofErr w:type="spellEnd"/>
            <w:r w:rsidRPr="008B348A">
              <w:rPr>
                <w:szCs w:val="20"/>
              </w:rPr>
              <w:t xml:space="preserve"> 2005, A vaccine to prevent herpes zoster and </w:t>
            </w:r>
            <w:r w:rsidR="0055584E" w:rsidRPr="008B348A">
              <w:rPr>
                <w:szCs w:val="20"/>
              </w:rPr>
              <w:t>post herpetic</w:t>
            </w:r>
            <w:r w:rsidRPr="008B348A">
              <w:rPr>
                <w:szCs w:val="20"/>
              </w:rPr>
              <w:t xml:space="preserve"> neuralgia in older adults. 2005; N </w:t>
            </w:r>
            <w:proofErr w:type="spellStart"/>
            <w:r w:rsidRPr="008B348A">
              <w:rPr>
                <w:szCs w:val="20"/>
              </w:rPr>
              <w:t>Engl</w:t>
            </w:r>
            <w:proofErr w:type="spellEnd"/>
            <w:r w:rsidRPr="008B348A">
              <w:rPr>
                <w:szCs w:val="20"/>
              </w:rPr>
              <w:t xml:space="preserve"> J Med, 352, 2271-84.</w:t>
            </w:r>
          </w:p>
          <w:p w:rsidR="00200F61" w:rsidRPr="008B348A" w:rsidRDefault="00200F61" w:rsidP="00C27A63">
            <w:pPr>
              <w:pStyle w:val="Tabletext"/>
              <w:keepNext/>
              <w:rPr>
                <w:rFonts w:ascii="Times" w:hAnsi="Times"/>
              </w:rPr>
            </w:pPr>
          </w:p>
        </w:tc>
        <w:tc>
          <w:tcPr>
            <w:tcW w:w="762" w:type="pct"/>
            <w:tcBorders>
              <w:bottom w:val="nil"/>
            </w:tcBorders>
          </w:tcPr>
          <w:p w:rsidR="00200F61" w:rsidRPr="008B348A" w:rsidRDefault="00200F61" w:rsidP="00C27A63">
            <w:pPr>
              <w:pStyle w:val="Tabletext"/>
              <w:keepNext/>
              <w:rPr>
                <w:rFonts w:ascii="Times" w:hAnsi="Times"/>
              </w:rPr>
            </w:pPr>
            <w:r w:rsidRPr="001F1BD8">
              <w:rPr>
                <w:i/>
                <w:szCs w:val="20"/>
              </w:rPr>
              <w:t>NEJM</w:t>
            </w:r>
            <w:r w:rsidRPr="008B348A">
              <w:rPr>
                <w:szCs w:val="20"/>
              </w:rPr>
              <w:t>, 352, 2271-84.</w:t>
            </w:r>
          </w:p>
        </w:tc>
      </w:tr>
      <w:tr w:rsidR="00200F61" w:rsidRPr="008B348A" w:rsidTr="001F1BD8">
        <w:trPr>
          <w:trHeight w:val="108"/>
        </w:trPr>
        <w:tc>
          <w:tcPr>
            <w:tcW w:w="923" w:type="pct"/>
            <w:vMerge/>
            <w:tcBorders>
              <w:bottom w:val="single" w:sz="4" w:space="0" w:color="auto"/>
            </w:tcBorders>
            <w:vAlign w:val="center"/>
          </w:tcPr>
          <w:p w:rsidR="00200F61" w:rsidRPr="008B348A" w:rsidRDefault="00200F61" w:rsidP="00200F61">
            <w:pPr>
              <w:pStyle w:val="Tabletext"/>
            </w:pPr>
          </w:p>
        </w:tc>
        <w:tc>
          <w:tcPr>
            <w:tcW w:w="3315" w:type="pct"/>
            <w:tcBorders>
              <w:top w:val="nil"/>
              <w:bottom w:val="single" w:sz="4" w:space="0" w:color="auto"/>
            </w:tcBorders>
            <w:vAlign w:val="center"/>
          </w:tcPr>
          <w:p w:rsidR="00200F61" w:rsidRPr="008B348A" w:rsidRDefault="00200F61" w:rsidP="00C41280">
            <w:pPr>
              <w:pStyle w:val="Tabletext"/>
              <w:rPr>
                <w:szCs w:val="18"/>
              </w:rPr>
            </w:pPr>
            <w:proofErr w:type="spellStart"/>
            <w:r w:rsidRPr="008B348A">
              <w:rPr>
                <w:szCs w:val="20"/>
              </w:rPr>
              <w:t>Zostavax</w:t>
            </w:r>
            <w:proofErr w:type="spellEnd"/>
            <w:r w:rsidRPr="008B348A">
              <w:rPr>
                <w:szCs w:val="20"/>
              </w:rPr>
              <w:t xml:space="preserve"> FDA report</w:t>
            </w:r>
          </w:p>
        </w:tc>
        <w:tc>
          <w:tcPr>
            <w:tcW w:w="762" w:type="pct"/>
            <w:tcBorders>
              <w:top w:val="nil"/>
              <w:bottom w:val="single" w:sz="4" w:space="0" w:color="auto"/>
            </w:tcBorders>
          </w:tcPr>
          <w:p w:rsidR="00200F61" w:rsidRPr="008B348A" w:rsidRDefault="00200F61" w:rsidP="00F90EBD">
            <w:pPr>
              <w:pStyle w:val="Tabletext"/>
            </w:pPr>
            <w:r w:rsidRPr="008B348A">
              <w:rPr>
                <w:i/>
                <w:szCs w:val="18"/>
              </w:rPr>
              <w:t>Not reported</w:t>
            </w:r>
          </w:p>
        </w:tc>
      </w:tr>
    </w:tbl>
    <w:p w:rsidR="00862502" w:rsidRPr="008B348A" w:rsidRDefault="008E0D3C" w:rsidP="0042064D">
      <w:pPr>
        <w:pStyle w:val="TableFooter"/>
      </w:pPr>
      <w:r w:rsidRPr="008B348A">
        <w:t xml:space="preserve">Source: </w:t>
      </w:r>
      <w:r w:rsidR="0042064D" w:rsidRPr="008B348A">
        <w:t>Table 10, p52 of the submission.</w:t>
      </w:r>
    </w:p>
    <w:p w:rsidR="00FB0204" w:rsidRDefault="00FB0204">
      <w:pPr>
        <w:widowControl/>
        <w:jc w:val="left"/>
        <w:rPr>
          <w:rFonts w:ascii="Arial Narrow" w:hAnsi="Arial Narrow"/>
          <w:sz w:val="18"/>
        </w:rPr>
      </w:pPr>
      <w:r>
        <w:br w:type="page"/>
      </w:r>
    </w:p>
    <w:p w:rsidR="007F1017" w:rsidRPr="008B348A" w:rsidRDefault="008F120A" w:rsidP="00ED2457">
      <w:pPr>
        <w:pStyle w:val="ListParagraph"/>
        <w:widowControl/>
        <w:numPr>
          <w:ilvl w:val="1"/>
          <w:numId w:val="2"/>
        </w:numPr>
      </w:pPr>
      <w:r w:rsidRPr="008B348A">
        <w:lastRenderedPageBreak/>
        <w:t xml:space="preserve">The key features of the randomised trials are summarised in </w:t>
      </w:r>
      <w:r w:rsidR="00BC710F">
        <w:t xml:space="preserve">Table </w:t>
      </w:r>
      <w:r w:rsidR="00DF7A69">
        <w:t>4</w:t>
      </w:r>
      <w:r w:rsidR="00BC710F">
        <w:t>.</w:t>
      </w:r>
    </w:p>
    <w:p w:rsidR="007F1017" w:rsidRPr="008B348A" w:rsidRDefault="007F1017" w:rsidP="00415785">
      <w:pPr>
        <w:keepNext/>
        <w:rPr>
          <w:rStyle w:val="CommentReference"/>
        </w:rPr>
      </w:pPr>
      <w:r w:rsidRPr="008B348A">
        <w:rPr>
          <w:rStyle w:val="CommentReference"/>
        </w:rPr>
        <w:t xml:space="preserve">Table </w:t>
      </w:r>
      <w:r w:rsidR="00DF7A69">
        <w:rPr>
          <w:rStyle w:val="CommentReference"/>
        </w:rPr>
        <w:t>4</w:t>
      </w:r>
      <w:r w:rsidRPr="008B348A">
        <w:rPr>
          <w:rStyle w:val="CommentReference"/>
        </w:rPr>
        <w:t>: Key features of the included evidence</w:t>
      </w:r>
      <w:r w:rsidR="0042064D" w:rsidRPr="008B348A">
        <w:rPr>
          <w:rStyle w:val="CommentReference"/>
        </w:rPr>
        <w:t xml:space="preserve"> – indirect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2"/>
        <w:gridCol w:w="707"/>
        <w:gridCol w:w="987"/>
        <w:gridCol w:w="704"/>
        <w:gridCol w:w="1548"/>
        <w:gridCol w:w="2808"/>
        <w:gridCol w:w="1534"/>
      </w:tblGrid>
      <w:tr w:rsidR="00EC6010" w:rsidRPr="008B348A" w:rsidTr="00EC6010">
        <w:trPr>
          <w:tblHeader/>
        </w:trPr>
        <w:tc>
          <w:tcPr>
            <w:tcW w:w="737" w:type="dxa"/>
            <w:shd w:val="clear" w:color="auto" w:fill="auto"/>
            <w:vAlign w:val="center"/>
          </w:tcPr>
          <w:p w:rsidR="007F1017" w:rsidRPr="008B348A" w:rsidRDefault="007F1017" w:rsidP="00415785">
            <w:pPr>
              <w:pStyle w:val="Tabletext"/>
              <w:keepNext/>
              <w:rPr>
                <w:b/>
              </w:rPr>
            </w:pPr>
            <w:r w:rsidRPr="008B348A">
              <w:rPr>
                <w:b/>
              </w:rPr>
              <w:t>Trial</w:t>
            </w:r>
          </w:p>
        </w:tc>
        <w:tc>
          <w:tcPr>
            <w:tcW w:w="709" w:type="dxa"/>
            <w:shd w:val="clear" w:color="auto" w:fill="auto"/>
            <w:vAlign w:val="center"/>
          </w:tcPr>
          <w:p w:rsidR="007F1017" w:rsidRPr="008B348A" w:rsidRDefault="007F1017" w:rsidP="00415785">
            <w:pPr>
              <w:pStyle w:val="Tabletext"/>
              <w:keepNext/>
              <w:jc w:val="center"/>
              <w:rPr>
                <w:b/>
              </w:rPr>
            </w:pPr>
            <w:r w:rsidRPr="008B348A">
              <w:rPr>
                <w:b/>
              </w:rPr>
              <w:t>N</w:t>
            </w:r>
          </w:p>
        </w:tc>
        <w:tc>
          <w:tcPr>
            <w:tcW w:w="992" w:type="dxa"/>
            <w:shd w:val="clear" w:color="auto" w:fill="auto"/>
            <w:vAlign w:val="center"/>
          </w:tcPr>
          <w:p w:rsidR="007F1017" w:rsidRPr="008B348A" w:rsidRDefault="007F1017" w:rsidP="00415785">
            <w:pPr>
              <w:pStyle w:val="Tabletext"/>
              <w:keepNext/>
              <w:jc w:val="center"/>
              <w:rPr>
                <w:b/>
              </w:rPr>
            </w:pPr>
            <w:r w:rsidRPr="008B348A">
              <w:rPr>
                <w:b/>
              </w:rPr>
              <w:t>Design/ duration</w:t>
            </w:r>
          </w:p>
        </w:tc>
        <w:tc>
          <w:tcPr>
            <w:tcW w:w="709" w:type="dxa"/>
            <w:shd w:val="clear" w:color="auto" w:fill="auto"/>
            <w:vAlign w:val="center"/>
          </w:tcPr>
          <w:p w:rsidR="007F1017" w:rsidRPr="008B348A" w:rsidRDefault="007F1017" w:rsidP="00415785">
            <w:pPr>
              <w:pStyle w:val="Tabletext"/>
              <w:keepNext/>
              <w:jc w:val="center"/>
              <w:rPr>
                <w:b/>
              </w:rPr>
            </w:pPr>
            <w:r w:rsidRPr="008B348A">
              <w:rPr>
                <w:b/>
              </w:rPr>
              <w:t>Risk of bias</w:t>
            </w:r>
          </w:p>
        </w:tc>
        <w:tc>
          <w:tcPr>
            <w:tcW w:w="1559" w:type="dxa"/>
            <w:shd w:val="clear" w:color="auto" w:fill="auto"/>
            <w:vAlign w:val="center"/>
          </w:tcPr>
          <w:p w:rsidR="007F1017" w:rsidRPr="008B348A" w:rsidRDefault="00763E84" w:rsidP="00415785">
            <w:pPr>
              <w:pStyle w:val="Tabletext"/>
              <w:keepNext/>
              <w:jc w:val="center"/>
              <w:rPr>
                <w:b/>
              </w:rPr>
            </w:pPr>
            <w:r>
              <w:rPr>
                <w:b/>
              </w:rPr>
              <w:t>P</w:t>
            </w:r>
            <w:r w:rsidR="007F1017" w:rsidRPr="008B348A">
              <w:rPr>
                <w:b/>
              </w:rPr>
              <w:t>opulation</w:t>
            </w:r>
          </w:p>
        </w:tc>
        <w:tc>
          <w:tcPr>
            <w:tcW w:w="2835" w:type="dxa"/>
            <w:shd w:val="clear" w:color="auto" w:fill="auto"/>
            <w:vAlign w:val="center"/>
          </w:tcPr>
          <w:p w:rsidR="007F1017" w:rsidRPr="008B348A" w:rsidRDefault="007F1017" w:rsidP="00415785">
            <w:pPr>
              <w:pStyle w:val="Tabletext"/>
              <w:keepNext/>
              <w:jc w:val="center"/>
              <w:rPr>
                <w:b/>
              </w:rPr>
            </w:pPr>
            <w:r w:rsidRPr="008B348A">
              <w:rPr>
                <w:b/>
              </w:rPr>
              <w:t>Outcome(s)</w:t>
            </w:r>
          </w:p>
        </w:tc>
        <w:tc>
          <w:tcPr>
            <w:tcW w:w="1545" w:type="dxa"/>
            <w:shd w:val="clear" w:color="auto" w:fill="auto"/>
            <w:vAlign w:val="center"/>
          </w:tcPr>
          <w:p w:rsidR="007F1017" w:rsidRPr="008B348A" w:rsidRDefault="007F1017" w:rsidP="00415785">
            <w:pPr>
              <w:pStyle w:val="Tabletext"/>
              <w:keepNext/>
              <w:jc w:val="center"/>
              <w:rPr>
                <w:b/>
              </w:rPr>
            </w:pPr>
            <w:r w:rsidRPr="008B348A">
              <w:rPr>
                <w:b/>
              </w:rPr>
              <w:t>Use in modelled evaluation</w:t>
            </w:r>
          </w:p>
        </w:tc>
      </w:tr>
      <w:tr w:rsidR="007F1017" w:rsidRPr="008B348A" w:rsidTr="0042064D">
        <w:tc>
          <w:tcPr>
            <w:tcW w:w="0" w:type="auto"/>
            <w:gridSpan w:val="7"/>
            <w:shd w:val="clear" w:color="auto" w:fill="auto"/>
            <w:vAlign w:val="center"/>
          </w:tcPr>
          <w:p w:rsidR="007F1017" w:rsidRPr="008B348A" w:rsidRDefault="003B29E8" w:rsidP="00415785">
            <w:pPr>
              <w:pStyle w:val="Tabletext"/>
              <w:keepNext/>
              <w:rPr>
                <w:b/>
              </w:rPr>
            </w:pPr>
            <w:r w:rsidRPr="008B348A">
              <w:rPr>
                <w:b/>
              </w:rPr>
              <w:t>HZ/</w:t>
            </w:r>
            <w:proofErr w:type="spellStart"/>
            <w:r w:rsidRPr="008B348A">
              <w:rPr>
                <w:b/>
              </w:rPr>
              <w:t>su</w:t>
            </w:r>
            <w:proofErr w:type="spellEnd"/>
            <w:r w:rsidRPr="008B348A">
              <w:rPr>
                <w:b/>
              </w:rPr>
              <w:t xml:space="preserve"> vaccine vs. placebo</w:t>
            </w:r>
          </w:p>
        </w:tc>
      </w:tr>
      <w:tr w:rsidR="00EC6010" w:rsidRPr="008B348A" w:rsidTr="00EC6010">
        <w:trPr>
          <w:cantSplit/>
        </w:trPr>
        <w:tc>
          <w:tcPr>
            <w:tcW w:w="737" w:type="dxa"/>
            <w:shd w:val="clear" w:color="auto" w:fill="auto"/>
            <w:vAlign w:val="center"/>
          </w:tcPr>
          <w:p w:rsidR="00C904BA" w:rsidRPr="008B348A" w:rsidRDefault="00C904BA" w:rsidP="00415785">
            <w:pPr>
              <w:pStyle w:val="Tabletext"/>
              <w:keepNext/>
            </w:pPr>
            <w:r w:rsidRPr="008B348A">
              <w:t>ZOE-50</w:t>
            </w:r>
          </w:p>
        </w:tc>
        <w:tc>
          <w:tcPr>
            <w:tcW w:w="709" w:type="dxa"/>
            <w:shd w:val="clear" w:color="auto" w:fill="auto"/>
            <w:vAlign w:val="center"/>
          </w:tcPr>
          <w:p w:rsidR="00C904BA" w:rsidRPr="008B348A" w:rsidRDefault="00C904BA" w:rsidP="00415785">
            <w:pPr>
              <w:pStyle w:val="Tabletext"/>
              <w:keepNext/>
              <w:jc w:val="center"/>
            </w:pPr>
            <w:r w:rsidRPr="008B348A">
              <w:t>15,411</w:t>
            </w:r>
          </w:p>
        </w:tc>
        <w:tc>
          <w:tcPr>
            <w:tcW w:w="992" w:type="dxa"/>
            <w:shd w:val="clear" w:color="auto" w:fill="auto"/>
            <w:vAlign w:val="center"/>
          </w:tcPr>
          <w:p w:rsidR="00C904BA" w:rsidRPr="008B348A" w:rsidRDefault="00C904BA" w:rsidP="00415785">
            <w:pPr>
              <w:pStyle w:val="Tabletext"/>
              <w:keepNext/>
              <w:jc w:val="center"/>
            </w:pPr>
            <w:r w:rsidRPr="008B348A">
              <w:t>R, OB</w:t>
            </w:r>
          </w:p>
          <w:p w:rsidR="00C904BA" w:rsidRPr="008B348A" w:rsidRDefault="00C904BA" w:rsidP="00371339">
            <w:pPr>
              <w:pStyle w:val="Tabletext"/>
              <w:keepNext/>
              <w:jc w:val="center"/>
            </w:pPr>
            <w:r w:rsidRPr="008B348A">
              <w:t>3.</w:t>
            </w:r>
            <w:r w:rsidR="00371339">
              <w:t>2</w:t>
            </w:r>
            <w:r w:rsidR="00371339" w:rsidRPr="008B348A">
              <w:t xml:space="preserve"> </w:t>
            </w:r>
            <w:r w:rsidRPr="008B348A">
              <w:t>years (</w:t>
            </w:r>
            <w:proofErr w:type="spellStart"/>
            <w:r w:rsidRPr="008B348A">
              <w:t>mTVC</w:t>
            </w:r>
            <w:proofErr w:type="spellEnd"/>
            <w:r w:rsidRPr="008B348A">
              <w:t>)</w:t>
            </w:r>
          </w:p>
        </w:tc>
        <w:tc>
          <w:tcPr>
            <w:tcW w:w="709" w:type="dxa"/>
            <w:shd w:val="clear" w:color="auto" w:fill="auto"/>
            <w:vAlign w:val="center"/>
          </w:tcPr>
          <w:p w:rsidR="00C904BA" w:rsidRPr="008B348A" w:rsidRDefault="00BD42B6" w:rsidP="00415785">
            <w:pPr>
              <w:pStyle w:val="Tabletext"/>
              <w:keepNext/>
              <w:jc w:val="center"/>
            </w:pPr>
            <w:r w:rsidRPr="008B348A">
              <w:t>Low</w:t>
            </w:r>
          </w:p>
        </w:tc>
        <w:tc>
          <w:tcPr>
            <w:tcW w:w="1559" w:type="dxa"/>
            <w:shd w:val="clear" w:color="auto" w:fill="auto"/>
            <w:vAlign w:val="center"/>
          </w:tcPr>
          <w:p w:rsidR="00C904BA" w:rsidRPr="008B348A" w:rsidRDefault="00C904BA" w:rsidP="00415785">
            <w:pPr>
              <w:pStyle w:val="Tabletext"/>
              <w:keepNext/>
              <w:jc w:val="center"/>
            </w:pPr>
            <w:r w:rsidRPr="008B348A">
              <w:t>Healthy individuals aged ≥ 50 years (mean 62.3 years)</w:t>
            </w:r>
          </w:p>
        </w:tc>
        <w:tc>
          <w:tcPr>
            <w:tcW w:w="2835" w:type="dxa"/>
            <w:shd w:val="clear" w:color="auto" w:fill="auto"/>
            <w:vAlign w:val="center"/>
          </w:tcPr>
          <w:p w:rsidR="00C904BA" w:rsidRPr="008B348A" w:rsidRDefault="00C904BA" w:rsidP="00415785">
            <w:pPr>
              <w:pStyle w:val="Tabletext"/>
              <w:keepNext/>
              <w:jc w:val="center"/>
            </w:pPr>
            <w:r w:rsidRPr="008B348A">
              <w:t>Primary: V</w:t>
            </w:r>
            <w:r w:rsidR="00DD0768">
              <w:t>E</w:t>
            </w:r>
            <w:r w:rsidRPr="00DD0768">
              <w:rPr>
                <w:vertAlign w:val="subscript"/>
              </w:rPr>
              <w:t>HZ</w:t>
            </w:r>
          </w:p>
          <w:p w:rsidR="00C904BA" w:rsidRPr="008B348A" w:rsidRDefault="00C904BA" w:rsidP="00EC6010">
            <w:pPr>
              <w:pStyle w:val="Tabletext"/>
              <w:keepNext/>
              <w:jc w:val="center"/>
            </w:pPr>
            <w:r w:rsidRPr="008B348A">
              <w:t>Secondary: V</w:t>
            </w:r>
            <w:r w:rsidR="00DD0768">
              <w:t>E</w:t>
            </w:r>
            <w:r w:rsidRPr="00DD0768">
              <w:rPr>
                <w:vertAlign w:val="subscript"/>
              </w:rPr>
              <w:t>PHN</w:t>
            </w:r>
            <w:r w:rsidR="00DD0768" w:rsidRPr="00DD0768">
              <w:t>,</w:t>
            </w:r>
            <w:r w:rsidR="00DD0768">
              <w:rPr>
                <w:vertAlign w:val="subscript"/>
              </w:rPr>
              <w:t xml:space="preserve"> </w:t>
            </w:r>
            <w:r w:rsidRPr="008B348A">
              <w:t xml:space="preserve">HZ complications, </w:t>
            </w:r>
            <w:r w:rsidR="00DD0768">
              <w:t>m</w:t>
            </w:r>
            <w:r w:rsidRPr="008B348A">
              <w:t xml:space="preserve">ortality, </w:t>
            </w:r>
            <w:r w:rsidR="00DD0768">
              <w:t xml:space="preserve">hospitalisations and </w:t>
            </w:r>
            <w:r w:rsidRPr="008B348A">
              <w:t xml:space="preserve">pain, immunogenicity and </w:t>
            </w:r>
            <w:proofErr w:type="spellStart"/>
            <w:r w:rsidR="0055584E" w:rsidRPr="008B348A">
              <w:t>reactogenicity</w:t>
            </w:r>
            <w:proofErr w:type="spellEnd"/>
            <w:r w:rsidRPr="008B348A">
              <w:t xml:space="preserve">, </w:t>
            </w:r>
            <w:r w:rsidR="00EC6010">
              <w:t>QoL outcomes</w:t>
            </w:r>
          </w:p>
        </w:tc>
        <w:tc>
          <w:tcPr>
            <w:tcW w:w="1545" w:type="dxa"/>
            <w:shd w:val="clear" w:color="auto" w:fill="auto"/>
            <w:vAlign w:val="center"/>
          </w:tcPr>
          <w:p w:rsidR="00C904BA" w:rsidRPr="008B348A" w:rsidRDefault="00BD42B6" w:rsidP="00EC6010">
            <w:pPr>
              <w:pStyle w:val="Tabletext"/>
              <w:keepNext/>
              <w:jc w:val="center"/>
            </w:pPr>
            <w:r w:rsidRPr="008B348A">
              <w:t>V</w:t>
            </w:r>
            <w:r w:rsidR="00EC6010">
              <w:t>E</w:t>
            </w:r>
            <w:r w:rsidRPr="008B348A">
              <w:t xml:space="preserve"> in terms of reduction in incidence of HZ and PHN </w:t>
            </w:r>
            <w:r w:rsidR="00EC6010">
              <w:t>in the overall population</w:t>
            </w:r>
          </w:p>
        </w:tc>
      </w:tr>
      <w:tr w:rsidR="00EC6010" w:rsidRPr="008B348A" w:rsidTr="00EC6010">
        <w:trPr>
          <w:cantSplit/>
        </w:trPr>
        <w:tc>
          <w:tcPr>
            <w:tcW w:w="737" w:type="dxa"/>
            <w:shd w:val="clear" w:color="auto" w:fill="auto"/>
            <w:vAlign w:val="center"/>
          </w:tcPr>
          <w:p w:rsidR="00C904BA" w:rsidRPr="008B348A" w:rsidRDefault="00C904BA" w:rsidP="00415785">
            <w:pPr>
              <w:pStyle w:val="Tabletext"/>
              <w:keepNext/>
            </w:pPr>
            <w:r w:rsidRPr="008B348A">
              <w:t>ZOE-70</w:t>
            </w:r>
          </w:p>
        </w:tc>
        <w:tc>
          <w:tcPr>
            <w:tcW w:w="709" w:type="dxa"/>
            <w:shd w:val="clear" w:color="auto" w:fill="auto"/>
            <w:vAlign w:val="center"/>
          </w:tcPr>
          <w:p w:rsidR="00C904BA" w:rsidRPr="008B348A" w:rsidRDefault="00C904BA" w:rsidP="00415785">
            <w:pPr>
              <w:pStyle w:val="Tabletext"/>
              <w:keepNext/>
              <w:jc w:val="center"/>
            </w:pPr>
            <w:r w:rsidRPr="008B348A">
              <w:t>13,900</w:t>
            </w:r>
          </w:p>
        </w:tc>
        <w:tc>
          <w:tcPr>
            <w:tcW w:w="992" w:type="dxa"/>
            <w:shd w:val="clear" w:color="auto" w:fill="auto"/>
            <w:vAlign w:val="center"/>
          </w:tcPr>
          <w:p w:rsidR="00C904BA" w:rsidRPr="008B348A" w:rsidRDefault="00C904BA" w:rsidP="00415785">
            <w:pPr>
              <w:pStyle w:val="Tabletext"/>
              <w:keepNext/>
              <w:jc w:val="center"/>
            </w:pPr>
            <w:r w:rsidRPr="008B348A">
              <w:t>R, OB</w:t>
            </w:r>
          </w:p>
          <w:p w:rsidR="00C904BA" w:rsidRPr="008B348A" w:rsidRDefault="00C904BA" w:rsidP="00EC6010">
            <w:pPr>
              <w:pStyle w:val="Tabletext"/>
              <w:keepNext/>
              <w:jc w:val="center"/>
            </w:pPr>
            <w:r w:rsidRPr="008B348A">
              <w:t>3.7 years (</w:t>
            </w:r>
            <w:proofErr w:type="spellStart"/>
            <w:r w:rsidRPr="008B348A">
              <w:t>mTVC</w:t>
            </w:r>
            <w:proofErr w:type="spellEnd"/>
            <w:r w:rsidRPr="008B348A">
              <w:t>)</w:t>
            </w:r>
          </w:p>
        </w:tc>
        <w:tc>
          <w:tcPr>
            <w:tcW w:w="709" w:type="dxa"/>
            <w:shd w:val="clear" w:color="auto" w:fill="auto"/>
            <w:vAlign w:val="center"/>
          </w:tcPr>
          <w:p w:rsidR="00C904BA" w:rsidRPr="008B348A" w:rsidRDefault="00BD42B6" w:rsidP="00415785">
            <w:pPr>
              <w:pStyle w:val="Tabletext"/>
              <w:keepNext/>
              <w:jc w:val="center"/>
            </w:pPr>
            <w:r w:rsidRPr="008B348A">
              <w:t>Low</w:t>
            </w:r>
          </w:p>
        </w:tc>
        <w:tc>
          <w:tcPr>
            <w:tcW w:w="1559" w:type="dxa"/>
            <w:shd w:val="clear" w:color="auto" w:fill="auto"/>
            <w:vAlign w:val="center"/>
          </w:tcPr>
          <w:p w:rsidR="00C904BA" w:rsidRPr="008B348A" w:rsidRDefault="00C904BA" w:rsidP="00415785">
            <w:pPr>
              <w:pStyle w:val="Tabletext"/>
              <w:keepNext/>
              <w:jc w:val="center"/>
            </w:pPr>
            <w:r w:rsidRPr="008B348A">
              <w:t>Healthy individuals aged ≥ 70 years (mean 75.6 years)</w:t>
            </w:r>
          </w:p>
        </w:tc>
        <w:tc>
          <w:tcPr>
            <w:tcW w:w="2835" w:type="dxa"/>
            <w:shd w:val="clear" w:color="auto" w:fill="auto"/>
            <w:vAlign w:val="center"/>
          </w:tcPr>
          <w:p w:rsidR="00C904BA" w:rsidRPr="008B348A" w:rsidRDefault="00C904BA" w:rsidP="00415785">
            <w:pPr>
              <w:pStyle w:val="Tabletext"/>
              <w:keepNext/>
              <w:jc w:val="center"/>
            </w:pPr>
            <w:r w:rsidRPr="008B348A">
              <w:t>As above</w:t>
            </w:r>
          </w:p>
        </w:tc>
        <w:tc>
          <w:tcPr>
            <w:tcW w:w="1545" w:type="dxa"/>
            <w:shd w:val="clear" w:color="auto" w:fill="auto"/>
            <w:vAlign w:val="center"/>
          </w:tcPr>
          <w:p w:rsidR="00C904BA" w:rsidRPr="008B348A" w:rsidRDefault="00BD42B6" w:rsidP="00415785">
            <w:pPr>
              <w:pStyle w:val="Tabletext"/>
              <w:keepNext/>
              <w:jc w:val="center"/>
            </w:pPr>
            <w:r w:rsidRPr="008B348A">
              <w:t>As above</w:t>
            </w:r>
          </w:p>
        </w:tc>
      </w:tr>
      <w:tr w:rsidR="003B29E8" w:rsidRPr="008B348A" w:rsidTr="0042064D">
        <w:tc>
          <w:tcPr>
            <w:tcW w:w="0" w:type="auto"/>
            <w:gridSpan w:val="7"/>
            <w:shd w:val="clear" w:color="auto" w:fill="auto"/>
            <w:vAlign w:val="center"/>
          </w:tcPr>
          <w:p w:rsidR="003B29E8" w:rsidRPr="008B348A" w:rsidRDefault="003B29E8" w:rsidP="00415785">
            <w:pPr>
              <w:pStyle w:val="Tabletext"/>
              <w:keepNext/>
              <w:rPr>
                <w:b/>
              </w:rPr>
            </w:pPr>
            <w:r w:rsidRPr="008B348A">
              <w:rPr>
                <w:b/>
              </w:rPr>
              <w:t>HZ-live vaccine vs. placebo</w:t>
            </w:r>
          </w:p>
        </w:tc>
      </w:tr>
      <w:tr w:rsidR="00EC6010" w:rsidRPr="008B348A" w:rsidTr="00EC6010">
        <w:tc>
          <w:tcPr>
            <w:tcW w:w="737" w:type="dxa"/>
            <w:shd w:val="clear" w:color="auto" w:fill="auto"/>
            <w:vAlign w:val="center"/>
          </w:tcPr>
          <w:p w:rsidR="007F1017" w:rsidRPr="008B348A" w:rsidRDefault="00C904BA" w:rsidP="00415785">
            <w:pPr>
              <w:pStyle w:val="Tabletext"/>
              <w:keepNext/>
            </w:pPr>
            <w:r w:rsidRPr="008B348A">
              <w:t>SPS</w:t>
            </w:r>
          </w:p>
        </w:tc>
        <w:tc>
          <w:tcPr>
            <w:tcW w:w="709" w:type="dxa"/>
            <w:shd w:val="clear" w:color="auto" w:fill="auto"/>
            <w:vAlign w:val="center"/>
          </w:tcPr>
          <w:p w:rsidR="007F1017" w:rsidRPr="008B348A" w:rsidRDefault="00C904BA" w:rsidP="00415785">
            <w:pPr>
              <w:pStyle w:val="Tabletext"/>
              <w:keepNext/>
              <w:jc w:val="center"/>
            </w:pPr>
            <w:r w:rsidRPr="008B348A">
              <w:t>38,546</w:t>
            </w:r>
          </w:p>
        </w:tc>
        <w:tc>
          <w:tcPr>
            <w:tcW w:w="992" w:type="dxa"/>
            <w:shd w:val="clear" w:color="auto" w:fill="auto"/>
            <w:vAlign w:val="center"/>
          </w:tcPr>
          <w:p w:rsidR="00C904BA" w:rsidRPr="008B348A" w:rsidRDefault="00C904BA" w:rsidP="00415785">
            <w:pPr>
              <w:pStyle w:val="Tabletext"/>
              <w:keepNext/>
              <w:jc w:val="center"/>
            </w:pPr>
            <w:r w:rsidRPr="008B348A">
              <w:t>R, OB</w:t>
            </w:r>
          </w:p>
          <w:p w:rsidR="007F1017" w:rsidRPr="008B348A" w:rsidRDefault="00C904BA" w:rsidP="00EC6010">
            <w:pPr>
              <w:pStyle w:val="Tabletext"/>
              <w:keepNext/>
              <w:jc w:val="center"/>
            </w:pPr>
            <w:r w:rsidRPr="008B348A">
              <w:t>3.</w:t>
            </w:r>
            <w:r w:rsidR="00F47308" w:rsidRPr="008B348A">
              <w:t>13</w:t>
            </w:r>
            <w:r w:rsidRPr="008B348A">
              <w:t xml:space="preserve"> years (</w:t>
            </w:r>
            <w:proofErr w:type="spellStart"/>
            <w:r w:rsidR="00F47308" w:rsidRPr="008B348A">
              <w:t>mITT</w:t>
            </w:r>
            <w:proofErr w:type="spellEnd"/>
            <w:r w:rsidRPr="008B348A">
              <w:t>)</w:t>
            </w:r>
          </w:p>
        </w:tc>
        <w:tc>
          <w:tcPr>
            <w:tcW w:w="709" w:type="dxa"/>
            <w:shd w:val="clear" w:color="auto" w:fill="auto"/>
            <w:vAlign w:val="center"/>
          </w:tcPr>
          <w:p w:rsidR="007F1017" w:rsidRPr="00366583" w:rsidRDefault="00BD42B6" w:rsidP="00415785">
            <w:pPr>
              <w:pStyle w:val="Tabletext"/>
              <w:keepNext/>
              <w:jc w:val="center"/>
            </w:pPr>
            <w:r w:rsidRPr="00366583">
              <w:t>Low</w:t>
            </w:r>
          </w:p>
        </w:tc>
        <w:tc>
          <w:tcPr>
            <w:tcW w:w="1559" w:type="dxa"/>
            <w:shd w:val="clear" w:color="auto" w:fill="auto"/>
            <w:vAlign w:val="center"/>
          </w:tcPr>
          <w:p w:rsidR="007F1017" w:rsidRPr="00366583" w:rsidRDefault="00C904BA" w:rsidP="00415785">
            <w:pPr>
              <w:pStyle w:val="Tabletext"/>
              <w:keepNext/>
              <w:jc w:val="center"/>
            </w:pPr>
            <w:r w:rsidRPr="00366583">
              <w:t>Healthy individuals aged ≥ 60 years (mean 69 years)</w:t>
            </w:r>
          </w:p>
        </w:tc>
        <w:tc>
          <w:tcPr>
            <w:tcW w:w="2835" w:type="dxa"/>
            <w:shd w:val="clear" w:color="auto" w:fill="auto"/>
            <w:vAlign w:val="center"/>
          </w:tcPr>
          <w:p w:rsidR="00C904BA" w:rsidRPr="008B348A" w:rsidRDefault="00C904BA" w:rsidP="00415785">
            <w:pPr>
              <w:pStyle w:val="Tabletext"/>
              <w:keepNext/>
              <w:jc w:val="center"/>
            </w:pPr>
            <w:r w:rsidRPr="008B348A">
              <w:t>Primary: HZ burden of illness</w:t>
            </w:r>
          </w:p>
          <w:p w:rsidR="007F1017" w:rsidRPr="008B348A" w:rsidRDefault="00C904BA" w:rsidP="00EC6010">
            <w:pPr>
              <w:pStyle w:val="Tabletext"/>
              <w:keepNext/>
              <w:jc w:val="center"/>
            </w:pPr>
            <w:r w:rsidRPr="008B348A">
              <w:t xml:space="preserve">Secondary: </w:t>
            </w:r>
            <w:r w:rsidR="00EC6010">
              <w:t>VE</w:t>
            </w:r>
            <w:r w:rsidRPr="00EC6010">
              <w:rPr>
                <w:vertAlign w:val="subscript"/>
              </w:rPr>
              <w:t>HZ</w:t>
            </w:r>
            <w:r w:rsidRPr="008B348A">
              <w:t xml:space="preserve">, </w:t>
            </w:r>
            <w:r w:rsidR="00EC6010">
              <w:t>VE</w:t>
            </w:r>
            <w:r w:rsidRPr="00EC6010">
              <w:rPr>
                <w:vertAlign w:val="subscript"/>
              </w:rPr>
              <w:t>PHN</w:t>
            </w:r>
            <w:r w:rsidRPr="008B348A">
              <w:t xml:space="preserve">, </w:t>
            </w:r>
            <w:r w:rsidR="00EC6010">
              <w:t xml:space="preserve">HZ </w:t>
            </w:r>
            <w:r w:rsidRPr="008B348A">
              <w:t xml:space="preserve">duration and severity </w:t>
            </w:r>
          </w:p>
        </w:tc>
        <w:tc>
          <w:tcPr>
            <w:tcW w:w="1545" w:type="dxa"/>
            <w:shd w:val="clear" w:color="auto" w:fill="auto"/>
            <w:vAlign w:val="center"/>
          </w:tcPr>
          <w:p w:rsidR="007F1017" w:rsidRPr="008B348A" w:rsidRDefault="00BD42B6" w:rsidP="00415785">
            <w:pPr>
              <w:pStyle w:val="Default"/>
              <w:keepNext/>
              <w:jc w:val="center"/>
              <w:rPr>
                <w:rFonts w:ascii="Arial Narrow" w:hAnsi="Arial Narrow" w:cs="Times New Roman"/>
                <w:color w:val="auto"/>
                <w:sz w:val="20"/>
                <w:szCs w:val="22"/>
                <w:lang w:eastAsia="en-US"/>
              </w:rPr>
            </w:pPr>
            <w:r w:rsidRPr="008B348A">
              <w:rPr>
                <w:rFonts w:ascii="Arial Narrow" w:hAnsi="Arial Narrow" w:cs="Times New Roman"/>
                <w:color w:val="auto"/>
                <w:sz w:val="20"/>
                <w:szCs w:val="22"/>
                <w:lang w:eastAsia="en-US"/>
              </w:rPr>
              <w:t>As above</w:t>
            </w:r>
          </w:p>
        </w:tc>
      </w:tr>
    </w:tbl>
    <w:p w:rsidR="007F1017" w:rsidRPr="008B348A" w:rsidRDefault="00E77743" w:rsidP="00045017">
      <w:pPr>
        <w:pStyle w:val="TableFooter"/>
      </w:pPr>
      <w:r>
        <w:t xml:space="preserve">HZ: herpes zoster; </w:t>
      </w:r>
      <w:proofErr w:type="spellStart"/>
      <w:r>
        <w:t>mITT</w:t>
      </w:r>
      <w:proofErr w:type="spellEnd"/>
      <w:r>
        <w:t xml:space="preserve">: modified intent to treat; </w:t>
      </w:r>
      <w:proofErr w:type="spellStart"/>
      <w:r w:rsidR="00C904BA" w:rsidRPr="008B348A">
        <w:t>mTVC</w:t>
      </w:r>
      <w:proofErr w:type="spellEnd"/>
      <w:r w:rsidR="00C904BA" w:rsidRPr="008B348A">
        <w:t xml:space="preserve">: modified total vaccinated cohort; </w:t>
      </w:r>
      <w:r w:rsidRPr="008B348A">
        <w:t>OB</w:t>
      </w:r>
      <w:r>
        <w:t xml:space="preserve">: </w:t>
      </w:r>
      <w:r w:rsidRPr="008B348A">
        <w:t xml:space="preserve">observer blind; </w:t>
      </w:r>
      <w:r>
        <w:t>PHN: post</w:t>
      </w:r>
      <w:r w:rsidR="00437617">
        <w:t>-</w:t>
      </w:r>
      <w:r>
        <w:t xml:space="preserve">herpetic neuralgia; </w:t>
      </w:r>
      <w:r w:rsidR="00EC6010">
        <w:t xml:space="preserve">QoL: quality of life; </w:t>
      </w:r>
      <w:r w:rsidR="007F1017" w:rsidRPr="008B348A">
        <w:t>R</w:t>
      </w:r>
      <w:r>
        <w:t xml:space="preserve">: </w:t>
      </w:r>
      <w:r w:rsidR="00DD0768">
        <w:t xml:space="preserve">randomised; VE: vaccine efficacy </w:t>
      </w:r>
    </w:p>
    <w:p w:rsidR="00045017" w:rsidRDefault="00045017" w:rsidP="009B5721">
      <w:pPr>
        <w:pStyle w:val="TableFooter"/>
        <w:spacing w:after="160"/>
      </w:pPr>
      <w:r w:rsidRPr="008B348A">
        <w:t xml:space="preserve">Source: </w:t>
      </w:r>
      <w:r w:rsidR="00C904BA" w:rsidRPr="008B348A">
        <w:t>Compiled during the evaluation</w:t>
      </w:r>
      <w:r w:rsidRPr="008B348A">
        <w:t>.</w:t>
      </w:r>
    </w:p>
    <w:p w:rsidR="00B86A89" w:rsidRDefault="005E583F" w:rsidP="00ED2457">
      <w:pPr>
        <w:pStyle w:val="ListParagraph"/>
        <w:widowControl/>
        <w:numPr>
          <w:ilvl w:val="1"/>
          <w:numId w:val="2"/>
        </w:numPr>
      </w:pPr>
      <w:r w:rsidRPr="005E583F">
        <w:t>The ZOE-50 and ZOE-70 trials were analysed on a modified total vaccinated cohort (</w:t>
      </w:r>
      <w:proofErr w:type="spellStart"/>
      <w:r w:rsidRPr="005E583F">
        <w:t>mTVC</w:t>
      </w:r>
      <w:proofErr w:type="spellEnd"/>
      <w:r w:rsidRPr="005E583F">
        <w:t xml:space="preserve">), which excluded those who did not receive </w:t>
      </w:r>
      <w:r w:rsidR="00EC6010">
        <w:t xml:space="preserve">the </w:t>
      </w:r>
      <w:r w:rsidRPr="005E583F">
        <w:t xml:space="preserve">second </w:t>
      </w:r>
      <w:r w:rsidR="00EC6010">
        <w:t>dose of the HZ/</w:t>
      </w:r>
      <w:proofErr w:type="spellStart"/>
      <w:r w:rsidR="00EC6010">
        <w:t>su</w:t>
      </w:r>
      <w:proofErr w:type="spellEnd"/>
      <w:r w:rsidR="00EC6010">
        <w:t xml:space="preserve"> </w:t>
      </w:r>
      <w:r w:rsidRPr="005E583F">
        <w:t xml:space="preserve">vaccine </w:t>
      </w:r>
      <w:r w:rsidR="00B86A89">
        <w:t>(337 (4.4%) and 392 (5.6%) of individuals in the HZ/</w:t>
      </w:r>
      <w:proofErr w:type="spellStart"/>
      <w:r w:rsidR="00B86A89">
        <w:t>su</w:t>
      </w:r>
      <w:proofErr w:type="spellEnd"/>
      <w:r w:rsidR="00B86A89">
        <w:t xml:space="preserve"> treatment arms of ZOE-50 and ZOE-70, respectively) </w:t>
      </w:r>
      <w:r w:rsidRPr="005E583F">
        <w:t xml:space="preserve">or </w:t>
      </w:r>
      <w:r w:rsidR="00BD10F1">
        <w:t xml:space="preserve">those </w:t>
      </w:r>
      <w:r w:rsidRPr="005E583F">
        <w:t xml:space="preserve">who had confirmed HZ within one month </w:t>
      </w:r>
      <w:r w:rsidR="00EC6010">
        <w:t xml:space="preserve">of receiving </w:t>
      </w:r>
      <w:r w:rsidRPr="005E583F">
        <w:t>the second dose</w:t>
      </w:r>
      <w:r w:rsidR="00B86A89">
        <w:t xml:space="preserve"> (4 individuals in the HZ/</w:t>
      </w:r>
      <w:proofErr w:type="spellStart"/>
      <w:r w:rsidR="00B86A89">
        <w:t>su</w:t>
      </w:r>
      <w:proofErr w:type="spellEnd"/>
      <w:r w:rsidR="00B86A89">
        <w:t xml:space="preserve"> </w:t>
      </w:r>
      <w:r w:rsidR="00BD10F1">
        <w:t xml:space="preserve">arm </w:t>
      </w:r>
      <w:r w:rsidR="00B86A89">
        <w:t>and 14 individuals in the placebo arm of ZOE-50, and 4 individuals in the HZ/</w:t>
      </w:r>
      <w:proofErr w:type="spellStart"/>
      <w:r w:rsidR="00B86A89">
        <w:t>su</w:t>
      </w:r>
      <w:proofErr w:type="spellEnd"/>
      <w:r w:rsidR="00B86A89">
        <w:t xml:space="preserve"> </w:t>
      </w:r>
      <w:r w:rsidR="00BD10F1">
        <w:t xml:space="preserve">arm </w:t>
      </w:r>
      <w:r w:rsidR="00B86A89">
        <w:t>and 11 individuals in the placebo arm of ZOE-7</w:t>
      </w:r>
      <w:r w:rsidR="00C41280">
        <w:t>0</w:t>
      </w:r>
      <w:r w:rsidR="00B86A89">
        <w:t>)</w:t>
      </w:r>
      <w:r w:rsidRPr="005E583F">
        <w:t>.</w:t>
      </w:r>
    </w:p>
    <w:p w:rsidR="005E583F" w:rsidRPr="005E583F" w:rsidRDefault="00B86A89" w:rsidP="00ED2457">
      <w:pPr>
        <w:pStyle w:val="ListParagraph"/>
        <w:widowControl/>
        <w:numPr>
          <w:ilvl w:val="1"/>
          <w:numId w:val="2"/>
        </w:numPr>
      </w:pPr>
      <w:r>
        <w:t xml:space="preserve">Overall, 95.4% of </w:t>
      </w:r>
      <w:r w:rsidR="00763E84">
        <w:t>individuals</w:t>
      </w:r>
      <w:r>
        <w:t xml:space="preserve"> enrolled in the HZ/</w:t>
      </w:r>
      <w:proofErr w:type="spellStart"/>
      <w:r>
        <w:t>su</w:t>
      </w:r>
      <w:proofErr w:type="spellEnd"/>
      <w:r>
        <w:t xml:space="preserve"> treatment arm and </w:t>
      </w:r>
      <w:r w:rsidR="00EC6010">
        <w:t xml:space="preserve">96.1% of those in </w:t>
      </w:r>
      <w:r>
        <w:t xml:space="preserve">the placebo arm of the ZOE-50 trial were included in the </w:t>
      </w:r>
      <w:proofErr w:type="spellStart"/>
      <w:r>
        <w:t>mTVC</w:t>
      </w:r>
      <w:proofErr w:type="spellEnd"/>
      <w:r w:rsidR="00EC6010">
        <w:t>. For the ZOE-70 trial,</w:t>
      </w:r>
      <w:r w:rsidR="00C41280">
        <w:t xml:space="preserve"> </w:t>
      </w:r>
      <w:r>
        <w:t xml:space="preserve">94.1% of </w:t>
      </w:r>
      <w:r w:rsidR="00763E84">
        <w:t xml:space="preserve">individuals </w:t>
      </w:r>
      <w:r>
        <w:t>enrolled in the HZ/</w:t>
      </w:r>
      <w:proofErr w:type="spellStart"/>
      <w:r>
        <w:t>su</w:t>
      </w:r>
      <w:proofErr w:type="spellEnd"/>
      <w:r>
        <w:t xml:space="preserve"> treatment arm and </w:t>
      </w:r>
      <w:r w:rsidR="00EC6010">
        <w:t xml:space="preserve">95.2% of those in </w:t>
      </w:r>
      <w:r>
        <w:t xml:space="preserve">the placebo arm were included in the </w:t>
      </w:r>
      <w:proofErr w:type="spellStart"/>
      <w:r>
        <w:t>mTVC</w:t>
      </w:r>
      <w:proofErr w:type="spellEnd"/>
      <w:r>
        <w:t>.</w:t>
      </w:r>
    </w:p>
    <w:p w:rsidR="009D4976" w:rsidRPr="0086667F" w:rsidRDefault="00EC6010" w:rsidP="00FC7E16">
      <w:pPr>
        <w:pStyle w:val="ListParagraph"/>
        <w:widowControl/>
        <w:numPr>
          <w:ilvl w:val="1"/>
          <w:numId w:val="2"/>
        </w:numPr>
      </w:pPr>
      <w:r>
        <w:t>It wa</w:t>
      </w:r>
      <w:r w:rsidR="00BD42B6" w:rsidRPr="0086667F">
        <w:t xml:space="preserve">s unclear why </w:t>
      </w:r>
      <w:r>
        <w:t xml:space="preserve">individuals with </w:t>
      </w:r>
      <w:r w:rsidR="00BD42B6" w:rsidRPr="0086667F">
        <w:t xml:space="preserve">confirmed HZ within one month </w:t>
      </w:r>
      <w:r w:rsidR="00437617" w:rsidRPr="0086667F">
        <w:t xml:space="preserve">of </w:t>
      </w:r>
      <w:r>
        <w:t xml:space="preserve">receiving </w:t>
      </w:r>
      <w:r w:rsidR="00437617" w:rsidRPr="0086667F">
        <w:t xml:space="preserve">the second dose </w:t>
      </w:r>
      <w:r w:rsidR="00EF0449" w:rsidRPr="0086667F">
        <w:t xml:space="preserve">were </w:t>
      </w:r>
      <w:r w:rsidR="00C41280" w:rsidRPr="0086667F">
        <w:t xml:space="preserve">excluded from the </w:t>
      </w:r>
      <w:proofErr w:type="spellStart"/>
      <w:r w:rsidR="00C41280" w:rsidRPr="0086667F">
        <w:t>mTVC</w:t>
      </w:r>
      <w:proofErr w:type="spellEnd"/>
      <w:r w:rsidR="009D4976" w:rsidRPr="0086667F">
        <w:t>.</w:t>
      </w:r>
      <w:r w:rsidR="000A48EB">
        <w:t xml:space="preserve"> </w:t>
      </w:r>
      <w:r>
        <w:t>Furthermore, it wa</w:t>
      </w:r>
      <w:r w:rsidR="00BD42B6" w:rsidRPr="0086667F">
        <w:t>s unlikely</w:t>
      </w:r>
      <w:r w:rsidR="005E583F" w:rsidRPr="0086667F">
        <w:t xml:space="preserve"> that</w:t>
      </w:r>
      <w:r w:rsidR="00BD42B6" w:rsidRPr="0086667F">
        <w:t xml:space="preserve"> all </w:t>
      </w:r>
      <w:r w:rsidR="0022116F" w:rsidRPr="0086667F">
        <w:t>individuals</w:t>
      </w:r>
      <w:r w:rsidR="00BD42B6" w:rsidRPr="0086667F">
        <w:t xml:space="preserve"> would receive both doses in clinical practice</w:t>
      </w:r>
      <w:r w:rsidR="00401859" w:rsidRPr="0086667F">
        <w:t>.</w:t>
      </w:r>
      <w:r w:rsidR="008805B5">
        <w:t xml:space="preserve"> </w:t>
      </w:r>
    </w:p>
    <w:p w:rsidR="00045017" w:rsidRPr="0098559C" w:rsidRDefault="00C41280" w:rsidP="00ED2457">
      <w:pPr>
        <w:pStyle w:val="ListParagraph"/>
        <w:widowControl/>
        <w:numPr>
          <w:ilvl w:val="1"/>
          <w:numId w:val="2"/>
        </w:numPr>
      </w:pPr>
      <w:r w:rsidRPr="0098559C">
        <w:t>T</w:t>
      </w:r>
      <w:r w:rsidR="00BD42B6" w:rsidRPr="0098559C">
        <w:t xml:space="preserve">he </w:t>
      </w:r>
      <w:r w:rsidR="000A48EB" w:rsidRPr="0098559C">
        <w:t xml:space="preserve">ESC considered that the </w:t>
      </w:r>
      <w:r w:rsidR="00BD42B6" w:rsidRPr="0098559C">
        <w:t>overall risk of bias was low</w:t>
      </w:r>
      <w:r w:rsidR="00853F0E" w:rsidRPr="0098559C">
        <w:t xml:space="preserve"> in all trials</w:t>
      </w:r>
      <w:r w:rsidR="00D93BDD" w:rsidRPr="0098559C">
        <w:t>.</w:t>
      </w:r>
    </w:p>
    <w:p w:rsidR="00B60939" w:rsidRPr="000A48EB" w:rsidRDefault="00B60939" w:rsidP="000A48EB">
      <w:pPr>
        <w:pStyle w:val="Heading2"/>
        <w:rPr>
          <w:rStyle w:val="IntenseEmphasis"/>
          <w:b/>
          <w:i/>
        </w:rPr>
      </w:pPr>
      <w:bookmarkStart w:id="8" w:name="_Toc524340208"/>
      <w:r w:rsidRPr="000A48EB">
        <w:rPr>
          <w:rStyle w:val="IntenseEmphasis"/>
          <w:b/>
          <w:i/>
        </w:rPr>
        <w:t>Comparative effectiveness</w:t>
      </w:r>
      <w:bookmarkEnd w:id="8"/>
    </w:p>
    <w:p w:rsidR="008D7D4C" w:rsidRPr="008B348A" w:rsidRDefault="008D7D4C" w:rsidP="00ED2457">
      <w:pPr>
        <w:pStyle w:val="ListParagraph"/>
        <w:widowControl/>
        <w:numPr>
          <w:ilvl w:val="1"/>
          <w:numId w:val="2"/>
        </w:numPr>
      </w:pPr>
      <w:r w:rsidRPr="008B348A">
        <w:rPr>
          <w:rFonts w:cs="Calibri"/>
          <w:snapToGrid/>
          <w:szCs w:val="24"/>
          <w:lang w:eastAsia="en-AU"/>
        </w:rPr>
        <w:t xml:space="preserve">Table </w:t>
      </w:r>
      <w:r w:rsidR="00DF7A69">
        <w:rPr>
          <w:rFonts w:cs="Calibri"/>
          <w:snapToGrid/>
          <w:szCs w:val="24"/>
          <w:lang w:eastAsia="en-AU"/>
        </w:rPr>
        <w:t>5</w:t>
      </w:r>
      <w:r w:rsidRPr="008B348A">
        <w:rPr>
          <w:rFonts w:cs="Calibri"/>
          <w:snapToGrid/>
          <w:szCs w:val="24"/>
          <w:lang w:eastAsia="en-AU"/>
        </w:rPr>
        <w:t xml:space="preserve"> present</w:t>
      </w:r>
      <w:r w:rsidR="009D4976">
        <w:rPr>
          <w:rFonts w:cs="Calibri"/>
          <w:snapToGrid/>
          <w:szCs w:val="24"/>
          <w:lang w:eastAsia="en-AU"/>
        </w:rPr>
        <w:t>s</w:t>
      </w:r>
      <w:r w:rsidRPr="008B348A">
        <w:rPr>
          <w:rFonts w:cs="Calibri"/>
          <w:snapToGrid/>
          <w:szCs w:val="24"/>
          <w:lang w:eastAsia="en-AU"/>
        </w:rPr>
        <w:t xml:space="preserve"> </w:t>
      </w:r>
      <w:r w:rsidR="009D4976">
        <w:rPr>
          <w:rFonts w:cs="Calibri"/>
          <w:snapToGrid/>
          <w:szCs w:val="24"/>
          <w:lang w:eastAsia="en-AU"/>
        </w:rPr>
        <w:t xml:space="preserve">the results for </w:t>
      </w:r>
      <w:r w:rsidR="00253EE8">
        <w:rPr>
          <w:rFonts w:cs="Calibri"/>
          <w:snapToGrid/>
          <w:szCs w:val="24"/>
          <w:lang w:eastAsia="en-AU"/>
        </w:rPr>
        <w:t xml:space="preserve">vaccine efficacy, in terms of </w:t>
      </w:r>
      <w:r w:rsidR="009D4976">
        <w:rPr>
          <w:rFonts w:cs="Calibri"/>
          <w:snapToGrid/>
          <w:szCs w:val="24"/>
          <w:lang w:eastAsia="en-AU"/>
        </w:rPr>
        <w:t>HZ cases</w:t>
      </w:r>
      <w:r w:rsidR="00253EE8">
        <w:rPr>
          <w:rFonts w:cs="Calibri"/>
          <w:snapToGrid/>
          <w:szCs w:val="24"/>
          <w:lang w:eastAsia="en-AU"/>
        </w:rPr>
        <w:t>,</w:t>
      </w:r>
      <w:r w:rsidR="009D4976">
        <w:rPr>
          <w:rFonts w:cs="Calibri"/>
          <w:snapToGrid/>
          <w:szCs w:val="24"/>
          <w:lang w:eastAsia="en-AU"/>
        </w:rPr>
        <w:t xml:space="preserve"> from</w:t>
      </w:r>
      <w:r w:rsidRPr="008B348A">
        <w:rPr>
          <w:rFonts w:cs="Calibri"/>
          <w:snapToGrid/>
          <w:szCs w:val="24"/>
          <w:lang w:eastAsia="en-AU"/>
        </w:rPr>
        <w:t xml:space="preserve"> the ZOE-50 and ZOE-70 trials</w:t>
      </w:r>
      <w:r w:rsidR="009D7264">
        <w:rPr>
          <w:rFonts w:cs="Calibri"/>
          <w:snapToGrid/>
          <w:szCs w:val="24"/>
          <w:lang w:eastAsia="en-AU"/>
        </w:rPr>
        <w:t xml:space="preserve"> (</w:t>
      </w:r>
      <w:proofErr w:type="spellStart"/>
      <w:r w:rsidR="009D7264">
        <w:rPr>
          <w:rFonts w:cs="Calibri"/>
          <w:snapToGrid/>
          <w:szCs w:val="24"/>
          <w:lang w:eastAsia="en-AU"/>
        </w:rPr>
        <w:t>mTVC</w:t>
      </w:r>
      <w:proofErr w:type="spellEnd"/>
      <w:r w:rsidR="009D7264">
        <w:rPr>
          <w:rFonts w:cs="Calibri"/>
          <w:snapToGrid/>
          <w:szCs w:val="24"/>
          <w:lang w:eastAsia="en-AU"/>
        </w:rPr>
        <w:t xml:space="preserve"> population)</w:t>
      </w:r>
      <w:r w:rsidRPr="008B348A">
        <w:rPr>
          <w:rFonts w:cs="Calibri"/>
          <w:snapToGrid/>
          <w:szCs w:val="24"/>
          <w:lang w:eastAsia="en-AU"/>
        </w:rPr>
        <w:t>.</w:t>
      </w:r>
    </w:p>
    <w:p w:rsidR="008D7D4C" w:rsidRPr="008B348A" w:rsidRDefault="008D7D4C" w:rsidP="005E583F">
      <w:pPr>
        <w:keepNext/>
        <w:rPr>
          <w:rStyle w:val="CommentReference"/>
        </w:rPr>
      </w:pPr>
      <w:r w:rsidRPr="008B348A">
        <w:rPr>
          <w:rStyle w:val="CommentReference"/>
        </w:rPr>
        <w:lastRenderedPageBreak/>
        <w:t xml:space="preserve">Table </w:t>
      </w:r>
      <w:r w:rsidR="00DF7A69">
        <w:rPr>
          <w:rStyle w:val="CommentReference"/>
        </w:rPr>
        <w:t>5</w:t>
      </w:r>
      <w:r w:rsidRPr="008B348A">
        <w:rPr>
          <w:rStyle w:val="CommentReference"/>
        </w:rPr>
        <w:t>: Results of vaccine efficacy against HZ cases (first or only episode) across the trials (</w:t>
      </w:r>
      <w:proofErr w:type="spellStart"/>
      <w:r w:rsidRPr="008B348A">
        <w:rPr>
          <w:rStyle w:val="CommentReference"/>
        </w:rPr>
        <w:t>mTVC</w:t>
      </w:r>
      <w:proofErr w:type="spellEnd"/>
      <w:r w:rsidRPr="008B348A">
        <w:rPr>
          <w:rStyle w:val="CommentReference"/>
        </w:rPr>
        <w:t>)</w:t>
      </w:r>
    </w:p>
    <w:tbl>
      <w:tblPr>
        <w:tblW w:w="9100" w:type="dxa"/>
        <w:tblLayout w:type="fixed"/>
        <w:tblCellMar>
          <w:left w:w="28" w:type="dxa"/>
          <w:right w:w="28" w:type="dxa"/>
        </w:tblCellMar>
        <w:tblLook w:val="0000" w:firstRow="0" w:lastRow="0" w:firstColumn="0" w:lastColumn="0" w:noHBand="0" w:noVBand="0"/>
      </w:tblPr>
      <w:tblGrid>
        <w:gridCol w:w="1016"/>
        <w:gridCol w:w="572"/>
        <w:gridCol w:w="567"/>
        <w:gridCol w:w="708"/>
        <w:gridCol w:w="851"/>
        <w:gridCol w:w="567"/>
        <w:gridCol w:w="567"/>
        <w:gridCol w:w="709"/>
        <w:gridCol w:w="708"/>
        <w:gridCol w:w="567"/>
        <w:gridCol w:w="709"/>
        <w:gridCol w:w="709"/>
        <w:gridCol w:w="850"/>
      </w:tblGrid>
      <w:tr w:rsidR="00863647" w:rsidRPr="008B348A" w:rsidTr="00863647">
        <w:trPr>
          <w:tblHeader/>
        </w:trPr>
        <w:tc>
          <w:tcPr>
            <w:tcW w:w="1016" w:type="dxa"/>
            <w:vMerge w:val="restart"/>
            <w:tcBorders>
              <w:top w:val="single" w:sz="2" w:space="0" w:color="000000"/>
              <w:left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b/>
                <w:szCs w:val="20"/>
              </w:rPr>
            </w:pPr>
            <w:r w:rsidRPr="008B348A">
              <w:rPr>
                <w:rFonts w:ascii="Arial Narrow" w:hAnsi="Arial Narrow" w:cs="Arial Narrow"/>
                <w:b/>
                <w:bCs/>
                <w:sz w:val="20"/>
                <w:szCs w:val="20"/>
                <w:lang w:eastAsia="en-AU"/>
              </w:rPr>
              <w:t>Age strata</w:t>
            </w:r>
          </w:p>
        </w:tc>
        <w:tc>
          <w:tcPr>
            <w:tcW w:w="2698" w:type="dxa"/>
            <w:gridSpan w:val="4"/>
            <w:tcBorders>
              <w:top w:val="single" w:sz="2" w:space="0" w:color="000000"/>
              <w:left w:val="single" w:sz="2" w:space="0" w:color="000000"/>
              <w:right w:val="single" w:sz="2" w:space="0" w:color="000000"/>
            </w:tcBorders>
            <w:shd w:val="clear" w:color="auto" w:fill="auto"/>
            <w:vAlign w:val="center"/>
          </w:tcPr>
          <w:p w:rsidR="008D7D4C" w:rsidRPr="008B348A" w:rsidRDefault="008D7D4C" w:rsidP="009D4976">
            <w:pPr>
              <w:pStyle w:val="Tabletext"/>
              <w:keepNext/>
              <w:jc w:val="center"/>
              <w:rPr>
                <w:b/>
                <w:szCs w:val="20"/>
              </w:rPr>
            </w:pPr>
            <w:r w:rsidRPr="008B348A">
              <w:rPr>
                <w:b/>
              </w:rPr>
              <w:t>HZ/</w:t>
            </w:r>
            <w:proofErr w:type="spellStart"/>
            <w:r w:rsidRPr="008B348A">
              <w:rPr>
                <w:b/>
              </w:rPr>
              <w:t>su</w:t>
            </w:r>
            <w:proofErr w:type="spellEnd"/>
            <w:r w:rsidRPr="008B348A">
              <w:rPr>
                <w:b/>
              </w:rPr>
              <w:t xml:space="preserve"> vaccine</w:t>
            </w:r>
          </w:p>
        </w:tc>
        <w:tc>
          <w:tcPr>
            <w:tcW w:w="2551" w:type="dxa"/>
            <w:gridSpan w:val="4"/>
            <w:tcBorders>
              <w:top w:val="single" w:sz="2" w:space="0" w:color="000000"/>
              <w:left w:val="single" w:sz="2" w:space="0" w:color="000000"/>
              <w:right w:val="single" w:sz="2" w:space="0" w:color="000000"/>
            </w:tcBorders>
            <w:shd w:val="clear" w:color="auto" w:fill="auto"/>
            <w:vAlign w:val="center"/>
          </w:tcPr>
          <w:p w:rsidR="008D7D4C" w:rsidRPr="008B348A" w:rsidRDefault="008D7D4C" w:rsidP="009D4976">
            <w:pPr>
              <w:pStyle w:val="Tabletext"/>
              <w:keepNext/>
              <w:jc w:val="center"/>
              <w:rPr>
                <w:b/>
                <w:szCs w:val="20"/>
              </w:rPr>
            </w:pPr>
            <w:r w:rsidRPr="008B348A">
              <w:rPr>
                <w:b/>
              </w:rPr>
              <w:t>Placebo</w:t>
            </w:r>
          </w:p>
        </w:tc>
        <w:tc>
          <w:tcPr>
            <w:tcW w:w="1985" w:type="dxa"/>
            <w:gridSpan w:val="3"/>
            <w:tcBorders>
              <w:top w:val="single" w:sz="2" w:space="0" w:color="000000"/>
              <w:left w:val="single" w:sz="2" w:space="0" w:color="000000"/>
              <w:right w:val="single" w:sz="2" w:space="0" w:color="000000"/>
            </w:tcBorders>
            <w:shd w:val="clear" w:color="auto" w:fill="auto"/>
            <w:vAlign w:val="center"/>
          </w:tcPr>
          <w:p w:rsidR="008D7D4C" w:rsidRPr="008B348A" w:rsidRDefault="008D7D4C" w:rsidP="009D4976">
            <w:pPr>
              <w:pStyle w:val="Tabletext"/>
              <w:keepNext/>
              <w:jc w:val="center"/>
              <w:rPr>
                <w:b/>
                <w:szCs w:val="20"/>
              </w:rPr>
            </w:pPr>
            <w:r w:rsidRPr="008B348A">
              <w:rPr>
                <w:b/>
                <w:szCs w:val="20"/>
              </w:rPr>
              <w:t>VE</w:t>
            </w:r>
            <w:r w:rsidR="004875E3" w:rsidRPr="004875E3">
              <w:rPr>
                <w:b/>
                <w:szCs w:val="20"/>
                <w:vertAlign w:val="subscript"/>
              </w:rPr>
              <w:t>HZ</w:t>
            </w:r>
            <w:r w:rsidRPr="008B348A">
              <w:rPr>
                <w:b/>
                <w:szCs w:val="20"/>
              </w:rPr>
              <w:t>*</w:t>
            </w:r>
          </w:p>
        </w:tc>
        <w:tc>
          <w:tcPr>
            <w:tcW w:w="850" w:type="dxa"/>
            <w:vMerge w:val="restart"/>
            <w:tcBorders>
              <w:top w:val="single" w:sz="2" w:space="0" w:color="000000"/>
              <w:left w:val="single" w:sz="2" w:space="0" w:color="000000"/>
              <w:right w:val="single" w:sz="2" w:space="0" w:color="000000"/>
            </w:tcBorders>
            <w:shd w:val="clear" w:color="auto" w:fill="auto"/>
            <w:vAlign w:val="center"/>
          </w:tcPr>
          <w:p w:rsidR="008D7D4C" w:rsidRPr="008B348A" w:rsidRDefault="008D7D4C" w:rsidP="009D4976">
            <w:pPr>
              <w:pStyle w:val="Tabletext"/>
              <w:keepNext/>
              <w:jc w:val="center"/>
              <w:rPr>
                <w:b/>
                <w:szCs w:val="20"/>
              </w:rPr>
            </w:pPr>
            <w:r w:rsidRPr="008B348A">
              <w:rPr>
                <w:b/>
                <w:szCs w:val="20"/>
              </w:rPr>
              <w:t>p-value</w:t>
            </w:r>
          </w:p>
        </w:tc>
      </w:tr>
      <w:tr w:rsidR="00863647" w:rsidRPr="008B348A" w:rsidTr="0003778A">
        <w:trPr>
          <w:tblHeader/>
        </w:trPr>
        <w:tc>
          <w:tcPr>
            <w:tcW w:w="1016" w:type="dxa"/>
            <w:vMerge/>
            <w:tcBorders>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p>
        </w:tc>
        <w:tc>
          <w:tcPr>
            <w:tcW w:w="5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w w:val="99"/>
                <w:sz w:val="20"/>
                <w:szCs w:val="20"/>
                <w:lang w:eastAsia="en-AU"/>
              </w:rPr>
              <w:t>N</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w w:val="99"/>
                <w:sz w:val="20"/>
                <w:szCs w:val="20"/>
                <w:lang w:eastAsia="en-AU"/>
              </w:rPr>
              <w:t>n</w:t>
            </w: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T (year)</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863647">
            <w:pPr>
              <w:keepNext/>
              <w:kinsoku w:val="0"/>
              <w:overflowPunct w:val="0"/>
              <w:autoSpaceDE w:val="0"/>
              <w:autoSpaceDN w:val="0"/>
              <w:adjustRightInd w:val="0"/>
              <w:ind w:right="47"/>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n/T (per 1</w:t>
            </w:r>
            <w:r w:rsidR="00863647">
              <w:rPr>
                <w:rFonts w:ascii="Arial Narrow" w:hAnsi="Arial Narrow" w:cs="Arial Narrow"/>
                <w:b/>
                <w:bCs/>
                <w:sz w:val="20"/>
                <w:szCs w:val="20"/>
                <w:lang w:eastAsia="en-AU"/>
              </w:rPr>
              <w:t>,</w:t>
            </w:r>
            <w:r w:rsidRPr="008B348A">
              <w:rPr>
                <w:rFonts w:ascii="Arial Narrow" w:hAnsi="Arial Narrow" w:cs="Arial Narrow"/>
                <w:b/>
                <w:bCs/>
                <w:sz w:val="20"/>
                <w:szCs w:val="20"/>
                <w:lang w:eastAsia="en-AU"/>
              </w:rPr>
              <w:t>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ind w:right="2"/>
              <w:jc w:val="center"/>
              <w:rPr>
                <w:rFonts w:ascii="Arial Narrow" w:hAnsi="Arial Narrow" w:cs="Times New Roman"/>
                <w:sz w:val="20"/>
                <w:szCs w:val="20"/>
                <w:lang w:eastAsia="en-AU"/>
              </w:rPr>
            </w:pPr>
            <w:r w:rsidRPr="008B348A">
              <w:rPr>
                <w:rFonts w:ascii="Arial Narrow" w:hAnsi="Arial Narrow" w:cs="Arial Narrow"/>
                <w:b/>
                <w:bCs/>
                <w:w w:val="99"/>
                <w:sz w:val="20"/>
                <w:szCs w:val="20"/>
                <w:lang w:eastAsia="en-AU"/>
              </w:rPr>
              <w:t>N</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ind w:right="1"/>
              <w:jc w:val="center"/>
              <w:rPr>
                <w:rFonts w:ascii="Arial Narrow" w:hAnsi="Arial Narrow" w:cs="Times New Roman"/>
                <w:sz w:val="20"/>
                <w:szCs w:val="20"/>
                <w:lang w:eastAsia="en-AU"/>
              </w:rPr>
            </w:pPr>
            <w:r w:rsidRPr="008B348A">
              <w:rPr>
                <w:rFonts w:ascii="Arial Narrow" w:hAnsi="Arial Narrow" w:cs="Arial Narrow"/>
                <w:b/>
                <w:bCs/>
                <w:w w:val="99"/>
                <w:sz w:val="20"/>
                <w:szCs w:val="20"/>
                <w:lang w:eastAsia="en-AU"/>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T (year)</w:t>
            </w:r>
          </w:p>
        </w:tc>
        <w:tc>
          <w:tcPr>
            <w:tcW w:w="70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863647">
            <w:pPr>
              <w:keepNext/>
              <w:kinsoku w:val="0"/>
              <w:overflowPunct w:val="0"/>
              <w:autoSpaceDE w:val="0"/>
              <w:autoSpaceDN w:val="0"/>
              <w:adjustRightInd w:val="0"/>
              <w:ind w:right="12"/>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n/T (per 1</w:t>
            </w:r>
            <w:r w:rsidR="00863647">
              <w:rPr>
                <w:rFonts w:ascii="Arial Narrow" w:hAnsi="Arial Narrow" w:cs="Arial Narrow"/>
                <w:b/>
                <w:bCs/>
                <w:sz w:val="20"/>
                <w:szCs w:val="20"/>
                <w:lang w:eastAsia="en-AU"/>
              </w:rPr>
              <w:t>,</w:t>
            </w:r>
            <w:r w:rsidRPr="008B348A">
              <w:rPr>
                <w:rFonts w:ascii="Arial Narrow" w:hAnsi="Arial Narrow" w:cs="Arial Narrow"/>
                <w:b/>
                <w:bCs/>
                <w:sz w:val="20"/>
                <w:szCs w:val="20"/>
                <w:lang w:eastAsia="en-AU"/>
              </w:rPr>
              <w:t>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ind w:right="5"/>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9D4976">
            <w:pPr>
              <w:keepNext/>
              <w:kinsoku w:val="0"/>
              <w:overflowPunct w:val="0"/>
              <w:autoSpaceDE w:val="0"/>
              <w:autoSpaceDN w:val="0"/>
              <w:adjustRightInd w:val="0"/>
              <w:spacing w:line="224" w:lineRule="exact"/>
              <w:ind w:right="71"/>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 xml:space="preserve">Lower </w:t>
            </w:r>
            <w:r w:rsidR="00863647">
              <w:rPr>
                <w:rFonts w:ascii="Arial Narrow" w:hAnsi="Arial Narrow" w:cs="Arial Narrow"/>
                <w:b/>
                <w:bCs/>
                <w:sz w:val="20"/>
                <w:szCs w:val="20"/>
                <w:lang w:eastAsia="en-AU"/>
              </w:rPr>
              <w:br/>
            </w:r>
            <w:r w:rsidRPr="008B348A">
              <w:rPr>
                <w:rFonts w:ascii="Arial Narrow" w:hAnsi="Arial Narrow" w:cs="Arial Narrow"/>
                <w:b/>
                <w:bCs/>
                <w:sz w:val="20"/>
                <w:szCs w:val="20"/>
                <w:lang w:eastAsia="en-AU"/>
              </w:rPr>
              <w:t>95% CI</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 xml:space="preserve">Upper </w:t>
            </w:r>
            <w:r w:rsidR="00863647">
              <w:rPr>
                <w:rFonts w:ascii="Arial Narrow" w:hAnsi="Arial Narrow" w:cs="Arial Narrow"/>
                <w:b/>
                <w:bCs/>
                <w:sz w:val="20"/>
                <w:szCs w:val="20"/>
                <w:lang w:eastAsia="en-AU"/>
              </w:rPr>
              <w:br/>
            </w:r>
            <w:r w:rsidRPr="008B348A">
              <w:rPr>
                <w:rFonts w:ascii="Arial Narrow" w:hAnsi="Arial Narrow" w:cs="Arial Narrow"/>
                <w:b/>
                <w:bCs/>
                <w:sz w:val="20"/>
                <w:szCs w:val="20"/>
                <w:lang w:eastAsia="en-AU"/>
              </w:rPr>
              <w:t>95% CI</w:t>
            </w:r>
          </w:p>
        </w:tc>
        <w:tc>
          <w:tcPr>
            <w:tcW w:w="850" w:type="dxa"/>
            <w:vMerge/>
            <w:tcBorders>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4" w:lineRule="exact"/>
              <w:rPr>
                <w:rFonts w:ascii="Arial Narrow" w:hAnsi="Arial Narrow" w:cs="Times New Roman"/>
                <w:sz w:val="20"/>
                <w:szCs w:val="20"/>
                <w:lang w:eastAsia="en-AU"/>
              </w:rPr>
            </w:pPr>
          </w:p>
        </w:tc>
      </w:tr>
      <w:tr w:rsidR="008D7D4C" w:rsidRPr="008B348A" w:rsidTr="00863647">
        <w:tc>
          <w:tcPr>
            <w:tcW w:w="9100" w:type="dxa"/>
            <w:gridSpan w:val="13"/>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4" w:lineRule="exact"/>
              <w:rPr>
                <w:rFonts w:ascii="Arial Narrow" w:hAnsi="Arial Narrow" w:cs="Arial Narrow"/>
                <w:b/>
                <w:bCs/>
                <w:sz w:val="20"/>
                <w:szCs w:val="20"/>
                <w:lang w:eastAsia="en-AU"/>
              </w:rPr>
            </w:pPr>
            <w:r w:rsidRPr="008B348A">
              <w:rPr>
                <w:rFonts w:ascii="Arial Narrow" w:hAnsi="Arial Narrow" w:cs="Symbol"/>
                <w:b/>
                <w:bCs/>
                <w:sz w:val="20"/>
                <w:szCs w:val="20"/>
                <w:lang w:eastAsia="en-AU"/>
              </w:rPr>
              <w:t>ZOE-50</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jc w:val="left"/>
              <w:rPr>
                <w:rFonts w:ascii="Arial Narrow" w:hAnsi="Arial Narrow" w:cs="Times New Roman"/>
                <w:sz w:val="20"/>
                <w:szCs w:val="20"/>
                <w:lang w:eastAsia="en-AU"/>
              </w:rPr>
            </w:pPr>
            <w:r w:rsidRPr="008B348A">
              <w:rPr>
                <w:rFonts w:ascii="Arial Narrow" w:hAnsi="Arial Narrow" w:cs="Arial Narrow"/>
                <w:sz w:val="20"/>
                <w:szCs w:val="20"/>
                <w:lang w:eastAsia="en-AU"/>
              </w:rPr>
              <w:t>50</w:t>
            </w:r>
            <w:r w:rsidRPr="008B348A">
              <w:rPr>
                <w:rFonts w:ascii="Arial Narrow" w:hAnsi="Arial Narrow" w:cs="Arial Narrow"/>
                <w:sz w:val="20"/>
                <w:szCs w:val="20"/>
                <w:lang w:eastAsia="en-AU"/>
              </w:rPr>
              <w:noBreakHyphen/>
              <w:t xml:space="preserve">59 years </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3"/>
              <w:jc w:val="center"/>
              <w:rPr>
                <w:rFonts w:ascii="Arial Narrow" w:hAnsi="Arial Narrow" w:cs="Times New Roman"/>
                <w:sz w:val="20"/>
                <w:szCs w:val="20"/>
                <w:lang w:eastAsia="en-AU"/>
              </w:rPr>
            </w:pPr>
            <w:r w:rsidRPr="008B348A">
              <w:rPr>
                <w:rFonts w:ascii="Arial Narrow" w:hAnsi="Arial Narrow" w:cs="Arial Narrow"/>
                <w:sz w:val="20"/>
                <w:szCs w:val="20"/>
                <w:lang w:eastAsia="en-AU"/>
              </w:rPr>
              <w:t>3</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492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jc w:val="center"/>
              <w:rPr>
                <w:rFonts w:ascii="Arial Narrow" w:hAnsi="Arial Narrow" w:cs="Times New Roman"/>
                <w:sz w:val="20"/>
                <w:szCs w:val="20"/>
                <w:lang w:eastAsia="en-AU"/>
              </w:rPr>
            </w:pPr>
            <w:r w:rsidRPr="008B348A">
              <w:rPr>
                <w:rFonts w:ascii="Arial Narrow" w:hAnsi="Arial Narrow" w:cs="Arial Narrow"/>
                <w:w w:val="99"/>
                <w:sz w:val="20"/>
                <w:szCs w:val="20"/>
                <w:lang w:eastAsia="en-AU"/>
              </w:rPr>
              <w:t>3</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11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161.3</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eepNext/>
              <w:kinsoku w:val="0"/>
              <w:overflowPunct w:val="0"/>
              <w:autoSpaceDE w:val="0"/>
              <w:autoSpaceDN w:val="0"/>
              <w:adjustRightInd w:val="0"/>
              <w:spacing w:line="227" w:lineRule="exact"/>
              <w:ind w:right="320"/>
              <w:jc w:val="center"/>
              <w:rPr>
                <w:rFonts w:ascii="Arial Narrow" w:hAnsi="Arial Narrow" w:cs="Times New Roman"/>
                <w:sz w:val="20"/>
                <w:szCs w:val="20"/>
                <w:lang w:eastAsia="en-AU"/>
              </w:rPr>
            </w:pPr>
            <w:r w:rsidRPr="008B348A">
              <w:rPr>
                <w:rFonts w:ascii="Arial Narrow" w:hAnsi="Arial Narrow" w:cs="Arial Narrow"/>
                <w:sz w:val="20"/>
                <w:szCs w:val="20"/>
                <w:lang w:eastAsia="en-AU"/>
              </w:rPr>
              <w:t>0.3</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5"/>
              <w:jc w:val="center"/>
              <w:rPr>
                <w:rFonts w:ascii="Arial Narrow" w:hAnsi="Arial Narrow" w:cs="Times New Roman"/>
                <w:sz w:val="20"/>
                <w:szCs w:val="20"/>
                <w:lang w:eastAsia="en-AU"/>
              </w:rPr>
            </w:pPr>
            <w:r w:rsidRPr="008B348A">
              <w:rPr>
                <w:rFonts w:ascii="Arial Narrow" w:hAnsi="Arial Narrow" w:cs="Arial Narrow"/>
                <w:sz w:val="20"/>
                <w:szCs w:val="20"/>
                <w:lang w:eastAsia="en-AU"/>
              </w:rPr>
              <w:t>3</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525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71"/>
              <w:jc w:val="center"/>
              <w:rPr>
                <w:rFonts w:ascii="Arial Narrow" w:hAnsi="Arial Narrow" w:cs="Times New Roman"/>
                <w:sz w:val="20"/>
                <w:szCs w:val="20"/>
                <w:lang w:eastAsia="en-AU"/>
              </w:rPr>
            </w:pPr>
            <w:r w:rsidRPr="008B348A">
              <w:rPr>
                <w:rFonts w:ascii="Arial Narrow" w:hAnsi="Arial Narrow" w:cs="Arial Narrow"/>
                <w:sz w:val="20"/>
                <w:szCs w:val="20"/>
                <w:lang w:eastAsia="en-AU"/>
              </w:rPr>
              <w:t>87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11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134.7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eepNext/>
              <w:kinsoku w:val="0"/>
              <w:overflowPunct w:val="0"/>
              <w:autoSpaceDE w:val="0"/>
              <w:autoSpaceDN w:val="0"/>
              <w:adjustRightInd w:val="0"/>
              <w:spacing w:line="227" w:lineRule="exact"/>
              <w:ind w:right="238"/>
              <w:jc w:val="center"/>
              <w:rPr>
                <w:rFonts w:ascii="Arial Narrow" w:hAnsi="Arial Narrow" w:cs="Times New Roman"/>
                <w:sz w:val="20"/>
                <w:szCs w:val="20"/>
                <w:lang w:eastAsia="en-AU"/>
              </w:rPr>
            </w:pPr>
            <w:r w:rsidRPr="008B348A">
              <w:rPr>
                <w:rFonts w:ascii="Arial Narrow" w:hAnsi="Arial Narrow" w:cs="Arial Narrow"/>
                <w:sz w:val="20"/>
                <w:szCs w:val="20"/>
                <w:lang w:eastAsia="en-AU"/>
              </w:rPr>
              <w:t>7.8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96.57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69"/>
              <w:jc w:val="center"/>
              <w:rPr>
                <w:rFonts w:ascii="Arial Narrow" w:hAnsi="Arial Narrow" w:cs="Times New Roman"/>
                <w:sz w:val="20"/>
                <w:szCs w:val="20"/>
                <w:lang w:eastAsia="en-AU"/>
              </w:rPr>
            </w:pPr>
            <w:r w:rsidRPr="008B348A">
              <w:rPr>
                <w:rFonts w:ascii="Arial Narrow" w:hAnsi="Arial Narrow" w:cs="Arial Narrow"/>
                <w:sz w:val="20"/>
                <w:szCs w:val="20"/>
                <w:lang w:eastAsia="en-AU"/>
              </w:rPr>
              <w:t>89.62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ind w:right="2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99.31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9D4976">
            <w:pPr>
              <w:keepNext/>
              <w:kinsoku w:val="0"/>
              <w:overflowPunct w:val="0"/>
              <w:autoSpaceDE w:val="0"/>
              <w:autoSpaceDN w:val="0"/>
              <w:adjustRightInd w:val="0"/>
              <w:spacing w:line="227"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Times New Roman"/>
                <w:sz w:val="20"/>
                <w:szCs w:val="20"/>
                <w:lang w:eastAsia="en-AU"/>
              </w:rPr>
            </w:pPr>
            <w:r w:rsidRPr="008B348A">
              <w:rPr>
                <w:rFonts w:ascii="Arial Narrow" w:hAnsi="Arial Narrow" w:cs="Arial Narrow"/>
                <w:sz w:val="20"/>
                <w:szCs w:val="20"/>
                <w:lang w:eastAsia="en-AU"/>
              </w:rPr>
              <w:t>60</w:t>
            </w:r>
            <w:r w:rsidRPr="008B348A">
              <w:rPr>
                <w:rFonts w:ascii="Arial Narrow" w:hAnsi="Arial Narrow" w:cs="Arial Narrow"/>
                <w:sz w:val="20"/>
                <w:szCs w:val="20"/>
                <w:lang w:eastAsia="en-AU"/>
              </w:rPr>
              <w:noBreakHyphen/>
              <w:t>69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Times New Roman"/>
                <w:sz w:val="20"/>
                <w:szCs w:val="20"/>
                <w:lang w:eastAsia="en-AU"/>
              </w:rPr>
            </w:pPr>
            <w:r w:rsidRPr="008B348A">
              <w:rPr>
                <w:rFonts w:ascii="Arial Narrow" w:hAnsi="Arial Narrow" w:cs="Arial Narrow"/>
                <w:sz w:val="20"/>
                <w:szCs w:val="20"/>
                <w:lang w:eastAsia="en-AU"/>
              </w:rPr>
              <w:t>2</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141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w w:val="99"/>
                <w:sz w:val="20"/>
                <w:szCs w:val="20"/>
                <w:lang w:eastAsia="en-AU"/>
              </w:rPr>
              <w:t>2</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7</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007.9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320"/>
              <w:jc w:val="center"/>
              <w:rPr>
                <w:rFonts w:ascii="Arial Narrow" w:hAnsi="Arial Narrow" w:cs="Times New Roman"/>
                <w:sz w:val="20"/>
                <w:szCs w:val="20"/>
                <w:lang w:eastAsia="en-AU"/>
              </w:rPr>
            </w:pPr>
            <w:r w:rsidRPr="008B348A">
              <w:rPr>
                <w:rFonts w:ascii="Arial Narrow" w:hAnsi="Arial Narrow" w:cs="Arial Narrow"/>
                <w:sz w:val="20"/>
                <w:szCs w:val="20"/>
                <w:lang w:eastAsia="en-AU"/>
              </w:rPr>
              <w:t>0.3</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Times New Roman"/>
                <w:sz w:val="20"/>
                <w:szCs w:val="20"/>
                <w:lang w:eastAsia="en-AU"/>
              </w:rPr>
            </w:pPr>
            <w:r w:rsidRPr="008B348A">
              <w:rPr>
                <w:rFonts w:ascii="Arial Narrow" w:hAnsi="Arial Narrow" w:cs="Arial Narrow"/>
                <w:sz w:val="20"/>
                <w:szCs w:val="20"/>
                <w:lang w:eastAsia="en-AU"/>
              </w:rPr>
              <w:t>2</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166</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Times New Roman"/>
                <w:sz w:val="20"/>
                <w:szCs w:val="20"/>
                <w:lang w:eastAsia="en-AU"/>
              </w:rPr>
            </w:pPr>
            <w:r w:rsidRPr="008B348A">
              <w:rPr>
                <w:rFonts w:ascii="Arial Narrow" w:hAnsi="Arial Narrow" w:cs="Arial Narrow"/>
                <w:sz w:val="20"/>
                <w:szCs w:val="20"/>
                <w:lang w:eastAsia="en-AU"/>
              </w:rPr>
              <w:t>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6</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952.7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238"/>
              <w:jc w:val="center"/>
              <w:rPr>
                <w:rFonts w:ascii="Arial Narrow" w:hAnsi="Arial Narrow" w:cs="Times New Roman"/>
                <w:sz w:val="20"/>
                <w:szCs w:val="20"/>
                <w:lang w:eastAsia="en-AU"/>
              </w:rPr>
            </w:pPr>
            <w:r w:rsidRPr="008B348A">
              <w:rPr>
                <w:rFonts w:ascii="Arial Narrow" w:hAnsi="Arial Narrow" w:cs="Arial Narrow"/>
                <w:sz w:val="20"/>
                <w:szCs w:val="20"/>
                <w:lang w:eastAsia="en-AU"/>
              </w:rPr>
              <w:t>10.8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97.36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Times New Roman"/>
                <w:sz w:val="20"/>
                <w:szCs w:val="20"/>
                <w:lang w:eastAsia="en-AU"/>
              </w:rPr>
            </w:pPr>
            <w:r w:rsidRPr="008B348A">
              <w:rPr>
                <w:rFonts w:ascii="Arial Narrow" w:hAnsi="Arial Narrow" w:cs="Arial Narrow"/>
                <w:sz w:val="20"/>
                <w:szCs w:val="20"/>
                <w:lang w:eastAsia="en-AU"/>
              </w:rPr>
              <w:t>90.14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99.69</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sz w:val="20"/>
                <w:szCs w:val="20"/>
                <w:lang w:eastAsia="en-AU"/>
              </w:rPr>
              <w:t>≥70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711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w w:val="99"/>
                <w:sz w:val="20"/>
                <w:szCs w:val="20"/>
                <w:lang w:eastAsia="en-AU"/>
              </w:rPr>
              <w:t>1</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5</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127.9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sz w:val="20"/>
                <w:szCs w:val="20"/>
                <w:lang w:eastAsia="en-AU"/>
              </w:rPr>
              <w:t>0.2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724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sz w:val="20"/>
                <w:szCs w:val="20"/>
                <w:lang w:eastAsia="en-AU"/>
              </w:rPr>
              <w:t>48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5</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083.0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sz w:val="20"/>
                <w:szCs w:val="20"/>
                <w:lang w:eastAsia="en-AU"/>
              </w:rPr>
              <w:t>9.0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sz w:val="20"/>
                <w:szCs w:val="20"/>
                <w:lang w:eastAsia="en-AU"/>
              </w:rPr>
              <w:t>97.93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sz w:val="20"/>
                <w:szCs w:val="20"/>
                <w:lang w:eastAsia="en-AU"/>
              </w:rPr>
              <w:t>87.91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sz w:val="20"/>
                <w:szCs w:val="20"/>
                <w:lang w:eastAsia="en-AU"/>
              </w:rPr>
              <w:t>99.95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8B348A">
              <w:rPr>
                <w:rFonts w:ascii="Arial Narrow" w:hAnsi="Arial Narrow" w:cs="Symbol"/>
                <w:sz w:val="20"/>
                <w:szCs w:val="20"/>
                <w:lang w:eastAsia="en-AU"/>
              </w:rPr>
              <w:t>≥</w:t>
            </w:r>
            <w:r w:rsidRPr="008B348A">
              <w:rPr>
                <w:rFonts w:ascii="Arial Narrow" w:hAnsi="Arial Narrow" w:cs="Arial Narrow"/>
                <w:sz w:val="20"/>
                <w:szCs w:val="20"/>
                <w:lang w:eastAsia="en-AU"/>
              </w:rPr>
              <w:t>60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Times New Roman"/>
                <w:sz w:val="20"/>
                <w:szCs w:val="20"/>
                <w:lang w:eastAsia="en-AU"/>
              </w:rPr>
            </w:pPr>
            <w:r w:rsidRPr="008B348A">
              <w:rPr>
                <w:rFonts w:ascii="Arial Narrow" w:hAnsi="Arial Narrow" w:cs="Arial Narrow"/>
                <w:sz w:val="20"/>
                <w:szCs w:val="20"/>
                <w:lang w:eastAsia="en-AU"/>
              </w:rPr>
              <w:t>3</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852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w w:val="99"/>
                <w:sz w:val="20"/>
                <w:szCs w:val="20"/>
                <w:lang w:eastAsia="en-AU"/>
              </w:rPr>
              <w:t>3</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12</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135.7</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320"/>
              <w:jc w:val="center"/>
              <w:rPr>
                <w:rFonts w:ascii="Arial Narrow" w:hAnsi="Arial Narrow" w:cs="Times New Roman"/>
                <w:sz w:val="20"/>
                <w:szCs w:val="20"/>
                <w:lang w:eastAsia="en-AU"/>
              </w:rPr>
            </w:pPr>
            <w:r w:rsidRPr="008B348A">
              <w:rPr>
                <w:rFonts w:ascii="Arial Narrow" w:hAnsi="Arial Narrow" w:cs="Arial Narrow"/>
                <w:sz w:val="20"/>
                <w:szCs w:val="20"/>
                <w:lang w:eastAsia="en-AU"/>
              </w:rPr>
              <w:t>0.2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Times New Roman"/>
                <w:sz w:val="20"/>
                <w:szCs w:val="20"/>
                <w:lang w:eastAsia="en-AU"/>
              </w:rPr>
            </w:pPr>
            <w:r w:rsidRPr="008B348A">
              <w:rPr>
                <w:rFonts w:ascii="Arial Narrow" w:hAnsi="Arial Narrow" w:cs="Arial Narrow"/>
                <w:sz w:val="20"/>
                <w:szCs w:val="20"/>
                <w:lang w:eastAsia="en-AU"/>
              </w:rPr>
              <w:t>3</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890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Times New Roman"/>
                <w:sz w:val="20"/>
                <w:szCs w:val="20"/>
                <w:lang w:eastAsia="en-AU"/>
              </w:rPr>
            </w:pPr>
            <w:r w:rsidRPr="008B348A">
              <w:rPr>
                <w:rFonts w:ascii="Arial Narrow" w:hAnsi="Arial Narrow" w:cs="Arial Narrow"/>
                <w:sz w:val="20"/>
                <w:szCs w:val="20"/>
                <w:lang w:eastAsia="en-AU"/>
              </w:rPr>
              <w:t>123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12</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035.7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238"/>
              <w:jc w:val="center"/>
              <w:rPr>
                <w:rFonts w:ascii="Arial Narrow" w:hAnsi="Arial Narrow" w:cs="Times New Roman"/>
                <w:sz w:val="20"/>
                <w:szCs w:val="20"/>
                <w:lang w:eastAsia="en-AU"/>
              </w:rPr>
            </w:pPr>
            <w:r w:rsidRPr="008B348A">
              <w:rPr>
                <w:rFonts w:ascii="Arial Narrow" w:hAnsi="Arial Narrow" w:cs="Arial Narrow"/>
                <w:sz w:val="20"/>
                <w:szCs w:val="20"/>
                <w:lang w:eastAsia="en-AU"/>
              </w:rPr>
              <w:t>10.2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97.58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Times New Roman"/>
                <w:sz w:val="20"/>
                <w:szCs w:val="20"/>
                <w:lang w:eastAsia="en-AU"/>
              </w:rPr>
            </w:pPr>
            <w:r w:rsidRPr="008B348A">
              <w:rPr>
                <w:rFonts w:ascii="Arial Narrow" w:hAnsi="Arial Narrow" w:cs="Arial Narrow"/>
                <w:sz w:val="20"/>
                <w:szCs w:val="20"/>
                <w:lang w:eastAsia="en-AU"/>
              </w:rPr>
              <w:t>92.77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8B348A">
              <w:rPr>
                <w:rFonts w:ascii="Arial Narrow" w:hAnsi="Arial Narrow" w:cs="Arial Narrow"/>
                <w:sz w:val="20"/>
                <w:szCs w:val="20"/>
                <w:lang w:eastAsia="en-AU"/>
              </w:rPr>
              <w:t>99.51</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8B348A">
              <w:rPr>
                <w:rFonts w:ascii="Arial Narrow" w:hAnsi="Arial Narrow" w:cs="Symbol"/>
                <w:b/>
                <w:bCs/>
                <w:sz w:val="20"/>
                <w:szCs w:val="20"/>
                <w:lang w:eastAsia="en-AU"/>
              </w:rPr>
              <w:t>≥</w:t>
            </w:r>
            <w:r w:rsidRPr="008B348A">
              <w:rPr>
                <w:rFonts w:ascii="Arial Narrow" w:hAnsi="Arial Narrow" w:cs="Arial Narrow"/>
                <w:b/>
                <w:bCs/>
                <w:sz w:val="20"/>
                <w:szCs w:val="20"/>
                <w:lang w:eastAsia="en-AU"/>
              </w:rPr>
              <w:t>50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7</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344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w w:val="99"/>
                <w:sz w:val="20"/>
                <w:szCs w:val="20"/>
                <w:lang w:eastAsia="en-AU"/>
              </w:rPr>
              <w:t>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23</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297.0</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320"/>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0.3</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7</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415</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210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23</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170.5</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863647">
            <w:pPr>
              <w:kinsoku w:val="0"/>
              <w:overflowPunct w:val="0"/>
              <w:autoSpaceDE w:val="0"/>
              <w:autoSpaceDN w:val="0"/>
              <w:adjustRightInd w:val="0"/>
              <w:spacing w:line="224" w:lineRule="exact"/>
              <w:ind w:right="238"/>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9.1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97.16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93.72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98.97</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8B348A">
              <w:rPr>
                <w:rFonts w:ascii="Arial Narrow" w:hAnsi="Arial Narrow" w:cs="Arial Narrow"/>
                <w:b/>
                <w:bCs/>
                <w:sz w:val="20"/>
                <w:szCs w:val="20"/>
                <w:lang w:eastAsia="en-AU"/>
              </w:rPr>
              <w:t>&lt;0.0001</w:t>
            </w:r>
          </w:p>
        </w:tc>
      </w:tr>
      <w:tr w:rsidR="008D7D4C" w:rsidRPr="008B348A" w:rsidTr="00863647">
        <w:tc>
          <w:tcPr>
            <w:tcW w:w="9100" w:type="dxa"/>
            <w:gridSpan w:val="13"/>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rPr>
                <w:rFonts w:ascii="Arial Narrow" w:hAnsi="Arial Narrow" w:cs="Arial Narrow"/>
                <w:sz w:val="20"/>
                <w:szCs w:val="20"/>
                <w:lang w:eastAsia="en-AU"/>
              </w:rPr>
            </w:pPr>
            <w:r w:rsidRPr="008B348A">
              <w:rPr>
                <w:rFonts w:ascii="Arial Narrow" w:hAnsi="Arial Narrow" w:cs="Arial Narrow"/>
                <w:b/>
                <w:sz w:val="20"/>
                <w:szCs w:val="20"/>
                <w:lang w:eastAsia="en-AU"/>
              </w:rPr>
              <w:t>ZOE-70</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sz w:val="20"/>
                <w:szCs w:val="20"/>
                <w:lang w:eastAsia="en-AU"/>
              </w:rPr>
              <w:t>70-79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sz w:val="20"/>
                <w:szCs w:val="20"/>
                <w:lang w:eastAsia="en-AU"/>
              </w:rPr>
              <w:t>5</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114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sz w:val="20"/>
                <w:szCs w:val="20"/>
                <w:lang w:eastAsia="en-AU"/>
              </w:rPr>
              <w:t>17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19</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346.5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sz w:val="20"/>
                <w:szCs w:val="20"/>
                <w:lang w:eastAsia="en-AU"/>
              </w:rPr>
              <w:t>0.9</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sz w:val="20"/>
                <w:szCs w:val="20"/>
                <w:lang w:eastAsia="en-AU"/>
              </w:rPr>
              <w:t>5</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189</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sz w:val="20"/>
                <w:szCs w:val="20"/>
                <w:lang w:eastAsia="en-AU"/>
              </w:rPr>
              <w:t>169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19</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247.5</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sz w:val="20"/>
                <w:szCs w:val="20"/>
                <w:lang w:eastAsia="en-AU"/>
              </w:rPr>
              <w:t>8.8</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sz w:val="20"/>
                <w:szCs w:val="20"/>
                <w:lang w:eastAsia="en-AU"/>
              </w:rPr>
              <w:t>90.02</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sz w:val="20"/>
                <w:szCs w:val="20"/>
                <w:lang w:eastAsia="en-AU"/>
              </w:rPr>
              <w:t>83.54</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sz w:val="20"/>
                <w:szCs w:val="20"/>
                <w:lang w:eastAsia="en-AU"/>
              </w:rPr>
              <w:t>94.32</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sz w:val="20"/>
                <w:szCs w:val="20"/>
                <w:lang w:eastAsia="en-AU"/>
              </w:rPr>
              <w:t>≥80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427</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w w:val="99"/>
                <w:sz w:val="20"/>
                <w:szCs w:val="20"/>
                <w:lang w:eastAsia="en-AU"/>
              </w:rPr>
              <w:t>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5</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058.5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sz w:val="20"/>
                <w:szCs w:val="20"/>
                <w:lang w:eastAsia="en-AU"/>
              </w:rPr>
              <w:t>1.2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433</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w w:val="95"/>
                <w:sz w:val="20"/>
                <w:szCs w:val="20"/>
                <w:lang w:eastAsia="en-AU"/>
              </w:rPr>
              <w:t>54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4</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920.3</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sz w:val="20"/>
                <w:szCs w:val="20"/>
                <w:lang w:eastAsia="en-AU"/>
              </w:rPr>
              <w:t>11.0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sz w:val="20"/>
                <w:szCs w:val="20"/>
                <w:lang w:eastAsia="en-AU"/>
              </w:rPr>
              <w:t>89.08</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sz w:val="20"/>
                <w:szCs w:val="20"/>
                <w:lang w:eastAsia="en-AU"/>
              </w:rPr>
              <w:t>74.65</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sz w:val="20"/>
                <w:szCs w:val="20"/>
                <w:lang w:eastAsia="en-AU"/>
              </w:rPr>
              <w:t>96.16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b/>
                <w:bCs/>
                <w:sz w:val="20"/>
                <w:szCs w:val="20"/>
                <w:lang w:eastAsia="en-AU"/>
              </w:rPr>
              <w:t>≥70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6</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541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b/>
                <w:bCs/>
                <w:sz w:val="20"/>
                <w:szCs w:val="20"/>
                <w:lang w:eastAsia="en-AU"/>
              </w:rPr>
              <w:t>23</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24</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405.1</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0.9</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6</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622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223</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24</w:t>
            </w:r>
            <w:r w:rsidR="00367074">
              <w:rPr>
                <w:rFonts w:ascii="Arial Narrow" w:hAnsi="Arial Narrow" w:cs="Arial Narrow"/>
                <w:b/>
                <w:bCs/>
                <w:sz w:val="20"/>
                <w:szCs w:val="20"/>
                <w:lang w:eastAsia="en-AU"/>
              </w:rPr>
              <w:t>,</w:t>
            </w:r>
            <w:r w:rsidRPr="008B348A">
              <w:rPr>
                <w:rFonts w:ascii="Arial Narrow" w:hAnsi="Arial Narrow" w:cs="Arial Narrow"/>
                <w:b/>
                <w:bCs/>
                <w:sz w:val="20"/>
                <w:szCs w:val="20"/>
                <w:lang w:eastAsia="en-AU"/>
              </w:rPr>
              <w:t>167.8</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9.2</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89.79</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84.29</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93.66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b/>
                <w:bCs/>
                <w:sz w:val="20"/>
                <w:szCs w:val="20"/>
                <w:lang w:eastAsia="en-AU"/>
              </w:rPr>
              <w:t>&lt;0.0001</w:t>
            </w:r>
          </w:p>
        </w:tc>
      </w:tr>
      <w:tr w:rsidR="008D7D4C" w:rsidRPr="008B348A" w:rsidTr="00863647">
        <w:tc>
          <w:tcPr>
            <w:tcW w:w="9100" w:type="dxa"/>
            <w:gridSpan w:val="13"/>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rPr>
                <w:rFonts w:ascii="Arial Narrow" w:hAnsi="Arial Narrow" w:cs="Arial Narrow"/>
                <w:b/>
                <w:sz w:val="20"/>
                <w:szCs w:val="20"/>
                <w:lang w:eastAsia="en-AU"/>
              </w:rPr>
            </w:pPr>
            <w:r w:rsidRPr="008B348A">
              <w:rPr>
                <w:rFonts w:ascii="Arial Narrow" w:hAnsi="Arial Narrow" w:cs="Arial Narrow"/>
                <w:b/>
                <w:sz w:val="20"/>
                <w:szCs w:val="20"/>
                <w:lang w:eastAsia="en-AU"/>
              </w:rPr>
              <w:t>Pooled ZOE-50 and ZOE-70</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sz w:val="20"/>
                <w:szCs w:val="20"/>
                <w:lang w:eastAsia="en-AU"/>
              </w:rPr>
              <w:t>70-79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sz w:val="20"/>
                <w:szCs w:val="20"/>
                <w:lang w:eastAsia="en-AU"/>
              </w:rPr>
              <w:t>6</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468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sz w:val="20"/>
                <w:szCs w:val="20"/>
                <w:lang w:eastAsia="en-AU"/>
              </w:rPr>
              <w:t>19</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24</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410.9</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sz w:val="20"/>
                <w:szCs w:val="20"/>
                <w:lang w:eastAsia="en-AU"/>
              </w:rPr>
              <w:t>0.8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sz w:val="20"/>
                <w:szCs w:val="20"/>
                <w:lang w:eastAsia="en-AU"/>
              </w:rPr>
              <w:t>6</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554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sz w:val="20"/>
                <w:szCs w:val="20"/>
                <w:lang w:eastAsia="en-AU"/>
              </w:rPr>
              <w:t>216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24</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262.8</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sz w:val="20"/>
                <w:szCs w:val="20"/>
                <w:lang w:eastAsia="en-AU"/>
              </w:rPr>
              <w:t>8.9</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sz w:val="20"/>
                <w:szCs w:val="20"/>
                <w:lang w:eastAsia="en-AU"/>
              </w:rPr>
              <w:t>91.27</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sz w:val="20"/>
                <w:szCs w:val="20"/>
                <w:lang w:eastAsia="en-AU"/>
              </w:rPr>
              <w:t>86.04</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sz w:val="20"/>
                <w:szCs w:val="20"/>
                <w:lang w:eastAsia="en-AU"/>
              </w:rPr>
              <w:t>94.85</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sz w:val="20"/>
                <w:szCs w:val="20"/>
                <w:lang w:eastAsia="en-AU"/>
              </w:rPr>
            </w:pPr>
            <w:r w:rsidRPr="008B348A">
              <w:rPr>
                <w:rFonts w:ascii="Arial Narrow" w:hAnsi="Arial Narrow" w:cs="Arial Narrow"/>
                <w:sz w:val="20"/>
                <w:szCs w:val="20"/>
                <w:lang w:eastAsia="en-AU"/>
              </w:rPr>
              <w:t>≥80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782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8B348A">
              <w:rPr>
                <w:rFonts w:ascii="Arial Narrow" w:hAnsi="Arial Narrow" w:cs="Arial Narrow"/>
                <w:w w:val="99"/>
                <w:sz w:val="20"/>
                <w:szCs w:val="20"/>
                <w:lang w:eastAsia="en-AU"/>
              </w:rPr>
              <w:t>6</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6</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314.6</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sz w:val="20"/>
                <w:szCs w:val="20"/>
                <w:lang w:eastAsia="en-AU"/>
              </w:rPr>
            </w:pPr>
            <w:r w:rsidRPr="008B348A">
              <w:rPr>
                <w:rFonts w:ascii="Arial Narrow" w:hAnsi="Arial Narrow" w:cs="Arial Narrow"/>
                <w:sz w:val="20"/>
                <w:szCs w:val="20"/>
                <w:lang w:eastAsia="en-AU"/>
              </w:rPr>
              <w:t>1.0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sz w:val="20"/>
                <w:szCs w:val="20"/>
                <w:lang w:eastAsia="en-AU"/>
              </w:rPr>
            </w:pPr>
            <w:r w:rsidRPr="008B348A">
              <w:rPr>
                <w:rFonts w:ascii="Arial Narrow" w:hAnsi="Arial Narrow" w:cs="Arial Narrow"/>
                <w:sz w:val="20"/>
                <w:szCs w:val="20"/>
                <w:lang w:eastAsia="en-AU"/>
              </w:rPr>
              <w:t>1</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792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sz w:val="20"/>
                <w:szCs w:val="20"/>
                <w:lang w:eastAsia="en-AU"/>
              </w:rPr>
            </w:pPr>
            <w:r w:rsidRPr="008B348A">
              <w:rPr>
                <w:rFonts w:ascii="Arial Narrow" w:hAnsi="Arial Narrow" w:cs="Arial Narrow"/>
                <w:w w:val="95"/>
                <w:sz w:val="20"/>
                <w:szCs w:val="20"/>
                <w:lang w:eastAsia="en-AU"/>
              </w:rPr>
              <w:t>68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6</w:t>
            </w:r>
            <w:r w:rsidR="00367074">
              <w:rPr>
                <w:rFonts w:ascii="Arial Narrow" w:hAnsi="Arial Narrow" w:cs="Arial Narrow"/>
                <w:sz w:val="20"/>
                <w:szCs w:val="20"/>
                <w:lang w:eastAsia="en-AU"/>
              </w:rPr>
              <w:t>,</w:t>
            </w:r>
            <w:r w:rsidRPr="008B348A">
              <w:rPr>
                <w:rFonts w:ascii="Arial Narrow" w:hAnsi="Arial Narrow" w:cs="Arial Narrow"/>
                <w:sz w:val="20"/>
                <w:szCs w:val="20"/>
                <w:lang w:eastAsia="en-AU"/>
              </w:rPr>
              <w:t>151.9</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sz w:val="20"/>
                <w:szCs w:val="20"/>
                <w:lang w:eastAsia="en-AU"/>
              </w:rPr>
            </w:pPr>
            <w:r w:rsidRPr="008B348A">
              <w:rPr>
                <w:rFonts w:ascii="Arial Narrow" w:hAnsi="Arial Narrow" w:cs="Arial Narrow"/>
                <w:sz w:val="20"/>
                <w:szCs w:val="20"/>
                <w:lang w:eastAsia="en-AU"/>
              </w:rPr>
              <w:t>11.1</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sz w:val="20"/>
                <w:szCs w:val="20"/>
                <w:lang w:eastAsia="en-AU"/>
              </w:rPr>
            </w:pPr>
            <w:r w:rsidRPr="008B348A">
              <w:rPr>
                <w:rFonts w:ascii="Arial Narrow" w:hAnsi="Arial Narrow" w:cs="Arial Narrow"/>
                <w:sz w:val="20"/>
                <w:szCs w:val="20"/>
                <w:lang w:eastAsia="en-AU"/>
              </w:rPr>
              <w:t>91.37</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sz w:val="20"/>
                <w:szCs w:val="20"/>
                <w:lang w:eastAsia="en-AU"/>
              </w:rPr>
            </w:pPr>
            <w:r w:rsidRPr="008B348A">
              <w:rPr>
                <w:rFonts w:ascii="Arial Narrow" w:hAnsi="Arial Narrow" w:cs="Arial Narrow"/>
                <w:sz w:val="20"/>
                <w:szCs w:val="20"/>
                <w:lang w:eastAsia="en-AU"/>
              </w:rPr>
              <w:t>80.22</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8B348A">
              <w:rPr>
                <w:rFonts w:ascii="Arial Narrow" w:hAnsi="Arial Narrow" w:cs="Arial Narrow"/>
                <w:sz w:val="20"/>
                <w:szCs w:val="20"/>
                <w:lang w:eastAsia="en-AU"/>
              </w:rPr>
              <w:t>96.94</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sz w:val="20"/>
                <w:szCs w:val="20"/>
                <w:lang w:eastAsia="en-AU"/>
              </w:rPr>
            </w:pPr>
            <w:r w:rsidRPr="008B348A">
              <w:rPr>
                <w:rFonts w:ascii="Arial Narrow" w:hAnsi="Arial Narrow" w:cs="Arial Narrow"/>
                <w:sz w:val="20"/>
                <w:szCs w:val="20"/>
                <w:lang w:eastAsia="en-AU"/>
              </w:rPr>
              <w:t>&lt;0.0001</w:t>
            </w:r>
          </w:p>
        </w:tc>
      </w:tr>
      <w:tr w:rsidR="00863647" w:rsidRPr="008B348A" w:rsidTr="0003778A">
        <w:tc>
          <w:tcPr>
            <w:tcW w:w="1016"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left"/>
              <w:rPr>
                <w:rFonts w:ascii="Arial Narrow" w:hAnsi="Arial Narrow" w:cs="Arial Narrow"/>
                <w:b/>
                <w:sz w:val="20"/>
                <w:szCs w:val="20"/>
                <w:lang w:eastAsia="en-AU"/>
              </w:rPr>
            </w:pPr>
            <w:r w:rsidRPr="008B348A">
              <w:rPr>
                <w:rFonts w:ascii="Arial Narrow" w:hAnsi="Arial Narrow" w:cs="Arial Narrow"/>
                <w:b/>
                <w:sz w:val="20"/>
                <w:szCs w:val="20"/>
                <w:lang w:eastAsia="en-AU"/>
              </w:rPr>
              <w:t>≥70 years</w:t>
            </w:r>
          </w:p>
        </w:tc>
        <w:tc>
          <w:tcPr>
            <w:tcW w:w="572"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8</w:t>
            </w:r>
            <w:r w:rsidR="00367074">
              <w:rPr>
                <w:rFonts w:ascii="Arial Narrow" w:hAnsi="Arial Narrow" w:cs="Arial Narrow"/>
                <w:b/>
                <w:sz w:val="20"/>
                <w:szCs w:val="20"/>
                <w:lang w:eastAsia="en-AU"/>
              </w:rPr>
              <w:t>,</w:t>
            </w:r>
            <w:r w:rsidRPr="008B348A">
              <w:rPr>
                <w:rFonts w:ascii="Arial Narrow" w:hAnsi="Arial Narrow" w:cs="Arial Narrow"/>
                <w:b/>
                <w:sz w:val="20"/>
                <w:szCs w:val="20"/>
                <w:lang w:eastAsia="en-AU"/>
              </w:rPr>
              <w:t>250</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b/>
                <w:w w:val="99"/>
                <w:sz w:val="20"/>
                <w:szCs w:val="20"/>
                <w:lang w:eastAsia="en-AU"/>
              </w:rPr>
            </w:pPr>
            <w:r w:rsidRPr="008B348A">
              <w:rPr>
                <w:rFonts w:ascii="Arial Narrow" w:hAnsi="Arial Narrow" w:cs="Arial Narrow"/>
                <w:b/>
                <w:w w:val="99"/>
                <w:sz w:val="20"/>
                <w:szCs w:val="20"/>
                <w:lang w:eastAsia="en-AU"/>
              </w:rPr>
              <w:t>25</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30</w:t>
            </w:r>
            <w:r w:rsidR="00367074">
              <w:rPr>
                <w:rFonts w:ascii="Arial Narrow" w:hAnsi="Arial Narrow" w:cs="Arial Narrow"/>
                <w:b/>
                <w:sz w:val="20"/>
                <w:szCs w:val="20"/>
                <w:lang w:eastAsia="en-AU"/>
              </w:rPr>
              <w:t>,</w:t>
            </w:r>
            <w:r w:rsidRPr="008B348A">
              <w:rPr>
                <w:rFonts w:ascii="Arial Narrow" w:hAnsi="Arial Narrow" w:cs="Arial Narrow"/>
                <w:b/>
                <w:sz w:val="20"/>
                <w:szCs w:val="20"/>
                <w:lang w:eastAsia="en-AU"/>
              </w:rPr>
              <w:t>725.5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320"/>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0.8</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5"/>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8</w:t>
            </w:r>
            <w:r w:rsidR="00367074">
              <w:rPr>
                <w:rFonts w:ascii="Arial Narrow" w:hAnsi="Arial Narrow" w:cs="Arial Narrow"/>
                <w:b/>
                <w:sz w:val="20"/>
                <w:szCs w:val="20"/>
                <w:lang w:eastAsia="en-AU"/>
              </w:rPr>
              <w:t>,</w:t>
            </w:r>
            <w:r w:rsidRPr="008B348A">
              <w:rPr>
                <w:rFonts w:ascii="Arial Narrow" w:hAnsi="Arial Narrow" w:cs="Arial Narrow"/>
                <w:b/>
                <w:sz w:val="20"/>
                <w:szCs w:val="20"/>
                <w:lang w:eastAsia="en-AU"/>
              </w:rPr>
              <w:t>346</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71"/>
              <w:jc w:val="center"/>
              <w:rPr>
                <w:rFonts w:ascii="Arial Narrow" w:hAnsi="Arial Narrow" w:cs="Arial Narrow"/>
                <w:b/>
                <w:w w:val="95"/>
                <w:sz w:val="20"/>
                <w:szCs w:val="20"/>
                <w:lang w:eastAsia="en-AU"/>
              </w:rPr>
            </w:pPr>
            <w:r w:rsidRPr="008B348A">
              <w:rPr>
                <w:rFonts w:ascii="Arial Narrow" w:hAnsi="Arial Narrow" w:cs="Arial Narrow"/>
                <w:b/>
                <w:w w:val="95"/>
                <w:sz w:val="20"/>
                <w:szCs w:val="20"/>
                <w:lang w:eastAsia="en-AU"/>
              </w:rPr>
              <w:t>284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30</w:t>
            </w:r>
            <w:r w:rsidR="00367074">
              <w:rPr>
                <w:rFonts w:ascii="Arial Narrow" w:hAnsi="Arial Narrow" w:cs="Arial Narrow"/>
                <w:b/>
                <w:sz w:val="20"/>
                <w:szCs w:val="20"/>
                <w:lang w:eastAsia="en-AU"/>
              </w:rPr>
              <w:t>,</w:t>
            </w:r>
            <w:r w:rsidRPr="008B348A">
              <w:rPr>
                <w:rFonts w:ascii="Arial Narrow" w:hAnsi="Arial Narrow" w:cs="Arial Narrow"/>
                <w:b/>
                <w:sz w:val="20"/>
                <w:szCs w:val="20"/>
                <w:lang w:eastAsia="en-AU"/>
              </w:rPr>
              <w:t>414.7</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ind w:right="238"/>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9.3</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7"/>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91.30</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69"/>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86.88</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8B348A" w:rsidRDefault="008D7D4C" w:rsidP="00401937">
            <w:pPr>
              <w:kinsoku w:val="0"/>
              <w:overflowPunct w:val="0"/>
              <w:autoSpaceDE w:val="0"/>
              <w:autoSpaceDN w:val="0"/>
              <w:adjustRightInd w:val="0"/>
              <w:spacing w:line="224" w:lineRule="exact"/>
              <w:ind w:right="27"/>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94.46</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D7D4C" w:rsidRPr="008B348A" w:rsidRDefault="008D7D4C" w:rsidP="00401937">
            <w:pPr>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8B348A">
              <w:rPr>
                <w:rFonts w:ascii="Arial Narrow" w:hAnsi="Arial Narrow" w:cs="Arial Narrow"/>
                <w:b/>
                <w:sz w:val="20"/>
                <w:szCs w:val="20"/>
                <w:lang w:eastAsia="en-AU"/>
              </w:rPr>
              <w:t>&lt;0.0001</w:t>
            </w:r>
          </w:p>
        </w:tc>
      </w:tr>
    </w:tbl>
    <w:p w:rsidR="008D7D4C" w:rsidRPr="008B348A" w:rsidRDefault="00367074" w:rsidP="008D7D4C">
      <w:pPr>
        <w:pStyle w:val="TableFooter"/>
      </w:pPr>
      <w:r>
        <w:t>CI: confidence interval; HZ: herpes zoster; HZ/</w:t>
      </w:r>
      <w:proofErr w:type="spellStart"/>
      <w:r>
        <w:t>su</w:t>
      </w:r>
      <w:proofErr w:type="spellEnd"/>
      <w:r>
        <w:t xml:space="preserve">: recombinant varicella zoster vaccine; </w:t>
      </w:r>
      <w:proofErr w:type="spellStart"/>
      <w:r w:rsidR="0006591F">
        <w:t>mTVC</w:t>
      </w:r>
      <w:proofErr w:type="spellEnd"/>
      <w:r w:rsidR="0006591F">
        <w:t xml:space="preserve">: modified total vaccine cohort; </w:t>
      </w:r>
      <w:r w:rsidR="008D7D4C" w:rsidRPr="008B348A">
        <w:t>N</w:t>
      </w:r>
      <w:r w:rsidR="001D720F" w:rsidRPr="008B348A">
        <w:t>:</w:t>
      </w:r>
      <w:r w:rsidR="008D7D4C" w:rsidRPr="008B348A">
        <w:t xml:space="preserve"> number of subjects included in each group; n</w:t>
      </w:r>
      <w:r w:rsidR="001D720F" w:rsidRPr="008B348A">
        <w:t>:</w:t>
      </w:r>
      <w:r w:rsidR="008D7D4C" w:rsidRPr="008B348A">
        <w:t xml:space="preserve"> number of subjects having at least one HZ confirmed case; T (year)</w:t>
      </w:r>
      <w:r w:rsidR="001D720F" w:rsidRPr="008B348A">
        <w:t>:</w:t>
      </w:r>
      <w:r w:rsidR="008D7D4C" w:rsidRPr="008B348A">
        <w:t xml:space="preserve"> sum of follow-up period (censored at the first occurrence of a HZ confirmed case) expressed in years; n/T (per 1000</w:t>
      </w:r>
      <w:r w:rsidR="0055584E" w:rsidRPr="008B348A">
        <w:t>)</w:t>
      </w:r>
      <w:r>
        <w:t>: i</w:t>
      </w:r>
      <w:r w:rsidR="008D7D4C" w:rsidRPr="008B348A">
        <w:t>ncidence rate of subjects reporting at least one event; VE</w:t>
      </w:r>
      <w:r w:rsidR="001D720F" w:rsidRPr="008B348A">
        <w:t>:</w:t>
      </w:r>
      <w:r w:rsidR="008D7D4C" w:rsidRPr="008B348A">
        <w:t xml:space="preserve"> </w:t>
      </w:r>
      <w:r>
        <w:t>v</w:t>
      </w:r>
      <w:r w:rsidR="008D7D4C" w:rsidRPr="008B348A">
        <w:t xml:space="preserve">accine </w:t>
      </w:r>
      <w:r>
        <w:t>e</w:t>
      </w:r>
      <w:r w:rsidR="008D7D4C" w:rsidRPr="008B348A">
        <w:t>fficacy (Poisson method)</w:t>
      </w:r>
    </w:p>
    <w:p w:rsidR="008D7D4C" w:rsidRPr="008B348A" w:rsidRDefault="008D7D4C" w:rsidP="008D7D4C">
      <w:pPr>
        <w:pStyle w:val="TableFooter"/>
      </w:pPr>
      <w:r w:rsidRPr="008B348A">
        <w:t xml:space="preserve">+The modified vaccinated cohort excluded participants who did not receive the second dose of vaccine or who received a confirmed diagnosis of herpes zoster within 1 month after the second dose. </w:t>
      </w:r>
    </w:p>
    <w:p w:rsidR="008D7D4C" w:rsidRPr="008B348A" w:rsidRDefault="008D7D4C" w:rsidP="008D7D4C">
      <w:pPr>
        <w:pStyle w:val="TableFooter"/>
      </w:pPr>
      <w:r w:rsidRPr="008B348A">
        <w:t>*Vaccine efficacy in each age group was adjusted for region. Overall vaccine efficacy was adjusted for age group and region.</w:t>
      </w:r>
    </w:p>
    <w:p w:rsidR="008D7D4C" w:rsidRDefault="008D7D4C" w:rsidP="008D7D4C">
      <w:pPr>
        <w:pStyle w:val="TableFooter"/>
      </w:pPr>
      <w:r w:rsidRPr="008B348A">
        <w:t>Source: Table 22 and 23 of the submission</w:t>
      </w:r>
      <w:r w:rsidR="00783954">
        <w:t>.</w:t>
      </w:r>
    </w:p>
    <w:p w:rsidR="00E92F71" w:rsidRPr="008B348A" w:rsidRDefault="00E92F71" w:rsidP="008D7D4C">
      <w:pPr>
        <w:pStyle w:val="TableFooter"/>
      </w:pPr>
    </w:p>
    <w:p w:rsidR="009D4976" w:rsidRDefault="009D4976" w:rsidP="00ED2457">
      <w:pPr>
        <w:pStyle w:val="ListParagraph"/>
        <w:widowControl/>
        <w:numPr>
          <w:ilvl w:val="1"/>
          <w:numId w:val="2"/>
        </w:numPr>
      </w:pPr>
      <w:r w:rsidRPr="0086667F">
        <w:rPr>
          <w:rFonts w:cs="Calibri"/>
          <w:snapToGrid/>
          <w:szCs w:val="24"/>
          <w:lang w:eastAsia="en-AU"/>
        </w:rPr>
        <w:t>The HZ/</w:t>
      </w:r>
      <w:proofErr w:type="spellStart"/>
      <w:r w:rsidRPr="0086667F">
        <w:rPr>
          <w:rFonts w:cs="Calibri"/>
          <w:snapToGrid/>
          <w:szCs w:val="24"/>
          <w:lang w:eastAsia="en-AU"/>
        </w:rPr>
        <w:t>su</w:t>
      </w:r>
      <w:proofErr w:type="spellEnd"/>
      <w:r w:rsidRPr="0086667F">
        <w:rPr>
          <w:rFonts w:cs="Calibri"/>
          <w:snapToGrid/>
          <w:szCs w:val="24"/>
          <w:lang w:eastAsia="en-AU"/>
        </w:rPr>
        <w:t xml:space="preserve"> vaccine resulted in a statistically significant reduction in HZ cases across all age groups and the lower 95% confidence intervals </w:t>
      </w:r>
      <w:r w:rsidR="00253EE8">
        <w:rPr>
          <w:rFonts w:cs="Calibri"/>
          <w:snapToGrid/>
          <w:szCs w:val="24"/>
          <w:lang w:eastAsia="en-AU"/>
        </w:rPr>
        <w:t xml:space="preserve">(CI) </w:t>
      </w:r>
      <w:r w:rsidRPr="0086667F">
        <w:rPr>
          <w:rFonts w:cs="Calibri"/>
          <w:snapToGrid/>
          <w:szCs w:val="24"/>
          <w:lang w:eastAsia="en-AU"/>
        </w:rPr>
        <w:t xml:space="preserve">for </w:t>
      </w:r>
      <w:r w:rsidRPr="0086667F">
        <w:t>VE</w:t>
      </w:r>
      <w:r w:rsidRPr="0086667F">
        <w:rPr>
          <w:vertAlign w:val="subscript"/>
        </w:rPr>
        <w:t>HZ</w:t>
      </w:r>
      <w:r w:rsidRPr="0086667F">
        <w:rPr>
          <w:rFonts w:cs="Calibri"/>
          <w:snapToGrid/>
          <w:szCs w:val="24"/>
          <w:lang w:eastAsia="en-AU"/>
        </w:rPr>
        <w:t xml:space="preserve"> were all above 10%, which was the pre-defined minimum clinically important difference</w:t>
      </w:r>
      <w:r w:rsidR="00253EE8">
        <w:rPr>
          <w:rFonts w:cs="Calibri"/>
          <w:snapToGrid/>
          <w:szCs w:val="24"/>
          <w:lang w:eastAsia="en-AU"/>
        </w:rPr>
        <w:t xml:space="preserve"> (MCID)</w:t>
      </w:r>
      <w:r w:rsidRPr="0086667F">
        <w:rPr>
          <w:rFonts w:cs="Calibri"/>
          <w:snapToGrid/>
          <w:szCs w:val="24"/>
          <w:lang w:eastAsia="en-AU"/>
        </w:rPr>
        <w:t xml:space="preserve">. </w:t>
      </w:r>
      <w:r w:rsidRPr="0086667F">
        <w:t>VE</w:t>
      </w:r>
      <w:r w:rsidRPr="0086667F">
        <w:rPr>
          <w:vertAlign w:val="subscript"/>
        </w:rPr>
        <w:t>HZ</w:t>
      </w:r>
      <w:r w:rsidRPr="0086667F">
        <w:t xml:space="preserve"> was similar across age groups and the 95% </w:t>
      </w:r>
      <w:r w:rsidR="00253EE8">
        <w:t>CIs</w:t>
      </w:r>
      <w:r w:rsidRPr="0086667F">
        <w:t xml:space="preserve"> overlapped.</w:t>
      </w:r>
    </w:p>
    <w:p w:rsidR="0032466A" w:rsidRPr="0098559C" w:rsidRDefault="009D7264" w:rsidP="00ED2457">
      <w:pPr>
        <w:pStyle w:val="ListParagraph"/>
        <w:widowControl/>
        <w:numPr>
          <w:ilvl w:val="1"/>
          <w:numId w:val="2"/>
        </w:numPr>
      </w:pPr>
      <w:r>
        <w:t xml:space="preserve">Table </w:t>
      </w:r>
      <w:r w:rsidR="00DF7A69">
        <w:t>6</w:t>
      </w:r>
      <w:r>
        <w:t xml:space="preserve"> </w:t>
      </w:r>
      <w:r w:rsidR="0032466A">
        <w:t>present</w:t>
      </w:r>
      <w:r>
        <w:t>s</w:t>
      </w:r>
      <w:r w:rsidR="0032466A">
        <w:t xml:space="preserve"> vaccine efficacy for the </w:t>
      </w:r>
      <w:r>
        <w:t>TVC population</w:t>
      </w:r>
      <w:r w:rsidR="0032466A">
        <w:t xml:space="preserve">, which included those </w:t>
      </w:r>
      <w:r w:rsidR="00D12E83">
        <w:t xml:space="preserve">individuals who </w:t>
      </w:r>
      <w:r w:rsidR="0032466A">
        <w:t>had received one vaccination only.</w:t>
      </w:r>
      <w:r>
        <w:t xml:space="preserve"> </w:t>
      </w:r>
    </w:p>
    <w:p w:rsidR="009D7264" w:rsidRPr="009D7264" w:rsidRDefault="009D7264" w:rsidP="00D12E83">
      <w:pPr>
        <w:pStyle w:val="TableHeadingCA"/>
        <w:keepNext/>
        <w:jc w:val="left"/>
        <w:rPr>
          <w:b w:val="0"/>
        </w:rPr>
      </w:pPr>
      <w:r w:rsidRPr="009D7264">
        <w:t xml:space="preserve">Table </w:t>
      </w:r>
      <w:r w:rsidR="00DF7A69">
        <w:t>6</w:t>
      </w:r>
      <w:r w:rsidRPr="009D7264">
        <w:t xml:space="preserve">: </w:t>
      </w:r>
      <w:r w:rsidRPr="009D7264">
        <w:rPr>
          <w:rStyle w:val="CommentReference"/>
          <w:b/>
        </w:rPr>
        <w:t>Results of vaccine efficacy against HZ cases (first or only episode) across the trials (TVC)</w:t>
      </w:r>
    </w:p>
    <w:tbl>
      <w:tblPr>
        <w:tblW w:w="5000" w:type="pct"/>
        <w:tblLayout w:type="fixed"/>
        <w:tblCellMar>
          <w:left w:w="0" w:type="dxa"/>
          <w:right w:w="0" w:type="dxa"/>
        </w:tblCellMar>
        <w:tblLook w:val="0000" w:firstRow="0" w:lastRow="0" w:firstColumn="0" w:lastColumn="0" w:noHBand="0" w:noVBand="0"/>
      </w:tblPr>
      <w:tblGrid>
        <w:gridCol w:w="1138"/>
        <w:gridCol w:w="577"/>
        <w:gridCol w:w="578"/>
        <w:gridCol w:w="713"/>
        <w:gridCol w:w="859"/>
        <w:gridCol w:w="576"/>
        <w:gridCol w:w="475"/>
        <w:gridCol w:w="709"/>
        <w:gridCol w:w="805"/>
        <w:gridCol w:w="576"/>
        <w:gridCol w:w="720"/>
        <w:gridCol w:w="605"/>
        <w:gridCol w:w="693"/>
      </w:tblGrid>
      <w:tr w:rsidR="00C107E7" w:rsidRPr="00F50661" w:rsidTr="00C107E7">
        <w:trPr>
          <w:trHeight w:val="238"/>
        </w:trPr>
        <w:tc>
          <w:tcPr>
            <w:tcW w:w="631" w:type="pct"/>
            <w:vMerge w:val="restart"/>
            <w:tcBorders>
              <w:top w:val="single" w:sz="2" w:space="0" w:color="000000"/>
              <w:left w:val="single" w:sz="2" w:space="0" w:color="000000"/>
              <w:right w:val="single" w:sz="2" w:space="0" w:color="000000"/>
            </w:tcBorders>
            <w:shd w:val="clear" w:color="auto" w:fill="auto"/>
          </w:tcPr>
          <w:p w:rsidR="009D7264" w:rsidRPr="009D7264" w:rsidRDefault="009D7264" w:rsidP="00D12E83">
            <w:pPr>
              <w:keepNext/>
              <w:kinsoku w:val="0"/>
              <w:overflowPunct w:val="0"/>
              <w:autoSpaceDE w:val="0"/>
              <w:autoSpaceDN w:val="0"/>
              <w:adjustRightInd w:val="0"/>
              <w:spacing w:line="224" w:lineRule="exact"/>
              <w:jc w:val="center"/>
              <w:rPr>
                <w:sz w:val="20"/>
                <w:szCs w:val="20"/>
              </w:rPr>
            </w:pPr>
            <w:r w:rsidRPr="00434E82">
              <w:rPr>
                <w:rFonts w:ascii="Arial Narrow" w:hAnsi="Arial Narrow" w:cs="Arial Narrow"/>
                <w:b/>
                <w:bCs/>
                <w:sz w:val="20"/>
              </w:rPr>
              <w:t xml:space="preserve">Age </w:t>
            </w:r>
            <w:r>
              <w:rPr>
                <w:rFonts w:ascii="Arial Narrow" w:hAnsi="Arial Narrow" w:cs="Arial Narrow"/>
                <w:b/>
                <w:bCs/>
                <w:sz w:val="20"/>
              </w:rPr>
              <w:t>strata</w:t>
            </w:r>
          </w:p>
        </w:tc>
        <w:tc>
          <w:tcPr>
            <w:tcW w:w="1510" w:type="pct"/>
            <w:gridSpan w:val="4"/>
            <w:tcBorders>
              <w:top w:val="single" w:sz="2" w:space="0" w:color="000000"/>
              <w:left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b/>
                <w:sz w:val="20"/>
              </w:rPr>
            </w:pPr>
            <w:r>
              <w:rPr>
                <w:rFonts w:ascii="Arial Narrow" w:eastAsia="Calibri" w:hAnsi="Arial Narrow" w:cs="Arial Narrow"/>
                <w:b/>
                <w:bCs/>
                <w:sz w:val="20"/>
              </w:rPr>
              <w:t>HZ/</w:t>
            </w:r>
            <w:proofErr w:type="spellStart"/>
            <w:r>
              <w:rPr>
                <w:rFonts w:ascii="Arial Narrow" w:eastAsia="Calibri" w:hAnsi="Arial Narrow" w:cs="Arial Narrow"/>
                <w:b/>
                <w:bCs/>
                <w:sz w:val="20"/>
              </w:rPr>
              <w:t>su</w:t>
            </w:r>
            <w:proofErr w:type="spellEnd"/>
            <w:r>
              <w:rPr>
                <w:rFonts w:ascii="Arial Narrow" w:eastAsia="Calibri" w:hAnsi="Arial Narrow" w:cs="Arial Narrow"/>
                <w:b/>
                <w:bCs/>
                <w:sz w:val="20"/>
              </w:rPr>
              <w:t xml:space="preserve"> vaccine</w:t>
            </w:r>
          </w:p>
        </w:tc>
        <w:tc>
          <w:tcPr>
            <w:tcW w:w="1420" w:type="pct"/>
            <w:gridSpan w:val="4"/>
            <w:tcBorders>
              <w:top w:val="single" w:sz="2" w:space="0" w:color="000000"/>
              <w:left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22"/>
              <w:jc w:val="center"/>
              <w:rPr>
                <w:rFonts w:ascii="Arial Narrow" w:hAnsi="Arial Narrow"/>
                <w:sz w:val="20"/>
              </w:rPr>
            </w:pPr>
            <w:r w:rsidRPr="00434E82">
              <w:rPr>
                <w:rFonts w:ascii="Arial Narrow" w:hAnsi="Arial Narrow" w:cs="Arial Narrow"/>
                <w:b/>
                <w:bCs/>
                <w:sz w:val="20"/>
              </w:rPr>
              <w:t>Placebo</w:t>
            </w:r>
          </w:p>
        </w:tc>
        <w:tc>
          <w:tcPr>
            <w:tcW w:w="1052" w:type="pct"/>
            <w:gridSpan w:val="3"/>
            <w:tcBorders>
              <w:top w:val="single" w:sz="2" w:space="0" w:color="000000"/>
              <w:left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sz w:val="20"/>
              </w:rPr>
              <w:t>VE</w:t>
            </w:r>
            <w:r w:rsidRPr="0003778A">
              <w:rPr>
                <w:rFonts w:ascii="Arial Narrow" w:hAnsi="Arial Narrow" w:cs="Arial Narrow"/>
                <w:b/>
                <w:bCs/>
                <w:sz w:val="20"/>
                <w:vertAlign w:val="subscript"/>
              </w:rPr>
              <w:t>HZ</w:t>
            </w:r>
            <w:r w:rsidRPr="00434E82">
              <w:rPr>
                <w:rFonts w:ascii="Arial Narrow" w:hAnsi="Arial Narrow" w:cs="Arial Narrow"/>
                <w:b/>
                <w:bCs/>
                <w:sz w:val="20"/>
              </w:rPr>
              <w:t>*</w:t>
            </w:r>
          </w:p>
        </w:tc>
        <w:tc>
          <w:tcPr>
            <w:tcW w:w="387" w:type="pct"/>
            <w:vMerge w:val="restart"/>
            <w:tcBorders>
              <w:top w:val="single" w:sz="2" w:space="0" w:color="000000"/>
              <w:left w:val="single" w:sz="2" w:space="0" w:color="000000"/>
              <w:right w:val="single" w:sz="2" w:space="0" w:color="000000"/>
            </w:tcBorders>
            <w:shd w:val="clear" w:color="auto" w:fill="auto"/>
            <w:vAlign w:val="center"/>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sz w:val="20"/>
              </w:rPr>
              <w:t>p-value</w:t>
            </w:r>
          </w:p>
        </w:tc>
      </w:tr>
      <w:tr w:rsidR="00C107E7" w:rsidRPr="00F50661" w:rsidTr="00C107E7">
        <w:trPr>
          <w:trHeight w:hRule="exact" w:val="463"/>
        </w:trPr>
        <w:tc>
          <w:tcPr>
            <w:tcW w:w="631" w:type="pct"/>
            <w:vMerge/>
            <w:tcBorders>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w w:val="99"/>
                <w:sz w:val="20"/>
              </w:rPr>
              <w:t>N</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w w:val="99"/>
                <w:sz w:val="20"/>
              </w:rPr>
              <w:t>n</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sz w:val="20"/>
              </w:rPr>
              <w:t>T</w:t>
            </w:r>
            <w:r>
              <w:rPr>
                <w:rFonts w:ascii="Arial Narrow" w:hAnsi="Arial Narrow" w:cs="Arial Narrow"/>
                <w:b/>
                <w:bCs/>
                <w:sz w:val="20"/>
              </w:rPr>
              <w:t xml:space="preserve"> </w:t>
            </w:r>
            <w:r w:rsidR="00C107E7">
              <w:rPr>
                <w:rFonts w:ascii="Arial Narrow" w:hAnsi="Arial Narrow" w:cs="Arial Narrow"/>
                <w:b/>
                <w:bCs/>
                <w:sz w:val="20"/>
              </w:rPr>
              <w:br/>
            </w:r>
            <w:r w:rsidRPr="00434E82">
              <w:rPr>
                <w:rFonts w:ascii="Arial Narrow" w:hAnsi="Arial Narrow" w:cs="Arial Narrow"/>
                <w:b/>
                <w:bCs/>
                <w:sz w:val="20"/>
              </w:rPr>
              <w:t>(year)</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ind w:right="47"/>
              <w:jc w:val="center"/>
              <w:rPr>
                <w:rFonts w:ascii="Arial Narrow" w:hAnsi="Arial Narrow"/>
                <w:sz w:val="20"/>
              </w:rPr>
            </w:pPr>
            <w:r w:rsidRPr="00434E82">
              <w:rPr>
                <w:rFonts w:ascii="Arial Narrow" w:hAnsi="Arial Narrow" w:cs="Arial Narrow"/>
                <w:b/>
                <w:bCs/>
                <w:sz w:val="20"/>
              </w:rPr>
              <w:t xml:space="preserve">n/T </w:t>
            </w:r>
            <w:r w:rsidR="00C107E7">
              <w:rPr>
                <w:rFonts w:ascii="Arial Narrow" w:hAnsi="Arial Narrow" w:cs="Arial Narrow"/>
                <w:b/>
                <w:bCs/>
                <w:sz w:val="20"/>
              </w:rPr>
              <w:br/>
            </w:r>
            <w:r w:rsidRPr="00434E82">
              <w:rPr>
                <w:rFonts w:ascii="Arial Narrow" w:hAnsi="Arial Narrow" w:cs="Arial Narrow"/>
                <w:b/>
                <w:bCs/>
                <w:sz w:val="20"/>
              </w:rPr>
              <w:t>(per 1000)</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2"/>
              <w:jc w:val="center"/>
              <w:rPr>
                <w:rFonts w:ascii="Arial Narrow" w:hAnsi="Arial Narrow"/>
                <w:sz w:val="20"/>
              </w:rPr>
            </w:pPr>
            <w:r w:rsidRPr="00434E82">
              <w:rPr>
                <w:rFonts w:ascii="Arial Narrow" w:hAnsi="Arial Narrow" w:cs="Arial Narrow"/>
                <w:b/>
                <w:bCs/>
                <w:w w:val="99"/>
                <w:sz w:val="20"/>
              </w:rPr>
              <w:t>N</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1"/>
              <w:jc w:val="center"/>
              <w:rPr>
                <w:rFonts w:ascii="Arial Narrow" w:hAnsi="Arial Narrow"/>
                <w:sz w:val="20"/>
              </w:rPr>
            </w:pPr>
            <w:r w:rsidRPr="00434E82">
              <w:rPr>
                <w:rFonts w:ascii="Arial Narrow" w:hAnsi="Arial Narrow" w:cs="Arial Narrow"/>
                <w:b/>
                <w:bCs/>
                <w:w w:val="99"/>
                <w:sz w:val="20"/>
              </w:rPr>
              <w:t>n</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r w:rsidRPr="00434E82">
              <w:rPr>
                <w:rFonts w:ascii="Arial Narrow" w:hAnsi="Arial Narrow" w:cs="Arial Narrow"/>
                <w:b/>
                <w:bCs/>
                <w:sz w:val="20"/>
              </w:rPr>
              <w:t>T</w:t>
            </w:r>
            <w:r>
              <w:rPr>
                <w:rFonts w:ascii="Arial Narrow" w:hAnsi="Arial Narrow" w:cs="Arial Narrow"/>
                <w:b/>
                <w:bCs/>
                <w:sz w:val="20"/>
              </w:rPr>
              <w:t xml:space="preserve"> </w:t>
            </w:r>
            <w:r w:rsidR="00C107E7">
              <w:rPr>
                <w:rFonts w:ascii="Arial Narrow" w:hAnsi="Arial Narrow" w:cs="Arial Narrow"/>
                <w:b/>
                <w:bCs/>
                <w:sz w:val="20"/>
              </w:rPr>
              <w:br/>
            </w:r>
            <w:r w:rsidRPr="00434E82">
              <w:rPr>
                <w:rFonts w:ascii="Arial Narrow" w:hAnsi="Arial Narrow" w:cs="Arial Narrow"/>
                <w:b/>
                <w:bCs/>
                <w:sz w:val="20"/>
              </w:rPr>
              <w:t>(year)</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ind w:right="12"/>
              <w:jc w:val="center"/>
              <w:rPr>
                <w:rFonts w:ascii="Arial Narrow" w:hAnsi="Arial Narrow"/>
                <w:sz w:val="20"/>
              </w:rPr>
            </w:pPr>
            <w:r w:rsidRPr="00434E82">
              <w:rPr>
                <w:rFonts w:ascii="Arial Narrow" w:hAnsi="Arial Narrow" w:cs="Arial Narrow"/>
                <w:b/>
                <w:bCs/>
                <w:sz w:val="20"/>
              </w:rPr>
              <w:t xml:space="preserve">n/T </w:t>
            </w:r>
            <w:r w:rsidR="00C107E7">
              <w:rPr>
                <w:rFonts w:ascii="Arial Narrow" w:hAnsi="Arial Narrow" w:cs="Arial Narrow"/>
                <w:b/>
                <w:bCs/>
                <w:sz w:val="20"/>
              </w:rPr>
              <w:br/>
            </w:r>
            <w:r w:rsidRPr="00434E82">
              <w:rPr>
                <w:rFonts w:ascii="Arial Narrow" w:hAnsi="Arial Narrow" w:cs="Arial Narrow"/>
                <w:b/>
                <w:bCs/>
                <w:sz w:val="20"/>
              </w:rPr>
              <w:t>(per 1000)</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5"/>
              <w:jc w:val="center"/>
              <w:rPr>
                <w:rFonts w:ascii="Arial Narrow" w:hAnsi="Arial Narrow"/>
                <w:sz w:val="20"/>
              </w:rPr>
            </w:pPr>
            <w:r w:rsidRPr="00434E82">
              <w:rPr>
                <w:rFonts w:ascii="Arial Narrow" w:hAnsi="Arial Narrow" w:cs="Arial Narrow"/>
                <w:b/>
                <w:bCs/>
                <w:sz w:val="20"/>
              </w:rPr>
              <w:t>%</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71"/>
              <w:jc w:val="center"/>
              <w:rPr>
                <w:rFonts w:ascii="Arial Narrow" w:hAnsi="Arial Narrow"/>
                <w:sz w:val="20"/>
              </w:rPr>
            </w:pPr>
            <w:r w:rsidRPr="00434E82">
              <w:rPr>
                <w:rFonts w:ascii="Arial Narrow" w:hAnsi="Arial Narrow" w:cs="Arial Narrow"/>
                <w:b/>
                <w:bCs/>
                <w:sz w:val="20"/>
              </w:rPr>
              <w:t>L</w:t>
            </w:r>
            <w:r>
              <w:rPr>
                <w:rFonts w:ascii="Arial Narrow" w:hAnsi="Arial Narrow" w:cs="Arial Narrow"/>
                <w:b/>
                <w:bCs/>
                <w:sz w:val="20"/>
              </w:rPr>
              <w:t xml:space="preserve">ower </w:t>
            </w:r>
            <w:r>
              <w:rPr>
                <w:rFonts w:ascii="Arial Narrow" w:hAnsi="Arial Narrow" w:cs="Arial Narrow"/>
                <w:b/>
                <w:bCs/>
                <w:sz w:val="20"/>
              </w:rPr>
              <w:br/>
              <w:t>95% CI</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ind w:right="27"/>
              <w:jc w:val="center"/>
              <w:rPr>
                <w:rFonts w:ascii="Arial Narrow" w:hAnsi="Arial Narrow"/>
                <w:sz w:val="20"/>
              </w:rPr>
            </w:pPr>
            <w:r w:rsidRPr="00434E82">
              <w:rPr>
                <w:rFonts w:ascii="Arial Narrow" w:hAnsi="Arial Narrow" w:cs="Arial Narrow"/>
                <w:b/>
                <w:bCs/>
                <w:sz w:val="20"/>
              </w:rPr>
              <w:t>U</w:t>
            </w:r>
            <w:r>
              <w:rPr>
                <w:rFonts w:ascii="Arial Narrow" w:hAnsi="Arial Narrow" w:cs="Arial Narrow"/>
                <w:b/>
                <w:bCs/>
                <w:sz w:val="20"/>
              </w:rPr>
              <w:t>pper 95% CI</w:t>
            </w:r>
          </w:p>
        </w:tc>
        <w:tc>
          <w:tcPr>
            <w:tcW w:w="387" w:type="pct"/>
            <w:vMerge/>
            <w:tcBorders>
              <w:left w:val="single" w:sz="2" w:space="0" w:color="000000"/>
              <w:bottom w:val="single" w:sz="2" w:space="0" w:color="000000"/>
              <w:right w:val="single" w:sz="2" w:space="0" w:color="000000"/>
            </w:tcBorders>
            <w:shd w:val="clear" w:color="auto" w:fill="auto"/>
          </w:tcPr>
          <w:p w:rsidR="009D7264" w:rsidRPr="00434E82" w:rsidRDefault="009D7264" w:rsidP="00D12E83">
            <w:pPr>
              <w:keepNext/>
              <w:kinsoku w:val="0"/>
              <w:overflowPunct w:val="0"/>
              <w:autoSpaceDE w:val="0"/>
              <w:autoSpaceDN w:val="0"/>
              <w:adjustRightInd w:val="0"/>
              <w:spacing w:line="224" w:lineRule="exact"/>
              <w:jc w:val="center"/>
              <w:rPr>
                <w:rFonts w:ascii="Arial Narrow" w:hAnsi="Arial Narrow"/>
                <w:sz w:val="20"/>
              </w:rPr>
            </w:pPr>
          </w:p>
        </w:tc>
      </w:tr>
      <w:tr w:rsidR="0032466A" w:rsidRPr="0032466A" w:rsidTr="009D7264">
        <w:trPr>
          <w:trHeight w:hRule="exact" w:val="235"/>
        </w:trPr>
        <w:tc>
          <w:tcPr>
            <w:tcW w:w="5000" w:type="pct"/>
            <w:gridSpan w:val="13"/>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rPr>
                <w:rFonts w:ascii="Arial Narrow" w:hAnsi="Arial Narrow" w:cs="Arial Narrow"/>
                <w:b/>
                <w:sz w:val="20"/>
              </w:rPr>
            </w:pPr>
            <w:r w:rsidRPr="0032466A">
              <w:rPr>
                <w:rFonts w:ascii="Arial Narrow" w:hAnsi="Arial Narrow" w:cs="Arial Narrow"/>
                <w:b/>
                <w:sz w:val="20"/>
              </w:rPr>
              <w:t>ZOE-50</w:t>
            </w:r>
          </w:p>
        </w:tc>
      </w:tr>
      <w:tr w:rsidR="00C107E7" w:rsidRPr="00F50661" w:rsidTr="00C107E7">
        <w:trPr>
          <w:trHeight w:hRule="exact" w:val="235"/>
        </w:trPr>
        <w:tc>
          <w:tcPr>
            <w:tcW w:w="631"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7" w:lineRule="exact"/>
              <w:rPr>
                <w:rFonts w:ascii="Arial Narrow" w:hAnsi="Arial Narrow"/>
                <w:sz w:val="20"/>
              </w:rPr>
            </w:pPr>
            <w:r w:rsidRPr="00434E82">
              <w:rPr>
                <w:rFonts w:ascii="Arial Narrow" w:hAnsi="Arial Narrow" w:cs="Arial Narrow"/>
                <w:sz w:val="20"/>
              </w:rPr>
              <w:t xml:space="preserve">50-59 </w:t>
            </w:r>
            <w:r>
              <w:rPr>
                <w:rFonts w:ascii="Arial Narrow" w:hAnsi="Arial Narrow" w:cs="Arial Narrow"/>
                <w:sz w:val="20"/>
              </w:rPr>
              <w:t>years</w:t>
            </w:r>
            <w:r w:rsidRPr="00434E82">
              <w:rPr>
                <w:rFonts w:ascii="Arial Narrow" w:hAnsi="Arial Narrow" w:cs="Arial Narrow"/>
                <w:sz w:val="20"/>
              </w:rPr>
              <w:t xml:space="preserve"> </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3</w:t>
            </w:r>
            <w:r>
              <w:rPr>
                <w:rFonts w:ascii="Arial Narrow" w:hAnsi="Arial Narrow" w:cs="Arial Narrow"/>
                <w:sz w:val="20"/>
              </w:rPr>
              <w:t>,</w:t>
            </w:r>
            <w:r w:rsidRPr="00434E82">
              <w:rPr>
                <w:rFonts w:ascii="Arial Narrow" w:hAnsi="Arial Narrow" w:cs="Arial Narrow"/>
                <w:sz w:val="20"/>
              </w:rPr>
              <w:t>644</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4</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14</w:t>
            </w:r>
            <w:r w:rsidR="00863647">
              <w:rPr>
                <w:rFonts w:ascii="Arial Narrow" w:hAnsi="Arial Narrow" w:cs="Arial Narrow"/>
                <w:sz w:val="20"/>
              </w:rPr>
              <w:t>,</w:t>
            </w:r>
            <w:r w:rsidRPr="00434E82">
              <w:rPr>
                <w:rFonts w:ascii="Arial Narrow" w:hAnsi="Arial Narrow" w:cs="Arial Narrow"/>
                <w:sz w:val="20"/>
              </w:rPr>
              <w:t>905.2</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0.3</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3</w:t>
            </w:r>
            <w:r w:rsidR="00863647">
              <w:rPr>
                <w:rFonts w:ascii="Arial Narrow" w:hAnsi="Arial Narrow" w:cs="Arial Narrow"/>
                <w:sz w:val="20"/>
              </w:rPr>
              <w:t>,</w:t>
            </w:r>
            <w:r w:rsidRPr="00434E82">
              <w:rPr>
                <w:rFonts w:ascii="Arial Narrow" w:hAnsi="Arial Narrow" w:cs="Arial Narrow"/>
                <w:sz w:val="20"/>
              </w:rPr>
              <w:t>642</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112</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14</w:t>
            </w:r>
            <w:r w:rsidR="00863647">
              <w:rPr>
                <w:rFonts w:ascii="Arial Narrow" w:hAnsi="Arial Narrow" w:cs="Arial Narrow"/>
                <w:sz w:val="20"/>
              </w:rPr>
              <w:t>,</w:t>
            </w:r>
            <w:r w:rsidRPr="00434E82">
              <w:rPr>
                <w:rFonts w:ascii="Arial Narrow" w:hAnsi="Arial Narrow" w:cs="Arial Narrow"/>
                <w:sz w:val="20"/>
              </w:rPr>
              <w:t>768.1</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7.6</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96.48</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90.73</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99.06</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&lt;0.0001</w:t>
            </w:r>
          </w:p>
        </w:tc>
      </w:tr>
      <w:tr w:rsidR="00C107E7" w:rsidRPr="00F50661" w:rsidTr="00C107E7">
        <w:trPr>
          <w:trHeight w:hRule="exact" w:val="250"/>
        </w:trPr>
        <w:tc>
          <w:tcPr>
            <w:tcW w:w="631"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43" w:lineRule="exact"/>
              <w:rPr>
                <w:rFonts w:ascii="Arial Narrow" w:hAnsi="Arial Narrow"/>
                <w:sz w:val="20"/>
              </w:rPr>
            </w:pPr>
            <w:r w:rsidRPr="00434E82">
              <w:rPr>
                <w:rFonts w:ascii="Arial Narrow" w:hAnsi="Arial Narrow" w:cs="Symbol"/>
                <w:sz w:val="20"/>
              </w:rPr>
              <w:t>≥</w:t>
            </w:r>
            <w:r>
              <w:rPr>
                <w:rFonts w:ascii="Arial Narrow" w:hAnsi="Arial Narrow" w:cs="Arial Narrow"/>
                <w:sz w:val="20"/>
              </w:rPr>
              <w:t>60 years</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4</w:t>
            </w:r>
            <w:r>
              <w:rPr>
                <w:rFonts w:ascii="Arial Narrow" w:hAnsi="Arial Narrow" w:cs="Arial Narrow"/>
                <w:sz w:val="20"/>
              </w:rPr>
              <w:t>,</w:t>
            </w:r>
            <w:r w:rsidRPr="00434E82">
              <w:rPr>
                <w:rFonts w:ascii="Arial Narrow" w:hAnsi="Arial Narrow" w:cs="Arial Narrow"/>
                <w:sz w:val="20"/>
              </w:rPr>
              <w:t>051</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8</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16</w:t>
            </w:r>
            <w:r w:rsidR="00863647">
              <w:rPr>
                <w:rFonts w:ascii="Arial Narrow" w:hAnsi="Arial Narrow" w:cs="Arial Narrow"/>
                <w:sz w:val="20"/>
              </w:rPr>
              <w:t>,</w:t>
            </w:r>
            <w:r w:rsidRPr="00434E82">
              <w:rPr>
                <w:rFonts w:ascii="Arial Narrow" w:hAnsi="Arial Narrow" w:cs="Arial Narrow"/>
                <w:sz w:val="20"/>
              </w:rPr>
              <w:t>195.3</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0.5</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4</w:t>
            </w:r>
            <w:r w:rsidR="00863647">
              <w:rPr>
                <w:rFonts w:ascii="Arial Narrow" w:hAnsi="Arial Narrow" w:cs="Arial Narrow"/>
                <w:sz w:val="20"/>
              </w:rPr>
              <w:t>,</w:t>
            </w:r>
            <w:r w:rsidRPr="00434E82">
              <w:rPr>
                <w:rFonts w:ascii="Arial Narrow" w:hAnsi="Arial Narrow" w:cs="Arial Narrow"/>
                <w:sz w:val="20"/>
              </w:rPr>
              <w:t>068</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168</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15</w:t>
            </w:r>
            <w:r w:rsidR="00863647">
              <w:rPr>
                <w:rFonts w:ascii="Arial Narrow" w:hAnsi="Arial Narrow" w:cs="Arial Narrow"/>
                <w:sz w:val="20"/>
              </w:rPr>
              <w:t>,</w:t>
            </w:r>
            <w:r w:rsidRPr="00434E82">
              <w:rPr>
                <w:rFonts w:ascii="Arial Narrow" w:hAnsi="Arial Narrow" w:cs="Arial Narrow"/>
                <w:sz w:val="20"/>
              </w:rPr>
              <w:t>938.6</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10.5</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95.32</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90.56</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98.01</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&lt;0.0001</w:t>
            </w:r>
          </w:p>
        </w:tc>
      </w:tr>
      <w:tr w:rsidR="00C107E7" w:rsidRPr="00F50661" w:rsidTr="00C107E7">
        <w:trPr>
          <w:trHeight w:hRule="exact" w:val="235"/>
        </w:trPr>
        <w:tc>
          <w:tcPr>
            <w:tcW w:w="631"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rPr>
                <w:rFonts w:ascii="Arial Narrow" w:hAnsi="Arial Narrow"/>
                <w:sz w:val="20"/>
              </w:rPr>
            </w:pPr>
            <w:r>
              <w:rPr>
                <w:rFonts w:ascii="Arial Narrow" w:hAnsi="Arial Narrow" w:cs="Arial Narrow"/>
                <w:sz w:val="20"/>
              </w:rPr>
              <w:t>60-69 years</w:t>
            </w:r>
            <w:r w:rsidRPr="00434E82">
              <w:rPr>
                <w:rFonts w:ascii="Arial Narrow" w:hAnsi="Arial Narrow" w:cs="Arial Narrow"/>
                <w:sz w:val="20"/>
              </w:rPr>
              <w:t xml:space="preserve"> </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2</w:t>
            </w:r>
            <w:r>
              <w:rPr>
                <w:rFonts w:ascii="Arial Narrow" w:hAnsi="Arial Narrow" w:cs="Arial Narrow"/>
                <w:sz w:val="20"/>
              </w:rPr>
              <w:t>,</w:t>
            </w:r>
            <w:r w:rsidRPr="00434E82">
              <w:rPr>
                <w:rFonts w:ascii="Arial Narrow" w:hAnsi="Arial Narrow" w:cs="Arial Narrow"/>
                <w:sz w:val="20"/>
              </w:rPr>
              <w:t>243</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6</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w:t>
            </w:r>
            <w:r w:rsidR="00863647">
              <w:rPr>
                <w:rFonts w:ascii="Arial Narrow" w:hAnsi="Arial Narrow" w:cs="Arial Narrow"/>
                <w:sz w:val="20"/>
              </w:rPr>
              <w:t>,</w:t>
            </w:r>
            <w:r w:rsidRPr="00434E82">
              <w:rPr>
                <w:rFonts w:ascii="Arial Narrow" w:hAnsi="Arial Narrow" w:cs="Arial Narrow"/>
                <w:sz w:val="20"/>
              </w:rPr>
              <w:t>311.0</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0.6</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2</w:t>
            </w:r>
            <w:r w:rsidR="00863647">
              <w:rPr>
                <w:rFonts w:ascii="Arial Narrow" w:hAnsi="Arial Narrow" w:cs="Arial Narrow"/>
                <w:sz w:val="20"/>
              </w:rPr>
              <w:t>,</w:t>
            </w:r>
            <w:r w:rsidRPr="00434E82">
              <w:rPr>
                <w:rFonts w:ascii="Arial Narrow" w:hAnsi="Arial Narrow" w:cs="Arial Narrow"/>
                <w:sz w:val="20"/>
              </w:rPr>
              <w:t>245</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98</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w:t>
            </w:r>
            <w:r w:rsidR="00863647">
              <w:rPr>
                <w:rFonts w:ascii="Arial Narrow" w:hAnsi="Arial Narrow" w:cs="Arial Narrow"/>
                <w:sz w:val="20"/>
              </w:rPr>
              <w:t>,</w:t>
            </w:r>
            <w:r w:rsidRPr="00434E82">
              <w:rPr>
                <w:rFonts w:ascii="Arial Narrow" w:hAnsi="Arial Narrow" w:cs="Arial Narrow"/>
                <w:sz w:val="20"/>
              </w:rPr>
              <w:t>139.4</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10.7</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94.01</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86.49</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97.85</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&lt;0.0001</w:t>
            </w:r>
          </w:p>
        </w:tc>
      </w:tr>
      <w:tr w:rsidR="00C107E7" w:rsidRPr="00F50661" w:rsidTr="00C107E7">
        <w:trPr>
          <w:trHeight w:hRule="exact" w:val="235"/>
        </w:trPr>
        <w:tc>
          <w:tcPr>
            <w:tcW w:w="631"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rPr>
                <w:rFonts w:ascii="Arial Narrow" w:hAnsi="Arial Narrow" w:cs="Arial Narrow"/>
                <w:sz w:val="20"/>
              </w:rPr>
            </w:pPr>
            <w:r>
              <w:rPr>
                <w:rFonts w:ascii="Arial Narrow" w:hAnsi="Arial Narrow" w:cs="Arial Narrow"/>
                <w:sz w:val="20"/>
              </w:rPr>
              <w:t>≥70 years</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w:t>
            </w:r>
            <w:r>
              <w:rPr>
                <w:rFonts w:ascii="Arial Narrow" w:hAnsi="Arial Narrow" w:cs="Arial Narrow"/>
                <w:sz w:val="20"/>
              </w:rPr>
              <w:t>,</w:t>
            </w:r>
            <w:r w:rsidRPr="00434E82">
              <w:rPr>
                <w:rFonts w:ascii="Arial Narrow" w:hAnsi="Arial Narrow" w:cs="Arial Narrow"/>
                <w:sz w:val="20"/>
              </w:rPr>
              <w:t>808</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2</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6</w:t>
            </w:r>
            <w:r w:rsidR="00863647">
              <w:rPr>
                <w:rFonts w:ascii="Arial Narrow" w:hAnsi="Arial Narrow" w:cs="Arial Narrow"/>
                <w:sz w:val="20"/>
              </w:rPr>
              <w:t>,</w:t>
            </w:r>
            <w:r w:rsidRPr="00434E82">
              <w:rPr>
                <w:rFonts w:ascii="Arial Narrow" w:hAnsi="Arial Narrow" w:cs="Arial Narrow"/>
                <w:sz w:val="20"/>
              </w:rPr>
              <w:t>884.4</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0.3</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w:t>
            </w:r>
            <w:r w:rsidR="00863647">
              <w:rPr>
                <w:rFonts w:ascii="Arial Narrow" w:hAnsi="Arial Narrow" w:cs="Arial Narrow"/>
                <w:sz w:val="20"/>
              </w:rPr>
              <w:t>,</w:t>
            </w:r>
            <w:r w:rsidRPr="00434E82">
              <w:rPr>
                <w:rFonts w:ascii="Arial Narrow" w:hAnsi="Arial Narrow" w:cs="Arial Narrow"/>
                <w:sz w:val="20"/>
              </w:rPr>
              <w:t>823</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70</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6</w:t>
            </w:r>
            <w:r w:rsidR="00863647">
              <w:rPr>
                <w:rFonts w:ascii="Arial Narrow" w:hAnsi="Arial Narrow" w:cs="Arial Narrow"/>
                <w:sz w:val="20"/>
              </w:rPr>
              <w:t>,</w:t>
            </w:r>
            <w:r w:rsidRPr="00434E82">
              <w:rPr>
                <w:rFonts w:ascii="Arial Narrow" w:hAnsi="Arial Narrow" w:cs="Arial Narrow"/>
                <w:sz w:val="20"/>
              </w:rPr>
              <w:t>799.2</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10.3</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97.18</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89.42</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99.66</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434E82"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434E82">
              <w:rPr>
                <w:rFonts w:ascii="Arial Narrow" w:hAnsi="Arial Narrow" w:cs="Arial Narrow"/>
                <w:sz w:val="20"/>
              </w:rPr>
              <w:t>&lt;0.0001</w:t>
            </w:r>
          </w:p>
        </w:tc>
      </w:tr>
      <w:tr w:rsidR="00C107E7" w:rsidRPr="0032466A" w:rsidTr="00C107E7">
        <w:trPr>
          <w:trHeight w:hRule="exact" w:val="235"/>
        </w:trPr>
        <w:tc>
          <w:tcPr>
            <w:tcW w:w="631"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rPr>
                <w:rFonts w:ascii="Arial Narrow" w:hAnsi="Arial Narrow" w:cs="Arial Narrow"/>
                <w:b/>
                <w:sz w:val="20"/>
              </w:rPr>
            </w:pPr>
            <w:r w:rsidRPr="0032466A">
              <w:rPr>
                <w:rFonts w:ascii="Arial Narrow" w:hAnsi="Arial Narrow" w:cs="Arial Narrow"/>
                <w:b/>
                <w:sz w:val="20"/>
              </w:rPr>
              <w:t>≥</w:t>
            </w:r>
            <w:r>
              <w:rPr>
                <w:rFonts w:ascii="Arial Narrow" w:hAnsi="Arial Narrow" w:cs="Arial Narrow"/>
                <w:b/>
                <w:sz w:val="20"/>
              </w:rPr>
              <w:t>50 years</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7</w:t>
            </w:r>
            <w:r>
              <w:rPr>
                <w:rFonts w:ascii="Arial Narrow" w:hAnsi="Arial Narrow" w:cs="Arial Narrow"/>
                <w:b/>
                <w:sz w:val="20"/>
              </w:rPr>
              <w:t>,</w:t>
            </w:r>
            <w:r w:rsidRPr="0032466A">
              <w:rPr>
                <w:rFonts w:ascii="Arial Narrow" w:hAnsi="Arial Narrow" w:cs="Arial Narrow"/>
                <w:b/>
                <w:sz w:val="20"/>
              </w:rPr>
              <w:t>695</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12</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31</w:t>
            </w:r>
            <w:r w:rsidR="00863647">
              <w:rPr>
                <w:rFonts w:ascii="Arial Narrow" w:hAnsi="Arial Narrow" w:cs="Arial Narrow"/>
                <w:b/>
                <w:sz w:val="20"/>
              </w:rPr>
              <w:t>,</w:t>
            </w:r>
            <w:r w:rsidRPr="0032466A">
              <w:rPr>
                <w:rFonts w:ascii="Arial Narrow" w:hAnsi="Arial Narrow" w:cs="Arial Narrow"/>
                <w:b/>
                <w:sz w:val="20"/>
              </w:rPr>
              <w:t>100.5</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0.4</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7</w:t>
            </w:r>
            <w:r w:rsidR="00863647">
              <w:rPr>
                <w:rFonts w:ascii="Arial Narrow" w:hAnsi="Arial Narrow" w:cs="Arial Narrow"/>
                <w:b/>
                <w:sz w:val="20"/>
              </w:rPr>
              <w:t>,</w:t>
            </w:r>
            <w:r w:rsidRPr="0032466A">
              <w:rPr>
                <w:rFonts w:ascii="Arial Narrow" w:hAnsi="Arial Narrow" w:cs="Arial Narrow"/>
                <w:b/>
                <w:sz w:val="20"/>
              </w:rPr>
              <w:t>710</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280</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30</w:t>
            </w:r>
            <w:r w:rsidR="00863647">
              <w:rPr>
                <w:rFonts w:ascii="Arial Narrow" w:hAnsi="Arial Narrow" w:cs="Arial Narrow"/>
                <w:b/>
                <w:sz w:val="20"/>
              </w:rPr>
              <w:t>,</w:t>
            </w:r>
            <w:r w:rsidRPr="0032466A">
              <w:rPr>
                <w:rFonts w:ascii="Arial Narrow" w:hAnsi="Arial Narrow" w:cs="Arial Narrow"/>
                <w:b/>
                <w:sz w:val="20"/>
              </w:rPr>
              <w:t>706.7</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9.1</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95.78</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92.52</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97.85</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&lt;0.0001</w:t>
            </w:r>
          </w:p>
        </w:tc>
      </w:tr>
      <w:tr w:rsidR="0032466A" w:rsidRPr="00473D61" w:rsidTr="009D7264">
        <w:trPr>
          <w:trHeight w:hRule="exact" w:val="235"/>
        </w:trPr>
        <w:tc>
          <w:tcPr>
            <w:tcW w:w="5000" w:type="pct"/>
            <w:gridSpan w:val="13"/>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left"/>
              <w:rPr>
                <w:rFonts w:ascii="Arial Narrow" w:hAnsi="Arial Narrow" w:cs="Arial Narrow"/>
                <w:b/>
                <w:sz w:val="20"/>
              </w:rPr>
            </w:pPr>
            <w:r>
              <w:rPr>
                <w:rFonts w:ascii="Arial Narrow" w:hAnsi="Arial Narrow" w:cs="Arial Narrow"/>
                <w:b/>
                <w:sz w:val="20"/>
              </w:rPr>
              <w:t>ZOE-70</w:t>
            </w:r>
          </w:p>
        </w:tc>
      </w:tr>
      <w:tr w:rsidR="00C107E7" w:rsidRPr="00473D61" w:rsidTr="00C107E7">
        <w:trPr>
          <w:trHeight w:hRule="exact" w:val="235"/>
        </w:trPr>
        <w:tc>
          <w:tcPr>
            <w:tcW w:w="62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rPr>
                <w:rFonts w:ascii="Arial Narrow" w:hAnsi="Arial Narrow" w:cs="Arial Narrow"/>
                <w:sz w:val="20"/>
              </w:rPr>
            </w:pPr>
            <w:r>
              <w:rPr>
                <w:rFonts w:ascii="Arial Narrow" w:hAnsi="Arial Narrow" w:cs="Arial Narrow"/>
                <w:sz w:val="20"/>
              </w:rPr>
              <w:t>70-79 years</w:t>
            </w:r>
            <w:r w:rsidRPr="0032466A">
              <w:rPr>
                <w:rFonts w:ascii="Arial Narrow" w:hAnsi="Arial Narrow" w:cs="Arial Narrow"/>
                <w:sz w:val="20"/>
              </w:rPr>
              <w:t xml:space="preserve"> </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5</w:t>
            </w:r>
            <w:r>
              <w:rPr>
                <w:rFonts w:ascii="Arial Narrow" w:hAnsi="Arial Narrow" w:cs="Arial Narrow"/>
                <w:sz w:val="20"/>
              </w:rPr>
              <w:t>,</w:t>
            </w:r>
            <w:r w:rsidRPr="0032466A">
              <w:rPr>
                <w:rFonts w:ascii="Arial Narrow" w:hAnsi="Arial Narrow" w:cs="Arial Narrow"/>
                <w:sz w:val="20"/>
              </w:rPr>
              <w:t>414</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22</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21</w:t>
            </w:r>
            <w:r w:rsidR="00863647">
              <w:rPr>
                <w:rFonts w:ascii="Arial Narrow" w:hAnsi="Arial Narrow" w:cs="Arial Narrow"/>
                <w:sz w:val="20"/>
              </w:rPr>
              <w:t>,</w:t>
            </w:r>
            <w:r w:rsidRPr="0032466A">
              <w:rPr>
                <w:rFonts w:ascii="Arial Narrow" w:hAnsi="Arial Narrow" w:cs="Arial Narrow"/>
                <w:sz w:val="20"/>
              </w:rPr>
              <w:t>143.3</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1.0</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5</w:t>
            </w:r>
            <w:r w:rsidR="00863647">
              <w:rPr>
                <w:rFonts w:ascii="Arial Narrow" w:hAnsi="Arial Narrow" w:cs="Arial Narrow"/>
                <w:sz w:val="20"/>
              </w:rPr>
              <w:t>,</w:t>
            </w:r>
            <w:r w:rsidRPr="0032466A">
              <w:rPr>
                <w:rFonts w:ascii="Arial Narrow" w:hAnsi="Arial Narrow" w:cs="Arial Narrow"/>
                <w:sz w:val="20"/>
              </w:rPr>
              <w:t>420</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181</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20</w:t>
            </w:r>
            <w:r w:rsidR="00863647">
              <w:rPr>
                <w:rFonts w:ascii="Arial Narrow" w:hAnsi="Arial Narrow" w:cs="Arial Narrow"/>
                <w:sz w:val="20"/>
              </w:rPr>
              <w:t>,</w:t>
            </w:r>
            <w:r w:rsidRPr="0032466A">
              <w:rPr>
                <w:rFonts w:ascii="Arial Narrow" w:hAnsi="Arial Narrow" w:cs="Arial Narrow"/>
                <w:sz w:val="20"/>
              </w:rPr>
              <w:t>880.0</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8.7</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88.03</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81.31</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92.68</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&lt;0.0001</w:t>
            </w:r>
          </w:p>
        </w:tc>
      </w:tr>
      <w:tr w:rsidR="00C107E7" w:rsidRPr="00473D61" w:rsidTr="00C107E7">
        <w:trPr>
          <w:trHeight w:hRule="exact" w:val="235"/>
        </w:trPr>
        <w:tc>
          <w:tcPr>
            <w:tcW w:w="62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rPr>
                <w:rFonts w:ascii="Arial Narrow" w:hAnsi="Arial Narrow" w:cs="Arial Narrow"/>
                <w:sz w:val="20"/>
              </w:rPr>
            </w:pPr>
            <w:r>
              <w:rPr>
                <w:rFonts w:ascii="Arial Narrow" w:hAnsi="Arial Narrow" w:cs="Arial Narrow"/>
                <w:sz w:val="20"/>
              </w:rPr>
              <w:t>≥80 years</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w:t>
            </w:r>
            <w:r>
              <w:rPr>
                <w:rFonts w:ascii="Arial Narrow" w:hAnsi="Arial Narrow" w:cs="Arial Narrow"/>
                <w:sz w:val="20"/>
              </w:rPr>
              <w:t>,</w:t>
            </w:r>
            <w:r w:rsidRPr="0032466A">
              <w:rPr>
                <w:rFonts w:ascii="Arial Narrow" w:hAnsi="Arial Narrow" w:cs="Arial Narrow"/>
                <w:sz w:val="20"/>
              </w:rPr>
              <w:t>536</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8</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5</w:t>
            </w:r>
            <w:r w:rsidR="00863647">
              <w:rPr>
                <w:rFonts w:ascii="Arial Narrow" w:hAnsi="Arial Narrow" w:cs="Arial Narrow"/>
                <w:sz w:val="20"/>
              </w:rPr>
              <w:t>,</w:t>
            </w:r>
            <w:r w:rsidRPr="0032466A">
              <w:rPr>
                <w:rFonts w:ascii="Arial Narrow" w:hAnsi="Arial Narrow" w:cs="Arial Narrow"/>
                <w:sz w:val="20"/>
              </w:rPr>
              <w:t>610.1</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1.4</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w:t>
            </w:r>
            <w:r w:rsidR="00863647">
              <w:rPr>
                <w:rFonts w:ascii="Arial Narrow" w:hAnsi="Arial Narrow" w:cs="Arial Narrow"/>
                <w:sz w:val="20"/>
              </w:rPr>
              <w:t>,</w:t>
            </w:r>
            <w:r w:rsidRPr="0032466A">
              <w:rPr>
                <w:rFonts w:ascii="Arial Narrow" w:hAnsi="Arial Narrow" w:cs="Arial Narrow"/>
                <w:sz w:val="20"/>
              </w:rPr>
              <w:t>530</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59</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5</w:t>
            </w:r>
            <w:r w:rsidR="00863647">
              <w:rPr>
                <w:rFonts w:ascii="Arial Narrow" w:hAnsi="Arial Narrow" w:cs="Arial Narrow"/>
                <w:sz w:val="20"/>
              </w:rPr>
              <w:t>,</w:t>
            </w:r>
            <w:r w:rsidRPr="0032466A">
              <w:rPr>
                <w:rFonts w:ascii="Arial Narrow" w:hAnsi="Arial Narrow" w:cs="Arial Narrow"/>
                <w:sz w:val="20"/>
              </w:rPr>
              <w:t>392.3</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10.9</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86.88</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72.42</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94.59</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sz w:val="20"/>
              </w:rPr>
            </w:pPr>
            <w:r w:rsidRPr="0032466A">
              <w:rPr>
                <w:rFonts w:ascii="Arial Narrow" w:hAnsi="Arial Narrow" w:cs="Arial Narrow"/>
                <w:sz w:val="20"/>
              </w:rPr>
              <w:t>&lt;0.0001</w:t>
            </w:r>
          </w:p>
        </w:tc>
      </w:tr>
      <w:tr w:rsidR="00C107E7" w:rsidRPr="0032466A" w:rsidTr="00C107E7">
        <w:trPr>
          <w:trHeight w:hRule="exact" w:val="235"/>
        </w:trPr>
        <w:tc>
          <w:tcPr>
            <w:tcW w:w="62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rPr>
                <w:rFonts w:ascii="Arial Narrow" w:hAnsi="Arial Narrow" w:cs="Arial Narrow"/>
                <w:b/>
                <w:sz w:val="20"/>
              </w:rPr>
            </w:pPr>
            <w:r>
              <w:rPr>
                <w:rFonts w:ascii="Arial Narrow" w:hAnsi="Arial Narrow" w:cs="Arial Narrow"/>
                <w:b/>
                <w:sz w:val="20"/>
              </w:rPr>
              <w:t>≥70 years</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6</w:t>
            </w:r>
            <w:r>
              <w:rPr>
                <w:rFonts w:ascii="Arial Narrow" w:hAnsi="Arial Narrow" w:cs="Arial Narrow"/>
                <w:b/>
                <w:sz w:val="20"/>
              </w:rPr>
              <w:t>,</w:t>
            </w:r>
            <w:r w:rsidRPr="0032466A">
              <w:rPr>
                <w:rFonts w:ascii="Arial Narrow" w:hAnsi="Arial Narrow" w:cs="Arial Narrow"/>
                <w:b/>
                <w:sz w:val="20"/>
              </w:rPr>
              <w:t>950</w:t>
            </w:r>
          </w:p>
        </w:tc>
        <w:tc>
          <w:tcPr>
            <w:tcW w:w="320"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30</w:t>
            </w:r>
          </w:p>
        </w:tc>
        <w:tc>
          <w:tcPr>
            <w:tcW w:w="39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26</w:t>
            </w:r>
            <w:r w:rsidR="00863647">
              <w:rPr>
                <w:rFonts w:ascii="Arial Narrow" w:hAnsi="Arial Narrow" w:cs="Arial Narrow"/>
                <w:b/>
                <w:sz w:val="20"/>
              </w:rPr>
              <w:t>,</w:t>
            </w:r>
            <w:r w:rsidRPr="0032466A">
              <w:rPr>
                <w:rFonts w:ascii="Arial Narrow" w:hAnsi="Arial Narrow" w:cs="Arial Narrow"/>
                <w:b/>
                <w:sz w:val="20"/>
              </w:rPr>
              <w:t>753.4</w:t>
            </w:r>
          </w:p>
        </w:tc>
        <w:tc>
          <w:tcPr>
            <w:tcW w:w="47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1.1</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6</w:t>
            </w:r>
            <w:r w:rsidR="00863647">
              <w:rPr>
                <w:rFonts w:ascii="Arial Narrow" w:hAnsi="Arial Narrow" w:cs="Arial Narrow"/>
                <w:b/>
                <w:sz w:val="20"/>
              </w:rPr>
              <w:t>,</w:t>
            </w:r>
            <w:r w:rsidRPr="0032466A">
              <w:rPr>
                <w:rFonts w:ascii="Arial Narrow" w:hAnsi="Arial Narrow" w:cs="Arial Narrow"/>
                <w:b/>
                <w:sz w:val="20"/>
              </w:rPr>
              <w:t>950</w:t>
            </w:r>
          </w:p>
        </w:tc>
        <w:tc>
          <w:tcPr>
            <w:tcW w:w="26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240</w:t>
            </w:r>
          </w:p>
        </w:tc>
        <w:tc>
          <w:tcPr>
            <w:tcW w:w="393"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26</w:t>
            </w:r>
            <w:r w:rsidR="00863647">
              <w:rPr>
                <w:rFonts w:ascii="Arial Narrow" w:hAnsi="Arial Narrow" w:cs="Arial Narrow"/>
                <w:b/>
                <w:sz w:val="20"/>
              </w:rPr>
              <w:t>,</w:t>
            </w:r>
            <w:r w:rsidRPr="0032466A">
              <w:rPr>
                <w:rFonts w:ascii="Arial Narrow" w:hAnsi="Arial Narrow" w:cs="Arial Narrow"/>
                <w:b/>
                <w:sz w:val="20"/>
              </w:rPr>
              <w:t>272.3</w:t>
            </w:r>
          </w:p>
        </w:tc>
        <w:tc>
          <w:tcPr>
            <w:tcW w:w="446"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9.1</w:t>
            </w:r>
          </w:p>
        </w:tc>
        <w:tc>
          <w:tcPr>
            <w:tcW w:w="31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87.74</w:t>
            </w:r>
          </w:p>
        </w:tc>
        <w:tc>
          <w:tcPr>
            <w:tcW w:w="399"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82.04</w:t>
            </w:r>
          </w:p>
        </w:tc>
        <w:tc>
          <w:tcPr>
            <w:tcW w:w="335"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91.91</w:t>
            </w:r>
          </w:p>
        </w:tc>
        <w:tc>
          <w:tcPr>
            <w:tcW w:w="387" w:type="pct"/>
            <w:tcBorders>
              <w:top w:val="single" w:sz="2" w:space="0" w:color="000000"/>
              <w:left w:val="single" w:sz="2" w:space="0" w:color="000000"/>
              <w:bottom w:val="single" w:sz="2" w:space="0" w:color="000000"/>
              <w:right w:val="single" w:sz="2" w:space="0" w:color="000000"/>
            </w:tcBorders>
            <w:shd w:val="clear" w:color="auto" w:fill="auto"/>
          </w:tcPr>
          <w:p w:rsidR="0032466A" w:rsidRPr="0032466A" w:rsidRDefault="0032466A" w:rsidP="00D12E83">
            <w:pPr>
              <w:keepNext/>
              <w:kinsoku w:val="0"/>
              <w:overflowPunct w:val="0"/>
              <w:autoSpaceDE w:val="0"/>
              <w:autoSpaceDN w:val="0"/>
              <w:adjustRightInd w:val="0"/>
              <w:spacing w:line="224" w:lineRule="exact"/>
              <w:jc w:val="center"/>
              <w:rPr>
                <w:rFonts w:ascii="Arial Narrow" w:hAnsi="Arial Narrow" w:cs="Arial Narrow"/>
                <w:b/>
                <w:sz w:val="20"/>
              </w:rPr>
            </w:pPr>
            <w:r w:rsidRPr="0032466A">
              <w:rPr>
                <w:rFonts w:ascii="Arial Narrow" w:hAnsi="Arial Narrow" w:cs="Arial Narrow"/>
                <w:b/>
                <w:sz w:val="20"/>
              </w:rPr>
              <w:t>&lt;0.0001</w:t>
            </w:r>
          </w:p>
        </w:tc>
      </w:tr>
    </w:tbl>
    <w:p w:rsidR="009D7264" w:rsidRPr="008B348A" w:rsidRDefault="009D7264" w:rsidP="009D7264">
      <w:pPr>
        <w:pStyle w:val="TableFooter"/>
      </w:pPr>
      <w:r>
        <w:t>CI: confidence interval; HZ: herpes zoster; HZ/</w:t>
      </w:r>
      <w:proofErr w:type="spellStart"/>
      <w:r>
        <w:t>su</w:t>
      </w:r>
      <w:proofErr w:type="spellEnd"/>
      <w:r>
        <w:t xml:space="preserve">: recombinant varicella zoster vaccine; </w:t>
      </w:r>
      <w:r w:rsidRPr="008B348A">
        <w:t>N: number of subjects included in each group; n: number of subjects having at least one HZ confirmed case; T (year): sum of follow-up period (censored at the first occurrence of a HZ confirmed case) expressed in years; n/T (per 1000)</w:t>
      </w:r>
      <w:r>
        <w:t>: i</w:t>
      </w:r>
      <w:r w:rsidRPr="008B348A">
        <w:t xml:space="preserve">ncidence rate of subjects reporting at least one event; </w:t>
      </w:r>
      <w:r>
        <w:t xml:space="preserve">TVC: total vaccine cohort;  </w:t>
      </w:r>
      <w:r w:rsidRPr="008B348A">
        <w:t xml:space="preserve">VE: </w:t>
      </w:r>
      <w:r>
        <w:t>v</w:t>
      </w:r>
      <w:r w:rsidRPr="008B348A">
        <w:t xml:space="preserve">accine </w:t>
      </w:r>
      <w:r>
        <w:t>e</w:t>
      </w:r>
      <w:r w:rsidRPr="008B348A">
        <w:t>fficacy (Poisson method)</w:t>
      </w:r>
    </w:p>
    <w:p w:rsidR="0032466A" w:rsidRDefault="0032466A" w:rsidP="0032466A">
      <w:pPr>
        <w:widowControl/>
        <w:rPr>
          <w:rFonts w:ascii="Arial Narrow" w:hAnsi="Arial Narrow"/>
          <w:sz w:val="18"/>
          <w:szCs w:val="18"/>
        </w:rPr>
      </w:pPr>
      <w:r w:rsidRPr="009D7264">
        <w:rPr>
          <w:rFonts w:ascii="Arial Narrow" w:hAnsi="Arial Narrow"/>
          <w:sz w:val="18"/>
          <w:szCs w:val="18"/>
        </w:rPr>
        <w:t>Source: Table 4, p6 and Table 6, p7 of the PSCR</w:t>
      </w:r>
    </w:p>
    <w:p w:rsidR="009D7264" w:rsidRPr="009D7264" w:rsidRDefault="009D7264" w:rsidP="009D7264">
      <w:pPr>
        <w:pStyle w:val="TableFooter"/>
      </w:pPr>
      <w:r w:rsidRPr="008B348A">
        <w:t>*Vaccine efficacy in each age group was adjusted for region. Overall vaccine efficacy was adjusted</w:t>
      </w:r>
      <w:r>
        <w:t xml:space="preserve"> for age group and region.</w:t>
      </w:r>
    </w:p>
    <w:p w:rsidR="009D7264" w:rsidRPr="0086667F" w:rsidRDefault="009D7264" w:rsidP="00651FFE">
      <w:pPr>
        <w:pStyle w:val="TableFooter"/>
      </w:pPr>
    </w:p>
    <w:p w:rsidR="00320C2E" w:rsidRPr="0098559C" w:rsidRDefault="006E6864" w:rsidP="00320C2E">
      <w:pPr>
        <w:pStyle w:val="ListParagraph"/>
        <w:widowControl/>
        <w:numPr>
          <w:ilvl w:val="1"/>
          <w:numId w:val="2"/>
        </w:numPr>
      </w:pPr>
      <w:r>
        <w:rPr>
          <w:rFonts w:cs="Calibri"/>
          <w:snapToGrid/>
          <w:szCs w:val="24"/>
          <w:lang w:eastAsia="en-AU"/>
        </w:rPr>
        <w:t>VE</w:t>
      </w:r>
      <w:r w:rsidRPr="00F226E7">
        <w:rPr>
          <w:rFonts w:cs="Calibri"/>
          <w:snapToGrid/>
          <w:szCs w:val="24"/>
          <w:vertAlign w:val="subscript"/>
          <w:lang w:eastAsia="en-AU"/>
        </w:rPr>
        <w:t>HZ</w:t>
      </w:r>
      <w:r>
        <w:rPr>
          <w:rFonts w:cs="Calibri"/>
          <w:snapToGrid/>
          <w:szCs w:val="24"/>
          <w:lang w:eastAsia="en-AU"/>
        </w:rPr>
        <w:t xml:space="preserve"> in individuals</w:t>
      </w:r>
      <w:r w:rsidR="00835DFC">
        <w:rPr>
          <w:rFonts w:cs="Calibri"/>
          <w:snapToGrid/>
          <w:szCs w:val="24"/>
          <w:lang w:eastAsia="en-AU"/>
        </w:rPr>
        <w:t xml:space="preserve"> aged 70+ years</w:t>
      </w:r>
      <w:r>
        <w:rPr>
          <w:rFonts w:cs="Calibri"/>
          <w:snapToGrid/>
          <w:szCs w:val="24"/>
          <w:lang w:eastAsia="en-AU"/>
        </w:rPr>
        <w:t xml:space="preserve"> who received one dose </w:t>
      </w:r>
      <w:r w:rsidRPr="00F226E7">
        <w:rPr>
          <w:rFonts w:cs="Calibri"/>
          <w:snapToGrid/>
          <w:szCs w:val="24"/>
          <w:lang w:eastAsia="en-AU"/>
        </w:rPr>
        <w:t>(</w:t>
      </w:r>
      <w:r>
        <w:rPr>
          <w:rFonts w:cs="Calibri"/>
          <w:snapToGrid/>
          <w:szCs w:val="24"/>
          <w:lang w:eastAsia="en-AU"/>
        </w:rPr>
        <w:t>VE</w:t>
      </w:r>
      <w:r w:rsidRPr="00F226E7">
        <w:rPr>
          <w:rFonts w:cs="Calibri"/>
          <w:snapToGrid/>
          <w:szCs w:val="24"/>
          <w:vertAlign w:val="subscript"/>
          <w:lang w:eastAsia="en-AU"/>
        </w:rPr>
        <w:t>HZ</w:t>
      </w:r>
      <w:r w:rsidRPr="00F226E7">
        <w:rPr>
          <w:rFonts w:cs="Calibri"/>
          <w:snapToGrid/>
          <w:szCs w:val="24"/>
          <w:lang w:eastAsia="en-AU"/>
        </w:rPr>
        <w:t xml:space="preserve"> </w:t>
      </w:r>
      <w:r>
        <w:rPr>
          <w:rFonts w:cs="Calibri"/>
          <w:snapToGrid/>
          <w:szCs w:val="24"/>
          <w:lang w:eastAsia="en-AU"/>
        </w:rPr>
        <w:t>(p</w:t>
      </w:r>
      <w:r w:rsidRPr="00F226E7">
        <w:rPr>
          <w:rFonts w:cs="Calibri"/>
          <w:snapToGrid/>
          <w:szCs w:val="24"/>
          <w:lang w:eastAsia="en-AU"/>
        </w:rPr>
        <w:t>ooled ZOE-50 and ZOE-70</w:t>
      </w:r>
      <w:r>
        <w:rPr>
          <w:rFonts w:cs="Calibri"/>
          <w:snapToGrid/>
          <w:szCs w:val="24"/>
          <w:lang w:eastAsia="en-AU"/>
        </w:rPr>
        <w:t>)</w:t>
      </w:r>
      <w:r w:rsidR="00C107E7">
        <w:rPr>
          <w:rFonts w:cs="Calibri"/>
          <w:snapToGrid/>
          <w:szCs w:val="24"/>
          <w:lang w:eastAsia="en-AU"/>
        </w:rPr>
        <w:t xml:space="preserve"> =</w:t>
      </w:r>
      <w:r>
        <w:rPr>
          <w:rFonts w:cs="Calibri"/>
          <w:snapToGrid/>
          <w:szCs w:val="24"/>
          <w:lang w:eastAsia="en-AU"/>
        </w:rPr>
        <w:t xml:space="preserve"> </w:t>
      </w:r>
      <w:r w:rsidRPr="006E6864">
        <w:rPr>
          <w:rFonts w:cs="Calibri"/>
          <w:snapToGrid/>
          <w:szCs w:val="24"/>
          <w:lang w:eastAsia="en-AU"/>
        </w:rPr>
        <w:t>69.51</w:t>
      </w:r>
      <w:r w:rsidR="00C107E7">
        <w:rPr>
          <w:rFonts w:cs="Calibri"/>
          <w:snapToGrid/>
          <w:szCs w:val="24"/>
          <w:lang w:eastAsia="en-AU"/>
        </w:rPr>
        <w:t>%</w:t>
      </w:r>
      <w:r w:rsidRPr="006E6864">
        <w:rPr>
          <w:rFonts w:cs="Calibri"/>
          <w:snapToGrid/>
          <w:szCs w:val="24"/>
          <w:lang w:eastAsia="en-AU"/>
        </w:rPr>
        <w:t xml:space="preserve">, 95% CI: </w:t>
      </w:r>
      <w:r w:rsidR="00FB4310">
        <w:rPr>
          <w:rFonts w:cs="Calibri"/>
          <w:snapToGrid/>
          <w:szCs w:val="24"/>
          <w:lang w:eastAsia="en-AU"/>
        </w:rPr>
        <w:t>24.9</w:t>
      </w:r>
      <w:r w:rsidRPr="006E6864">
        <w:rPr>
          <w:rFonts w:cs="Calibri"/>
          <w:snapToGrid/>
          <w:szCs w:val="24"/>
          <w:lang w:eastAsia="en-AU"/>
        </w:rPr>
        <w:t>, 89.11</w:t>
      </w:r>
      <w:r>
        <w:rPr>
          <w:rFonts w:cs="Calibri"/>
          <w:snapToGrid/>
          <w:szCs w:val="24"/>
          <w:lang w:eastAsia="en-AU"/>
        </w:rPr>
        <w:t xml:space="preserve">) was lower than in individuals who received two doses </w:t>
      </w:r>
      <w:r w:rsidRPr="00F226E7">
        <w:rPr>
          <w:rFonts w:cs="Calibri"/>
          <w:snapToGrid/>
          <w:szCs w:val="24"/>
          <w:lang w:eastAsia="en-AU"/>
        </w:rPr>
        <w:t>(</w:t>
      </w:r>
      <w:r>
        <w:rPr>
          <w:rFonts w:cs="Calibri"/>
          <w:snapToGrid/>
          <w:szCs w:val="24"/>
          <w:lang w:eastAsia="en-AU"/>
        </w:rPr>
        <w:t>VE</w:t>
      </w:r>
      <w:r w:rsidRPr="00F226E7">
        <w:rPr>
          <w:rFonts w:cs="Calibri"/>
          <w:snapToGrid/>
          <w:szCs w:val="24"/>
          <w:vertAlign w:val="subscript"/>
          <w:lang w:eastAsia="en-AU"/>
        </w:rPr>
        <w:t>HZ</w:t>
      </w:r>
      <w:r w:rsidRPr="00F226E7">
        <w:rPr>
          <w:rFonts w:cs="Calibri"/>
          <w:snapToGrid/>
          <w:szCs w:val="24"/>
          <w:lang w:eastAsia="en-AU"/>
        </w:rPr>
        <w:t xml:space="preserve"> </w:t>
      </w:r>
      <w:r>
        <w:rPr>
          <w:rFonts w:cs="Calibri"/>
          <w:snapToGrid/>
          <w:szCs w:val="24"/>
          <w:lang w:eastAsia="en-AU"/>
        </w:rPr>
        <w:t>(p</w:t>
      </w:r>
      <w:r w:rsidRPr="00F226E7">
        <w:rPr>
          <w:rFonts w:cs="Calibri"/>
          <w:snapToGrid/>
          <w:szCs w:val="24"/>
          <w:lang w:eastAsia="en-AU"/>
        </w:rPr>
        <w:t>ooled ZOE-50 and ZOE-70</w:t>
      </w:r>
      <w:r>
        <w:rPr>
          <w:rFonts w:cs="Calibri"/>
          <w:snapToGrid/>
          <w:szCs w:val="24"/>
          <w:lang w:eastAsia="en-AU"/>
        </w:rPr>
        <w:t>)</w:t>
      </w:r>
      <w:r w:rsidR="00C107E7">
        <w:rPr>
          <w:rFonts w:cs="Calibri"/>
          <w:snapToGrid/>
          <w:szCs w:val="24"/>
          <w:lang w:eastAsia="en-AU"/>
        </w:rPr>
        <w:t xml:space="preserve"> =</w:t>
      </w:r>
      <w:r>
        <w:rPr>
          <w:rFonts w:cs="Calibri"/>
          <w:snapToGrid/>
          <w:szCs w:val="24"/>
          <w:lang w:eastAsia="en-AU"/>
        </w:rPr>
        <w:t xml:space="preserve"> 91.30</w:t>
      </w:r>
      <w:r w:rsidR="00C107E7">
        <w:rPr>
          <w:rFonts w:cs="Calibri"/>
          <w:snapToGrid/>
          <w:szCs w:val="24"/>
          <w:lang w:eastAsia="en-AU"/>
        </w:rPr>
        <w:t>%</w:t>
      </w:r>
      <w:r>
        <w:rPr>
          <w:rFonts w:cs="Calibri"/>
          <w:snapToGrid/>
          <w:szCs w:val="24"/>
          <w:lang w:eastAsia="en-AU"/>
        </w:rPr>
        <w:t xml:space="preserve">, 95% CI: 86.88, 94.46). </w:t>
      </w:r>
      <w:r w:rsidR="00320C2E" w:rsidRPr="00320C2E">
        <w:rPr>
          <w:i/>
        </w:rPr>
        <w:t xml:space="preserve"> </w:t>
      </w:r>
      <w:r w:rsidR="00320C2E" w:rsidRPr="0098559C">
        <w:t xml:space="preserve">The ESC noted that the TVC </w:t>
      </w:r>
      <w:r w:rsidR="00253EE8">
        <w:t xml:space="preserve">population </w:t>
      </w:r>
      <w:r w:rsidR="00320C2E" w:rsidRPr="0098559C">
        <w:t>outcomes for VE</w:t>
      </w:r>
      <w:r w:rsidR="00320C2E" w:rsidRPr="0098559C">
        <w:rPr>
          <w:vertAlign w:val="subscript"/>
        </w:rPr>
        <w:t>HZ</w:t>
      </w:r>
      <w:r w:rsidR="00320C2E" w:rsidRPr="0098559C">
        <w:t xml:space="preserve"> were very similar to those for the </w:t>
      </w:r>
      <w:proofErr w:type="spellStart"/>
      <w:r w:rsidR="00320C2E" w:rsidRPr="0098559C">
        <w:t>mTVC</w:t>
      </w:r>
      <w:proofErr w:type="spellEnd"/>
      <w:r w:rsidR="00320C2E" w:rsidRPr="0098559C">
        <w:t xml:space="preserve"> populations in both trials and across all age groups, with only a small number of individuals, approximately 5%, not receiving a second dose.</w:t>
      </w:r>
      <w:r w:rsidR="009E7C10">
        <w:t xml:space="preserve"> </w:t>
      </w:r>
    </w:p>
    <w:p w:rsidR="009D4976" w:rsidRPr="008B348A" w:rsidRDefault="009D4976" w:rsidP="00ED2457">
      <w:pPr>
        <w:pStyle w:val="ListParagraph"/>
        <w:widowControl/>
        <w:numPr>
          <w:ilvl w:val="1"/>
          <w:numId w:val="2"/>
        </w:numPr>
      </w:pPr>
      <w:r w:rsidRPr="008B348A">
        <w:t xml:space="preserve">Figure 1 presents </w:t>
      </w:r>
      <w:r>
        <w:t>VE</w:t>
      </w:r>
      <w:r w:rsidRPr="005677B2">
        <w:rPr>
          <w:vertAlign w:val="subscript"/>
        </w:rPr>
        <w:t>HZ</w:t>
      </w:r>
      <w:r w:rsidRPr="008B348A">
        <w:t xml:space="preserve"> over time.</w:t>
      </w:r>
    </w:p>
    <w:p w:rsidR="009D4976" w:rsidRPr="008B348A" w:rsidRDefault="009D4976" w:rsidP="009D4976">
      <w:pPr>
        <w:keepNext/>
        <w:rPr>
          <w:rStyle w:val="CommentReference"/>
        </w:rPr>
      </w:pPr>
      <w:r w:rsidRPr="008B348A">
        <w:rPr>
          <w:rStyle w:val="CommentReference"/>
        </w:rPr>
        <w:t>Figure 1: HZ/</w:t>
      </w:r>
      <w:proofErr w:type="spellStart"/>
      <w:r w:rsidRPr="008B348A">
        <w:rPr>
          <w:rStyle w:val="CommentReference"/>
        </w:rPr>
        <w:t>su</w:t>
      </w:r>
      <w:proofErr w:type="spellEnd"/>
      <w:r w:rsidRPr="008B348A">
        <w:rPr>
          <w:rStyle w:val="CommentReference"/>
        </w:rPr>
        <w:t xml:space="preserve"> vaccine efficacy against HZ over time</w:t>
      </w:r>
    </w:p>
    <w:p w:rsidR="009D4976" w:rsidRPr="008B348A" w:rsidRDefault="009D4976" w:rsidP="009D4976">
      <w:r w:rsidRPr="008B348A">
        <w:rPr>
          <w:noProof/>
          <w:lang w:eastAsia="en-AU"/>
        </w:rPr>
        <w:drawing>
          <wp:inline distT="0" distB="0" distL="0" distR="0" wp14:anchorId="6E7112DE" wp14:editId="18B800C2">
            <wp:extent cx="4937760" cy="298959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9037" cy="2990363"/>
                    </a:xfrm>
                    <a:prstGeom prst="rect">
                      <a:avLst/>
                    </a:prstGeom>
                    <a:noFill/>
                  </pic:spPr>
                </pic:pic>
              </a:graphicData>
            </a:graphic>
          </wp:inline>
        </w:drawing>
      </w:r>
    </w:p>
    <w:p w:rsidR="00367074" w:rsidRDefault="00367074" w:rsidP="009D4976">
      <w:pPr>
        <w:rPr>
          <w:rFonts w:ascii="Arial Narrow" w:hAnsi="Arial Narrow"/>
          <w:sz w:val="18"/>
          <w:szCs w:val="18"/>
        </w:rPr>
      </w:pPr>
      <w:r>
        <w:rPr>
          <w:rFonts w:ascii="Arial Narrow" w:hAnsi="Arial Narrow"/>
          <w:sz w:val="18"/>
          <w:szCs w:val="18"/>
        </w:rPr>
        <w:t>HZ: herpes zoster; Hz/</w:t>
      </w:r>
      <w:proofErr w:type="spellStart"/>
      <w:r>
        <w:rPr>
          <w:rFonts w:ascii="Arial Narrow" w:hAnsi="Arial Narrow"/>
          <w:sz w:val="18"/>
          <w:szCs w:val="18"/>
        </w:rPr>
        <w:t>su</w:t>
      </w:r>
      <w:proofErr w:type="spellEnd"/>
      <w:r>
        <w:rPr>
          <w:rFonts w:ascii="Arial Narrow" w:hAnsi="Arial Narrow"/>
          <w:sz w:val="18"/>
          <w:szCs w:val="18"/>
        </w:rPr>
        <w:t>: recombinant varicella zoster vaccine</w:t>
      </w:r>
    </w:p>
    <w:p w:rsidR="009D4976" w:rsidRDefault="009D4976" w:rsidP="009D4976">
      <w:pPr>
        <w:rPr>
          <w:rFonts w:ascii="Arial Narrow" w:hAnsi="Arial Narrow"/>
          <w:sz w:val="18"/>
          <w:szCs w:val="18"/>
        </w:rPr>
      </w:pPr>
      <w:r w:rsidRPr="009D4976">
        <w:rPr>
          <w:rFonts w:ascii="Arial Narrow" w:hAnsi="Arial Narrow"/>
          <w:sz w:val="18"/>
          <w:szCs w:val="18"/>
        </w:rPr>
        <w:t>Source: Figure 13, p76 of the submission.</w:t>
      </w:r>
    </w:p>
    <w:p w:rsidR="00E92F71" w:rsidRPr="009D4976" w:rsidRDefault="00E92F71" w:rsidP="00651FFE">
      <w:pPr>
        <w:pStyle w:val="TableFooter"/>
      </w:pPr>
    </w:p>
    <w:p w:rsidR="009D4976" w:rsidRPr="0086667F" w:rsidRDefault="009D4976" w:rsidP="00ED2457">
      <w:pPr>
        <w:pStyle w:val="ListParagraph"/>
        <w:widowControl/>
        <w:numPr>
          <w:ilvl w:val="1"/>
          <w:numId w:val="2"/>
        </w:numPr>
      </w:pPr>
      <w:r w:rsidRPr="0086667F">
        <w:rPr>
          <w:szCs w:val="20"/>
        </w:rPr>
        <w:t>Overall, VE</w:t>
      </w:r>
      <w:r w:rsidRPr="0086667F">
        <w:rPr>
          <w:szCs w:val="20"/>
          <w:vertAlign w:val="subscript"/>
        </w:rPr>
        <w:t>HZ</w:t>
      </w:r>
      <w:r w:rsidRPr="0086667F">
        <w:rPr>
          <w:szCs w:val="20"/>
        </w:rPr>
        <w:t xml:space="preserve"> waned </w:t>
      </w:r>
      <w:r w:rsidR="00C41280" w:rsidRPr="0086667F">
        <w:rPr>
          <w:szCs w:val="20"/>
        </w:rPr>
        <w:t xml:space="preserve">slightly </w:t>
      </w:r>
      <w:r w:rsidR="00631B18" w:rsidRPr="0086667F">
        <w:rPr>
          <w:szCs w:val="20"/>
        </w:rPr>
        <w:t>over four years</w:t>
      </w:r>
      <w:r w:rsidR="00631B18" w:rsidRPr="0086667F">
        <w:t xml:space="preserve"> </w:t>
      </w:r>
      <w:r w:rsidR="009F3D18" w:rsidRPr="0086667F">
        <w:t>(98.38% to 93.07% in the ZOE-50 trial, 97.04% to 85.07% in the ZOE-70 trial, and 97.58% to 87.88% in pooled data from the ZOE-50 and ZOE-70 trials)</w:t>
      </w:r>
      <w:r w:rsidRPr="0086667F">
        <w:rPr>
          <w:szCs w:val="20"/>
        </w:rPr>
        <w:t xml:space="preserve">. </w:t>
      </w:r>
      <w:r w:rsidR="00160DDF">
        <w:rPr>
          <w:szCs w:val="20"/>
        </w:rPr>
        <w:t>M</w:t>
      </w:r>
      <w:r w:rsidRPr="0086667F">
        <w:rPr>
          <w:szCs w:val="20"/>
        </w:rPr>
        <w:t>ean follow-up was 3.</w:t>
      </w:r>
      <w:r w:rsidR="00C6502B">
        <w:rPr>
          <w:szCs w:val="20"/>
        </w:rPr>
        <w:t>2</w:t>
      </w:r>
      <w:r w:rsidR="00C6502B" w:rsidRPr="0086667F">
        <w:rPr>
          <w:szCs w:val="20"/>
        </w:rPr>
        <w:t xml:space="preserve"> </w:t>
      </w:r>
      <w:r w:rsidR="00160DDF">
        <w:rPr>
          <w:szCs w:val="20"/>
        </w:rPr>
        <w:t>and</w:t>
      </w:r>
      <w:r w:rsidR="00160DDF" w:rsidRPr="0086667F">
        <w:rPr>
          <w:szCs w:val="20"/>
        </w:rPr>
        <w:t xml:space="preserve"> </w:t>
      </w:r>
      <w:r w:rsidRPr="0086667F">
        <w:rPr>
          <w:szCs w:val="20"/>
        </w:rPr>
        <w:t>3.7 years in the ZOE-50 and ZOE-70 trials</w:t>
      </w:r>
      <w:r w:rsidR="00160DDF">
        <w:rPr>
          <w:szCs w:val="20"/>
        </w:rPr>
        <w:t xml:space="preserve"> respectively</w:t>
      </w:r>
      <w:r w:rsidRPr="0086667F">
        <w:rPr>
          <w:szCs w:val="20"/>
        </w:rPr>
        <w:t>. This limit</w:t>
      </w:r>
      <w:r w:rsidR="00160DDF">
        <w:rPr>
          <w:szCs w:val="20"/>
        </w:rPr>
        <w:t>ed</w:t>
      </w:r>
      <w:r w:rsidRPr="0086667F">
        <w:rPr>
          <w:szCs w:val="20"/>
        </w:rPr>
        <w:t xml:space="preserve"> the ability to assess waning in the longer-term and the need for a booster dose, especially for individuals </w:t>
      </w:r>
      <w:r w:rsidR="00160DDF">
        <w:rPr>
          <w:szCs w:val="20"/>
        </w:rPr>
        <w:t xml:space="preserve">vaccinated at </w:t>
      </w:r>
      <w:r w:rsidRPr="0086667F">
        <w:rPr>
          <w:szCs w:val="20"/>
        </w:rPr>
        <w:t>age 60.</w:t>
      </w:r>
      <w:r w:rsidR="00C107E7">
        <w:rPr>
          <w:szCs w:val="20"/>
        </w:rPr>
        <w:t xml:space="preserve"> The PBAC noted that the duration of protection following a single dose of HZ/</w:t>
      </w:r>
      <w:proofErr w:type="spellStart"/>
      <w:r w:rsidR="00C107E7">
        <w:rPr>
          <w:szCs w:val="20"/>
        </w:rPr>
        <w:t>su</w:t>
      </w:r>
      <w:proofErr w:type="spellEnd"/>
      <w:r w:rsidR="00C107E7">
        <w:rPr>
          <w:szCs w:val="20"/>
        </w:rPr>
        <w:t xml:space="preserve"> was unknown.</w:t>
      </w:r>
    </w:p>
    <w:p w:rsidR="009D4976" w:rsidRPr="005715CF" w:rsidRDefault="009D4976" w:rsidP="00ED2457">
      <w:pPr>
        <w:pStyle w:val="ListParagraph"/>
        <w:widowControl/>
        <w:numPr>
          <w:ilvl w:val="1"/>
          <w:numId w:val="2"/>
        </w:numPr>
      </w:pPr>
      <w:r w:rsidRPr="0086667F">
        <w:rPr>
          <w:szCs w:val="20"/>
        </w:rPr>
        <w:t xml:space="preserve">The rate of waning </w:t>
      </w:r>
      <w:r w:rsidR="00160DDF">
        <w:rPr>
          <w:szCs w:val="20"/>
        </w:rPr>
        <w:t>in</w:t>
      </w:r>
      <w:r w:rsidRPr="0086667F">
        <w:rPr>
          <w:szCs w:val="20"/>
        </w:rPr>
        <w:t xml:space="preserve"> VE</w:t>
      </w:r>
      <w:r w:rsidRPr="0086667F">
        <w:rPr>
          <w:szCs w:val="20"/>
          <w:vertAlign w:val="subscript"/>
        </w:rPr>
        <w:t>HZ</w:t>
      </w:r>
      <w:r w:rsidRPr="0086667F">
        <w:rPr>
          <w:szCs w:val="20"/>
        </w:rPr>
        <w:t xml:space="preserve"> did not appear to differ substantially by age groups.</w:t>
      </w:r>
    </w:p>
    <w:p w:rsidR="005715CF" w:rsidRPr="0098559C" w:rsidRDefault="005715CF" w:rsidP="00ED2457">
      <w:pPr>
        <w:pStyle w:val="ListParagraph"/>
        <w:widowControl/>
        <w:numPr>
          <w:ilvl w:val="1"/>
          <w:numId w:val="2"/>
        </w:numPr>
      </w:pPr>
      <w:r w:rsidRPr="0098559C">
        <w:t>The PSCR</w:t>
      </w:r>
      <w:r w:rsidR="00320C2E" w:rsidRPr="0098559C">
        <w:t xml:space="preserve"> </w:t>
      </w:r>
      <w:r w:rsidRPr="0098559C">
        <w:t>provided results from a Phase IIIB, open-label study following participants for up to nine years after they had received two doses of the HZ/</w:t>
      </w:r>
      <w:proofErr w:type="spellStart"/>
      <w:r w:rsidRPr="0098559C">
        <w:t>su</w:t>
      </w:r>
      <w:proofErr w:type="spellEnd"/>
      <w:r w:rsidRPr="0098559C">
        <w:t xml:space="preserve"> vaccine. Schwartz et al, 2018 found that although both cell mediated immunity and humoral immune responses to the HZ/</w:t>
      </w:r>
      <w:proofErr w:type="spellStart"/>
      <w:r w:rsidRPr="0098559C">
        <w:t>su</w:t>
      </w:r>
      <w:proofErr w:type="spellEnd"/>
      <w:r w:rsidRPr="0098559C">
        <w:t xml:space="preserve"> vaccine decreased initially, both levelled off at around four years post-vaccination and remained stable, well-above baseline, for nine years in adults </w:t>
      </w:r>
      <w:r w:rsidR="00060DB7">
        <w:t>aged</w:t>
      </w:r>
      <w:r w:rsidRPr="0098559C">
        <w:t xml:space="preserve"> 60 years</w:t>
      </w:r>
      <w:r w:rsidR="00060DB7">
        <w:t xml:space="preserve"> and over</w:t>
      </w:r>
      <w:r w:rsidRPr="0098559C">
        <w:t xml:space="preserve">. In addition, the PSCR noted that the need for a booster </w:t>
      </w:r>
      <w:r w:rsidRPr="0098559C">
        <w:lastRenderedPageBreak/>
        <w:t>dose of the HZ/</w:t>
      </w:r>
      <w:proofErr w:type="spellStart"/>
      <w:r w:rsidRPr="0098559C">
        <w:t>su</w:t>
      </w:r>
      <w:proofErr w:type="spellEnd"/>
      <w:r w:rsidRPr="0098559C">
        <w:t xml:space="preserve"> vaccine has not been established and has not been formally recommended by immunisation committees such as the Advisory Committee on Immunization (ACIP, 2018) or ATAGI, 2018. The ESC noted that although Schwartz et al, 2018 was a small study (N = 70, mean age 72) which measured surrogate end points, given the high vaccine efficacy and slow rates of waning in the ZOE-50 trial over 3.</w:t>
      </w:r>
      <w:r w:rsidR="00C6502B">
        <w:t>2</w:t>
      </w:r>
      <w:r w:rsidR="00C6502B" w:rsidRPr="0098559C">
        <w:t xml:space="preserve"> </w:t>
      </w:r>
      <w:r w:rsidRPr="0098559C">
        <w:t>years, waning of the HZ/</w:t>
      </w:r>
      <w:proofErr w:type="spellStart"/>
      <w:r w:rsidRPr="0098559C">
        <w:t>su</w:t>
      </w:r>
      <w:proofErr w:type="spellEnd"/>
      <w:r w:rsidRPr="0098559C">
        <w:t xml:space="preserve"> vaccine would likely take many years for the primary cohort of 60 year olds.</w:t>
      </w:r>
    </w:p>
    <w:p w:rsidR="009D4976" w:rsidRPr="008B348A" w:rsidRDefault="009D4976" w:rsidP="00ED2457">
      <w:pPr>
        <w:pStyle w:val="ListParagraph"/>
        <w:widowControl/>
        <w:numPr>
          <w:ilvl w:val="1"/>
          <w:numId w:val="2"/>
        </w:numPr>
      </w:pPr>
      <w:r w:rsidRPr="008B348A">
        <w:rPr>
          <w:rFonts w:cs="Calibri"/>
          <w:snapToGrid/>
          <w:szCs w:val="24"/>
          <w:lang w:eastAsia="en-AU"/>
        </w:rPr>
        <w:t xml:space="preserve">Table </w:t>
      </w:r>
      <w:r w:rsidR="00DF7A69">
        <w:rPr>
          <w:rFonts w:cs="Calibri"/>
          <w:snapToGrid/>
          <w:szCs w:val="24"/>
          <w:lang w:eastAsia="en-AU"/>
        </w:rPr>
        <w:t>7</w:t>
      </w:r>
      <w:r w:rsidRPr="008B348A">
        <w:rPr>
          <w:rFonts w:cs="Calibri"/>
          <w:snapToGrid/>
          <w:szCs w:val="24"/>
          <w:lang w:eastAsia="en-AU"/>
        </w:rPr>
        <w:t xml:space="preserve"> present</w:t>
      </w:r>
      <w:r>
        <w:rPr>
          <w:rFonts w:cs="Calibri"/>
          <w:snapToGrid/>
          <w:szCs w:val="24"/>
          <w:lang w:eastAsia="en-AU"/>
        </w:rPr>
        <w:t>s</w:t>
      </w:r>
      <w:r w:rsidRPr="008B348A">
        <w:rPr>
          <w:rFonts w:cs="Calibri"/>
          <w:snapToGrid/>
          <w:szCs w:val="24"/>
          <w:lang w:eastAsia="en-AU"/>
        </w:rPr>
        <w:t xml:space="preserve"> </w:t>
      </w:r>
      <w:r w:rsidR="00FC108C">
        <w:rPr>
          <w:rFonts w:cs="Calibri"/>
          <w:snapToGrid/>
          <w:szCs w:val="24"/>
          <w:lang w:eastAsia="en-AU"/>
        </w:rPr>
        <w:t>the PHN results</w:t>
      </w:r>
      <w:r>
        <w:rPr>
          <w:rFonts w:cs="Calibri"/>
          <w:snapToGrid/>
          <w:szCs w:val="24"/>
          <w:lang w:eastAsia="en-AU"/>
        </w:rPr>
        <w:t xml:space="preserve"> from</w:t>
      </w:r>
      <w:r w:rsidRPr="008B348A">
        <w:rPr>
          <w:rFonts w:cs="Calibri"/>
          <w:snapToGrid/>
          <w:szCs w:val="24"/>
          <w:lang w:eastAsia="en-AU"/>
        </w:rPr>
        <w:t xml:space="preserve"> the ZOE-50 and ZOE-70 trials.</w:t>
      </w:r>
    </w:p>
    <w:p w:rsidR="008D7D4C" w:rsidRPr="008B348A" w:rsidRDefault="008D7D4C" w:rsidP="006C6E7A">
      <w:pPr>
        <w:keepNext/>
        <w:rPr>
          <w:rStyle w:val="CommentReference"/>
        </w:rPr>
      </w:pPr>
      <w:r w:rsidRPr="008B348A">
        <w:rPr>
          <w:rStyle w:val="CommentReference"/>
        </w:rPr>
        <w:t xml:space="preserve">Table </w:t>
      </w:r>
      <w:r w:rsidR="00DF7A69">
        <w:rPr>
          <w:rStyle w:val="CommentReference"/>
        </w:rPr>
        <w:t>7</w:t>
      </w:r>
      <w:r w:rsidRPr="008B348A">
        <w:rPr>
          <w:rStyle w:val="CommentReference"/>
        </w:rPr>
        <w:t>: Results of vaccine efficacy against PHN cases (first or only episode) across the trials (</w:t>
      </w:r>
      <w:proofErr w:type="spellStart"/>
      <w:r w:rsidRPr="008B348A">
        <w:rPr>
          <w:rStyle w:val="CommentReference"/>
        </w:rPr>
        <w:t>mTVC</w:t>
      </w:r>
      <w:proofErr w:type="spellEnd"/>
      <w:r w:rsidRPr="008B348A">
        <w:rPr>
          <w:rStyle w:val="CommentReference"/>
        </w:rPr>
        <w:t>)</w:t>
      </w:r>
    </w:p>
    <w:tbl>
      <w:tblPr>
        <w:tblW w:w="9100" w:type="dxa"/>
        <w:tblLayout w:type="fixed"/>
        <w:tblCellMar>
          <w:left w:w="28" w:type="dxa"/>
          <w:right w:w="28" w:type="dxa"/>
        </w:tblCellMar>
        <w:tblLook w:val="0000" w:firstRow="0" w:lastRow="0" w:firstColumn="0" w:lastColumn="0" w:noHBand="0" w:noVBand="0"/>
      </w:tblPr>
      <w:tblGrid>
        <w:gridCol w:w="1021"/>
        <w:gridCol w:w="567"/>
        <w:gridCol w:w="425"/>
        <w:gridCol w:w="709"/>
        <w:gridCol w:w="992"/>
        <w:gridCol w:w="567"/>
        <w:gridCol w:w="425"/>
        <w:gridCol w:w="851"/>
        <w:gridCol w:w="850"/>
        <w:gridCol w:w="567"/>
        <w:gridCol w:w="709"/>
        <w:gridCol w:w="709"/>
        <w:gridCol w:w="708"/>
      </w:tblGrid>
      <w:tr w:rsidR="008D7D4C" w:rsidRPr="008B348A" w:rsidTr="00C107E7">
        <w:trPr>
          <w:tblHeader/>
        </w:trPr>
        <w:tc>
          <w:tcPr>
            <w:tcW w:w="1021" w:type="dxa"/>
            <w:vMerge w:val="restart"/>
            <w:tcBorders>
              <w:top w:val="single" w:sz="2" w:space="0" w:color="000000"/>
              <w:left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Age strata</w:t>
            </w:r>
          </w:p>
        </w:tc>
        <w:tc>
          <w:tcPr>
            <w:tcW w:w="2693" w:type="dxa"/>
            <w:gridSpan w:val="4"/>
            <w:tcBorders>
              <w:top w:val="single" w:sz="2" w:space="0" w:color="000000"/>
              <w:left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ind w:right="-21"/>
              <w:jc w:val="center"/>
              <w:rPr>
                <w:rFonts w:ascii="Arial Narrow" w:hAnsi="Arial Narrow" w:cs="Times New Roman"/>
                <w:sz w:val="20"/>
                <w:szCs w:val="20"/>
                <w:lang w:eastAsia="en-AU"/>
              </w:rPr>
            </w:pPr>
            <w:r w:rsidRPr="0098559C">
              <w:rPr>
                <w:rFonts w:ascii="Arial Narrow" w:hAnsi="Arial Narrow"/>
                <w:b/>
                <w:sz w:val="20"/>
                <w:szCs w:val="20"/>
              </w:rPr>
              <w:t>HZ/</w:t>
            </w:r>
            <w:proofErr w:type="spellStart"/>
            <w:r w:rsidRPr="0098559C">
              <w:rPr>
                <w:rFonts w:ascii="Arial Narrow" w:hAnsi="Arial Narrow"/>
                <w:b/>
                <w:sz w:val="20"/>
                <w:szCs w:val="20"/>
              </w:rPr>
              <w:t>su</w:t>
            </w:r>
            <w:proofErr w:type="spellEnd"/>
            <w:r w:rsidRPr="0098559C">
              <w:rPr>
                <w:rFonts w:ascii="Arial Narrow" w:hAnsi="Arial Narrow"/>
                <w:b/>
                <w:sz w:val="20"/>
                <w:szCs w:val="20"/>
              </w:rPr>
              <w:t xml:space="preserve"> vaccine</w:t>
            </w:r>
          </w:p>
        </w:tc>
        <w:tc>
          <w:tcPr>
            <w:tcW w:w="2693" w:type="dxa"/>
            <w:gridSpan w:val="4"/>
            <w:tcBorders>
              <w:top w:val="single" w:sz="2" w:space="0" w:color="000000"/>
              <w:left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b/>
                <w:sz w:val="20"/>
                <w:szCs w:val="20"/>
              </w:rPr>
              <w:t>Placebo</w:t>
            </w:r>
          </w:p>
        </w:tc>
        <w:tc>
          <w:tcPr>
            <w:tcW w:w="1985" w:type="dxa"/>
            <w:gridSpan w:val="3"/>
            <w:tcBorders>
              <w:top w:val="single" w:sz="2" w:space="0" w:color="000000"/>
              <w:left w:val="single" w:sz="2" w:space="0" w:color="000000"/>
              <w:right w:val="single" w:sz="2" w:space="0" w:color="000000"/>
            </w:tcBorders>
            <w:shd w:val="clear" w:color="auto" w:fill="auto"/>
            <w:vAlign w:val="center"/>
          </w:tcPr>
          <w:p w:rsidR="008D7D4C" w:rsidRPr="0098559C" w:rsidRDefault="004875E3" w:rsidP="006C6E7A">
            <w:pPr>
              <w:keepNext/>
              <w:kinsoku w:val="0"/>
              <w:overflowPunct w:val="0"/>
              <w:autoSpaceDE w:val="0"/>
              <w:autoSpaceDN w:val="0"/>
              <w:adjustRightInd w:val="0"/>
              <w:spacing w:line="224" w:lineRule="exact"/>
              <w:ind w:right="-12"/>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V</w:t>
            </w:r>
            <w:r w:rsidR="008D7D4C" w:rsidRPr="0098559C">
              <w:rPr>
                <w:rFonts w:ascii="Arial Narrow" w:hAnsi="Arial Narrow" w:cs="Arial Narrow"/>
                <w:b/>
                <w:bCs/>
                <w:sz w:val="20"/>
                <w:szCs w:val="20"/>
                <w:lang w:eastAsia="en-AU"/>
              </w:rPr>
              <w:t>E</w:t>
            </w:r>
            <w:r w:rsidRPr="0098559C">
              <w:rPr>
                <w:rFonts w:ascii="Arial Narrow" w:hAnsi="Arial Narrow" w:cs="Arial Narrow"/>
                <w:b/>
                <w:bCs/>
                <w:sz w:val="20"/>
                <w:szCs w:val="20"/>
                <w:vertAlign w:val="subscript"/>
                <w:lang w:eastAsia="en-AU"/>
              </w:rPr>
              <w:t>PHN</w:t>
            </w:r>
            <w:r w:rsidR="008D7D4C" w:rsidRPr="0098559C">
              <w:rPr>
                <w:rFonts w:ascii="Arial Narrow" w:hAnsi="Arial Narrow" w:cs="Arial Narrow"/>
                <w:b/>
                <w:bCs/>
                <w:sz w:val="20"/>
                <w:szCs w:val="20"/>
                <w:lang w:eastAsia="en-AU"/>
              </w:rPr>
              <w:t>*</w:t>
            </w:r>
          </w:p>
        </w:tc>
        <w:tc>
          <w:tcPr>
            <w:tcW w:w="708" w:type="dxa"/>
            <w:vMerge w:val="restart"/>
            <w:tcBorders>
              <w:top w:val="single" w:sz="2" w:space="0" w:color="000000"/>
              <w:left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p-value</w:t>
            </w:r>
          </w:p>
        </w:tc>
      </w:tr>
      <w:tr w:rsidR="00EA3F5D" w:rsidRPr="008B348A" w:rsidTr="00C107E7">
        <w:trPr>
          <w:tblHeader/>
        </w:trPr>
        <w:tc>
          <w:tcPr>
            <w:tcW w:w="1021" w:type="dxa"/>
            <w:vMerge/>
            <w:tcBorders>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rPr>
                <w:rFonts w:ascii="Arial Narrow" w:hAnsi="Arial Narrow" w:cs="Times New Roman"/>
                <w:sz w:val="20"/>
                <w:szCs w:val="20"/>
                <w:lang w:eastAsia="en-AU"/>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w w:val="99"/>
                <w:sz w:val="20"/>
                <w:szCs w:val="20"/>
                <w:lang w:eastAsia="en-AU"/>
              </w:rPr>
              <w:t>N</w:t>
            </w:r>
          </w:p>
        </w:tc>
        <w:tc>
          <w:tcPr>
            <w:tcW w:w="4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w w:val="99"/>
                <w:sz w:val="20"/>
                <w:szCs w:val="20"/>
                <w:lang w:eastAsia="en-AU"/>
              </w:rPr>
              <w:t>n</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T (year)</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ind w:right="47"/>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 xml:space="preserve">n/T </w:t>
            </w:r>
            <w:r w:rsidR="00C107E7">
              <w:rPr>
                <w:rFonts w:ascii="Arial Narrow" w:hAnsi="Arial Narrow" w:cs="Arial Narrow"/>
                <w:b/>
                <w:bCs/>
                <w:sz w:val="20"/>
                <w:szCs w:val="20"/>
                <w:lang w:eastAsia="en-AU"/>
              </w:rPr>
              <w:br/>
            </w:r>
            <w:r w:rsidRPr="0098559C">
              <w:rPr>
                <w:rFonts w:ascii="Arial Narrow" w:hAnsi="Arial Narrow" w:cs="Arial Narrow"/>
                <w:b/>
                <w:bCs/>
                <w:sz w:val="20"/>
                <w:szCs w:val="20"/>
                <w:lang w:eastAsia="en-AU"/>
              </w:rPr>
              <w:t>(per 1000)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ind w:right="2"/>
              <w:jc w:val="center"/>
              <w:rPr>
                <w:rFonts w:ascii="Arial Narrow" w:hAnsi="Arial Narrow" w:cs="Times New Roman"/>
                <w:sz w:val="20"/>
                <w:szCs w:val="20"/>
                <w:lang w:eastAsia="en-AU"/>
              </w:rPr>
            </w:pPr>
            <w:r w:rsidRPr="0098559C">
              <w:rPr>
                <w:rFonts w:ascii="Arial Narrow" w:hAnsi="Arial Narrow" w:cs="Arial Narrow"/>
                <w:b/>
                <w:bCs/>
                <w:w w:val="99"/>
                <w:sz w:val="20"/>
                <w:szCs w:val="20"/>
                <w:lang w:eastAsia="en-AU"/>
              </w:rPr>
              <w:t>N</w:t>
            </w:r>
          </w:p>
        </w:tc>
        <w:tc>
          <w:tcPr>
            <w:tcW w:w="425"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w w:val="99"/>
                <w:sz w:val="20"/>
                <w:szCs w:val="20"/>
                <w:lang w:eastAsia="en-AU"/>
              </w:rPr>
              <w:t>n</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 xml:space="preserve">T </w:t>
            </w:r>
            <w:r w:rsidR="00C107E7">
              <w:rPr>
                <w:rFonts w:ascii="Arial Narrow" w:hAnsi="Arial Narrow" w:cs="Arial Narrow"/>
                <w:b/>
                <w:bCs/>
                <w:sz w:val="20"/>
                <w:szCs w:val="20"/>
                <w:lang w:eastAsia="en-AU"/>
              </w:rPr>
              <w:br/>
            </w:r>
            <w:r w:rsidRPr="0098559C">
              <w:rPr>
                <w:rFonts w:ascii="Arial Narrow" w:hAnsi="Arial Narrow" w:cs="Arial Narrow"/>
                <w:b/>
                <w:bCs/>
                <w:sz w:val="20"/>
                <w:szCs w:val="20"/>
                <w:lang w:eastAsia="en-AU"/>
              </w:rPr>
              <w:t>(year)</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ind w:right="12"/>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 xml:space="preserve">n/T </w:t>
            </w:r>
            <w:r w:rsidR="00C107E7">
              <w:rPr>
                <w:rFonts w:ascii="Arial Narrow" w:hAnsi="Arial Narrow" w:cs="Arial Narrow"/>
                <w:b/>
                <w:bCs/>
                <w:sz w:val="20"/>
                <w:szCs w:val="20"/>
                <w:lang w:eastAsia="en-AU"/>
              </w:rPr>
              <w:br/>
            </w:r>
            <w:r w:rsidRPr="0098559C">
              <w:rPr>
                <w:rFonts w:ascii="Arial Narrow" w:hAnsi="Arial Narrow" w:cs="Arial Narrow"/>
                <w:b/>
                <w:bCs/>
                <w:sz w:val="20"/>
                <w:szCs w:val="20"/>
                <w:lang w:eastAsia="en-AU"/>
              </w:rPr>
              <w:t>(per 1000)</w:t>
            </w:r>
          </w:p>
        </w:tc>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ind w:right="5"/>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w:t>
            </w:r>
          </w:p>
        </w:tc>
        <w:tc>
          <w:tcPr>
            <w:tcW w:w="7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ind w:right="71"/>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 xml:space="preserve">Lower </w:t>
            </w:r>
            <w:r w:rsidR="00EA3F5D" w:rsidRPr="0098559C">
              <w:rPr>
                <w:rFonts w:ascii="Arial Narrow" w:hAnsi="Arial Narrow" w:cs="Arial Narrow"/>
                <w:b/>
                <w:bCs/>
                <w:sz w:val="20"/>
                <w:szCs w:val="20"/>
                <w:lang w:eastAsia="en-AU"/>
              </w:rPr>
              <w:br/>
            </w:r>
            <w:r w:rsidRPr="0098559C">
              <w:rPr>
                <w:rFonts w:ascii="Arial Narrow" w:hAnsi="Arial Narrow" w:cs="Arial Narrow"/>
                <w:b/>
                <w:bCs/>
                <w:sz w:val="20"/>
                <w:szCs w:val="20"/>
                <w:lang w:eastAsia="en-AU"/>
              </w:rPr>
              <w:t>95% CI</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 xml:space="preserve">Upper </w:t>
            </w:r>
            <w:r w:rsidR="00EA3F5D" w:rsidRPr="0098559C">
              <w:rPr>
                <w:rFonts w:ascii="Arial Narrow" w:hAnsi="Arial Narrow" w:cs="Arial Narrow"/>
                <w:b/>
                <w:bCs/>
                <w:sz w:val="20"/>
                <w:szCs w:val="20"/>
                <w:lang w:eastAsia="en-AU"/>
              </w:rPr>
              <w:br/>
            </w:r>
            <w:r w:rsidRPr="0098559C">
              <w:rPr>
                <w:rFonts w:ascii="Arial Narrow" w:hAnsi="Arial Narrow" w:cs="Arial Narrow"/>
                <w:b/>
                <w:bCs/>
                <w:sz w:val="20"/>
                <w:szCs w:val="20"/>
                <w:lang w:eastAsia="en-AU"/>
              </w:rPr>
              <w:t>95% CI</w:t>
            </w:r>
          </w:p>
        </w:tc>
        <w:tc>
          <w:tcPr>
            <w:tcW w:w="708" w:type="dxa"/>
            <w:vMerge/>
            <w:tcBorders>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rPr>
                <w:rFonts w:ascii="Arial Narrow" w:hAnsi="Arial Narrow" w:cs="Times New Roman"/>
                <w:sz w:val="20"/>
                <w:szCs w:val="20"/>
                <w:lang w:eastAsia="en-AU"/>
              </w:rPr>
            </w:pPr>
          </w:p>
        </w:tc>
      </w:tr>
      <w:tr w:rsidR="008D7D4C" w:rsidRPr="008B348A" w:rsidTr="00EA3F5D">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9100" w:type="dxa"/>
            <w:gridSpan w:val="13"/>
            <w:shd w:val="clear" w:color="auto" w:fill="auto"/>
          </w:tcPr>
          <w:p w:rsidR="008D7D4C" w:rsidRPr="0098559C" w:rsidRDefault="008D7D4C" w:rsidP="006C6E7A">
            <w:pPr>
              <w:keepNext/>
              <w:kinsoku w:val="0"/>
              <w:overflowPunct w:val="0"/>
              <w:autoSpaceDE w:val="0"/>
              <w:autoSpaceDN w:val="0"/>
              <w:adjustRightInd w:val="0"/>
              <w:spacing w:line="224" w:lineRule="exact"/>
              <w:rPr>
                <w:rFonts w:ascii="Arial Narrow" w:hAnsi="Arial Narrow" w:cs="Arial Narrow"/>
                <w:b/>
                <w:sz w:val="20"/>
                <w:szCs w:val="20"/>
                <w:lang w:eastAsia="en-AU"/>
              </w:rPr>
            </w:pPr>
            <w:r w:rsidRPr="0098559C">
              <w:rPr>
                <w:rFonts w:ascii="Arial Narrow" w:hAnsi="Arial Narrow" w:cs="Arial Narrow"/>
                <w:b/>
                <w:sz w:val="20"/>
                <w:szCs w:val="20"/>
                <w:lang w:eastAsia="en-AU"/>
              </w:rPr>
              <w:t>ZOE-50</w:t>
            </w:r>
          </w:p>
        </w:tc>
      </w:tr>
      <w:tr w:rsidR="00EA3F5D" w:rsidRPr="008B348A" w:rsidTr="00C107E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1021" w:type="dxa"/>
            <w:shd w:val="clear" w:color="auto" w:fill="auto"/>
          </w:tcPr>
          <w:p w:rsidR="008D7D4C" w:rsidRPr="0098559C" w:rsidRDefault="008D7D4C" w:rsidP="006C6E7A">
            <w:pPr>
              <w:keepNext/>
              <w:kinsoku w:val="0"/>
              <w:overflowPunct w:val="0"/>
              <w:autoSpaceDE w:val="0"/>
              <w:autoSpaceDN w:val="0"/>
              <w:adjustRightInd w:val="0"/>
              <w:spacing w:line="224"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50</w:t>
            </w:r>
            <w:r w:rsidRPr="0098559C">
              <w:rPr>
                <w:rFonts w:ascii="Arial Narrow" w:hAnsi="Arial Narrow" w:cs="Arial Narrow"/>
                <w:sz w:val="20"/>
                <w:szCs w:val="20"/>
                <w:lang w:eastAsia="en-AU"/>
              </w:rPr>
              <w:noBreakHyphen/>
              <w:t>59 years*</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491</w:t>
            </w:r>
          </w:p>
        </w:tc>
        <w:tc>
          <w:tcPr>
            <w:tcW w:w="425" w:type="dxa"/>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sz w:val="20"/>
                <w:szCs w:val="20"/>
                <w:lang w:eastAsia="en-AU"/>
              </w:rPr>
              <w:t>13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789.7</w:t>
            </w:r>
          </w:p>
        </w:tc>
        <w:tc>
          <w:tcPr>
            <w:tcW w:w="992" w:type="dxa"/>
            <w:shd w:val="clear" w:color="auto" w:fill="auto"/>
          </w:tcPr>
          <w:p w:rsidR="008D7D4C" w:rsidRPr="0098559C" w:rsidRDefault="008D7D4C" w:rsidP="00C107E7">
            <w:pPr>
              <w:keepNext/>
              <w:kinsoku w:val="0"/>
              <w:overflowPunct w:val="0"/>
              <w:autoSpaceDE w:val="0"/>
              <w:autoSpaceDN w:val="0"/>
              <w:adjustRightInd w:val="0"/>
              <w:spacing w:line="224" w:lineRule="exact"/>
              <w:ind w:right="42"/>
              <w:jc w:val="center"/>
              <w:rPr>
                <w:rFonts w:ascii="Arial Narrow" w:hAnsi="Arial Narrow" w:cs="Times New Roman"/>
                <w:sz w:val="20"/>
                <w:szCs w:val="20"/>
                <w:lang w:eastAsia="en-AU"/>
              </w:rPr>
            </w:pPr>
            <w:r w:rsidRPr="0098559C">
              <w:rPr>
                <w:rFonts w:ascii="Arial Narrow" w:hAnsi="Arial Narrow" w:cs="Arial Narrow"/>
                <w:sz w:val="20"/>
                <w:szCs w:val="20"/>
                <w:lang w:eastAsia="en-AU"/>
              </w:rPr>
              <w:t>0</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7"/>
              <w:jc w:val="center"/>
              <w:rPr>
                <w:rFonts w:ascii="Arial Narrow" w:hAnsi="Arial Narrow" w:cs="Times New Roman"/>
                <w:sz w:val="20"/>
                <w:szCs w:val="20"/>
                <w:lang w:eastAsia="en-AU"/>
              </w:rPr>
            </w:pPr>
            <w:r w:rsidRPr="0098559C">
              <w:rPr>
                <w:rFonts w:ascii="Arial Narrow" w:hAnsi="Arial Narrow" w:cs="Arial Narrow"/>
                <w:sz w:val="20"/>
                <w:szCs w:val="20"/>
                <w:lang w:eastAsia="en-AU"/>
              </w:rPr>
              <w:t>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523</w:t>
            </w:r>
          </w:p>
        </w:tc>
        <w:tc>
          <w:tcPr>
            <w:tcW w:w="425"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w w:val="99"/>
                <w:sz w:val="20"/>
                <w:szCs w:val="20"/>
                <w:lang w:eastAsia="en-AU"/>
              </w:rPr>
              <w:t>8</w:t>
            </w:r>
          </w:p>
        </w:tc>
        <w:tc>
          <w:tcPr>
            <w:tcW w:w="851"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6"/>
              <w:jc w:val="center"/>
              <w:rPr>
                <w:rFonts w:ascii="Arial Narrow" w:hAnsi="Arial Narrow" w:cs="Times New Roman"/>
                <w:sz w:val="20"/>
                <w:szCs w:val="20"/>
                <w:lang w:eastAsia="en-AU"/>
              </w:rPr>
            </w:pPr>
            <w:r w:rsidRPr="0098559C">
              <w:rPr>
                <w:rFonts w:ascii="Arial Narrow" w:hAnsi="Arial Narrow" w:cs="Arial Narrow"/>
                <w:sz w:val="20"/>
                <w:szCs w:val="20"/>
                <w:lang w:eastAsia="en-AU"/>
              </w:rPr>
              <w:t>13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928.7</w:t>
            </w:r>
          </w:p>
        </w:tc>
        <w:tc>
          <w:tcPr>
            <w:tcW w:w="850" w:type="dxa"/>
            <w:shd w:val="clear" w:color="auto" w:fill="auto"/>
          </w:tcPr>
          <w:p w:rsidR="008D7D4C" w:rsidRPr="0098559C" w:rsidRDefault="008D7D4C" w:rsidP="006C6E7A">
            <w:pPr>
              <w:keepNext/>
              <w:kinsoku w:val="0"/>
              <w:overflowPunct w:val="0"/>
              <w:autoSpaceDE w:val="0"/>
              <w:autoSpaceDN w:val="0"/>
              <w:adjustRightInd w:val="0"/>
              <w:spacing w:line="224" w:lineRule="exact"/>
              <w:ind w:right="4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0.6</w:t>
            </w:r>
          </w:p>
        </w:tc>
        <w:tc>
          <w:tcPr>
            <w:tcW w:w="567" w:type="dxa"/>
            <w:shd w:val="clear" w:color="auto" w:fill="auto"/>
          </w:tcPr>
          <w:p w:rsidR="008D7D4C" w:rsidRPr="0098559C" w:rsidRDefault="008D7D4C" w:rsidP="00C107E7">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98559C">
              <w:rPr>
                <w:rFonts w:ascii="Arial Narrow" w:hAnsi="Arial Narrow" w:cs="Arial Narrow"/>
                <w:sz w:val="20"/>
                <w:szCs w:val="20"/>
                <w:lang w:eastAsia="en-AU"/>
              </w:rPr>
              <w:t>40.88</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100.00</w:t>
            </w:r>
          </w:p>
        </w:tc>
        <w:tc>
          <w:tcPr>
            <w:tcW w:w="708"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0.0081</w:t>
            </w:r>
          </w:p>
        </w:tc>
      </w:tr>
      <w:tr w:rsidR="00EA3F5D" w:rsidRPr="008B348A" w:rsidTr="00C107E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1021" w:type="dxa"/>
            <w:shd w:val="clear" w:color="auto" w:fill="auto"/>
          </w:tcPr>
          <w:p w:rsidR="008D7D4C" w:rsidRPr="0098559C" w:rsidRDefault="008D7D4C" w:rsidP="006C6E7A">
            <w:pPr>
              <w:keepNext/>
              <w:kinsoku w:val="0"/>
              <w:overflowPunct w:val="0"/>
              <w:autoSpaceDE w:val="0"/>
              <w:autoSpaceDN w:val="0"/>
              <w:adjustRightInd w:val="0"/>
              <w:spacing w:line="224"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60-69 years*</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140</w:t>
            </w:r>
          </w:p>
        </w:tc>
        <w:tc>
          <w:tcPr>
            <w:tcW w:w="425" w:type="dxa"/>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sz w:val="20"/>
                <w:szCs w:val="20"/>
                <w:lang w:eastAsia="en-AU"/>
              </w:rPr>
              <w:t>8</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621.4</w:t>
            </w:r>
          </w:p>
        </w:tc>
        <w:tc>
          <w:tcPr>
            <w:tcW w:w="992" w:type="dxa"/>
            <w:shd w:val="clear" w:color="auto" w:fill="auto"/>
          </w:tcPr>
          <w:p w:rsidR="008D7D4C" w:rsidRPr="0098559C" w:rsidRDefault="008D7D4C" w:rsidP="00C107E7">
            <w:pPr>
              <w:keepNext/>
              <w:kinsoku w:val="0"/>
              <w:overflowPunct w:val="0"/>
              <w:autoSpaceDE w:val="0"/>
              <w:autoSpaceDN w:val="0"/>
              <w:adjustRightInd w:val="0"/>
              <w:spacing w:line="224" w:lineRule="exact"/>
              <w:ind w:right="42"/>
              <w:jc w:val="center"/>
              <w:rPr>
                <w:rFonts w:ascii="Arial Narrow" w:hAnsi="Arial Narrow" w:cs="Times New Roman"/>
                <w:sz w:val="20"/>
                <w:szCs w:val="20"/>
                <w:lang w:eastAsia="en-AU"/>
              </w:rPr>
            </w:pPr>
            <w:r w:rsidRPr="0098559C">
              <w:rPr>
                <w:rFonts w:ascii="Arial Narrow" w:hAnsi="Arial Narrow" w:cs="Arial Narrow"/>
                <w:sz w:val="20"/>
                <w:szCs w:val="20"/>
                <w:lang w:eastAsia="en-AU"/>
              </w:rPr>
              <w:t>0</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7"/>
              <w:jc w:val="center"/>
              <w:rPr>
                <w:rFonts w:ascii="Arial Narrow" w:hAnsi="Arial Narrow" w:cs="Times New Roman"/>
                <w:sz w:val="20"/>
                <w:szCs w:val="20"/>
                <w:lang w:eastAsia="en-AU"/>
              </w:rPr>
            </w:pPr>
            <w:r w:rsidRPr="0098559C">
              <w:rPr>
                <w:rFonts w:ascii="Arial Narrow" w:hAnsi="Arial Narrow" w:cs="Arial Narrow"/>
                <w:sz w:val="20"/>
                <w:szCs w:val="20"/>
                <w:lang w:eastAsia="en-AU"/>
              </w:rPr>
              <w:t>2</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166</w:t>
            </w:r>
          </w:p>
        </w:tc>
        <w:tc>
          <w:tcPr>
            <w:tcW w:w="425"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w w:val="99"/>
                <w:sz w:val="20"/>
                <w:szCs w:val="20"/>
                <w:lang w:eastAsia="en-AU"/>
              </w:rPr>
              <w:t>2</w:t>
            </w:r>
          </w:p>
        </w:tc>
        <w:tc>
          <w:tcPr>
            <w:tcW w:w="851"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6"/>
              <w:jc w:val="center"/>
              <w:rPr>
                <w:rFonts w:ascii="Arial Narrow" w:hAnsi="Arial Narrow" w:cs="Times New Roman"/>
                <w:sz w:val="20"/>
                <w:szCs w:val="20"/>
                <w:lang w:eastAsia="en-AU"/>
              </w:rPr>
            </w:pPr>
            <w:r w:rsidRPr="0098559C">
              <w:rPr>
                <w:rFonts w:ascii="Arial Narrow" w:hAnsi="Arial Narrow" w:cs="Arial Narrow"/>
                <w:sz w:val="20"/>
                <w:szCs w:val="20"/>
                <w:lang w:eastAsia="en-AU"/>
              </w:rPr>
              <w:t>8</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674.4</w:t>
            </w:r>
          </w:p>
        </w:tc>
        <w:tc>
          <w:tcPr>
            <w:tcW w:w="850" w:type="dxa"/>
            <w:shd w:val="clear" w:color="auto" w:fill="auto"/>
          </w:tcPr>
          <w:p w:rsidR="008D7D4C" w:rsidRPr="0098559C" w:rsidRDefault="008D7D4C" w:rsidP="006C6E7A">
            <w:pPr>
              <w:keepNext/>
              <w:kinsoku w:val="0"/>
              <w:overflowPunct w:val="0"/>
              <w:autoSpaceDE w:val="0"/>
              <w:autoSpaceDN w:val="0"/>
              <w:adjustRightInd w:val="0"/>
              <w:spacing w:line="224" w:lineRule="exact"/>
              <w:ind w:right="4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0.2</w:t>
            </w:r>
          </w:p>
        </w:tc>
        <w:tc>
          <w:tcPr>
            <w:tcW w:w="567" w:type="dxa"/>
            <w:shd w:val="clear" w:color="auto" w:fill="auto"/>
          </w:tcPr>
          <w:p w:rsidR="008D7D4C" w:rsidRPr="0098559C" w:rsidRDefault="008D7D4C" w:rsidP="00C107E7">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98559C">
              <w:rPr>
                <w:rFonts w:ascii="Arial Narrow" w:hAnsi="Arial Narrow" w:cs="Arial Narrow"/>
                <w:sz w:val="20"/>
                <w:szCs w:val="20"/>
                <w:lang w:eastAsia="en-AU"/>
              </w:rPr>
              <w:t>-442.83</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100.00</w:t>
            </w:r>
          </w:p>
        </w:tc>
        <w:tc>
          <w:tcPr>
            <w:tcW w:w="708"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0.5097</w:t>
            </w:r>
          </w:p>
        </w:tc>
      </w:tr>
      <w:tr w:rsidR="00EA3F5D" w:rsidRPr="008B348A" w:rsidTr="00C107E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1021" w:type="dxa"/>
            <w:shd w:val="clear" w:color="auto" w:fill="auto"/>
          </w:tcPr>
          <w:p w:rsidR="008D7D4C" w:rsidRPr="0098559C" w:rsidRDefault="008D7D4C" w:rsidP="006C6E7A">
            <w:pPr>
              <w:keepNext/>
              <w:kinsoku w:val="0"/>
              <w:overflowPunct w:val="0"/>
              <w:autoSpaceDE w:val="0"/>
              <w:autoSpaceDN w:val="0"/>
              <w:adjustRightInd w:val="0"/>
              <w:spacing w:line="224" w:lineRule="exact"/>
              <w:jc w:val="left"/>
              <w:rPr>
                <w:rFonts w:ascii="Arial Narrow" w:hAnsi="Arial Narrow" w:cs="Arial Narrow"/>
                <w:sz w:val="20"/>
                <w:szCs w:val="20"/>
                <w:lang w:eastAsia="en-AU"/>
              </w:rPr>
            </w:pPr>
            <w:r w:rsidRPr="0098559C">
              <w:rPr>
                <w:rFonts w:ascii="Arial Narrow" w:hAnsi="Arial Narrow" w:cs="Arial Narrow"/>
                <w:sz w:val="20"/>
                <w:szCs w:val="20"/>
                <w:lang w:eastAsia="en-AU"/>
              </w:rPr>
              <w:t>≥70 years*</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709</w:t>
            </w:r>
          </w:p>
        </w:tc>
        <w:tc>
          <w:tcPr>
            <w:tcW w:w="425" w:type="dxa"/>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323.4</w:t>
            </w:r>
          </w:p>
        </w:tc>
        <w:tc>
          <w:tcPr>
            <w:tcW w:w="992" w:type="dxa"/>
            <w:shd w:val="clear" w:color="auto" w:fill="auto"/>
          </w:tcPr>
          <w:p w:rsidR="008D7D4C" w:rsidRPr="0098559C" w:rsidRDefault="008D7D4C" w:rsidP="00C107E7">
            <w:pPr>
              <w:keepNext/>
              <w:kinsoku w:val="0"/>
              <w:overflowPunct w:val="0"/>
              <w:autoSpaceDE w:val="0"/>
              <w:autoSpaceDN w:val="0"/>
              <w:adjustRightInd w:val="0"/>
              <w:spacing w:line="224" w:lineRule="exact"/>
              <w:ind w:right="42"/>
              <w:jc w:val="center"/>
              <w:rPr>
                <w:rFonts w:ascii="Arial Narrow" w:hAnsi="Arial Narrow" w:cs="Arial Narrow"/>
                <w:sz w:val="20"/>
                <w:szCs w:val="20"/>
                <w:lang w:eastAsia="en-AU"/>
              </w:rPr>
            </w:pPr>
            <w:r w:rsidRPr="0098559C">
              <w:rPr>
                <w:rFonts w:ascii="Arial Narrow" w:hAnsi="Arial Narrow" w:cs="Arial Narrow"/>
                <w:sz w:val="20"/>
                <w:szCs w:val="20"/>
                <w:lang w:eastAsia="en-AU"/>
              </w:rPr>
              <w:t>0</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7"/>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724</w:t>
            </w:r>
          </w:p>
        </w:tc>
        <w:tc>
          <w:tcPr>
            <w:tcW w:w="425"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w w:val="99"/>
                <w:sz w:val="20"/>
                <w:szCs w:val="20"/>
                <w:lang w:eastAsia="en-AU"/>
              </w:rPr>
            </w:pPr>
            <w:r w:rsidRPr="0098559C">
              <w:rPr>
                <w:rFonts w:ascii="Arial Narrow" w:hAnsi="Arial Narrow" w:cs="Arial Narrow"/>
                <w:sz w:val="20"/>
                <w:szCs w:val="20"/>
                <w:lang w:eastAsia="en-AU"/>
              </w:rPr>
              <w:t>8</w:t>
            </w:r>
          </w:p>
        </w:tc>
        <w:tc>
          <w:tcPr>
            <w:tcW w:w="851"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6"/>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340.6</w:t>
            </w:r>
          </w:p>
        </w:tc>
        <w:tc>
          <w:tcPr>
            <w:tcW w:w="850" w:type="dxa"/>
            <w:shd w:val="clear" w:color="auto" w:fill="auto"/>
          </w:tcPr>
          <w:p w:rsidR="008D7D4C" w:rsidRPr="0098559C" w:rsidRDefault="008D7D4C" w:rsidP="006C6E7A">
            <w:pPr>
              <w:keepNext/>
              <w:kinsoku w:val="0"/>
              <w:overflowPunct w:val="0"/>
              <w:autoSpaceDE w:val="0"/>
              <w:autoSpaceDN w:val="0"/>
              <w:adjustRightInd w:val="0"/>
              <w:spacing w:line="224" w:lineRule="exact"/>
              <w:ind w:right="45"/>
              <w:jc w:val="center"/>
              <w:rPr>
                <w:rFonts w:ascii="Arial Narrow" w:hAnsi="Arial Narrow" w:cs="Arial Narrow"/>
                <w:sz w:val="20"/>
                <w:szCs w:val="20"/>
                <w:lang w:eastAsia="en-AU"/>
              </w:rPr>
            </w:pPr>
            <w:r w:rsidRPr="0098559C">
              <w:rPr>
                <w:rFonts w:ascii="Arial Narrow" w:hAnsi="Arial Narrow" w:cs="Arial Narrow"/>
                <w:sz w:val="20"/>
                <w:szCs w:val="20"/>
                <w:lang w:eastAsia="en-AU"/>
              </w:rPr>
              <w:t>1.3</w:t>
            </w:r>
          </w:p>
        </w:tc>
        <w:tc>
          <w:tcPr>
            <w:tcW w:w="567" w:type="dxa"/>
            <w:shd w:val="clear" w:color="auto" w:fill="auto"/>
          </w:tcPr>
          <w:p w:rsidR="008D7D4C" w:rsidRPr="0098559C" w:rsidRDefault="008D7D4C" w:rsidP="00C107E7">
            <w:pPr>
              <w:keepNext/>
              <w:kinsoku w:val="0"/>
              <w:overflowPunct w:val="0"/>
              <w:autoSpaceDE w:val="0"/>
              <w:autoSpaceDN w:val="0"/>
              <w:adjustRightInd w:val="0"/>
              <w:spacing w:line="224" w:lineRule="exact"/>
              <w:ind w:right="23"/>
              <w:jc w:val="center"/>
              <w:rPr>
                <w:rFonts w:ascii="Arial Narrow" w:hAnsi="Arial Narrow" w:cs="Arial Narrow"/>
                <w:sz w:val="20"/>
                <w:szCs w:val="20"/>
                <w:lang w:eastAsia="en-AU"/>
              </w:rPr>
            </w:pPr>
            <w:r w:rsidRPr="0098559C">
              <w:rPr>
                <w:rFonts w:ascii="Arial Narrow" w:hAnsi="Arial Narrow" w:cs="Arial Narrow"/>
                <w:sz w:val="20"/>
                <w:szCs w:val="20"/>
                <w:lang w:eastAsia="en-AU"/>
              </w:rPr>
              <w:t>100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Arial Narrow"/>
                <w:sz w:val="20"/>
                <w:szCs w:val="20"/>
                <w:lang w:eastAsia="en-AU"/>
              </w:rPr>
            </w:pPr>
            <w:r w:rsidRPr="0098559C">
              <w:rPr>
                <w:rFonts w:ascii="Arial Narrow" w:hAnsi="Arial Narrow" w:cs="Arial Narrow"/>
                <w:sz w:val="20"/>
                <w:szCs w:val="20"/>
                <w:lang w:eastAsia="en-AU"/>
              </w:rPr>
              <w:t>41.40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3"/>
              <w:jc w:val="center"/>
              <w:rPr>
                <w:rFonts w:ascii="Arial Narrow" w:hAnsi="Arial Narrow" w:cs="Arial Narrow"/>
                <w:sz w:val="20"/>
                <w:szCs w:val="20"/>
                <w:lang w:eastAsia="en-AU"/>
              </w:rPr>
            </w:pPr>
            <w:r w:rsidRPr="0098559C">
              <w:rPr>
                <w:rFonts w:ascii="Arial Narrow" w:hAnsi="Arial Narrow" w:cs="Arial Narrow"/>
                <w:sz w:val="20"/>
                <w:szCs w:val="20"/>
                <w:lang w:eastAsia="en-AU"/>
              </w:rPr>
              <w:t>100.00</w:t>
            </w:r>
          </w:p>
        </w:tc>
        <w:tc>
          <w:tcPr>
            <w:tcW w:w="708"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5"/>
              <w:jc w:val="center"/>
              <w:rPr>
                <w:rFonts w:ascii="Arial Narrow" w:hAnsi="Arial Narrow" w:cs="Arial Narrow"/>
                <w:sz w:val="20"/>
                <w:szCs w:val="20"/>
                <w:lang w:eastAsia="en-AU"/>
              </w:rPr>
            </w:pPr>
            <w:r w:rsidRPr="0098559C">
              <w:rPr>
                <w:rFonts w:ascii="Arial Narrow" w:hAnsi="Arial Narrow" w:cs="Arial Narrow"/>
                <w:sz w:val="20"/>
                <w:szCs w:val="20"/>
                <w:lang w:eastAsia="en-AU"/>
              </w:rPr>
              <w:t>0.0078</w:t>
            </w:r>
          </w:p>
        </w:tc>
      </w:tr>
      <w:tr w:rsidR="00EA3F5D" w:rsidRPr="008B348A" w:rsidTr="00C107E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1021" w:type="dxa"/>
            <w:shd w:val="clear" w:color="auto" w:fill="auto"/>
          </w:tcPr>
          <w:p w:rsidR="008D7D4C" w:rsidRPr="0098559C" w:rsidRDefault="008D7D4C" w:rsidP="006C6E7A">
            <w:pPr>
              <w:keepNext/>
              <w:kinsoku w:val="0"/>
              <w:overflowPunct w:val="0"/>
              <w:autoSpaceDE w:val="0"/>
              <w:autoSpaceDN w:val="0"/>
              <w:adjustRightInd w:val="0"/>
              <w:spacing w:line="224"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≥60 years*</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849</w:t>
            </w:r>
          </w:p>
        </w:tc>
        <w:tc>
          <w:tcPr>
            <w:tcW w:w="425" w:type="dxa"/>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sz w:val="20"/>
                <w:szCs w:val="20"/>
                <w:lang w:eastAsia="en-AU"/>
              </w:rPr>
              <w:t>14</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944.8</w:t>
            </w:r>
          </w:p>
        </w:tc>
        <w:tc>
          <w:tcPr>
            <w:tcW w:w="992" w:type="dxa"/>
            <w:shd w:val="clear" w:color="auto" w:fill="auto"/>
          </w:tcPr>
          <w:p w:rsidR="008D7D4C" w:rsidRPr="0098559C" w:rsidRDefault="008D7D4C" w:rsidP="00C107E7">
            <w:pPr>
              <w:keepNext/>
              <w:kinsoku w:val="0"/>
              <w:overflowPunct w:val="0"/>
              <w:autoSpaceDE w:val="0"/>
              <w:autoSpaceDN w:val="0"/>
              <w:adjustRightInd w:val="0"/>
              <w:spacing w:line="224" w:lineRule="exact"/>
              <w:ind w:right="42"/>
              <w:jc w:val="center"/>
              <w:rPr>
                <w:rFonts w:ascii="Arial Narrow" w:hAnsi="Arial Narrow" w:cs="Times New Roman"/>
                <w:sz w:val="20"/>
                <w:szCs w:val="20"/>
                <w:lang w:eastAsia="en-AU"/>
              </w:rPr>
            </w:pPr>
            <w:r w:rsidRPr="0098559C">
              <w:rPr>
                <w:rFonts w:ascii="Arial Narrow" w:hAnsi="Arial Narrow" w:cs="Arial Narrow"/>
                <w:sz w:val="20"/>
                <w:szCs w:val="20"/>
                <w:lang w:eastAsia="en-AU"/>
              </w:rPr>
              <w:t>0</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7"/>
              <w:jc w:val="center"/>
              <w:rPr>
                <w:rFonts w:ascii="Arial Narrow" w:hAnsi="Arial Narrow" w:cs="Times New Roman"/>
                <w:sz w:val="20"/>
                <w:szCs w:val="20"/>
                <w:lang w:eastAsia="en-AU"/>
              </w:rPr>
            </w:pPr>
            <w:r w:rsidRPr="0098559C">
              <w:rPr>
                <w:rFonts w:ascii="Arial Narrow" w:hAnsi="Arial Narrow" w:cs="Arial Narrow"/>
                <w:sz w:val="20"/>
                <w:szCs w:val="20"/>
                <w:lang w:eastAsia="en-AU"/>
              </w:rPr>
              <w:t>3</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890</w:t>
            </w:r>
          </w:p>
        </w:tc>
        <w:tc>
          <w:tcPr>
            <w:tcW w:w="425"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4"/>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w:t>
            </w:r>
          </w:p>
        </w:tc>
        <w:tc>
          <w:tcPr>
            <w:tcW w:w="851"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6"/>
              <w:jc w:val="center"/>
              <w:rPr>
                <w:rFonts w:ascii="Arial Narrow" w:hAnsi="Arial Narrow" w:cs="Times New Roman"/>
                <w:sz w:val="20"/>
                <w:szCs w:val="20"/>
                <w:lang w:eastAsia="en-AU"/>
              </w:rPr>
            </w:pPr>
            <w:r w:rsidRPr="0098559C">
              <w:rPr>
                <w:rFonts w:ascii="Arial Narrow" w:hAnsi="Arial Narrow" w:cs="Arial Narrow"/>
                <w:sz w:val="20"/>
                <w:szCs w:val="20"/>
                <w:lang w:eastAsia="en-AU"/>
              </w:rPr>
              <w:t>15</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015.0</w:t>
            </w:r>
          </w:p>
        </w:tc>
        <w:tc>
          <w:tcPr>
            <w:tcW w:w="850" w:type="dxa"/>
            <w:shd w:val="clear" w:color="auto" w:fill="auto"/>
          </w:tcPr>
          <w:p w:rsidR="008D7D4C" w:rsidRPr="0098559C" w:rsidRDefault="008D7D4C" w:rsidP="006C6E7A">
            <w:pPr>
              <w:keepNext/>
              <w:kinsoku w:val="0"/>
              <w:overflowPunct w:val="0"/>
              <w:autoSpaceDE w:val="0"/>
              <w:autoSpaceDN w:val="0"/>
              <w:adjustRightInd w:val="0"/>
              <w:spacing w:line="224" w:lineRule="exact"/>
              <w:ind w:right="4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0.7</w:t>
            </w:r>
          </w:p>
        </w:tc>
        <w:tc>
          <w:tcPr>
            <w:tcW w:w="567" w:type="dxa"/>
            <w:shd w:val="clear" w:color="auto" w:fill="auto"/>
          </w:tcPr>
          <w:p w:rsidR="008D7D4C" w:rsidRPr="0098559C" w:rsidRDefault="008D7D4C" w:rsidP="00C107E7">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98559C">
              <w:rPr>
                <w:rFonts w:ascii="Arial Narrow" w:hAnsi="Arial Narrow" w:cs="Arial Narrow"/>
                <w:sz w:val="20"/>
                <w:szCs w:val="20"/>
                <w:lang w:eastAsia="en-AU"/>
              </w:rPr>
              <w:t>55.25</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sz w:val="20"/>
                <w:szCs w:val="20"/>
                <w:lang w:eastAsia="en-AU"/>
              </w:rPr>
              <w:t>100.00</w:t>
            </w:r>
          </w:p>
        </w:tc>
        <w:tc>
          <w:tcPr>
            <w:tcW w:w="708"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5"/>
              <w:jc w:val="center"/>
              <w:rPr>
                <w:rFonts w:ascii="Arial Narrow" w:hAnsi="Arial Narrow" w:cs="Times New Roman"/>
                <w:sz w:val="20"/>
                <w:szCs w:val="20"/>
                <w:lang w:eastAsia="en-AU"/>
              </w:rPr>
            </w:pPr>
            <w:r w:rsidRPr="0098559C">
              <w:rPr>
                <w:rFonts w:ascii="Arial Narrow" w:hAnsi="Arial Narrow" w:cs="Arial Narrow"/>
                <w:sz w:val="20"/>
                <w:szCs w:val="20"/>
                <w:lang w:eastAsia="en-AU"/>
              </w:rPr>
              <w:t>0.0020</w:t>
            </w:r>
          </w:p>
        </w:tc>
      </w:tr>
      <w:tr w:rsidR="00EA3F5D" w:rsidRPr="008B348A" w:rsidTr="00C107E7">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1021" w:type="dxa"/>
            <w:shd w:val="clear" w:color="auto" w:fill="auto"/>
          </w:tcPr>
          <w:p w:rsidR="008D7D4C" w:rsidRPr="0098559C" w:rsidRDefault="008D7D4C" w:rsidP="006C6E7A">
            <w:pPr>
              <w:keepNext/>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98559C">
              <w:rPr>
                <w:rFonts w:ascii="Arial Narrow" w:hAnsi="Arial Narrow" w:cs="Symbol"/>
                <w:b/>
                <w:bCs/>
                <w:sz w:val="20"/>
                <w:szCs w:val="20"/>
                <w:lang w:eastAsia="en-AU"/>
              </w:rPr>
              <w:t>≥</w:t>
            </w:r>
            <w:r w:rsidRPr="0098559C">
              <w:rPr>
                <w:rFonts w:ascii="Arial Narrow" w:hAnsi="Arial Narrow" w:cs="Arial Narrow"/>
                <w:b/>
                <w:bCs/>
                <w:sz w:val="20"/>
                <w:szCs w:val="20"/>
                <w:lang w:eastAsia="en-AU"/>
              </w:rPr>
              <w:t>50 years**</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8"/>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7</w:t>
            </w:r>
            <w:r w:rsidR="0006591F" w:rsidRPr="0098559C">
              <w:rPr>
                <w:rFonts w:ascii="Arial Narrow" w:hAnsi="Arial Narrow" w:cs="Arial Narrow"/>
                <w:b/>
                <w:bCs/>
                <w:sz w:val="20"/>
                <w:szCs w:val="20"/>
                <w:lang w:eastAsia="en-AU"/>
              </w:rPr>
              <w:t>,</w:t>
            </w:r>
            <w:r w:rsidRPr="0098559C">
              <w:rPr>
                <w:rFonts w:ascii="Arial Narrow" w:hAnsi="Arial Narrow" w:cs="Arial Narrow"/>
                <w:b/>
                <w:bCs/>
                <w:sz w:val="20"/>
                <w:szCs w:val="20"/>
                <w:lang w:eastAsia="en-AU"/>
              </w:rPr>
              <w:t>340</w:t>
            </w:r>
          </w:p>
        </w:tc>
        <w:tc>
          <w:tcPr>
            <w:tcW w:w="425" w:type="dxa"/>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b/>
                <w:bCs/>
                <w:sz w:val="20"/>
                <w:szCs w:val="20"/>
                <w:lang w:eastAsia="en-AU"/>
              </w:rPr>
            </w:pPr>
            <w:r w:rsidRPr="0098559C">
              <w:rPr>
                <w:rFonts w:ascii="Arial Narrow" w:hAnsi="Arial Narrow" w:cs="Arial Narrow"/>
                <w:b/>
                <w:bCs/>
                <w:sz w:val="20"/>
                <w:szCs w:val="20"/>
                <w:lang w:eastAsia="en-AU"/>
              </w:rPr>
              <w:t>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28</w:t>
            </w:r>
            <w:r w:rsidR="0006591F" w:rsidRPr="0098559C">
              <w:rPr>
                <w:rFonts w:ascii="Arial Narrow" w:hAnsi="Arial Narrow" w:cs="Arial Narrow"/>
                <w:b/>
                <w:bCs/>
                <w:sz w:val="20"/>
                <w:szCs w:val="20"/>
                <w:lang w:eastAsia="en-AU"/>
              </w:rPr>
              <w:t>,</w:t>
            </w:r>
            <w:r w:rsidRPr="0098559C">
              <w:rPr>
                <w:rFonts w:ascii="Arial Narrow" w:hAnsi="Arial Narrow" w:cs="Arial Narrow"/>
                <w:b/>
                <w:bCs/>
                <w:sz w:val="20"/>
                <w:szCs w:val="20"/>
                <w:lang w:eastAsia="en-AU"/>
              </w:rPr>
              <w:t>734.6</w:t>
            </w:r>
          </w:p>
        </w:tc>
        <w:tc>
          <w:tcPr>
            <w:tcW w:w="992" w:type="dxa"/>
            <w:shd w:val="clear" w:color="auto" w:fill="auto"/>
          </w:tcPr>
          <w:p w:rsidR="008D7D4C" w:rsidRPr="0098559C" w:rsidRDefault="008D7D4C" w:rsidP="00C107E7">
            <w:pPr>
              <w:keepNext/>
              <w:kinsoku w:val="0"/>
              <w:overflowPunct w:val="0"/>
              <w:autoSpaceDE w:val="0"/>
              <w:autoSpaceDN w:val="0"/>
              <w:adjustRightInd w:val="0"/>
              <w:spacing w:line="224" w:lineRule="exact"/>
              <w:ind w:right="42"/>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0</w:t>
            </w:r>
          </w:p>
        </w:tc>
        <w:tc>
          <w:tcPr>
            <w:tcW w:w="567"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7"/>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7</w:t>
            </w:r>
            <w:r w:rsidR="0006591F" w:rsidRPr="0098559C">
              <w:rPr>
                <w:rFonts w:ascii="Arial Narrow" w:hAnsi="Arial Narrow" w:cs="Arial Narrow"/>
                <w:b/>
                <w:bCs/>
                <w:sz w:val="20"/>
                <w:szCs w:val="20"/>
                <w:lang w:eastAsia="en-AU"/>
              </w:rPr>
              <w:t>,</w:t>
            </w:r>
            <w:r w:rsidRPr="0098559C">
              <w:rPr>
                <w:rFonts w:ascii="Arial Narrow" w:hAnsi="Arial Narrow" w:cs="Arial Narrow"/>
                <w:b/>
                <w:bCs/>
                <w:sz w:val="20"/>
                <w:szCs w:val="20"/>
                <w:lang w:eastAsia="en-AU"/>
              </w:rPr>
              <w:t>413</w:t>
            </w:r>
          </w:p>
        </w:tc>
        <w:tc>
          <w:tcPr>
            <w:tcW w:w="425" w:type="dxa"/>
            <w:shd w:val="clear" w:color="auto" w:fill="auto"/>
          </w:tcPr>
          <w:p w:rsidR="008D7D4C" w:rsidRPr="0098559C" w:rsidRDefault="008D7D4C" w:rsidP="006C6E7A">
            <w:pPr>
              <w:keepNext/>
              <w:kinsoku w:val="0"/>
              <w:overflowPunct w:val="0"/>
              <w:autoSpaceDE w:val="0"/>
              <w:autoSpaceDN w:val="0"/>
              <w:adjustRightInd w:val="0"/>
              <w:spacing w:line="224" w:lineRule="exact"/>
              <w:ind w:right="14"/>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18</w:t>
            </w:r>
          </w:p>
        </w:tc>
        <w:tc>
          <w:tcPr>
            <w:tcW w:w="851"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6"/>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28</w:t>
            </w:r>
            <w:r w:rsidR="0006591F" w:rsidRPr="0098559C">
              <w:rPr>
                <w:rFonts w:ascii="Arial Narrow" w:hAnsi="Arial Narrow" w:cs="Arial Narrow"/>
                <w:b/>
                <w:bCs/>
                <w:sz w:val="20"/>
                <w:szCs w:val="20"/>
                <w:lang w:eastAsia="en-AU"/>
              </w:rPr>
              <w:t>,</w:t>
            </w:r>
            <w:r w:rsidRPr="0098559C">
              <w:rPr>
                <w:rFonts w:ascii="Arial Narrow" w:hAnsi="Arial Narrow" w:cs="Arial Narrow"/>
                <w:b/>
                <w:bCs/>
                <w:sz w:val="20"/>
                <w:szCs w:val="20"/>
                <w:lang w:eastAsia="en-AU"/>
              </w:rPr>
              <w:t>943.7</w:t>
            </w:r>
          </w:p>
        </w:tc>
        <w:tc>
          <w:tcPr>
            <w:tcW w:w="850" w:type="dxa"/>
            <w:shd w:val="clear" w:color="auto" w:fill="auto"/>
          </w:tcPr>
          <w:p w:rsidR="008D7D4C" w:rsidRPr="0098559C" w:rsidRDefault="008D7D4C" w:rsidP="006C6E7A">
            <w:pPr>
              <w:keepNext/>
              <w:kinsoku w:val="0"/>
              <w:overflowPunct w:val="0"/>
              <w:autoSpaceDE w:val="0"/>
              <w:autoSpaceDN w:val="0"/>
              <w:adjustRightInd w:val="0"/>
              <w:spacing w:line="224" w:lineRule="exact"/>
              <w:ind w:right="45"/>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0.6</w:t>
            </w:r>
          </w:p>
        </w:tc>
        <w:tc>
          <w:tcPr>
            <w:tcW w:w="567" w:type="dxa"/>
            <w:shd w:val="clear" w:color="auto" w:fill="auto"/>
          </w:tcPr>
          <w:p w:rsidR="008D7D4C" w:rsidRPr="0098559C" w:rsidRDefault="008D7D4C" w:rsidP="00C107E7">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100</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7"/>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77.11</w:t>
            </w:r>
          </w:p>
        </w:tc>
        <w:tc>
          <w:tcPr>
            <w:tcW w:w="709"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3"/>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100.00</w:t>
            </w:r>
          </w:p>
        </w:tc>
        <w:tc>
          <w:tcPr>
            <w:tcW w:w="708" w:type="dxa"/>
            <w:shd w:val="clear" w:color="auto" w:fill="auto"/>
          </w:tcPr>
          <w:p w:rsidR="008D7D4C" w:rsidRPr="0098559C" w:rsidRDefault="008D7D4C" w:rsidP="006C6E7A">
            <w:pPr>
              <w:keepNext/>
              <w:kinsoku w:val="0"/>
              <w:overflowPunct w:val="0"/>
              <w:autoSpaceDE w:val="0"/>
              <w:autoSpaceDN w:val="0"/>
              <w:adjustRightInd w:val="0"/>
              <w:spacing w:line="224" w:lineRule="exact"/>
              <w:ind w:right="25"/>
              <w:jc w:val="center"/>
              <w:rPr>
                <w:rFonts w:ascii="Arial Narrow" w:hAnsi="Arial Narrow" w:cs="Times New Roman"/>
                <w:sz w:val="20"/>
                <w:szCs w:val="20"/>
                <w:lang w:eastAsia="en-AU"/>
              </w:rPr>
            </w:pPr>
            <w:r w:rsidRPr="0098559C">
              <w:rPr>
                <w:rFonts w:ascii="Arial Narrow" w:hAnsi="Arial Narrow" w:cs="Arial Narrow"/>
                <w:b/>
                <w:bCs/>
                <w:sz w:val="20"/>
                <w:szCs w:val="20"/>
                <w:lang w:eastAsia="en-AU"/>
              </w:rPr>
              <w:t>&lt;0.0001</w:t>
            </w:r>
          </w:p>
        </w:tc>
      </w:tr>
      <w:tr w:rsidR="008D7D4C" w:rsidRPr="008B348A" w:rsidTr="00EA3F5D">
        <w:tblPrEx>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PrEx>
        <w:tc>
          <w:tcPr>
            <w:tcW w:w="9100" w:type="dxa"/>
            <w:gridSpan w:val="13"/>
            <w:shd w:val="clear" w:color="auto" w:fill="auto"/>
          </w:tcPr>
          <w:p w:rsidR="008D7D4C" w:rsidRPr="0098559C" w:rsidRDefault="008D7D4C" w:rsidP="006C6E7A">
            <w:pPr>
              <w:keepNext/>
              <w:kinsoku w:val="0"/>
              <w:overflowPunct w:val="0"/>
              <w:autoSpaceDE w:val="0"/>
              <w:autoSpaceDN w:val="0"/>
              <w:adjustRightInd w:val="0"/>
              <w:spacing w:line="224" w:lineRule="exact"/>
              <w:rPr>
                <w:rFonts w:ascii="Arial Narrow" w:hAnsi="Arial Narrow" w:cs="Arial Narrow"/>
                <w:b/>
                <w:sz w:val="20"/>
                <w:szCs w:val="20"/>
                <w:lang w:eastAsia="en-AU"/>
              </w:rPr>
            </w:pPr>
            <w:r w:rsidRPr="0098559C">
              <w:rPr>
                <w:rFonts w:ascii="Arial Narrow" w:hAnsi="Arial Narrow" w:cs="Arial Narrow"/>
                <w:b/>
                <w:sz w:val="20"/>
                <w:szCs w:val="20"/>
                <w:lang w:eastAsia="en-AU"/>
              </w:rPr>
              <w:t>ZOE-70</w:t>
            </w:r>
          </w:p>
        </w:tc>
      </w:tr>
      <w:tr w:rsidR="00EA3F5D" w:rsidRPr="008B348A"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70-79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5</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114</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19</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371.4</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5</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189</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22</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19</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571.1</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90.80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62.57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98.95</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&lt;0.0001</w:t>
            </w:r>
          </w:p>
        </w:tc>
      </w:tr>
      <w:tr w:rsidR="00EA3F5D" w:rsidRPr="008B348A"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≥80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427</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5</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065.5</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0.4</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433</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5</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030.3</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65.75</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-91.58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96.62</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0.3072</w:t>
            </w:r>
          </w:p>
        </w:tc>
      </w:tr>
      <w:tr w:rsidR="00EA3F5D" w:rsidRPr="00571CF2"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43" w:lineRule="exact"/>
              <w:jc w:val="left"/>
              <w:rPr>
                <w:rFonts w:ascii="Arial Narrow" w:hAnsi="Arial Narrow" w:cs="Times New Roman"/>
                <w:b/>
                <w:sz w:val="20"/>
                <w:szCs w:val="20"/>
                <w:lang w:eastAsia="en-AU"/>
              </w:rPr>
            </w:pPr>
            <w:r w:rsidRPr="00571CF2">
              <w:rPr>
                <w:rFonts w:ascii="Arial Narrow" w:hAnsi="Arial Narrow" w:cs="Arial Narrow"/>
                <w:b/>
                <w:bCs/>
                <w:sz w:val="20"/>
                <w:szCs w:val="20"/>
                <w:lang w:eastAsia="en-AU"/>
              </w:rPr>
              <w:t>≥70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6</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541</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24</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436.9</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0.2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6</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622</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28</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24</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601.4</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1.1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85.49</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58.52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96.30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&lt;0.0001</w:t>
            </w:r>
          </w:p>
        </w:tc>
      </w:tr>
      <w:tr w:rsidR="008D7D4C" w:rsidRPr="008B348A" w:rsidTr="00EA3F5D">
        <w:tc>
          <w:tcPr>
            <w:tcW w:w="9100" w:type="dxa"/>
            <w:gridSpan w:val="13"/>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rPr>
                <w:rFonts w:ascii="Arial Narrow" w:hAnsi="Arial Narrow" w:cs="Arial Narrow"/>
                <w:b/>
                <w:bCs/>
                <w:sz w:val="20"/>
                <w:szCs w:val="20"/>
                <w:lang w:eastAsia="en-AU"/>
              </w:rPr>
            </w:pPr>
            <w:r w:rsidRPr="0098559C">
              <w:rPr>
                <w:rFonts w:ascii="Arial Narrow" w:hAnsi="Arial Narrow" w:cs="Arial Narrow"/>
                <w:b/>
                <w:sz w:val="20"/>
                <w:szCs w:val="20"/>
                <w:lang w:eastAsia="en-AU"/>
              </w:rPr>
              <w:t>Pooled ZOE-50 and ZOE-70</w:t>
            </w:r>
          </w:p>
        </w:tc>
      </w:tr>
      <w:tr w:rsidR="00EA3F5D" w:rsidRPr="008B348A"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7"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70-79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468</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24</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438.8</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554</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29</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24</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660.4</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93.04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72.47</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99.19</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&lt;0.0001</w:t>
            </w:r>
          </w:p>
        </w:tc>
      </w:tr>
      <w:tr w:rsidR="00EA3F5D" w:rsidRPr="008B348A"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43" w:lineRule="exact"/>
              <w:jc w:val="left"/>
              <w:rPr>
                <w:rFonts w:ascii="Arial Narrow" w:hAnsi="Arial Narrow" w:cs="Times New Roman"/>
                <w:sz w:val="20"/>
                <w:szCs w:val="20"/>
                <w:lang w:eastAsia="en-AU"/>
              </w:rPr>
            </w:pPr>
            <w:r w:rsidRPr="0098559C">
              <w:rPr>
                <w:rFonts w:ascii="Arial Narrow" w:hAnsi="Arial Narrow" w:cs="Arial Narrow"/>
                <w:sz w:val="20"/>
                <w:szCs w:val="20"/>
                <w:lang w:eastAsia="en-AU"/>
              </w:rPr>
              <w:t>≥80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782</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2</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321.5</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0.3</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792</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7</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6</w:t>
            </w:r>
            <w:r w:rsidR="0006591F" w:rsidRPr="0098559C">
              <w:rPr>
                <w:rFonts w:ascii="Arial Narrow" w:hAnsi="Arial Narrow" w:cs="Arial Narrow"/>
                <w:sz w:val="20"/>
                <w:szCs w:val="20"/>
                <w:lang w:eastAsia="en-AU"/>
              </w:rPr>
              <w:t>,</w:t>
            </w:r>
            <w:r w:rsidRPr="0098559C">
              <w:rPr>
                <w:rFonts w:ascii="Arial Narrow" w:hAnsi="Arial Narrow" w:cs="Arial Narrow"/>
                <w:sz w:val="20"/>
                <w:szCs w:val="20"/>
                <w:lang w:eastAsia="en-AU"/>
              </w:rPr>
              <w:t>281.6</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1.1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71.16</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-51.51</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97.08</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98559C" w:rsidRDefault="008D7D4C" w:rsidP="006C6E7A">
            <w:pPr>
              <w:keepNext/>
              <w:kinsoku w:val="0"/>
              <w:overflowPunct w:val="0"/>
              <w:autoSpaceDE w:val="0"/>
              <w:autoSpaceDN w:val="0"/>
              <w:adjustRightInd w:val="0"/>
              <w:spacing w:line="224" w:lineRule="exact"/>
              <w:jc w:val="center"/>
              <w:rPr>
                <w:rFonts w:ascii="Arial Narrow" w:hAnsi="Arial Narrow" w:cs="Arial Narrow"/>
                <w:sz w:val="20"/>
                <w:szCs w:val="20"/>
                <w:lang w:eastAsia="en-AU"/>
              </w:rPr>
            </w:pPr>
            <w:r w:rsidRPr="0098559C">
              <w:rPr>
                <w:rFonts w:ascii="Arial Narrow" w:hAnsi="Arial Narrow" w:cs="Arial Narrow"/>
                <w:sz w:val="20"/>
                <w:szCs w:val="20"/>
                <w:lang w:eastAsia="en-AU"/>
              </w:rPr>
              <w:t>0.1844</w:t>
            </w:r>
          </w:p>
        </w:tc>
      </w:tr>
      <w:tr w:rsidR="00EA3F5D" w:rsidRPr="00571CF2" w:rsidTr="00C107E7">
        <w:tc>
          <w:tcPr>
            <w:tcW w:w="1021"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43" w:lineRule="exact"/>
              <w:jc w:val="left"/>
              <w:rPr>
                <w:rFonts w:ascii="Arial Narrow" w:hAnsi="Arial Narrow" w:cs="Arial Narrow"/>
                <w:b/>
                <w:sz w:val="20"/>
                <w:szCs w:val="20"/>
                <w:lang w:eastAsia="en-AU"/>
              </w:rPr>
            </w:pPr>
            <w:r w:rsidRPr="00571CF2">
              <w:rPr>
                <w:rFonts w:ascii="Arial Narrow" w:hAnsi="Arial Narrow" w:cs="Arial Narrow"/>
                <w:b/>
                <w:sz w:val="20"/>
                <w:szCs w:val="20"/>
                <w:lang w:eastAsia="en-AU"/>
              </w:rPr>
              <w:t>≥70 years**</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8</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250</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4</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30</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760.3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0.1</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8</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346</w:t>
            </w:r>
          </w:p>
        </w:tc>
        <w:tc>
          <w:tcPr>
            <w:tcW w:w="425"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36</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30</w:t>
            </w:r>
            <w:r w:rsidR="0006591F" w:rsidRPr="00571CF2">
              <w:rPr>
                <w:rFonts w:ascii="Arial Narrow" w:hAnsi="Arial Narrow" w:cs="Arial Narrow"/>
                <w:b/>
                <w:sz w:val="20"/>
                <w:szCs w:val="20"/>
                <w:lang w:eastAsia="en-AU"/>
              </w:rPr>
              <w:t>,</w:t>
            </w:r>
            <w:r w:rsidRPr="00571CF2">
              <w:rPr>
                <w:rFonts w:ascii="Arial Narrow" w:hAnsi="Arial Narrow" w:cs="Arial Narrow"/>
                <w:b/>
                <w:sz w:val="20"/>
                <w:szCs w:val="20"/>
                <w:lang w:eastAsia="en-AU"/>
              </w:rPr>
              <w:t>942.0</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1.2</w:t>
            </w: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88.78</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68.70</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97.10</w:t>
            </w: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rsidR="008D7D4C" w:rsidRPr="00571CF2" w:rsidRDefault="008D7D4C" w:rsidP="006C6E7A">
            <w:pPr>
              <w:keepNext/>
              <w:kinsoku w:val="0"/>
              <w:overflowPunct w:val="0"/>
              <w:autoSpaceDE w:val="0"/>
              <w:autoSpaceDN w:val="0"/>
              <w:adjustRightInd w:val="0"/>
              <w:spacing w:line="224" w:lineRule="exact"/>
              <w:jc w:val="center"/>
              <w:rPr>
                <w:rFonts w:ascii="Arial Narrow" w:hAnsi="Arial Narrow" w:cs="Arial Narrow"/>
                <w:b/>
                <w:sz w:val="20"/>
                <w:szCs w:val="20"/>
                <w:lang w:eastAsia="en-AU"/>
              </w:rPr>
            </w:pPr>
            <w:r w:rsidRPr="00571CF2">
              <w:rPr>
                <w:rFonts w:ascii="Arial Narrow" w:hAnsi="Arial Narrow" w:cs="Arial Narrow"/>
                <w:b/>
                <w:sz w:val="20"/>
                <w:szCs w:val="20"/>
                <w:lang w:eastAsia="en-AU"/>
              </w:rPr>
              <w:t>&lt;0.0001</w:t>
            </w:r>
          </w:p>
        </w:tc>
      </w:tr>
    </w:tbl>
    <w:p w:rsidR="008D7D4C" w:rsidRPr="008B348A" w:rsidRDefault="0006591F" w:rsidP="008D7D4C">
      <w:pPr>
        <w:rPr>
          <w:rFonts w:ascii="Arial Narrow" w:hAnsi="Arial Narrow"/>
          <w:sz w:val="18"/>
          <w:szCs w:val="18"/>
        </w:rPr>
      </w:pPr>
      <w:r>
        <w:rPr>
          <w:rFonts w:ascii="Arial Narrow" w:hAnsi="Arial Narrow"/>
          <w:sz w:val="18"/>
          <w:szCs w:val="18"/>
        </w:rPr>
        <w:t>CI: confidence interval; HZ/</w:t>
      </w:r>
      <w:proofErr w:type="spellStart"/>
      <w:r>
        <w:rPr>
          <w:rFonts w:ascii="Arial Narrow" w:hAnsi="Arial Narrow"/>
          <w:sz w:val="18"/>
          <w:szCs w:val="18"/>
        </w:rPr>
        <w:t>su</w:t>
      </w:r>
      <w:proofErr w:type="spellEnd"/>
      <w:r>
        <w:rPr>
          <w:rFonts w:ascii="Arial Narrow" w:hAnsi="Arial Narrow"/>
          <w:sz w:val="18"/>
          <w:szCs w:val="18"/>
        </w:rPr>
        <w:t xml:space="preserve">: recombinant varicella zoster vaccine; </w:t>
      </w:r>
      <w:proofErr w:type="spellStart"/>
      <w:r>
        <w:rPr>
          <w:rFonts w:ascii="Arial Narrow" w:hAnsi="Arial Narrow"/>
          <w:sz w:val="18"/>
          <w:szCs w:val="18"/>
        </w:rPr>
        <w:t>mTVC</w:t>
      </w:r>
      <w:proofErr w:type="spellEnd"/>
      <w:r>
        <w:rPr>
          <w:rFonts w:ascii="Arial Narrow" w:hAnsi="Arial Narrow"/>
          <w:sz w:val="18"/>
          <w:szCs w:val="18"/>
        </w:rPr>
        <w:t xml:space="preserve">: modified total vaccine cohort; </w:t>
      </w:r>
      <w:r w:rsidR="008D7D4C" w:rsidRPr="008B348A">
        <w:rPr>
          <w:rFonts w:ascii="Arial Narrow" w:hAnsi="Arial Narrow"/>
          <w:sz w:val="18"/>
          <w:szCs w:val="18"/>
        </w:rPr>
        <w:t>N</w:t>
      </w:r>
      <w:r w:rsidR="001D720F" w:rsidRPr="008B348A">
        <w:rPr>
          <w:rFonts w:ascii="Arial Narrow" w:hAnsi="Arial Narrow"/>
          <w:sz w:val="18"/>
          <w:szCs w:val="18"/>
        </w:rPr>
        <w:t>:</w:t>
      </w:r>
      <w:r w:rsidR="008D7D4C" w:rsidRPr="008B348A">
        <w:rPr>
          <w:rFonts w:ascii="Arial Narrow" w:hAnsi="Arial Narrow"/>
          <w:sz w:val="18"/>
          <w:szCs w:val="18"/>
        </w:rPr>
        <w:t xml:space="preserve"> number of subjects included in each group; n</w:t>
      </w:r>
      <w:r w:rsidR="001D720F" w:rsidRPr="008B348A">
        <w:rPr>
          <w:rFonts w:ascii="Arial Narrow" w:hAnsi="Arial Narrow"/>
          <w:sz w:val="18"/>
          <w:szCs w:val="18"/>
        </w:rPr>
        <w:t>:</w:t>
      </w:r>
      <w:r w:rsidR="008D7D4C" w:rsidRPr="008B348A">
        <w:rPr>
          <w:rFonts w:ascii="Arial Narrow" w:hAnsi="Arial Narrow"/>
          <w:sz w:val="18"/>
          <w:szCs w:val="18"/>
        </w:rPr>
        <w:t xml:space="preserve"> number of subjects having at least one PHN case;</w:t>
      </w:r>
      <w:r>
        <w:rPr>
          <w:rFonts w:ascii="Arial Narrow" w:hAnsi="Arial Narrow"/>
          <w:sz w:val="18"/>
          <w:szCs w:val="18"/>
        </w:rPr>
        <w:t xml:space="preserve"> PHN: post-herpetic neuralgia;</w:t>
      </w:r>
      <w:r w:rsidR="008D7D4C" w:rsidRPr="008B348A">
        <w:rPr>
          <w:rFonts w:ascii="Arial Narrow" w:hAnsi="Arial Narrow"/>
          <w:sz w:val="18"/>
          <w:szCs w:val="18"/>
        </w:rPr>
        <w:t xml:space="preserve"> T (year)</w:t>
      </w:r>
      <w:r w:rsidR="001D720F" w:rsidRPr="008B348A">
        <w:rPr>
          <w:rFonts w:ascii="Arial Narrow" w:hAnsi="Arial Narrow"/>
          <w:sz w:val="18"/>
          <w:szCs w:val="18"/>
        </w:rPr>
        <w:t>:</w:t>
      </w:r>
      <w:r w:rsidR="008D7D4C" w:rsidRPr="008B348A">
        <w:rPr>
          <w:rFonts w:ascii="Arial Narrow" w:hAnsi="Arial Narrow"/>
          <w:sz w:val="18"/>
          <w:szCs w:val="18"/>
        </w:rPr>
        <w:t xml:space="preserve"> sum of follow-up period (censored at the first occurrence of a PHN case) expressed in years</w:t>
      </w:r>
      <w:r>
        <w:rPr>
          <w:rFonts w:ascii="Arial Narrow" w:hAnsi="Arial Narrow"/>
          <w:sz w:val="18"/>
          <w:szCs w:val="18"/>
        </w:rPr>
        <w:t>;</w:t>
      </w:r>
      <w:r w:rsidR="008D7D4C" w:rsidRPr="008B348A">
        <w:rPr>
          <w:rFonts w:ascii="Arial Narrow" w:hAnsi="Arial Narrow"/>
          <w:sz w:val="18"/>
          <w:szCs w:val="18"/>
        </w:rPr>
        <w:t xml:space="preserve"> n/T (per 1000</w:t>
      </w:r>
      <w:r w:rsidR="0055584E" w:rsidRPr="008B348A">
        <w:rPr>
          <w:rFonts w:ascii="Arial Narrow" w:hAnsi="Arial Narrow"/>
          <w:sz w:val="18"/>
          <w:szCs w:val="18"/>
        </w:rPr>
        <w:t>)</w:t>
      </w:r>
      <w:r>
        <w:rPr>
          <w:rFonts w:ascii="Arial Narrow" w:hAnsi="Arial Narrow"/>
          <w:sz w:val="18"/>
          <w:szCs w:val="18"/>
        </w:rPr>
        <w:t>: i</w:t>
      </w:r>
      <w:r w:rsidR="008D7D4C" w:rsidRPr="008B348A">
        <w:rPr>
          <w:rFonts w:ascii="Arial Narrow" w:hAnsi="Arial Narrow"/>
          <w:sz w:val="18"/>
          <w:szCs w:val="18"/>
        </w:rPr>
        <w:t>ncidence rate of subjects reporting at least one event; VE</w:t>
      </w:r>
      <w:r w:rsidR="001D720F" w:rsidRPr="008B348A">
        <w:rPr>
          <w:rFonts w:ascii="Arial Narrow" w:hAnsi="Arial Narrow"/>
          <w:sz w:val="18"/>
          <w:szCs w:val="18"/>
        </w:rPr>
        <w:t>:</w:t>
      </w:r>
      <w:r w:rsidR="008D7D4C" w:rsidRPr="008B348A">
        <w:rPr>
          <w:rFonts w:ascii="Arial Narrow" w:hAnsi="Arial Narrow"/>
          <w:sz w:val="18"/>
          <w:szCs w:val="18"/>
        </w:rPr>
        <w:t xml:space="preserve"> </w:t>
      </w:r>
      <w:r>
        <w:rPr>
          <w:rFonts w:ascii="Arial Narrow" w:hAnsi="Arial Narrow"/>
          <w:sz w:val="18"/>
          <w:szCs w:val="18"/>
        </w:rPr>
        <w:t>v</w:t>
      </w:r>
      <w:r w:rsidR="008D7D4C" w:rsidRPr="008B348A">
        <w:rPr>
          <w:rFonts w:ascii="Arial Narrow" w:hAnsi="Arial Narrow"/>
          <w:sz w:val="18"/>
          <w:szCs w:val="18"/>
        </w:rPr>
        <w:t xml:space="preserve">accine </w:t>
      </w:r>
      <w:r>
        <w:rPr>
          <w:rFonts w:ascii="Arial Narrow" w:hAnsi="Arial Narrow"/>
          <w:sz w:val="18"/>
          <w:szCs w:val="18"/>
        </w:rPr>
        <w:t>e</w:t>
      </w:r>
      <w:r w:rsidR="008D7D4C" w:rsidRPr="008B348A">
        <w:rPr>
          <w:rFonts w:ascii="Arial Narrow" w:hAnsi="Arial Narrow"/>
          <w:sz w:val="18"/>
          <w:szCs w:val="18"/>
        </w:rPr>
        <w:t>fficacy (Poisson method)</w:t>
      </w:r>
    </w:p>
    <w:p w:rsidR="008D7D4C" w:rsidRPr="008B348A" w:rsidRDefault="008D7D4C" w:rsidP="008D7D4C">
      <w:pPr>
        <w:rPr>
          <w:rFonts w:ascii="Arial Narrow" w:hAnsi="Arial Narrow"/>
          <w:sz w:val="18"/>
          <w:szCs w:val="18"/>
        </w:rPr>
      </w:pPr>
      <w:r w:rsidRPr="008B348A">
        <w:rPr>
          <w:rFonts w:ascii="Arial Narrow" w:hAnsi="Arial Narrow"/>
          <w:sz w:val="18"/>
          <w:szCs w:val="18"/>
        </w:rPr>
        <w:t>+</w:t>
      </w:r>
      <w:r w:rsidR="0006591F">
        <w:rPr>
          <w:rFonts w:ascii="Arial Narrow" w:hAnsi="Arial Narrow"/>
          <w:sz w:val="18"/>
          <w:szCs w:val="18"/>
        </w:rPr>
        <w:t xml:space="preserve"> </w:t>
      </w:r>
      <w:r w:rsidRPr="008B348A">
        <w:rPr>
          <w:rFonts w:ascii="Arial Narrow" w:hAnsi="Arial Narrow"/>
          <w:sz w:val="18"/>
          <w:szCs w:val="18"/>
        </w:rPr>
        <w:t xml:space="preserve">The modified vaccinated cohort excluded participants who did not receive the second dose of vaccine or who received a confirmed diagnosis of herpes zoster within 1 month after the second dose. </w:t>
      </w:r>
    </w:p>
    <w:p w:rsidR="008D7D4C" w:rsidRPr="008B348A" w:rsidRDefault="008D7D4C" w:rsidP="008D7D4C">
      <w:pPr>
        <w:rPr>
          <w:rFonts w:ascii="Arial Narrow" w:hAnsi="Arial Narrow"/>
          <w:sz w:val="18"/>
          <w:szCs w:val="18"/>
        </w:rPr>
      </w:pPr>
      <w:r w:rsidRPr="008B348A">
        <w:rPr>
          <w:rFonts w:ascii="Arial Narrow" w:hAnsi="Arial Narrow"/>
          <w:sz w:val="18"/>
          <w:szCs w:val="18"/>
        </w:rPr>
        <w:t>* VE adjusted by region</w:t>
      </w:r>
    </w:p>
    <w:p w:rsidR="008D7D4C" w:rsidRPr="008B348A" w:rsidRDefault="008D7D4C" w:rsidP="008D7D4C">
      <w:pPr>
        <w:rPr>
          <w:rFonts w:ascii="Arial Narrow" w:hAnsi="Arial Narrow"/>
          <w:sz w:val="18"/>
          <w:szCs w:val="18"/>
        </w:rPr>
      </w:pPr>
      <w:r w:rsidRPr="008B348A">
        <w:rPr>
          <w:rFonts w:ascii="Arial Narrow" w:hAnsi="Arial Narrow"/>
          <w:sz w:val="18"/>
          <w:szCs w:val="18"/>
        </w:rPr>
        <w:t>** VE adjusted by age strata and region</w:t>
      </w:r>
    </w:p>
    <w:p w:rsidR="008D7D4C" w:rsidRDefault="008D7D4C" w:rsidP="008D7D4C">
      <w:pPr>
        <w:rPr>
          <w:rFonts w:ascii="Arial Narrow" w:hAnsi="Arial Narrow"/>
          <w:sz w:val="18"/>
          <w:szCs w:val="18"/>
        </w:rPr>
      </w:pPr>
      <w:r w:rsidRPr="008B348A">
        <w:rPr>
          <w:rFonts w:ascii="Arial Narrow" w:hAnsi="Arial Narrow"/>
          <w:sz w:val="18"/>
          <w:szCs w:val="18"/>
        </w:rPr>
        <w:t>Source: Table 24 and 25 of the submission and added during the evaluation based on Table 34 of ZOSTER-006 CSR, and Table 25 of ZOSTER-022 CSR.</w:t>
      </w:r>
    </w:p>
    <w:p w:rsidR="00E92F71" w:rsidRPr="008B348A" w:rsidRDefault="00E92F71" w:rsidP="00651FFE">
      <w:pPr>
        <w:pStyle w:val="TableFooter"/>
      </w:pPr>
    </w:p>
    <w:p w:rsidR="008D7D4C" w:rsidRPr="0086667F" w:rsidRDefault="005677B2" w:rsidP="00ED2457">
      <w:pPr>
        <w:pStyle w:val="ListParagraph"/>
        <w:widowControl/>
        <w:numPr>
          <w:ilvl w:val="1"/>
          <w:numId w:val="2"/>
        </w:numPr>
        <w:rPr>
          <w:rFonts w:cs="Calibri"/>
          <w:snapToGrid/>
          <w:szCs w:val="24"/>
          <w:lang w:eastAsia="en-AU"/>
        </w:rPr>
      </w:pPr>
      <w:r w:rsidRPr="0086667F">
        <w:rPr>
          <w:rFonts w:cs="Calibri"/>
          <w:snapToGrid/>
          <w:szCs w:val="24"/>
          <w:lang w:eastAsia="en-AU"/>
        </w:rPr>
        <w:t>VE</w:t>
      </w:r>
      <w:r w:rsidRPr="0086667F">
        <w:rPr>
          <w:rFonts w:cs="Calibri"/>
          <w:snapToGrid/>
          <w:szCs w:val="24"/>
          <w:vertAlign w:val="subscript"/>
          <w:lang w:eastAsia="en-AU"/>
        </w:rPr>
        <w:t>PHN</w:t>
      </w:r>
      <w:r w:rsidRPr="0086667F">
        <w:rPr>
          <w:rFonts w:cs="Calibri"/>
          <w:snapToGrid/>
          <w:szCs w:val="24"/>
          <w:lang w:eastAsia="en-AU"/>
        </w:rPr>
        <w:t xml:space="preserve"> </w:t>
      </w:r>
      <w:r w:rsidR="008D7D4C" w:rsidRPr="0086667F">
        <w:rPr>
          <w:rFonts w:cs="Calibri"/>
          <w:snapToGrid/>
          <w:szCs w:val="24"/>
          <w:lang w:eastAsia="en-AU"/>
        </w:rPr>
        <w:t>with the HZ/</w:t>
      </w:r>
      <w:proofErr w:type="spellStart"/>
      <w:r w:rsidR="008D7D4C" w:rsidRPr="0086667F">
        <w:rPr>
          <w:rFonts w:cs="Calibri"/>
          <w:snapToGrid/>
          <w:szCs w:val="24"/>
          <w:lang w:eastAsia="en-AU"/>
        </w:rPr>
        <w:t>su</w:t>
      </w:r>
      <w:proofErr w:type="spellEnd"/>
      <w:r w:rsidR="008D7D4C" w:rsidRPr="0086667F">
        <w:rPr>
          <w:rFonts w:cs="Calibri"/>
          <w:snapToGrid/>
          <w:szCs w:val="24"/>
          <w:lang w:eastAsia="en-AU"/>
        </w:rPr>
        <w:t xml:space="preserve"> vaccine was high for most age groups. In some </w:t>
      </w:r>
      <w:r w:rsidR="00A72E2B" w:rsidRPr="0086667F">
        <w:rPr>
          <w:rFonts w:cs="Calibri"/>
          <w:snapToGrid/>
          <w:szCs w:val="24"/>
          <w:lang w:eastAsia="en-AU"/>
        </w:rPr>
        <w:t>groups</w:t>
      </w:r>
      <w:r w:rsidR="008D7D4C" w:rsidRPr="0086667F">
        <w:rPr>
          <w:rFonts w:cs="Calibri"/>
          <w:snapToGrid/>
          <w:szCs w:val="24"/>
          <w:lang w:eastAsia="en-AU"/>
        </w:rPr>
        <w:t>, the difference was not statistically significant, although this may be due to a lack of powering and a low number of cases in the placebo group.</w:t>
      </w:r>
      <w:r w:rsidRPr="0086667F">
        <w:rPr>
          <w:rFonts w:cs="Calibri"/>
          <w:snapToGrid/>
          <w:szCs w:val="24"/>
          <w:lang w:eastAsia="en-AU"/>
        </w:rPr>
        <w:t xml:space="preserve"> </w:t>
      </w:r>
      <w:r w:rsidR="006234AD">
        <w:rPr>
          <w:rFonts w:cs="Calibri"/>
          <w:snapToGrid/>
          <w:szCs w:val="24"/>
          <w:lang w:eastAsia="en-AU"/>
        </w:rPr>
        <w:t xml:space="preserve">Although the </w:t>
      </w:r>
      <w:r w:rsidRPr="0086667F">
        <w:rPr>
          <w:rFonts w:cs="Calibri"/>
          <w:snapToGrid/>
          <w:szCs w:val="24"/>
          <w:lang w:eastAsia="en-AU"/>
        </w:rPr>
        <w:t>VE</w:t>
      </w:r>
      <w:r w:rsidRPr="0086667F">
        <w:rPr>
          <w:rFonts w:cs="Calibri"/>
          <w:snapToGrid/>
          <w:szCs w:val="24"/>
          <w:vertAlign w:val="subscript"/>
          <w:lang w:eastAsia="en-AU"/>
        </w:rPr>
        <w:t>PHN</w:t>
      </w:r>
      <w:r w:rsidRPr="0086667F">
        <w:rPr>
          <w:rFonts w:cs="Calibri"/>
          <w:snapToGrid/>
          <w:szCs w:val="24"/>
          <w:lang w:eastAsia="en-AU"/>
        </w:rPr>
        <w:t xml:space="preserve"> was numerically lower in older age groups, the 95% </w:t>
      </w:r>
      <w:r w:rsidR="00060DB7">
        <w:rPr>
          <w:rFonts w:cs="Calibri"/>
          <w:snapToGrid/>
          <w:szCs w:val="24"/>
          <w:lang w:eastAsia="en-AU"/>
        </w:rPr>
        <w:t>CI</w:t>
      </w:r>
      <w:r w:rsidRPr="0086667F">
        <w:rPr>
          <w:rFonts w:cs="Calibri"/>
          <w:snapToGrid/>
          <w:szCs w:val="24"/>
          <w:lang w:eastAsia="en-AU"/>
        </w:rPr>
        <w:t xml:space="preserve">s </w:t>
      </w:r>
      <w:r w:rsidR="006234AD">
        <w:rPr>
          <w:rFonts w:cs="Calibri"/>
          <w:snapToGrid/>
          <w:szCs w:val="24"/>
          <w:lang w:eastAsia="en-AU"/>
        </w:rPr>
        <w:t xml:space="preserve">across all age groups </w:t>
      </w:r>
      <w:r w:rsidRPr="0086667F">
        <w:rPr>
          <w:rFonts w:cs="Calibri"/>
          <w:snapToGrid/>
          <w:szCs w:val="24"/>
          <w:lang w:eastAsia="en-AU"/>
        </w:rPr>
        <w:t>overlapped.</w:t>
      </w:r>
    </w:p>
    <w:p w:rsidR="00982726" w:rsidRPr="008B348A" w:rsidRDefault="00982726" w:rsidP="00ED2457">
      <w:pPr>
        <w:pStyle w:val="ListParagraph"/>
        <w:widowControl/>
        <w:numPr>
          <w:ilvl w:val="1"/>
          <w:numId w:val="2"/>
        </w:numPr>
      </w:pPr>
      <w:r w:rsidRPr="008B348A">
        <w:t>Figure 2 presents the EQ-5D utility values following a patient experiencing a HZ episode (UK</w:t>
      </w:r>
      <w:r w:rsidR="00E77743">
        <w:t>,</w:t>
      </w:r>
      <w:r w:rsidRPr="008B348A">
        <w:t xml:space="preserve"> </w:t>
      </w:r>
      <w:r w:rsidR="00E77743">
        <w:t>time trade-off tariff</w:t>
      </w:r>
      <w:r w:rsidRPr="008B348A">
        <w:t>).</w:t>
      </w:r>
    </w:p>
    <w:p w:rsidR="00982726" w:rsidRPr="00397205" w:rsidRDefault="00982726" w:rsidP="00982726">
      <w:pPr>
        <w:keepNext/>
        <w:rPr>
          <w:rStyle w:val="CommentReference"/>
        </w:rPr>
      </w:pPr>
      <w:r w:rsidRPr="00397205">
        <w:rPr>
          <w:rStyle w:val="CommentReference"/>
        </w:rPr>
        <w:lastRenderedPageBreak/>
        <w:t>Figure 2: EQ-5D Utility scores over time by vaccine group in confirmed HZ cases</w:t>
      </w:r>
    </w:p>
    <w:p w:rsidR="00982726" w:rsidRPr="008B348A" w:rsidRDefault="00982726" w:rsidP="00982726">
      <w:r w:rsidRPr="008B348A">
        <w:rPr>
          <w:noProof/>
          <w:lang w:eastAsia="en-AU"/>
        </w:rPr>
        <w:drawing>
          <wp:inline distT="0" distB="0" distL="0" distR="0" wp14:anchorId="7FC38708" wp14:editId="0B202995">
            <wp:extent cx="5734050" cy="2571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571890"/>
                    </a:xfrm>
                    <a:prstGeom prst="rect">
                      <a:avLst/>
                    </a:prstGeom>
                    <a:noFill/>
                    <a:ln>
                      <a:noFill/>
                    </a:ln>
                  </pic:spPr>
                </pic:pic>
              </a:graphicData>
            </a:graphic>
          </wp:inline>
        </w:drawing>
      </w:r>
    </w:p>
    <w:p w:rsidR="0006591F" w:rsidRDefault="0006591F" w:rsidP="00982726">
      <w:pPr>
        <w:pStyle w:val="TableNotes"/>
        <w:rPr>
          <w:rFonts w:eastAsia="Times New Roman" w:cs="Arial"/>
          <w:snapToGrid w:val="0"/>
          <w:sz w:val="18"/>
        </w:rPr>
      </w:pPr>
      <w:r>
        <w:rPr>
          <w:rFonts w:eastAsia="Times New Roman" w:cs="Arial"/>
          <w:snapToGrid w:val="0"/>
          <w:sz w:val="18"/>
        </w:rPr>
        <w:t>CI: confidence interval; Diff: difference; HZ: herpes zoster; HZ/</w:t>
      </w:r>
      <w:proofErr w:type="spellStart"/>
      <w:r>
        <w:rPr>
          <w:rFonts w:eastAsia="Times New Roman" w:cs="Arial"/>
          <w:snapToGrid w:val="0"/>
          <w:sz w:val="18"/>
        </w:rPr>
        <w:t>su</w:t>
      </w:r>
      <w:proofErr w:type="spellEnd"/>
      <w:r>
        <w:rPr>
          <w:rFonts w:eastAsia="Times New Roman" w:cs="Arial"/>
          <w:snapToGrid w:val="0"/>
          <w:sz w:val="18"/>
        </w:rPr>
        <w:t>: recombinant varicella zoster vaccine</w:t>
      </w:r>
    </w:p>
    <w:p w:rsidR="00982726" w:rsidRPr="008B348A" w:rsidRDefault="00982726" w:rsidP="0071243C">
      <w:pPr>
        <w:pStyle w:val="TableNotes"/>
        <w:rPr>
          <w:rFonts w:eastAsia="Times New Roman" w:cs="Arial"/>
          <w:snapToGrid w:val="0"/>
          <w:sz w:val="18"/>
        </w:rPr>
      </w:pPr>
      <w:r w:rsidRPr="008B348A">
        <w:rPr>
          <w:rFonts w:eastAsia="Times New Roman" w:cs="Arial"/>
          <w:snapToGrid w:val="0"/>
          <w:sz w:val="18"/>
        </w:rPr>
        <w:t>Source: Figure 16, p81 of the submission</w:t>
      </w:r>
      <w:r w:rsidR="0071243C">
        <w:rPr>
          <w:rFonts w:eastAsia="Times New Roman" w:cs="Arial"/>
          <w:snapToGrid w:val="0"/>
          <w:sz w:val="18"/>
        </w:rPr>
        <w:t xml:space="preserve">; </w:t>
      </w:r>
      <w:r w:rsidR="0071243C">
        <w:t xml:space="preserve">J </w:t>
      </w:r>
      <w:proofErr w:type="spellStart"/>
      <w:r w:rsidR="0071243C">
        <w:t>Gerontol</w:t>
      </w:r>
      <w:proofErr w:type="spellEnd"/>
      <w:r w:rsidR="0071243C">
        <w:t xml:space="preserve"> </w:t>
      </w:r>
      <w:proofErr w:type="gramStart"/>
      <w:r w:rsidR="0071243C">
        <w:t>A</w:t>
      </w:r>
      <w:proofErr w:type="gramEnd"/>
      <w:r w:rsidR="0071243C">
        <w:t xml:space="preserve"> </w:t>
      </w:r>
      <w:proofErr w:type="spellStart"/>
      <w:r w:rsidR="0071243C">
        <w:t>Biol</w:t>
      </w:r>
      <w:proofErr w:type="spellEnd"/>
      <w:r w:rsidR="0071243C">
        <w:t xml:space="preserve"> </w:t>
      </w:r>
      <w:proofErr w:type="spellStart"/>
      <w:r w:rsidR="0071243C">
        <w:t>Sci</w:t>
      </w:r>
      <w:proofErr w:type="spellEnd"/>
      <w:r w:rsidR="0071243C">
        <w:t xml:space="preserve"> Med </w:t>
      </w:r>
      <w:proofErr w:type="spellStart"/>
      <w:r w:rsidR="0071243C">
        <w:t>Sci</w:t>
      </w:r>
      <w:proofErr w:type="spellEnd"/>
      <w:r w:rsidR="0071243C">
        <w:t xml:space="preserve"> 2018 Jun 27.</w:t>
      </w:r>
    </w:p>
    <w:p w:rsidR="00982726" w:rsidRPr="008B348A" w:rsidRDefault="00982726" w:rsidP="00651FFE">
      <w:pPr>
        <w:pStyle w:val="TableFooter"/>
      </w:pPr>
    </w:p>
    <w:p w:rsidR="00982726" w:rsidRPr="0086667F" w:rsidRDefault="00982726" w:rsidP="00ED2457">
      <w:pPr>
        <w:pStyle w:val="ListParagraph"/>
        <w:widowControl/>
        <w:numPr>
          <w:ilvl w:val="1"/>
          <w:numId w:val="2"/>
        </w:numPr>
      </w:pPr>
      <w:r w:rsidRPr="0086667F">
        <w:t xml:space="preserve">The results show that the estimated </w:t>
      </w:r>
      <w:r w:rsidR="00A72E2B" w:rsidRPr="0086667F">
        <w:t xml:space="preserve">least squares </w:t>
      </w:r>
      <w:r w:rsidRPr="0086667F">
        <w:t xml:space="preserve">mean utility value </w:t>
      </w:r>
      <w:r w:rsidR="00332CFF" w:rsidRPr="0086667F">
        <w:t xml:space="preserve">increased </w:t>
      </w:r>
      <w:r w:rsidRPr="0086667F">
        <w:t xml:space="preserve">over time after HZ onset in all age strata, as </w:t>
      </w:r>
      <w:r w:rsidR="006234AD">
        <w:t>individuals</w:t>
      </w:r>
      <w:r w:rsidR="006234AD" w:rsidRPr="0086667F">
        <w:t xml:space="preserve"> </w:t>
      </w:r>
      <w:r w:rsidRPr="0086667F">
        <w:t>recovered from their HZ episode. Furthermore, the placebo group had a lower utility value at HZ onset</w:t>
      </w:r>
      <w:r w:rsidR="0048734E" w:rsidRPr="0086667F">
        <w:t>. It might be expected that individuals who received the HZ/</w:t>
      </w:r>
      <w:proofErr w:type="spellStart"/>
      <w:r w:rsidR="0048734E" w:rsidRPr="0086667F">
        <w:t>su</w:t>
      </w:r>
      <w:proofErr w:type="spellEnd"/>
      <w:r w:rsidR="0048734E" w:rsidRPr="0086667F">
        <w:t xml:space="preserve"> vaccine to have a less severe case of HZ compared to individuals who received placebo</w:t>
      </w:r>
      <w:r w:rsidR="00060DB7">
        <w:t>;</w:t>
      </w:r>
      <w:r w:rsidRPr="0086667F">
        <w:t xml:space="preserve"> however</w:t>
      </w:r>
      <w:r w:rsidR="00060DB7">
        <w:t>,</w:t>
      </w:r>
      <w:r w:rsidRPr="0086667F">
        <w:t xml:space="preserve"> the difference between the two treatment groups was not statistically significant (P=</w:t>
      </w:r>
      <w:r w:rsidR="0020540A">
        <w:rPr>
          <w:noProof/>
          <w:color w:val="000000"/>
          <w:highlight w:val="black"/>
        </w:rPr>
        <w:t>''''''''''''''</w:t>
      </w:r>
      <w:r w:rsidRPr="0086667F">
        <w:t xml:space="preserve"> in ZOE</w:t>
      </w:r>
      <w:r w:rsidR="00C152D7" w:rsidRPr="0086667F">
        <w:noBreakHyphen/>
      </w:r>
      <w:r w:rsidR="00FC108C" w:rsidRPr="0086667F">
        <w:t>50</w:t>
      </w:r>
      <w:r w:rsidRPr="0086667F">
        <w:t xml:space="preserve"> and P=</w:t>
      </w:r>
      <w:r w:rsidR="0020540A">
        <w:rPr>
          <w:noProof/>
          <w:color w:val="000000"/>
          <w:highlight w:val="black"/>
        </w:rPr>
        <w:t>''''''''''''''</w:t>
      </w:r>
      <w:r w:rsidRPr="0086667F">
        <w:t xml:space="preserve"> in ZOE-70</w:t>
      </w:r>
      <w:r w:rsidR="00CB2046">
        <w:t>)</w:t>
      </w:r>
      <w:r w:rsidRPr="0086667F">
        <w:t>.</w:t>
      </w:r>
    </w:p>
    <w:p w:rsidR="00323C4E" w:rsidRPr="0086667F" w:rsidRDefault="006234AD" w:rsidP="00ED2457">
      <w:pPr>
        <w:pStyle w:val="ListParagraph"/>
        <w:widowControl/>
        <w:numPr>
          <w:ilvl w:val="1"/>
          <w:numId w:val="2"/>
        </w:numPr>
      </w:pPr>
      <w:r>
        <w:t>To compare the HZ/</w:t>
      </w:r>
      <w:proofErr w:type="spellStart"/>
      <w:r>
        <w:t>su</w:t>
      </w:r>
      <w:proofErr w:type="spellEnd"/>
      <w:r>
        <w:t xml:space="preserve"> vaccine with the live-HZ vaccine which is currently available, t</w:t>
      </w:r>
      <w:r w:rsidR="00323C4E" w:rsidRPr="0086667F">
        <w:t xml:space="preserve">he submission conducted an indirect comparison of </w:t>
      </w:r>
      <w:r>
        <w:t>pooled data from the</w:t>
      </w:r>
      <w:r w:rsidRPr="0086667F">
        <w:t xml:space="preserve"> </w:t>
      </w:r>
      <w:r w:rsidR="00323C4E" w:rsidRPr="0086667F">
        <w:t xml:space="preserve">ZOE-50 and ZOE-70 trials </w:t>
      </w:r>
      <w:r>
        <w:t xml:space="preserve">with data from </w:t>
      </w:r>
      <w:r w:rsidR="00323C4E" w:rsidRPr="0086667F">
        <w:t>the SPS trial, using placebo as a common comparator.</w:t>
      </w:r>
    </w:p>
    <w:p w:rsidR="00323C4E" w:rsidRPr="0086667F" w:rsidRDefault="00323C4E" w:rsidP="00ED2457">
      <w:pPr>
        <w:pStyle w:val="ListParagraph"/>
        <w:widowControl/>
        <w:numPr>
          <w:ilvl w:val="1"/>
          <w:numId w:val="2"/>
        </w:numPr>
      </w:pPr>
      <w:r w:rsidRPr="0086667F">
        <w:t xml:space="preserve">The submission </w:t>
      </w:r>
      <w:r w:rsidR="006234AD">
        <w:t xml:space="preserve">stated that the </w:t>
      </w:r>
      <w:r w:rsidRPr="0086667F">
        <w:t xml:space="preserve">Bucher method </w:t>
      </w:r>
      <w:r w:rsidR="006234AD">
        <w:t xml:space="preserve">was used </w:t>
      </w:r>
      <w:r w:rsidRPr="0086667F">
        <w:t xml:space="preserve">and a fixed effect analysis was conducted. </w:t>
      </w:r>
      <w:r w:rsidR="00E54630">
        <w:t>The evalu</w:t>
      </w:r>
      <w:r w:rsidR="00060DB7">
        <w:t>a</w:t>
      </w:r>
      <w:r w:rsidR="00E54630">
        <w:t>tion considered</w:t>
      </w:r>
      <w:r w:rsidRPr="0086667F">
        <w:t xml:space="preserve"> logs should have been taken to estimate the standard error as the confidence intervals were not symmetrical around the mean. </w:t>
      </w:r>
      <w:r w:rsidR="00E54630">
        <w:t>Furthermore</w:t>
      </w:r>
      <w:r w:rsidRPr="0086667F">
        <w:t xml:space="preserve">, some vaccine efficacy </w:t>
      </w:r>
      <w:r w:rsidR="00783954" w:rsidRPr="0086667F">
        <w:t xml:space="preserve">estimates </w:t>
      </w:r>
      <w:r w:rsidR="00060DB7">
        <w:t>applied in the analyse</w:t>
      </w:r>
      <w:r w:rsidRPr="0086667F">
        <w:t>s differed from th</w:t>
      </w:r>
      <w:r w:rsidR="00060DB7">
        <w:t>ose</w:t>
      </w:r>
      <w:r w:rsidRPr="0086667F">
        <w:t xml:space="preserve"> in the clinical study reports.</w:t>
      </w:r>
    </w:p>
    <w:p w:rsidR="009F3D18" w:rsidRPr="0098559C" w:rsidRDefault="007A3CFA" w:rsidP="00ED2457">
      <w:pPr>
        <w:pStyle w:val="ListParagraph"/>
        <w:widowControl/>
        <w:numPr>
          <w:ilvl w:val="1"/>
          <w:numId w:val="2"/>
        </w:numPr>
      </w:pPr>
      <w:r w:rsidRPr="0086667F">
        <w:t>The trial</w:t>
      </w:r>
      <w:r w:rsidR="00CB2046">
        <w:t xml:space="preserve"> design</w:t>
      </w:r>
      <w:r w:rsidRPr="0086667F">
        <w:t>s</w:t>
      </w:r>
      <w:r w:rsidR="00CB2046">
        <w:t xml:space="preserve"> and populations</w:t>
      </w:r>
      <w:r w:rsidRPr="0086667F">
        <w:t xml:space="preserve"> were reasonably similar</w:t>
      </w:r>
      <w:r w:rsidR="00F716A5">
        <w:t>,</w:t>
      </w:r>
      <w:r w:rsidR="00060DB7">
        <w:t xml:space="preserve"> with the following </w:t>
      </w:r>
      <w:r w:rsidRPr="0086667F">
        <w:t>except</w:t>
      </w:r>
      <w:r w:rsidR="00060DB7">
        <w:t>ions</w:t>
      </w:r>
      <w:r w:rsidRPr="0086667F">
        <w:t>: the ZOE-50/ZOE-70 pooled ≥</w:t>
      </w:r>
      <w:r w:rsidR="00060DB7">
        <w:t xml:space="preserve"> </w:t>
      </w:r>
      <w:r w:rsidRPr="0086667F">
        <w:t>70 years data set had a larger proportion of older participants aged ≥</w:t>
      </w:r>
      <w:r w:rsidR="00060DB7">
        <w:t xml:space="preserve"> </w:t>
      </w:r>
      <w:r w:rsidRPr="0086667F">
        <w:t>80 years (12.9%) compared with the SPS trial (</w:t>
      </w:r>
      <w:r w:rsidR="00060DB7">
        <w:t>approximately 7%</w:t>
      </w:r>
      <w:r w:rsidRPr="0086667F">
        <w:t xml:space="preserve">); </w:t>
      </w:r>
      <w:r w:rsidRPr="0098559C">
        <w:t>the</w:t>
      </w:r>
      <w:r w:rsidR="00F716A5" w:rsidRPr="0098559C">
        <w:t xml:space="preserve"> SPS trial had an</w:t>
      </w:r>
      <w:r w:rsidRPr="0098559C">
        <w:t xml:space="preserve"> additional inclusion criteria of “history of varicella”; and </w:t>
      </w:r>
      <w:r w:rsidR="00F716A5" w:rsidRPr="0098559C">
        <w:t xml:space="preserve">the SPS trial was older, with results reported in 2005. </w:t>
      </w:r>
      <w:r w:rsidR="00CB2046" w:rsidRPr="0098559C">
        <w:t>The HZ event rate</w:t>
      </w:r>
      <w:r w:rsidR="00102B01">
        <w:t xml:space="preserve"> in the </w:t>
      </w:r>
      <w:r w:rsidR="00E73CE8">
        <w:t xml:space="preserve">placebo arms of the </w:t>
      </w:r>
      <w:r w:rsidR="00102B01">
        <w:t xml:space="preserve">pooled </w:t>
      </w:r>
      <w:r w:rsidR="00E73CE8">
        <w:t xml:space="preserve">ZOE trials (9.3 per 1,000 years follow-up) </w:t>
      </w:r>
      <w:r w:rsidR="00CB2046" w:rsidRPr="0098559C">
        <w:t>and SPS (11.50 per 1,000</w:t>
      </w:r>
      <w:r w:rsidR="00E73CE8">
        <w:t xml:space="preserve"> years</w:t>
      </w:r>
      <w:r w:rsidR="00CB2046" w:rsidRPr="0098559C">
        <w:t>) trials were similar. However, the PHN event rates in the placebo arms varied and was considerably higher in the SPS trial (2.13 per 1,000</w:t>
      </w:r>
      <w:r w:rsidR="00E73CE8">
        <w:t xml:space="preserve"> years follow-up</w:t>
      </w:r>
      <w:r w:rsidR="00CB2046" w:rsidRPr="0098559C">
        <w:t xml:space="preserve">) compared to the </w:t>
      </w:r>
      <w:r w:rsidR="00E73CE8">
        <w:t xml:space="preserve">pooled </w:t>
      </w:r>
      <w:r w:rsidR="00CB2046" w:rsidRPr="0098559C">
        <w:t>ZOE</w:t>
      </w:r>
      <w:r w:rsidR="00E73CE8">
        <w:t xml:space="preserve"> trials </w:t>
      </w:r>
      <w:r w:rsidR="00CB2046" w:rsidRPr="0098559C">
        <w:t>(</w:t>
      </w:r>
      <w:r w:rsidR="00E73CE8">
        <w:t xml:space="preserve">1.2 </w:t>
      </w:r>
      <w:r w:rsidR="00CB2046" w:rsidRPr="0098559C">
        <w:t>1,000</w:t>
      </w:r>
      <w:r w:rsidR="00E73CE8">
        <w:t xml:space="preserve"> years</w:t>
      </w:r>
      <w:r w:rsidR="00CB2046" w:rsidRPr="0098559C">
        <w:t>), suggesting there may be some important differences across the trials.</w:t>
      </w:r>
    </w:p>
    <w:p w:rsidR="008D7D4C" w:rsidRPr="0086667F" w:rsidRDefault="008D7D4C" w:rsidP="00ED2457">
      <w:pPr>
        <w:pStyle w:val="ListParagraph"/>
        <w:widowControl/>
        <w:numPr>
          <w:ilvl w:val="1"/>
          <w:numId w:val="2"/>
        </w:numPr>
      </w:pPr>
      <w:r w:rsidRPr="0086667F">
        <w:lastRenderedPageBreak/>
        <w:t>Table</w:t>
      </w:r>
      <w:r w:rsidR="00A6099C" w:rsidRPr="0086667F">
        <w:t>s</w:t>
      </w:r>
      <w:r w:rsidRPr="0086667F">
        <w:t xml:space="preserve"> </w:t>
      </w:r>
      <w:r w:rsidR="00DF7A69">
        <w:t>8</w:t>
      </w:r>
      <w:r w:rsidRPr="0086667F">
        <w:t xml:space="preserve"> </w:t>
      </w:r>
      <w:r w:rsidR="00A6099C" w:rsidRPr="0086667F">
        <w:t xml:space="preserve">and </w:t>
      </w:r>
      <w:r w:rsidR="00DF7A69">
        <w:t>9</w:t>
      </w:r>
      <w:r w:rsidR="00A6099C" w:rsidRPr="0086667F">
        <w:t xml:space="preserve"> </w:t>
      </w:r>
      <w:r w:rsidRPr="0086667F">
        <w:t>present the indirect comparison results.</w:t>
      </w:r>
    </w:p>
    <w:p w:rsidR="008D7D4C" w:rsidRPr="008B348A" w:rsidRDefault="008D7D4C" w:rsidP="008D7D4C">
      <w:pPr>
        <w:keepNext/>
        <w:rPr>
          <w:rStyle w:val="CommentReference"/>
        </w:rPr>
      </w:pPr>
      <w:r w:rsidRPr="008B348A">
        <w:rPr>
          <w:rStyle w:val="CommentReference"/>
        </w:rPr>
        <w:t xml:space="preserve">Table </w:t>
      </w:r>
      <w:r w:rsidR="00DF7A69">
        <w:rPr>
          <w:rStyle w:val="CommentReference"/>
        </w:rPr>
        <w:t>8</w:t>
      </w:r>
      <w:r w:rsidRPr="008B348A">
        <w:rPr>
          <w:rStyle w:val="CommentReference"/>
        </w:rPr>
        <w:t>: Summary of results of the indirect comparison for vaccine efficacy against HZ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3"/>
        <w:gridCol w:w="1934"/>
        <w:gridCol w:w="1828"/>
        <w:gridCol w:w="1830"/>
        <w:gridCol w:w="1845"/>
      </w:tblGrid>
      <w:tr w:rsidR="00437617" w:rsidRPr="0098559C" w:rsidTr="00F716A5">
        <w:trPr>
          <w:tblHeader/>
        </w:trPr>
        <w:tc>
          <w:tcPr>
            <w:tcW w:w="1617" w:type="dxa"/>
            <w:vAlign w:val="center"/>
          </w:tcPr>
          <w:p w:rsidR="008D7D4C" w:rsidRPr="0098559C" w:rsidRDefault="008D7D4C" w:rsidP="00401937">
            <w:pPr>
              <w:pStyle w:val="Tabletext"/>
              <w:keepNext/>
              <w:rPr>
                <w:b/>
              </w:rPr>
            </w:pPr>
          </w:p>
        </w:tc>
        <w:tc>
          <w:tcPr>
            <w:tcW w:w="1984" w:type="dxa"/>
            <w:shd w:val="clear" w:color="auto" w:fill="auto"/>
            <w:vAlign w:val="center"/>
          </w:tcPr>
          <w:p w:rsidR="008D7D4C" w:rsidRPr="0098559C" w:rsidRDefault="008D7D4C" w:rsidP="0006591F">
            <w:pPr>
              <w:pStyle w:val="Tabletext"/>
              <w:keepNext/>
              <w:jc w:val="center"/>
              <w:rPr>
                <w:b/>
              </w:rPr>
            </w:pPr>
            <w:r w:rsidRPr="0098559C">
              <w:rPr>
                <w:b/>
              </w:rPr>
              <w:t xml:space="preserve">Trial </w:t>
            </w:r>
          </w:p>
        </w:tc>
        <w:tc>
          <w:tcPr>
            <w:tcW w:w="1843" w:type="dxa"/>
            <w:shd w:val="clear" w:color="auto" w:fill="auto"/>
            <w:vAlign w:val="center"/>
          </w:tcPr>
          <w:p w:rsidR="0006591F" w:rsidRPr="0098559C" w:rsidRDefault="0006591F" w:rsidP="00401937">
            <w:pPr>
              <w:pStyle w:val="Tabletext"/>
              <w:keepNext/>
              <w:jc w:val="center"/>
              <w:rPr>
                <w:b/>
              </w:rPr>
            </w:pPr>
            <w:r w:rsidRPr="0098559C">
              <w:rPr>
                <w:b/>
              </w:rPr>
              <w:t>Vaccine</w:t>
            </w:r>
          </w:p>
          <w:p w:rsidR="008D7D4C" w:rsidRPr="0098559C" w:rsidRDefault="008D7D4C" w:rsidP="00F716A5">
            <w:pPr>
              <w:pStyle w:val="Tabletext"/>
              <w:keepNext/>
              <w:jc w:val="center"/>
              <w:rPr>
                <w:b/>
              </w:rPr>
            </w:pPr>
            <w:r w:rsidRPr="0098559C">
              <w:rPr>
                <w:b/>
              </w:rPr>
              <w:t xml:space="preserve">n/N </w:t>
            </w:r>
            <w:r w:rsidR="00C41280" w:rsidRPr="0098559C">
              <w:rPr>
                <w:b/>
              </w:rPr>
              <w:br/>
            </w:r>
            <w:r w:rsidRPr="0098559C">
              <w:rPr>
                <w:b/>
              </w:rPr>
              <w:t>(IRR = n/T (per 1</w:t>
            </w:r>
            <w:r w:rsidR="00630DEE" w:rsidRPr="0098559C">
              <w:rPr>
                <w:b/>
              </w:rPr>
              <w:t>,</w:t>
            </w:r>
            <w:r w:rsidRPr="0098559C">
              <w:rPr>
                <w:b/>
              </w:rPr>
              <w:t>000)</w:t>
            </w:r>
            <w:r w:rsidR="00855AE5" w:rsidRPr="0098559C">
              <w:rPr>
                <w:b/>
              </w:rPr>
              <w:t>)</w:t>
            </w:r>
          </w:p>
        </w:tc>
        <w:tc>
          <w:tcPr>
            <w:tcW w:w="1843" w:type="dxa"/>
            <w:shd w:val="clear" w:color="auto" w:fill="auto"/>
            <w:vAlign w:val="center"/>
          </w:tcPr>
          <w:p w:rsidR="008D7D4C" w:rsidRPr="0098559C" w:rsidRDefault="008D7D4C" w:rsidP="00401937">
            <w:pPr>
              <w:pStyle w:val="Tabletext"/>
              <w:keepNext/>
              <w:jc w:val="center"/>
              <w:rPr>
                <w:b/>
              </w:rPr>
            </w:pPr>
            <w:r w:rsidRPr="0098559C">
              <w:rPr>
                <w:b/>
              </w:rPr>
              <w:t>Placebo</w:t>
            </w:r>
          </w:p>
          <w:p w:rsidR="008D7D4C" w:rsidRPr="0098559C" w:rsidRDefault="008D7D4C" w:rsidP="00F716A5">
            <w:pPr>
              <w:pStyle w:val="Tabletext"/>
              <w:keepNext/>
              <w:jc w:val="center"/>
              <w:rPr>
                <w:b/>
              </w:rPr>
            </w:pPr>
            <w:r w:rsidRPr="0098559C">
              <w:rPr>
                <w:b/>
              </w:rPr>
              <w:t xml:space="preserve">n/N </w:t>
            </w:r>
            <w:r w:rsidR="00C41280" w:rsidRPr="0098559C">
              <w:rPr>
                <w:b/>
              </w:rPr>
              <w:br/>
            </w:r>
            <w:r w:rsidRPr="0098559C">
              <w:rPr>
                <w:b/>
              </w:rPr>
              <w:t>(IRR = n/T (per 1</w:t>
            </w:r>
            <w:r w:rsidR="00630DEE" w:rsidRPr="0098559C">
              <w:rPr>
                <w:b/>
              </w:rPr>
              <w:t>,</w:t>
            </w:r>
            <w:r w:rsidRPr="0098559C">
              <w:rPr>
                <w:b/>
              </w:rPr>
              <w:t>000)</w:t>
            </w:r>
            <w:r w:rsidR="00855AE5" w:rsidRPr="0098559C">
              <w:rPr>
                <w:b/>
              </w:rPr>
              <w:t>)</w:t>
            </w:r>
          </w:p>
        </w:tc>
        <w:tc>
          <w:tcPr>
            <w:tcW w:w="1857" w:type="dxa"/>
            <w:shd w:val="clear" w:color="auto" w:fill="auto"/>
            <w:vAlign w:val="center"/>
          </w:tcPr>
          <w:p w:rsidR="008D7D4C" w:rsidRPr="0098559C" w:rsidRDefault="008D7D4C" w:rsidP="00401937">
            <w:pPr>
              <w:pStyle w:val="Tabletext"/>
              <w:keepNext/>
              <w:jc w:val="center"/>
              <w:rPr>
                <w:b/>
              </w:rPr>
            </w:pPr>
            <w:r w:rsidRPr="0098559C">
              <w:rPr>
                <w:b/>
              </w:rPr>
              <w:t xml:space="preserve">Treatment effect </w:t>
            </w:r>
            <w:r w:rsidR="00C41280" w:rsidRPr="0098559C">
              <w:rPr>
                <w:b/>
              </w:rPr>
              <w:br/>
            </w:r>
            <w:r w:rsidRPr="0098559C">
              <w:rPr>
                <w:b/>
              </w:rPr>
              <w:t>(VE, 95% CI)</w:t>
            </w:r>
          </w:p>
        </w:tc>
      </w:tr>
      <w:tr w:rsidR="00102B01" w:rsidRPr="0098559C" w:rsidTr="00102B01">
        <w:trPr>
          <w:trHeight w:val="221"/>
        </w:trPr>
        <w:tc>
          <w:tcPr>
            <w:tcW w:w="1617" w:type="dxa"/>
            <w:vAlign w:val="center"/>
          </w:tcPr>
          <w:p w:rsidR="00102B01" w:rsidRPr="0098559C" w:rsidRDefault="00102B01" w:rsidP="00401937">
            <w:pPr>
              <w:pStyle w:val="Tabletext"/>
              <w:keepNext/>
            </w:pPr>
            <w:r w:rsidRPr="0098559C">
              <w:t>HZ/</w:t>
            </w:r>
            <w:proofErr w:type="spellStart"/>
            <w:r w:rsidRPr="0098559C">
              <w:t>su</w:t>
            </w:r>
            <w:proofErr w:type="spellEnd"/>
            <w:r w:rsidRPr="0098559C">
              <w:t xml:space="preserve"> vaccine vs. placebo</w:t>
            </w:r>
          </w:p>
        </w:tc>
        <w:tc>
          <w:tcPr>
            <w:tcW w:w="1984" w:type="dxa"/>
            <w:shd w:val="clear" w:color="auto" w:fill="auto"/>
            <w:vAlign w:val="center"/>
          </w:tcPr>
          <w:p w:rsidR="00102B01" w:rsidRPr="0098559C" w:rsidRDefault="00102B01" w:rsidP="00401937">
            <w:pPr>
              <w:pStyle w:val="Tabletext"/>
              <w:keepNext/>
            </w:pPr>
            <w:r>
              <w:t xml:space="preserve">ZOE-50 and ZOE-70, </w:t>
            </w:r>
            <w:r w:rsidRPr="0098559C">
              <w:t>Pooled (≥ 70 years)</w:t>
            </w:r>
          </w:p>
        </w:tc>
        <w:tc>
          <w:tcPr>
            <w:tcW w:w="1843" w:type="dxa"/>
            <w:shd w:val="clear" w:color="auto" w:fill="auto"/>
            <w:vAlign w:val="center"/>
          </w:tcPr>
          <w:p w:rsidR="00102B01" w:rsidRPr="0020540A" w:rsidRDefault="0020540A" w:rsidP="00401937">
            <w:pPr>
              <w:pStyle w:val="Tabletext"/>
              <w:keepNext/>
              <w:jc w:val="center"/>
              <w:rPr>
                <w:highlight w:val="black"/>
              </w:rPr>
            </w:pPr>
            <w:r>
              <w:rPr>
                <w:rStyle w:val="TableText0"/>
                <w:noProof/>
                <w:color w:val="000000"/>
                <w:highlight w:val="black"/>
              </w:rPr>
              <w:t>'''''''''''''''''''''''''''''''</w:t>
            </w:r>
          </w:p>
        </w:tc>
        <w:tc>
          <w:tcPr>
            <w:tcW w:w="1843" w:type="dxa"/>
            <w:shd w:val="clear" w:color="auto" w:fill="auto"/>
            <w:vAlign w:val="center"/>
          </w:tcPr>
          <w:p w:rsidR="00102B01" w:rsidRPr="0020540A" w:rsidRDefault="0020540A" w:rsidP="00401937">
            <w:pPr>
              <w:pStyle w:val="Tabletext"/>
              <w:keepNext/>
              <w:jc w:val="center"/>
              <w:rPr>
                <w:highlight w:val="black"/>
              </w:rPr>
            </w:pPr>
            <w:r>
              <w:rPr>
                <w:rStyle w:val="TableText0"/>
                <w:noProof/>
                <w:color w:val="000000"/>
                <w:highlight w:val="black"/>
              </w:rPr>
              <w:t>'''''''''''''''''''''''''''''''''''''''</w:t>
            </w:r>
          </w:p>
        </w:tc>
        <w:tc>
          <w:tcPr>
            <w:tcW w:w="1857" w:type="dxa"/>
            <w:shd w:val="clear" w:color="auto" w:fill="auto"/>
            <w:vAlign w:val="center"/>
          </w:tcPr>
          <w:p w:rsidR="00102B01" w:rsidRPr="0020540A" w:rsidRDefault="0020540A" w:rsidP="00401937">
            <w:pPr>
              <w:pStyle w:val="Tabletext"/>
              <w:keepNext/>
              <w:jc w:val="center"/>
              <w:rPr>
                <w:highlight w:val="black"/>
              </w:rPr>
            </w:pPr>
            <w:r>
              <w:rPr>
                <w:rStyle w:val="TableText0"/>
                <w:noProof/>
                <w:color w:val="000000"/>
                <w:highlight w:val="black"/>
              </w:rPr>
              <w:t>'''''''''''''''''''''''''''''''''''''''''''''</w:t>
            </w:r>
          </w:p>
        </w:tc>
      </w:tr>
      <w:tr w:rsidR="00437617" w:rsidRPr="0098559C" w:rsidTr="00F716A5">
        <w:trPr>
          <w:trHeight w:val="58"/>
        </w:trPr>
        <w:tc>
          <w:tcPr>
            <w:tcW w:w="1617" w:type="dxa"/>
            <w:vAlign w:val="center"/>
          </w:tcPr>
          <w:p w:rsidR="008D7D4C" w:rsidRPr="0098559C" w:rsidRDefault="008D7D4C" w:rsidP="00401937">
            <w:pPr>
              <w:pStyle w:val="Tabletext"/>
              <w:keepNext/>
            </w:pPr>
            <w:r w:rsidRPr="0098559C">
              <w:t>Live-HZ vaccine vs. placebo</w:t>
            </w:r>
          </w:p>
        </w:tc>
        <w:tc>
          <w:tcPr>
            <w:tcW w:w="1984" w:type="dxa"/>
            <w:shd w:val="clear" w:color="auto" w:fill="auto"/>
            <w:vAlign w:val="center"/>
          </w:tcPr>
          <w:p w:rsidR="008D7D4C" w:rsidRPr="0098559C" w:rsidRDefault="008D7D4C" w:rsidP="00401937">
            <w:pPr>
              <w:pStyle w:val="Tabletext"/>
              <w:keepNext/>
            </w:pPr>
            <w:r w:rsidRPr="0098559C">
              <w:t>SPS (≥</w:t>
            </w:r>
            <w:r w:rsidR="00C41280" w:rsidRPr="0098559C">
              <w:t xml:space="preserve"> </w:t>
            </w:r>
            <w:r w:rsidRPr="0098559C">
              <w:t>70 years)</w:t>
            </w:r>
          </w:p>
        </w:tc>
        <w:tc>
          <w:tcPr>
            <w:tcW w:w="1843" w:type="dxa"/>
            <w:shd w:val="clear" w:color="auto" w:fill="auto"/>
            <w:vAlign w:val="center"/>
          </w:tcPr>
          <w:p w:rsidR="008D7D4C" w:rsidRPr="0020540A" w:rsidRDefault="0020540A" w:rsidP="005C6BA2">
            <w:pPr>
              <w:pStyle w:val="Tabletext"/>
              <w:keepNext/>
              <w:jc w:val="center"/>
              <w:rPr>
                <w:highlight w:val="black"/>
              </w:rPr>
            </w:pPr>
            <w:r>
              <w:rPr>
                <w:rStyle w:val="TableText0"/>
                <w:noProof/>
                <w:color w:val="000000"/>
                <w:highlight w:val="black"/>
              </w:rPr>
              <w:t>''''''''''''''''''''''''''''''''''''''''''</w:t>
            </w:r>
          </w:p>
        </w:tc>
        <w:tc>
          <w:tcPr>
            <w:tcW w:w="1843" w:type="dxa"/>
            <w:shd w:val="clear" w:color="auto" w:fill="auto"/>
            <w:vAlign w:val="center"/>
          </w:tcPr>
          <w:p w:rsidR="008D7D4C" w:rsidRPr="0020540A" w:rsidRDefault="0020540A" w:rsidP="005C6BA2">
            <w:pPr>
              <w:pStyle w:val="Tabletext"/>
              <w:keepNext/>
              <w:jc w:val="center"/>
              <w:rPr>
                <w:highlight w:val="black"/>
              </w:rPr>
            </w:pPr>
            <w:r>
              <w:rPr>
                <w:rStyle w:val="TableText0"/>
                <w:noProof/>
                <w:color w:val="000000"/>
                <w:highlight w:val="black"/>
              </w:rPr>
              <w:t>''''''''''''''''''''''''''''''''''''''''''''</w:t>
            </w:r>
          </w:p>
        </w:tc>
        <w:tc>
          <w:tcPr>
            <w:tcW w:w="1857" w:type="dxa"/>
            <w:shd w:val="clear" w:color="auto" w:fill="auto"/>
            <w:vAlign w:val="center"/>
          </w:tcPr>
          <w:p w:rsidR="008D7D4C" w:rsidRPr="0020540A" w:rsidRDefault="0020540A" w:rsidP="005C6BA2">
            <w:pPr>
              <w:pStyle w:val="Tabletext"/>
              <w:keepNext/>
              <w:jc w:val="center"/>
              <w:rPr>
                <w:highlight w:val="black"/>
              </w:rPr>
            </w:pPr>
            <w:r>
              <w:rPr>
                <w:rStyle w:val="TableText0"/>
                <w:noProof/>
                <w:color w:val="000000"/>
                <w:highlight w:val="black"/>
              </w:rPr>
              <w:t>'''''''''''''''''''''''''''''''''''''''''''</w:t>
            </w:r>
          </w:p>
        </w:tc>
      </w:tr>
      <w:tr w:rsidR="008D7D4C" w:rsidRPr="0098559C" w:rsidTr="00F716A5">
        <w:tc>
          <w:tcPr>
            <w:tcW w:w="7287" w:type="dxa"/>
            <w:gridSpan w:val="4"/>
            <w:vAlign w:val="center"/>
          </w:tcPr>
          <w:p w:rsidR="008D7D4C" w:rsidRPr="0098559C" w:rsidRDefault="008D7D4C" w:rsidP="00401937">
            <w:pPr>
              <w:pStyle w:val="Tabletext"/>
              <w:keepNext/>
            </w:pPr>
            <w:r w:rsidRPr="0098559C">
              <w:t>Indirect estimate of effect adjusted for the common reference</w:t>
            </w:r>
          </w:p>
        </w:tc>
        <w:tc>
          <w:tcPr>
            <w:tcW w:w="1857" w:type="dxa"/>
            <w:shd w:val="clear" w:color="auto" w:fill="auto"/>
            <w:vAlign w:val="center"/>
          </w:tcPr>
          <w:p w:rsidR="00323C4E" w:rsidRPr="0020540A" w:rsidRDefault="0020540A" w:rsidP="00323C4E">
            <w:pPr>
              <w:pStyle w:val="Tabletext"/>
              <w:keepNext/>
              <w:jc w:val="center"/>
              <w:rPr>
                <w:highlight w:val="black"/>
              </w:rPr>
            </w:pPr>
            <w:r>
              <w:rPr>
                <w:rStyle w:val="CommentReference"/>
                <w:b w:val="0"/>
                <w:noProof/>
                <w:color w:val="000000"/>
                <w:highlight w:val="black"/>
              </w:rPr>
              <w:t>'''''''''' '''''''''''''' '''''''''''''''''</w:t>
            </w:r>
          </w:p>
        </w:tc>
      </w:tr>
    </w:tbl>
    <w:p w:rsidR="00323C4E" w:rsidRPr="0020540A" w:rsidRDefault="0006591F" w:rsidP="00323C4E">
      <w:pPr>
        <w:pStyle w:val="TableFooter"/>
      </w:pPr>
      <w:r w:rsidRPr="0098559C">
        <w:t xml:space="preserve">CI: confidence interval; HZ: herpes zoster; IRR: incident rate ratio; </w:t>
      </w:r>
      <w:r w:rsidR="00FC108C" w:rsidRPr="0098559C">
        <w:rPr>
          <w:szCs w:val="18"/>
        </w:rPr>
        <w:t xml:space="preserve">N: number of subjects included in each group; n: number of subjects having at least one case; T (year): sum of follow-up period (censored at the first occurrence of a case) expressed in years; </w:t>
      </w:r>
      <w:r w:rsidR="00FC108C" w:rsidRPr="0098559C">
        <w:t>VE: vaccine effic</w:t>
      </w:r>
      <w:r w:rsidR="00C41280" w:rsidRPr="0098559C">
        <w:t>acy</w:t>
      </w:r>
      <w:r w:rsidR="00FC108C" w:rsidRPr="0098559C">
        <w:t>.</w:t>
      </w:r>
      <w:r w:rsidR="00C41280" w:rsidRPr="0098559C">
        <w:br/>
      </w:r>
      <w:r w:rsidR="0020540A">
        <w:rPr>
          <w:noProof/>
          <w:color w:val="000000"/>
          <w:highlight w:val="black"/>
        </w:rPr>
        <w:t>''' '''''''''''''' '''' ''''''''''''''''''''''''''''''''''''''''''''''''''''''''''''''' '''' ''''''''''''</w:t>
      </w:r>
    </w:p>
    <w:p w:rsidR="00323C4E" w:rsidRPr="0020540A" w:rsidRDefault="0020540A" w:rsidP="00323C4E">
      <w:pPr>
        <w:pStyle w:val="TableFooter"/>
        <w:rPr>
          <w:highlight w:val="black"/>
        </w:rPr>
      </w:pPr>
      <w:r>
        <w:rPr>
          <w:noProof/>
          <w:color w:val="000000"/>
          <w:highlight w:val="black"/>
        </w:rPr>
        <w:t>'''' '''''''''''''' ''' '''''''''''''''''''''''''''''''''''''''''''''''''''''''''''''''''''''''' ''' ''''''''''''''</w:t>
      </w:r>
    </w:p>
    <w:p w:rsidR="00323C4E" w:rsidRPr="0020540A" w:rsidRDefault="0020540A" w:rsidP="00323C4E">
      <w:pPr>
        <w:pStyle w:val="TableFooter"/>
      </w:pPr>
      <w:r>
        <w:rPr>
          <w:noProof/>
          <w:color w:val="000000"/>
          <w:highlight w:val="black"/>
        </w:rPr>
        <w:t>'''''' '''''''''''''''' ''' '''''''''''''''''''''''''''''' '''' '''''''''''''''''''' ''' '''''''''''''''' '''''''''' ''''''''''''' ''''''''''' '''''' ''' '''''''''''''''''''''''''''''''''''''''''''''''''''''''' ''' '''''''''' ''''''''' '''''''''''''' '''''''''' '''''' ''''</w:t>
      </w:r>
      <w:r w:rsidR="00323C4E" w:rsidRPr="0098559C">
        <w:t xml:space="preserve"> </w:t>
      </w:r>
      <w:r>
        <w:rPr>
          <w:noProof/>
          <w:color w:val="000000"/>
          <w:highlight w:val="black"/>
        </w:rPr>
        <w:t>''''''''''''''''''''''''''''''''''''''''''''''''''''''''''' '''' '''''''''''</w:t>
      </w:r>
    </w:p>
    <w:p w:rsidR="001407ED" w:rsidRPr="0098559C" w:rsidRDefault="008D7D4C" w:rsidP="008D7D4C">
      <w:pPr>
        <w:rPr>
          <w:rFonts w:ascii="Arial Narrow" w:hAnsi="Arial Narrow"/>
          <w:sz w:val="18"/>
          <w:szCs w:val="18"/>
        </w:rPr>
      </w:pPr>
      <w:r w:rsidRPr="0098559C">
        <w:rPr>
          <w:rFonts w:ascii="Arial Narrow" w:hAnsi="Arial Narrow"/>
          <w:sz w:val="18"/>
          <w:szCs w:val="18"/>
        </w:rPr>
        <w:t xml:space="preserve">Source: Table </w:t>
      </w:r>
      <w:r w:rsidR="00BF7C0C">
        <w:rPr>
          <w:rFonts w:ascii="Arial Narrow" w:hAnsi="Arial Narrow"/>
          <w:sz w:val="18"/>
          <w:szCs w:val="18"/>
        </w:rPr>
        <w:t>3</w:t>
      </w:r>
      <w:r w:rsidRPr="0098559C">
        <w:rPr>
          <w:rFonts w:ascii="Arial Narrow" w:hAnsi="Arial Narrow"/>
          <w:sz w:val="18"/>
          <w:szCs w:val="18"/>
        </w:rPr>
        <w:t xml:space="preserve">9 p92 and Table 40 p93 of the submission, and </w:t>
      </w:r>
      <w:proofErr w:type="spellStart"/>
      <w:r w:rsidRPr="0098559C">
        <w:rPr>
          <w:rFonts w:ascii="Arial Narrow" w:hAnsi="Arial Narrow"/>
          <w:sz w:val="18"/>
          <w:szCs w:val="18"/>
        </w:rPr>
        <w:t>Oxman</w:t>
      </w:r>
      <w:proofErr w:type="spellEnd"/>
      <w:r w:rsidRPr="0098559C">
        <w:rPr>
          <w:rFonts w:ascii="Arial Narrow" w:hAnsi="Arial Narrow"/>
          <w:sz w:val="18"/>
          <w:szCs w:val="18"/>
        </w:rPr>
        <w:t xml:space="preserve"> (2005) and </w:t>
      </w:r>
      <w:proofErr w:type="spellStart"/>
      <w:r w:rsidRPr="0098559C">
        <w:rPr>
          <w:rFonts w:ascii="Arial Narrow" w:hAnsi="Arial Narrow"/>
          <w:sz w:val="18"/>
          <w:szCs w:val="18"/>
        </w:rPr>
        <w:t>Zostavax</w:t>
      </w:r>
      <w:proofErr w:type="spellEnd"/>
      <w:r w:rsidRPr="0098559C">
        <w:rPr>
          <w:rFonts w:ascii="Arial Narrow" w:hAnsi="Arial Narrow"/>
          <w:sz w:val="18"/>
          <w:szCs w:val="18"/>
        </w:rPr>
        <w:t xml:space="preserve"> PI</w:t>
      </w:r>
      <w:r w:rsidR="00FC108C" w:rsidRPr="0098559C">
        <w:rPr>
          <w:rFonts w:ascii="Arial Narrow" w:hAnsi="Arial Narrow"/>
          <w:sz w:val="18"/>
          <w:szCs w:val="18"/>
        </w:rPr>
        <w:t xml:space="preserve"> and compiled or calculated during the evaluation</w:t>
      </w:r>
      <w:r w:rsidRPr="0098559C">
        <w:rPr>
          <w:rFonts w:ascii="Arial Narrow" w:hAnsi="Arial Narrow"/>
          <w:sz w:val="18"/>
          <w:szCs w:val="18"/>
        </w:rPr>
        <w:t>.</w:t>
      </w:r>
    </w:p>
    <w:p w:rsidR="00E92F71" w:rsidRPr="008B348A" w:rsidRDefault="00E92F71" w:rsidP="00651FFE">
      <w:pPr>
        <w:pStyle w:val="TableFooter"/>
      </w:pPr>
    </w:p>
    <w:p w:rsidR="008D7D4C" w:rsidRPr="008B348A" w:rsidRDefault="008D7D4C" w:rsidP="008D7D4C">
      <w:pPr>
        <w:keepNext/>
        <w:rPr>
          <w:rStyle w:val="CommentReference"/>
        </w:rPr>
      </w:pPr>
      <w:r w:rsidRPr="008B348A">
        <w:rPr>
          <w:rStyle w:val="CommentReference"/>
        </w:rPr>
        <w:t xml:space="preserve">Table </w:t>
      </w:r>
      <w:r w:rsidR="00DF7A69">
        <w:rPr>
          <w:rStyle w:val="CommentReference"/>
        </w:rPr>
        <w:t>9</w:t>
      </w:r>
      <w:r w:rsidRPr="008B348A">
        <w:rPr>
          <w:rStyle w:val="CommentReference"/>
        </w:rPr>
        <w:t>: Summary of results of the indirect comparison for vaccine efficacy against PHN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93"/>
        <w:gridCol w:w="1949"/>
        <w:gridCol w:w="1815"/>
        <w:gridCol w:w="1817"/>
        <w:gridCol w:w="1846"/>
      </w:tblGrid>
      <w:tr w:rsidR="008D7D4C" w:rsidRPr="0098559C" w:rsidTr="00630DEE">
        <w:trPr>
          <w:tblHeader/>
        </w:trPr>
        <w:tc>
          <w:tcPr>
            <w:tcW w:w="1617" w:type="dxa"/>
            <w:vAlign w:val="center"/>
          </w:tcPr>
          <w:p w:rsidR="008D7D4C" w:rsidRPr="0098559C" w:rsidRDefault="008D7D4C" w:rsidP="00401937">
            <w:pPr>
              <w:pStyle w:val="Tabletext"/>
              <w:keepNext/>
              <w:rPr>
                <w:b/>
              </w:rPr>
            </w:pPr>
          </w:p>
        </w:tc>
        <w:tc>
          <w:tcPr>
            <w:tcW w:w="1984" w:type="dxa"/>
            <w:shd w:val="clear" w:color="auto" w:fill="auto"/>
            <w:vAlign w:val="center"/>
          </w:tcPr>
          <w:p w:rsidR="008D7D4C" w:rsidRPr="0098559C" w:rsidRDefault="008D7D4C" w:rsidP="0006591F">
            <w:pPr>
              <w:pStyle w:val="Tabletext"/>
              <w:keepNext/>
              <w:jc w:val="center"/>
              <w:rPr>
                <w:b/>
              </w:rPr>
            </w:pPr>
            <w:r w:rsidRPr="0098559C">
              <w:rPr>
                <w:b/>
              </w:rPr>
              <w:t xml:space="preserve">Trial </w:t>
            </w:r>
          </w:p>
        </w:tc>
        <w:tc>
          <w:tcPr>
            <w:tcW w:w="1843" w:type="dxa"/>
            <w:shd w:val="clear" w:color="auto" w:fill="auto"/>
            <w:vAlign w:val="center"/>
          </w:tcPr>
          <w:p w:rsidR="0006591F" w:rsidRPr="0098559C" w:rsidRDefault="0006591F" w:rsidP="00401937">
            <w:pPr>
              <w:pStyle w:val="Tabletext"/>
              <w:keepNext/>
              <w:jc w:val="center"/>
              <w:rPr>
                <w:b/>
              </w:rPr>
            </w:pPr>
            <w:r w:rsidRPr="0098559C">
              <w:rPr>
                <w:b/>
              </w:rPr>
              <w:t>Vaccine</w:t>
            </w:r>
          </w:p>
          <w:p w:rsidR="008D7D4C" w:rsidRPr="0098559C" w:rsidRDefault="008D7D4C" w:rsidP="00401937">
            <w:pPr>
              <w:pStyle w:val="Tabletext"/>
              <w:keepNext/>
              <w:jc w:val="center"/>
              <w:rPr>
                <w:b/>
              </w:rPr>
            </w:pPr>
            <w:r w:rsidRPr="0098559C">
              <w:rPr>
                <w:b/>
              </w:rPr>
              <w:t xml:space="preserve">n/N </w:t>
            </w:r>
            <w:r w:rsidR="00C41280" w:rsidRPr="0098559C">
              <w:rPr>
                <w:b/>
              </w:rPr>
              <w:br/>
            </w:r>
            <w:r w:rsidRPr="0098559C">
              <w:rPr>
                <w:b/>
              </w:rPr>
              <w:t>(IRR = n/T (per 1</w:t>
            </w:r>
            <w:r w:rsidR="00630DEE" w:rsidRPr="0098559C">
              <w:rPr>
                <w:b/>
              </w:rPr>
              <w:t>,</w:t>
            </w:r>
            <w:r w:rsidRPr="0098559C">
              <w:rPr>
                <w:b/>
              </w:rPr>
              <w:t>000)</w:t>
            </w:r>
            <w:r w:rsidR="00855AE5" w:rsidRPr="0098559C">
              <w:rPr>
                <w:b/>
              </w:rPr>
              <w:t>)</w:t>
            </w:r>
          </w:p>
        </w:tc>
        <w:tc>
          <w:tcPr>
            <w:tcW w:w="1843" w:type="dxa"/>
            <w:shd w:val="clear" w:color="auto" w:fill="auto"/>
            <w:vAlign w:val="center"/>
          </w:tcPr>
          <w:p w:rsidR="008D7D4C" w:rsidRPr="0098559C" w:rsidRDefault="008D7D4C" w:rsidP="00401937">
            <w:pPr>
              <w:pStyle w:val="Tabletext"/>
              <w:keepNext/>
              <w:jc w:val="center"/>
              <w:rPr>
                <w:b/>
              </w:rPr>
            </w:pPr>
            <w:r w:rsidRPr="0098559C">
              <w:rPr>
                <w:b/>
              </w:rPr>
              <w:t>Placebo</w:t>
            </w:r>
          </w:p>
          <w:p w:rsidR="008D7D4C" w:rsidRPr="0098559C" w:rsidRDefault="008D7D4C" w:rsidP="00401937">
            <w:pPr>
              <w:pStyle w:val="Tabletext"/>
              <w:keepNext/>
              <w:jc w:val="center"/>
              <w:rPr>
                <w:b/>
              </w:rPr>
            </w:pPr>
            <w:r w:rsidRPr="0098559C">
              <w:rPr>
                <w:b/>
              </w:rPr>
              <w:t xml:space="preserve">n/N </w:t>
            </w:r>
            <w:r w:rsidR="00C41280" w:rsidRPr="0098559C">
              <w:rPr>
                <w:b/>
              </w:rPr>
              <w:br/>
            </w:r>
            <w:r w:rsidRPr="0098559C">
              <w:rPr>
                <w:b/>
              </w:rPr>
              <w:t>(IRR = n/T (per 1</w:t>
            </w:r>
            <w:r w:rsidR="00630DEE" w:rsidRPr="0098559C">
              <w:rPr>
                <w:b/>
              </w:rPr>
              <w:t>,</w:t>
            </w:r>
            <w:r w:rsidRPr="0098559C">
              <w:rPr>
                <w:b/>
              </w:rPr>
              <w:t>000)</w:t>
            </w:r>
            <w:r w:rsidR="00855AE5" w:rsidRPr="0098559C">
              <w:rPr>
                <w:b/>
              </w:rPr>
              <w:t>)</w:t>
            </w:r>
          </w:p>
        </w:tc>
        <w:tc>
          <w:tcPr>
            <w:tcW w:w="1857" w:type="dxa"/>
            <w:shd w:val="clear" w:color="auto" w:fill="auto"/>
            <w:vAlign w:val="center"/>
          </w:tcPr>
          <w:p w:rsidR="008D7D4C" w:rsidRPr="0098559C" w:rsidRDefault="008D7D4C" w:rsidP="00C41280">
            <w:pPr>
              <w:pStyle w:val="Tabletext"/>
              <w:keepNext/>
              <w:jc w:val="center"/>
              <w:rPr>
                <w:b/>
              </w:rPr>
            </w:pPr>
            <w:r w:rsidRPr="0098559C">
              <w:rPr>
                <w:b/>
              </w:rPr>
              <w:t xml:space="preserve">Treatment effect </w:t>
            </w:r>
            <w:r w:rsidR="00C41280" w:rsidRPr="0098559C">
              <w:rPr>
                <w:b/>
              </w:rPr>
              <w:br/>
            </w:r>
            <w:r w:rsidRPr="0098559C">
              <w:rPr>
                <w:b/>
              </w:rPr>
              <w:t>(VE, 95%</w:t>
            </w:r>
            <w:r w:rsidR="00C41280" w:rsidRPr="0098559C">
              <w:rPr>
                <w:b/>
              </w:rPr>
              <w:t xml:space="preserve"> </w:t>
            </w:r>
            <w:r w:rsidRPr="0098559C">
              <w:rPr>
                <w:b/>
              </w:rPr>
              <w:t>CI)</w:t>
            </w:r>
          </w:p>
        </w:tc>
      </w:tr>
      <w:tr w:rsidR="00102B01" w:rsidRPr="0098559C" w:rsidTr="00630DEE">
        <w:tc>
          <w:tcPr>
            <w:tcW w:w="1617" w:type="dxa"/>
            <w:vAlign w:val="center"/>
          </w:tcPr>
          <w:p w:rsidR="00102B01" w:rsidRPr="0098559C" w:rsidRDefault="00102B01" w:rsidP="00102B01">
            <w:pPr>
              <w:pStyle w:val="Tabletext"/>
              <w:keepNext/>
            </w:pPr>
            <w:r w:rsidRPr="0098559C">
              <w:t>HZ/</w:t>
            </w:r>
            <w:proofErr w:type="spellStart"/>
            <w:r w:rsidRPr="0098559C">
              <w:t>su</w:t>
            </w:r>
            <w:proofErr w:type="spellEnd"/>
            <w:r w:rsidRPr="0098559C">
              <w:t xml:space="preserve"> vaccine vs. placebo</w:t>
            </w:r>
          </w:p>
        </w:tc>
        <w:tc>
          <w:tcPr>
            <w:tcW w:w="1984" w:type="dxa"/>
            <w:shd w:val="clear" w:color="auto" w:fill="auto"/>
            <w:vAlign w:val="center"/>
          </w:tcPr>
          <w:p w:rsidR="00102B01" w:rsidRPr="0098559C" w:rsidRDefault="00102B01" w:rsidP="00102B01">
            <w:pPr>
              <w:pStyle w:val="Tabletext"/>
              <w:keepNext/>
            </w:pPr>
            <w:r>
              <w:t xml:space="preserve">ZOE-50 and ZOE-70, </w:t>
            </w:r>
            <w:r w:rsidRPr="0098559C">
              <w:t>Pooled (≥ 70 years)</w:t>
            </w:r>
          </w:p>
        </w:tc>
        <w:tc>
          <w:tcPr>
            <w:tcW w:w="1843" w:type="dxa"/>
            <w:shd w:val="clear" w:color="auto" w:fill="auto"/>
            <w:vAlign w:val="center"/>
          </w:tcPr>
          <w:p w:rsidR="00102B01" w:rsidRPr="0020540A" w:rsidRDefault="0020540A" w:rsidP="00102B01">
            <w:pPr>
              <w:pStyle w:val="Tabletext"/>
              <w:keepNext/>
              <w:jc w:val="center"/>
              <w:rPr>
                <w:highlight w:val="black"/>
              </w:rPr>
            </w:pPr>
            <w:r>
              <w:rPr>
                <w:rStyle w:val="TableText0"/>
                <w:noProof/>
                <w:color w:val="000000"/>
                <w:highlight w:val="black"/>
              </w:rPr>
              <w:t>'''''''''''''''' '''''''''''</w:t>
            </w:r>
          </w:p>
        </w:tc>
        <w:tc>
          <w:tcPr>
            <w:tcW w:w="1843" w:type="dxa"/>
            <w:shd w:val="clear" w:color="auto" w:fill="auto"/>
            <w:vAlign w:val="center"/>
          </w:tcPr>
          <w:p w:rsidR="00102B01" w:rsidRPr="0020540A" w:rsidRDefault="0020540A" w:rsidP="00102B01">
            <w:pPr>
              <w:pStyle w:val="Tabletext"/>
              <w:keepNext/>
              <w:jc w:val="center"/>
              <w:rPr>
                <w:highlight w:val="black"/>
              </w:rPr>
            </w:pPr>
            <w:r>
              <w:rPr>
                <w:rStyle w:val="TableText0"/>
                <w:noProof/>
                <w:color w:val="000000"/>
                <w:highlight w:val="black"/>
              </w:rPr>
              <w:t>'''''''''''''''''''''' ''''''''''''</w:t>
            </w:r>
          </w:p>
        </w:tc>
        <w:tc>
          <w:tcPr>
            <w:tcW w:w="1857" w:type="dxa"/>
            <w:shd w:val="clear" w:color="auto" w:fill="auto"/>
            <w:vAlign w:val="center"/>
          </w:tcPr>
          <w:p w:rsidR="00102B01" w:rsidRPr="0020540A" w:rsidRDefault="0020540A" w:rsidP="00102B01">
            <w:pPr>
              <w:pStyle w:val="Tabletext"/>
              <w:keepNext/>
              <w:jc w:val="center"/>
              <w:rPr>
                <w:highlight w:val="black"/>
              </w:rPr>
            </w:pPr>
            <w:r>
              <w:rPr>
                <w:rStyle w:val="TableText0"/>
                <w:noProof/>
                <w:color w:val="000000"/>
                <w:highlight w:val="black"/>
              </w:rPr>
              <w:t>''''''''''''''''''''''''''''''''''''''''''</w:t>
            </w:r>
          </w:p>
        </w:tc>
      </w:tr>
      <w:tr w:rsidR="008D7D4C" w:rsidRPr="0098559C" w:rsidTr="00630DEE">
        <w:trPr>
          <w:trHeight w:val="58"/>
        </w:trPr>
        <w:tc>
          <w:tcPr>
            <w:tcW w:w="1617" w:type="dxa"/>
            <w:vAlign w:val="center"/>
          </w:tcPr>
          <w:p w:rsidR="008D7D4C" w:rsidRPr="0098559C" w:rsidRDefault="008D7D4C" w:rsidP="00401937">
            <w:pPr>
              <w:pStyle w:val="Tabletext"/>
              <w:keepNext/>
            </w:pPr>
            <w:r w:rsidRPr="0098559C">
              <w:t>Live-HZ vaccine vs. placebo</w:t>
            </w:r>
          </w:p>
        </w:tc>
        <w:tc>
          <w:tcPr>
            <w:tcW w:w="1984" w:type="dxa"/>
            <w:shd w:val="clear" w:color="auto" w:fill="auto"/>
            <w:vAlign w:val="center"/>
          </w:tcPr>
          <w:p w:rsidR="008D7D4C" w:rsidRPr="0098559C" w:rsidRDefault="008D7D4C" w:rsidP="00401937">
            <w:pPr>
              <w:pStyle w:val="Tabletext"/>
              <w:keepNext/>
            </w:pPr>
            <w:r w:rsidRPr="0098559C">
              <w:t>SPS (≥</w:t>
            </w:r>
            <w:r w:rsidR="00C41280" w:rsidRPr="0098559C">
              <w:t xml:space="preserve"> </w:t>
            </w:r>
            <w:r w:rsidRPr="0098559C">
              <w:t>70 years)</w:t>
            </w:r>
          </w:p>
        </w:tc>
        <w:tc>
          <w:tcPr>
            <w:tcW w:w="1843" w:type="dxa"/>
            <w:shd w:val="clear" w:color="auto" w:fill="auto"/>
            <w:vAlign w:val="center"/>
          </w:tcPr>
          <w:p w:rsidR="008D7D4C" w:rsidRPr="0020540A" w:rsidRDefault="0020540A" w:rsidP="00401937">
            <w:pPr>
              <w:pStyle w:val="Tabletext"/>
              <w:keepNext/>
              <w:jc w:val="center"/>
              <w:rPr>
                <w:highlight w:val="black"/>
              </w:rPr>
            </w:pPr>
            <w:r>
              <w:rPr>
                <w:rStyle w:val="TableText0"/>
                <w:noProof/>
                <w:color w:val="000000"/>
                <w:highlight w:val="black"/>
              </w:rPr>
              <w:t>''''''''''''''''''' ''''''''''''''</w:t>
            </w:r>
          </w:p>
        </w:tc>
        <w:tc>
          <w:tcPr>
            <w:tcW w:w="1843" w:type="dxa"/>
            <w:shd w:val="clear" w:color="auto" w:fill="auto"/>
            <w:vAlign w:val="center"/>
          </w:tcPr>
          <w:p w:rsidR="008D7D4C" w:rsidRPr="0020540A" w:rsidRDefault="0020540A" w:rsidP="00401937">
            <w:pPr>
              <w:pStyle w:val="Tabletext"/>
              <w:keepNext/>
              <w:jc w:val="center"/>
              <w:rPr>
                <w:highlight w:val="black"/>
              </w:rPr>
            </w:pPr>
            <w:r>
              <w:rPr>
                <w:rStyle w:val="TableText0"/>
                <w:noProof/>
                <w:color w:val="000000"/>
                <w:highlight w:val="black"/>
              </w:rPr>
              <w:t>''''''''''''''''''''' '''''''''''''</w:t>
            </w:r>
          </w:p>
        </w:tc>
        <w:tc>
          <w:tcPr>
            <w:tcW w:w="1857" w:type="dxa"/>
            <w:shd w:val="clear" w:color="auto" w:fill="auto"/>
            <w:vAlign w:val="center"/>
          </w:tcPr>
          <w:p w:rsidR="008D7D4C" w:rsidRPr="0020540A" w:rsidRDefault="0020540A" w:rsidP="005C6BA2">
            <w:pPr>
              <w:pStyle w:val="Tabletext"/>
              <w:keepNext/>
              <w:jc w:val="center"/>
              <w:rPr>
                <w:highlight w:val="black"/>
              </w:rPr>
            </w:pPr>
            <w:r>
              <w:rPr>
                <w:rStyle w:val="TableText0"/>
                <w:noProof/>
                <w:color w:val="000000"/>
                <w:highlight w:val="black"/>
              </w:rPr>
              <w:t>'''''''''''''''''''''''''''''''''''''''''</w:t>
            </w:r>
          </w:p>
        </w:tc>
      </w:tr>
      <w:tr w:rsidR="008D7D4C" w:rsidRPr="0098559C" w:rsidTr="00630DEE">
        <w:tc>
          <w:tcPr>
            <w:tcW w:w="7287" w:type="dxa"/>
            <w:gridSpan w:val="4"/>
            <w:vAlign w:val="center"/>
          </w:tcPr>
          <w:p w:rsidR="008D7D4C" w:rsidRPr="0098559C" w:rsidRDefault="008D7D4C" w:rsidP="00401937">
            <w:pPr>
              <w:pStyle w:val="Tabletext"/>
              <w:keepNext/>
            </w:pPr>
            <w:r w:rsidRPr="0098559C">
              <w:t>Indirect estimate of effect adjusted for the common reference</w:t>
            </w:r>
          </w:p>
        </w:tc>
        <w:tc>
          <w:tcPr>
            <w:tcW w:w="1857" w:type="dxa"/>
            <w:shd w:val="clear" w:color="auto" w:fill="auto"/>
            <w:vAlign w:val="center"/>
          </w:tcPr>
          <w:p w:rsidR="00323C4E" w:rsidRPr="0020540A" w:rsidRDefault="0020540A" w:rsidP="00323C4E">
            <w:pPr>
              <w:pStyle w:val="Tabletext"/>
              <w:keepNext/>
              <w:jc w:val="center"/>
              <w:rPr>
                <w:highlight w:val="black"/>
              </w:rPr>
            </w:pPr>
            <w:r>
              <w:rPr>
                <w:noProof/>
                <w:color w:val="000000"/>
                <w:highlight w:val="black"/>
              </w:rPr>
              <w:t>''''''''''' ''''''''''''''' ''''''''''''''''''''</w:t>
            </w:r>
          </w:p>
        </w:tc>
      </w:tr>
    </w:tbl>
    <w:p w:rsidR="00FC108C" w:rsidRPr="0098559C" w:rsidRDefault="0006591F" w:rsidP="00FC108C">
      <w:pPr>
        <w:pStyle w:val="TableFooter"/>
      </w:pPr>
      <w:r w:rsidRPr="0098559C">
        <w:t xml:space="preserve">CI: confidence interval; HZ: herpes zoster; IRR: incident rate ratio; </w:t>
      </w:r>
      <w:r w:rsidR="00FC108C" w:rsidRPr="0098559C">
        <w:rPr>
          <w:szCs w:val="18"/>
        </w:rPr>
        <w:t xml:space="preserve">N: number of subjects included in each group; n: number of subjects having at least one case; </w:t>
      </w:r>
      <w:r w:rsidRPr="0098559C">
        <w:t xml:space="preserve">PHN: post-herpetic neuralgia; </w:t>
      </w:r>
      <w:r w:rsidR="00FC108C" w:rsidRPr="0098559C">
        <w:rPr>
          <w:szCs w:val="18"/>
        </w:rPr>
        <w:t xml:space="preserve">T (year): sum of follow-up period (censored at the first occurrence of a case) expressed in years; </w:t>
      </w:r>
      <w:r w:rsidR="00FC108C" w:rsidRPr="0098559C">
        <w:t>VE: vaccine efficacy</w:t>
      </w:r>
    </w:p>
    <w:p w:rsidR="00323C4E" w:rsidRPr="0020540A" w:rsidRDefault="0020540A" w:rsidP="00323C4E">
      <w:pPr>
        <w:pStyle w:val="TableFooter"/>
        <w:rPr>
          <w:highlight w:val="black"/>
        </w:rPr>
      </w:pPr>
      <w:r>
        <w:rPr>
          <w:noProof/>
          <w:color w:val="000000"/>
          <w:highlight w:val="black"/>
        </w:rPr>
        <w:t>'' '''''''''''''' '''' ''''''''''''''''''''''''''''''''''''''''''''''''''''''''''''''''' ''' ''''''''''''</w:t>
      </w:r>
    </w:p>
    <w:p w:rsidR="00323C4E" w:rsidRPr="0020540A" w:rsidRDefault="0020540A" w:rsidP="00323C4E">
      <w:pPr>
        <w:pStyle w:val="TableFooter"/>
        <w:rPr>
          <w:highlight w:val="black"/>
        </w:rPr>
      </w:pPr>
      <w:r>
        <w:rPr>
          <w:noProof/>
          <w:color w:val="000000"/>
          <w:highlight w:val="black"/>
        </w:rPr>
        <w:t>'''' '''''''''''''''' ''' ''''''''''''''''''''''''''''''''''''''''''''''''''''''''''''''' '''' ''''''''''''''</w:t>
      </w:r>
    </w:p>
    <w:p w:rsidR="00323C4E" w:rsidRPr="0020540A" w:rsidRDefault="0020540A" w:rsidP="00323C4E">
      <w:pPr>
        <w:pStyle w:val="TableFooter"/>
        <w:rPr>
          <w:highlight w:val="black"/>
        </w:rPr>
      </w:pPr>
      <w:r>
        <w:rPr>
          <w:noProof/>
          <w:color w:val="000000"/>
          <w:highlight w:val="black"/>
        </w:rPr>
        <w:t>'''''' ''''''''''''' ''' '''''''''''''''''''''''''''''''''' ''' '''''''''''''''''''' ''' ''''''''''''''' '''''''''' '''''''''''' ''''''''''' '''''' '''' ''''''''''''''''''''''''''''''''''''''''''''''''''''''''''''''' '''' '''''''''' ''''''''' ''''''''''''' '''''''''' '''''' '''' '''''''''''''''''''''''''''''''''''''''''''''''''''''''''''''''''' '''' '''''''''</w:t>
      </w:r>
    </w:p>
    <w:p w:rsidR="001407ED" w:rsidRPr="0098559C" w:rsidRDefault="008D7D4C" w:rsidP="008D7D4C">
      <w:pPr>
        <w:rPr>
          <w:rFonts w:ascii="Arial Narrow" w:hAnsi="Arial Narrow"/>
          <w:sz w:val="18"/>
          <w:szCs w:val="18"/>
        </w:rPr>
      </w:pPr>
      <w:r w:rsidRPr="0098559C">
        <w:rPr>
          <w:rFonts w:ascii="Arial Narrow" w:hAnsi="Arial Narrow"/>
          <w:sz w:val="18"/>
          <w:szCs w:val="18"/>
        </w:rPr>
        <w:t xml:space="preserve">Source: Table 40, p93 of the submission and </w:t>
      </w:r>
      <w:proofErr w:type="spellStart"/>
      <w:r w:rsidRPr="0098559C">
        <w:rPr>
          <w:rFonts w:ascii="Arial Narrow" w:hAnsi="Arial Narrow"/>
          <w:sz w:val="18"/>
          <w:szCs w:val="18"/>
        </w:rPr>
        <w:t>Oxman</w:t>
      </w:r>
      <w:proofErr w:type="spellEnd"/>
      <w:r w:rsidRPr="0098559C">
        <w:rPr>
          <w:rFonts w:ascii="Arial Narrow" w:hAnsi="Arial Narrow"/>
          <w:sz w:val="18"/>
          <w:szCs w:val="18"/>
        </w:rPr>
        <w:t xml:space="preserve"> 2005</w:t>
      </w:r>
      <w:r w:rsidR="00FC108C" w:rsidRPr="0098559C">
        <w:rPr>
          <w:rFonts w:ascii="Arial Narrow" w:hAnsi="Arial Narrow"/>
          <w:sz w:val="18"/>
          <w:szCs w:val="18"/>
        </w:rPr>
        <w:t xml:space="preserve"> and compiled or calculated during the evaluation</w:t>
      </w:r>
      <w:r w:rsidR="00783954" w:rsidRPr="0098559C">
        <w:rPr>
          <w:rFonts w:ascii="Arial Narrow" w:hAnsi="Arial Narrow"/>
          <w:sz w:val="18"/>
          <w:szCs w:val="18"/>
        </w:rPr>
        <w:t>.</w:t>
      </w:r>
    </w:p>
    <w:p w:rsidR="00E92F71" w:rsidRPr="008B348A" w:rsidRDefault="00E92F71" w:rsidP="00651FFE">
      <w:pPr>
        <w:pStyle w:val="TableFooter"/>
      </w:pPr>
    </w:p>
    <w:p w:rsidR="00982726" w:rsidRPr="0086667F" w:rsidRDefault="00982726" w:rsidP="00ED2457">
      <w:pPr>
        <w:pStyle w:val="ListParagraph"/>
        <w:widowControl/>
        <w:numPr>
          <w:ilvl w:val="1"/>
          <w:numId w:val="2"/>
        </w:numPr>
      </w:pPr>
      <w:r w:rsidRPr="0086667F">
        <w:t>The HZ/</w:t>
      </w:r>
      <w:proofErr w:type="spellStart"/>
      <w:r w:rsidRPr="0086667F">
        <w:t>su</w:t>
      </w:r>
      <w:proofErr w:type="spellEnd"/>
      <w:r w:rsidRPr="0086667F">
        <w:t xml:space="preserve"> vaccine </w:t>
      </w:r>
      <w:r w:rsidR="001407ED" w:rsidRPr="0086667F">
        <w:t xml:space="preserve">provided a </w:t>
      </w:r>
      <w:r w:rsidRPr="0086667F">
        <w:t xml:space="preserve">statistically significant </w:t>
      </w:r>
      <w:r w:rsidR="001407ED" w:rsidRPr="0086667F">
        <w:t xml:space="preserve">benefit </w:t>
      </w:r>
      <w:r w:rsidRPr="0086667F">
        <w:t>compared with the live-HZ vaccine</w:t>
      </w:r>
      <w:r w:rsidR="001407ED" w:rsidRPr="0086667F">
        <w:t xml:space="preserve"> in terms of HZ event rates (</w:t>
      </w:r>
      <w:r w:rsidR="00D7371E" w:rsidRPr="0086667F">
        <w:t>VE</w:t>
      </w:r>
      <w:r w:rsidR="00D7371E" w:rsidRPr="0086667F">
        <w:rPr>
          <w:vertAlign w:val="subscript"/>
        </w:rPr>
        <w:t>HZ</w:t>
      </w:r>
      <w:r w:rsidR="00D7371E" w:rsidRPr="0086667F">
        <w:t xml:space="preserve"> = </w:t>
      </w:r>
      <w:r w:rsidR="0020540A">
        <w:rPr>
          <w:noProof/>
          <w:color w:val="000000"/>
          <w:highlight w:val="black"/>
        </w:rPr>
        <w:t>''''''''</w:t>
      </w:r>
      <w:r w:rsidR="00D7371E" w:rsidRPr="0086667F">
        <w:t xml:space="preserve">; 95% CI: </w:t>
      </w:r>
      <w:r w:rsidR="0020540A">
        <w:rPr>
          <w:noProof/>
          <w:color w:val="000000"/>
          <w:highlight w:val="black"/>
        </w:rPr>
        <w:t>'''''''''' ''''''''</w:t>
      </w:r>
      <w:r w:rsidR="00D7371E" w:rsidRPr="0086667F">
        <w:t>) and PHN event rates (VE</w:t>
      </w:r>
      <w:r w:rsidR="00D7371E" w:rsidRPr="0086667F">
        <w:rPr>
          <w:vertAlign w:val="subscript"/>
        </w:rPr>
        <w:t>PHN</w:t>
      </w:r>
      <w:r w:rsidR="00D7371E" w:rsidRPr="0086667F">
        <w:t xml:space="preserve"> = </w:t>
      </w:r>
      <w:r w:rsidR="0020540A">
        <w:rPr>
          <w:noProof/>
          <w:color w:val="000000"/>
          <w:highlight w:val="black"/>
        </w:rPr>
        <w:t>'''''''''</w:t>
      </w:r>
      <w:r w:rsidR="00D7371E" w:rsidRPr="0086667F">
        <w:t xml:space="preserve">; 95% CI: </w:t>
      </w:r>
      <w:r w:rsidR="0020540A">
        <w:rPr>
          <w:noProof/>
          <w:color w:val="000000"/>
          <w:highlight w:val="black"/>
        </w:rPr>
        <w:t>'''''''''' ''''''''</w:t>
      </w:r>
      <w:r w:rsidR="00D7371E" w:rsidRPr="0086667F">
        <w:t>)</w:t>
      </w:r>
      <w:r w:rsidRPr="0086667F">
        <w:t>.</w:t>
      </w:r>
    </w:p>
    <w:p w:rsidR="00B60939" w:rsidRPr="008B348A" w:rsidRDefault="00B60939" w:rsidP="00E92F71">
      <w:pPr>
        <w:pStyle w:val="Heading2"/>
      </w:pPr>
      <w:bookmarkStart w:id="9" w:name="_Toc524340209"/>
      <w:r w:rsidRPr="008B348A">
        <w:t>Comparative harms</w:t>
      </w:r>
      <w:bookmarkEnd w:id="9"/>
    </w:p>
    <w:p w:rsidR="00B60939" w:rsidRPr="008B348A" w:rsidRDefault="0042064D" w:rsidP="00ED2457">
      <w:pPr>
        <w:pStyle w:val="ListParagraph"/>
        <w:widowControl/>
        <w:numPr>
          <w:ilvl w:val="1"/>
          <w:numId w:val="2"/>
        </w:numPr>
      </w:pPr>
      <w:r w:rsidRPr="008B348A">
        <w:t xml:space="preserve">Table </w:t>
      </w:r>
      <w:r w:rsidR="00DF7A69">
        <w:t>10</w:t>
      </w:r>
      <w:r w:rsidRPr="008B348A">
        <w:t xml:space="preserve"> summarises the key adverse events in the </w:t>
      </w:r>
      <w:r w:rsidR="00415785">
        <w:t xml:space="preserve">ZOE </w:t>
      </w:r>
      <w:r w:rsidRPr="008B348A">
        <w:t>trials.</w:t>
      </w:r>
    </w:p>
    <w:p w:rsidR="004A10BB" w:rsidRPr="008B348A" w:rsidRDefault="004A10BB" w:rsidP="00FC4F1F">
      <w:pPr>
        <w:pStyle w:val="Tabletext"/>
        <w:keepNext/>
        <w:keepLines/>
        <w:rPr>
          <w:b/>
        </w:rPr>
      </w:pPr>
      <w:r w:rsidRPr="008B348A">
        <w:rPr>
          <w:b/>
        </w:rPr>
        <w:lastRenderedPageBreak/>
        <w:t xml:space="preserve">Table </w:t>
      </w:r>
      <w:r w:rsidR="00DF7A69">
        <w:rPr>
          <w:b/>
        </w:rPr>
        <w:t>10</w:t>
      </w:r>
      <w:r w:rsidRPr="008B348A">
        <w:rPr>
          <w:b/>
        </w:rPr>
        <w:t>: Summary of key adverse events</w:t>
      </w:r>
      <w:r w:rsidR="00415785">
        <w:rPr>
          <w:b/>
        </w:rPr>
        <w:t>, pooled analysis of the ZOE-50 and ZOE-70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5"/>
        <w:gridCol w:w="1824"/>
        <w:gridCol w:w="1678"/>
        <w:gridCol w:w="1413"/>
      </w:tblGrid>
      <w:tr w:rsidR="004A10BB" w:rsidRPr="008B348A" w:rsidTr="00F205BD">
        <w:trPr>
          <w:tblHeader/>
        </w:trPr>
        <w:tc>
          <w:tcPr>
            <w:tcW w:w="2276" w:type="pct"/>
            <w:shd w:val="clear" w:color="auto" w:fill="auto"/>
            <w:vAlign w:val="center"/>
          </w:tcPr>
          <w:p w:rsidR="004A10BB" w:rsidRPr="008B348A" w:rsidRDefault="004A10BB" w:rsidP="00FC4F1F">
            <w:pPr>
              <w:pStyle w:val="Tabletext"/>
              <w:keepNext/>
              <w:keepLines/>
              <w:rPr>
                <w:b/>
              </w:rPr>
            </w:pPr>
            <w:r w:rsidRPr="008B348A">
              <w:rPr>
                <w:b/>
              </w:rPr>
              <w:t>Trial ID</w:t>
            </w:r>
          </w:p>
        </w:tc>
        <w:tc>
          <w:tcPr>
            <w:tcW w:w="1011" w:type="pct"/>
            <w:shd w:val="clear" w:color="auto" w:fill="auto"/>
            <w:vAlign w:val="center"/>
          </w:tcPr>
          <w:p w:rsidR="004A10BB" w:rsidRPr="008B348A" w:rsidRDefault="004A10BB" w:rsidP="00FC4F1F">
            <w:pPr>
              <w:pStyle w:val="Tabletext"/>
              <w:keepNext/>
              <w:keepLines/>
              <w:jc w:val="center"/>
              <w:rPr>
                <w:b/>
              </w:rPr>
            </w:pPr>
            <w:r w:rsidRPr="008B348A">
              <w:rPr>
                <w:b/>
              </w:rPr>
              <w:t>HZ/</w:t>
            </w:r>
            <w:proofErr w:type="spellStart"/>
            <w:r w:rsidRPr="008B348A">
              <w:rPr>
                <w:b/>
              </w:rPr>
              <w:t>su</w:t>
            </w:r>
            <w:proofErr w:type="spellEnd"/>
            <w:r w:rsidRPr="008B348A">
              <w:rPr>
                <w:b/>
              </w:rPr>
              <w:t xml:space="preserve"> vaccine</w:t>
            </w:r>
          </w:p>
          <w:p w:rsidR="004A10BB" w:rsidRPr="008B348A" w:rsidRDefault="004A10BB" w:rsidP="00FC4F1F">
            <w:pPr>
              <w:pStyle w:val="Tabletext"/>
              <w:keepNext/>
              <w:keepLines/>
              <w:jc w:val="center"/>
              <w:rPr>
                <w:b/>
              </w:rPr>
            </w:pPr>
            <w:proofErr w:type="gramStart"/>
            <w:r w:rsidRPr="008B348A">
              <w:rPr>
                <w:b/>
              </w:rPr>
              <w:t>n/N</w:t>
            </w:r>
            <w:proofErr w:type="gramEnd"/>
            <w:r w:rsidRPr="008B348A">
              <w:rPr>
                <w:b/>
              </w:rPr>
              <w:t xml:space="preserve"> (%)</w:t>
            </w:r>
          </w:p>
        </w:tc>
        <w:tc>
          <w:tcPr>
            <w:tcW w:w="930" w:type="pct"/>
            <w:shd w:val="clear" w:color="auto" w:fill="auto"/>
            <w:vAlign w:val="center"/>
          </w:tcPr>
          <w:p w:rsidR="004A10BB" w:rsidRPr="008B348A" w:rsidRDefault="004A10BB" w:rsidP="00FC4F1F">
            <w:pPr>
              <w:pStyle w:val="Tabletext"/>
              <w:keepNext/>
              <w:keepLines/>
              <w:jc w:val="center"/>
              <w:rPr>
                <w:b/>
              </w:rPr>
            </w:pPr>
            <w:r w:rsidRPr="008B348A">
              <w:rPr>
                <w:b/>
              </w:rPr>
              <w:t>Placebo</w:t>
            </w:r>
          </w:p>
          <w:p w:rsidR="004A10BB" w:rsidRPr="008B348A" w:rsidRDefault="004A10BB" w:rsidP="00FC4F1F">
            <w:pPr>
              <w:pStyle w:val="Tabletext"/>
              <w:keepNext/>
              <w:keepLines/>
              <w:jc w:val="center"/>
              <w:rPr>
                <w:b/>
              </w:rPr>
            </w:pPr>
            <w:proofErr w:type="gramStart"/>
            <w:r w:rsidRPr="008B348A">
              <w:rPr>
                <w:b/>
              </w:rPr>
              <w:t>n/N</w:t>
            </w:r>
            <w:proofErr w:type="gramEnd"/>
            <w:r w:rsidRPr="008B348A">
              <w:rPr>
                <w:b/>
              </w:rPr>
              <w:t xml:space="preserve"> (%)</w:t>
            </w:r>
          </w:p>
        </w:tc>
        <w:tc>
          <w:tcPr>
            <w:tcW w:w="783" w:type="pct"/>
            <w:shd w:val="clear" w:color="auto" w:fill="auto"/>
            <w:vAlign w:val="center"/>
          </w:tcPr>
          <w:p w:rsidR="004A10BB" w:rsidRPr="008B348A" w:rsidRDefault="004A10BB" w:rsidP="00FC4F1F">
            <w:pPr>
              <w:pStyle w:val="Tabletext"/>
              <w:keepNext/>
              <w:keepLines/>
              <w:jc w:val="center"/>
              <w:rPr>
                <w:b/>
              </w:rPr>
            </w:pPr>
            <w:r w:rsidRPr="008B348A">
              <w:rPr>
                <w:b/>
              </w:rPr>
              <w:t>RR (95% CI)</w:t>
            </w:r>
          </w:p>
        </w:tc>
      </w:tr>
      <w:tr w:rsidR="004A10BB" w:rsidRPr="00630DEE" w:rsidTr="00401937">
        <w:tc>
          <w:tcPr>
            <w:tcW w:w="5000" w:type="pct"/>
            <w:gridSpan w:val="4"/>
            <w:shd w:val="clear" w:color="auto" w:fill="auto"/>
          </w:tcPr>
          <w:p w:rsidR="004A10BB" w:rsidRPr="00630DEE" w:rsidRDefault="004A10BB" w:rsidP="00FC4F1F">
            <w:pPr>
              <w:pStyle w:val="Tabletext"/>
              <w:keepNext/>
              <w:keepLines/>
              <w:rPr>
                <w:b/>
              </w:rPr>
            </w:pPr>
            <w:r w:rsidRPr="00630DEE">
              <w:rPr>
                <w:b/>
              </w:rPr>
              <w:t>Incidence of solicited local symptoms reported during the 7-day post-vaccination period (overall/subject)</w:t>
            </w:r>
          </w:p>
        </w:tc>
      </w:tr>
      <w:tr w:rsidR="00855AE5" w:rsidRPr="008B348A" w:rsidTr="00855AE5">
        <w:tc>
          <w:tcPr>
            <w:tcW w:w="5000" w:type="pct"/>
            <w:gridSpan w:val="4"/>
            <w:shd w:val="clear" w:color="auto" w:fill="auto"/>
            <w:vAlign w:val="center"/>
          </w:tcPr>
          <w:p w:rsidR="00855AE5" w:rsidRPr="008B348A" w:rsidRDefault="00855AE5" w:rsidP="00FC4F1F">
            <w:pPr>
              <w:pStyle w:val="Tabletext"/>
              <w:keepNext/>
              <w:keepLines/>
            </w:pPr>
            <w:r w:rsidRPr="008B348A">
              <w:rPr>
                <w:rFonts w:eastAsiaTheme="minorHAnsi" w:hAnsiTheme="minorHAnsi" w:cstheme="minorBidi"/>
                <w:spacing w:val="-1"/>
              </w:rPr>
              <w:t>Pain</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All</w:t>
            </w:r>
          </w:p>
        </w:tc>
        <w:tc>
          <w:tcPr>
            <w:tcW w:w="1011" w:type="pct"/>
            <w:shd w:val="clear" w:color="auto" w:fill="auto"/>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3</w:t>
            </w:r>
            <w:r w:rsidR="00761E8E">
              <w:rPr>
                <w:rFonts w:eastAsiaTheme="minorHAnsi" w:hAnsiTheme="minorHAnsi" w:cstheme="minorBidi"/>
              </w:rPr>
              <w:t>,</w:t>
            </w:r>
            <w:r w:rsidRPr="008B348A">
              <w:rPr>
                <w:rFonts w:eastAsiaTheme="minorHAnsi" w:hAnsiTheme="minorHAnsi" w:cstheme="minorBidi"/>
              </w:rPr>
              <w:t>810/4</w:t>
            </w:r>
            <w:r w:rsidR="00761E8E">
              <w:rPr>
                <w:rFonts w:eastAsiaTheme="minorHAnsi" w:hAnsiTheme="minorHAnsi" w:cstheme="minorBidi"/>
              </w:rPr>
              <w:t>,</w:t>
            </w:r>
            <w:r w:rsidRPr="008B348A">
              <w:rPr>
                <w:rFonts w:eastAsiaTheme="minorHAnsi" w:hAnsiTheme="minorHAnsi" w:cstheme="minorBidi"/>
              </w:rPr>
              <w:t>884</w:t>
            </w:r>
            <w:r w:rsidRPr="008B348A">
              <w:rPr>
                <w:rFonts w:eastAsiaTheme="minorHAnsi" w:hAnsiTheme="minorHAnsi" w:cstheme="minorBidi"/>
              </w:rPr>
              <w:t> </w:t>
            </w:r>
            <w:r w:rsidRPr="008B348A">
              <w:rPr>
                <w:rFonts w:eastAsiaTheme="minorHAnsi" w:hAnsiTheme="minorHAnsi" w:cstheme="minorBidi"/>
              </w:rPr>
              <w:t>(78.0</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533/4</w:t>
            </w:r>
            <w:r w:rsidR="00761E8E">
              <w:t>,</w:t>
            </w:r>
            <w:r w:rsidRPr="008B348A">
              <w:t>880 (10.9</w:t>
            </w:r>
            <w:r w:rsidR="00855AE5">
              <w:t>%</w:t>
            </w:r>
            <w:r w:rsidRPr="008B348A">
              <w:t>)</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Grade 3</w:t>
            </w:r>
          </w:p>
        </w:tc>
        <w:tc>
          <w:tcPr>
            <w:tcW w:w="1011" w:type="pct"/>
            <w:shd w:val="clear" w:color="auto" w:fill="auto"/>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315/4</w:t>
            </w:r>
            <w:r w:rsidR="00761E8E">
              <w:rPr>
                <w:rFonts w:eastAsiaTheme="minorHAnsi" w:hAnsiTheme="minorHAnsi" w:cstheme="minorBidi"/>
              </w:rPr>
              <w:t>,</w:t>
            </w:r>
            <w:r w:rsidRPr="008B348A">
              <w:rPr>
                <w:rFonts w:eastAsiaTheme="minorHAnsi" w:hAnsiTheme="minorHAnsi" w:cstheme="minorBidi"/>
              </w:rPr>
              <w:t>884 (6.4</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17/4</w:t>
            </w:r>
            <w:r w:rsidR="00761E8E">
              <w:t>,</w:t>
            </w:r>
            <w:r w:rsidRPr="008B348A">
              <w:t>880 (0.3</w:t>
            </w:r>
            <w:r w:rsidR="00855AE5">
              <w:t>%</w:t>
            </w:r>
            <w:r w:rsidRPr="008B348A">
              <w:t>)</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855AE5" w:rsidRPr="008B348A" w:rsidTr="00855AE5">
        <w:tc>
          <w:tcPr>
            <w:tcW w:w="5000" w:type="pct"/>
            <w:gridSpan w:val="4"/>
            <w:shd w:val="clear" w:color="auto" w:fill="auto"/>
            <w:vAlign w:val="center"/>
          </w:tcPr>
          <w:p w:rsidR="00855AE5" w:rsidRPr="008B348A" w:rsidRDefault="00855AE5" w:rsidP="00FC4F1F">
            <w:pPr>
              <w:pStyle w:val="Tabletext"/>
              <w:keepNext/>
              <w:keepLines/>
            </w:pPr>
            <w:r w:rsidRPr="008B348A">
              <w:rPr>
                <w:rFonts w:eastAsiaTheme="minorHAnsi" w:hAnsiTheme="minorHAnsi" w:cstheme="minorBidi"/>
              </w:rPr>
              <w:t>Redness</w:t>
            </w:r>
            <w:r w:rsidRPr="008B348A">
              <w:rPr>
                <w:rFonts w:eastAsiaTheme="minorHAnsi" w:hAnsiTheme="minorHAnsi" w:cstheme="minorBidi"/>
                <w:spacing w:val="-11"/>
              </w:rPr>
              <w:t xml:space="preserve"> </w:t>
            </w:r>
            <w:r w:rsidRPr="008B348A">
              <w:rPr>
                <w:rFonts w:eastAsiaTheme="minorHAnsi" w:hAnsiTheme="minorHAnsi" w:cstheme="minorBidi"/>
              </w:rPr>
              <w:t>(mm)</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All</w:t>
            </w:r>
          </w:p>
        </w:tc>
        <w:tc>
          <w:tcPr>
            <w:tcW w:w="1011" w:type="pct"/>
            <w:shd w:val="clear" w:color="auto" w:fill="auto"/>
            <w:vAlign w:val="center"/>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1</w:t>
            </w:r>
            <w:r w:rsidR="00761E8E">
              <w:rPr>
                <w:rFonts w:eastAsiaTheme="minorHAnsi" w:hAnsiTheme="minorHAnsi" w:cstheme="minorBidi"/>
              </w:rPr>
              <w:t>,</w:t>
            </w:r>
            <w:r w:rsidRPr="008B348A">
              <w:rPr>
                <w:rFonts w:eastAsiaTheme="minorHAnsi" w:hAnsiTheme="minorHAnsi" w:cstheme="minorBidi"/>
              </w:rPr>
              <w:t>863/4884</w:t>
            </w:r>
            <w:r w:rsidRPr="008B348A">
              <w:rPr>
                <w:rFonts w:eastAsiaTheme="minorHAnsi" w:hAnsiTheme="minorHAnsi" w:cstheme="minorBidi"/>
              </w:rPr>
              <w:t> </w:t>
            </w:r>
            <w:r w:rsidRPr="008B348A">
              <w:rPr>
                <w:rFonts w:eastAsiaTheme="minorHAnsi" w:hAnsiTheme="minorHAnsi" w:cstheme="minorBidi"/>
              </w:rPr>
              <w:t>(38.1</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64/4</w:t>
            </w:r>
            <w:r w:rsidR="00761E8E">
              <w:t>,</w:t>
            </w:r>
            <w:r w:rsidRPr="008B348A">
              <w:t>880 (1.3</w:t>
            </w:r>
            <w:r w:rsidR="00855AE5">
              <w:t>%</w:t>
            </w:r>
            <w:r w:rsidRPr="008B348A">
              <w:t>)</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&gt;</w:t>
            </w:r>
            <w:r w:rsidR="0006591F">
              <w:rPr>
                <w:rFonts w:eastAsiaTheme="minorHAnsi" w:hAnsiTheme="minorHAnsi" w:cstheme="minorBidi"/>
                <w:spacing w:val="-1"/>
              </w:rPr>
              <w:t xml:space="preserve"> </w:t>
            </w:r>
            <w:r w:rsidRPr="008B348A">
              <w:rPr>
                <w:rFonts w:eastAsiaTheme="minorHAnsi" w:hAnsiTheme="minorHAnsi" w:cstheme="minorBidi"/>
                <w:spacing w:val="-1"/>
              </w:rPr>
              <w:t>100</w:t>
            </w:r>
            <w:r w:rsidR="0006591F">
              <w:rPr>
                <w:rFonts w:eastAsiaTheme="minorHAnsi" w:hAnsiTheme="minorHAnsi" w:cstheme="minorBidi"/>
                <w:spacing w:val="-1"/>
              </w:rPr>
              <w:t xml:space="preserve"> </w:t>
            </w:r>
            <w:r w:rsidRPr="008B348A">
              <w:rPr>
                <w:rFonts w:eastAsiaTheme="minorHAnsi" w:hAnsiTheme="minorHAnsi" w:cstheme="minorBidi"/>
                <w:spacing w:val="-1"/>
              </w:rPr>
              <w:t>mm</w:t>
            </w:r>
          </w:p>
        </w:tc>
        <w:tc>
          <w:tcPr>
            <w:tcW w:w="1011" w:type="pct"/>
            <w:shd w:val="clear" w:color="auto" w:fill="auto"/>
            <w:vAlign w:val="center"/>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141/4</w:t>
            </w:r>
            <w:r w:rsidR="00761E8E">
              <w:rPr>
                <w:rFonts w:eastAsiaTheme="minorHAnsi" w:hAnsiTheme="minorHAnsi" w:cstheme="minorBidi"/>
              </w:rPr>
              <w:t>,</w:t>
            </w:r>
            <w:r w:rsidRPr="008B348A">
              <w:rPr>
                <w:rFonts w:eastAsiaTheme="minorHAnsi" w:hAnsiTheme="minorHAnsi" w:cstheme="minorBidi"/>
              </w:rPr>
              <w:t>884 (2.9</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0/4</w:t>
            </w:r>
            <w:r w:rsidR="00761E8E">
              <w:t>,</w:t>
            </w:r>
            <w:r w:rsidRPr="008B348A">
              <w:t xml:space="preserve">880 </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855AE5" w:rsidRPr="008B348A" w:rsidTr="00855AE5">
        <w:tc>
          <w:tcPr>
            <w:tcW w:w="5000" w:type="pct"/>
            <w:gridSpan w:val="4"/>
            <w:shd w:val="clear" w:color="auto" w:fill="auto"/>
            <w:vAlign w:val="center"/>
          </w:tcPr>
          <w:p w:rsidR="00855AE5" w:rsidRPr="008B348A" w:rsidRDefault="00855AE5" w:rsidP="00FC4F1F">
            <w:pPr>
              <w:pStyle w:val="Tabletext"/>
              <w:keepNext/>
              <w:keepLines/>
            </w:pPr>
            <w:r w:rsidRPr="008B348A">
              <w:rPr>
                <w:rFonts w:eastAsiaTheme="minorHAnsi" w:hAnsiTheme="minorHAnsi" w:cstheme="minorBidi"/>
              </w:rPr>
              <w:t>Swelling (mm)</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All</w:t>
            </w:r>
          </w:p>
        </w:tc>
        <w:tc>
          <w:tcPr>
            <w:tcW w:w="1011" w:type="pct"/>
            <w:shd w:val="clear" w:color="auto" w:fill="auto"/>
            <w:vAlign w:val="center"/>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1</w:t>
            </w:r>
            <w:r w:rsidR="00761E8E">
              <w:rPr>
                <w:rFonts w:eastAsiaTheme="minorHAnsi" w:hAnsiTheme="minorHAnsi" w:cstheme="minorBidi"/>
              </w:rPr>
              <w:t>,</w:t>
            </w:r>
            <w:r w:rsidRPr="008B348A">
              <w:rPr>
                <w:rFonts w:eastAsiaTheme="minorHAnsi" w:hAnsiTheme="minorHAnsi" w:cstheme="minorBidi"/>
              </w:rPr>
              <w:t>267/4</w:t>
            </w:r>
            <w:r w:rsidR="00761E8E">
              <w:rPr>
                <w:rFonts w:eastAsiaTheme="minorHAnsi" w:hAnsiTheme="minorHAnsi" w:cstheme="minorBidi"/>
              </w:rPr>
              <w:t>,</w:t>
            </w:r>
            <w:r w:rsidRPr="008B348A">
              <w:rPr>
                <w:rFonts w:eastAsiaTheme="minorHAnsi" w:hAnsiTheme="minorHAnsi" w:cstheme="minorBidi"/>
              </w:rPr>
              <w:t>884</w:t>
            </w:r>
            <w:r w:rsidRPr="008B348A">
              <w:rPr>
                <w:rFonts w:eastAsiaTheme="minorHAnsi" w:hAnsiTheme="minorHAnsi" w:cstheme="minorBidi"/>
              </w:rPr>
              <w:t> </w:t>
            </w:r>
            <w:r w:rsidRPr="008B348A">
              <w:rPr>
                <w:rFonts w:eastAsiaTheme="minorHAnsi" w:hAnsiTheme="minorHAnsi" w:cstheme="minorBidi"/>
              </w:rPr>
              <w:t>(25.9</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48/4</w:t>
            </w:r>
            <w:r w:rsidR="00761E8E">
              <w:t>,</w:t>
            </w:r>
            <w:r w:rsidRPr="008B348A">
              <w:t>880 (1.0</w:t>
            </w:r>
            <w:r w:rsidR="00855AE5">
              <w:t>%</w:t>
            </w:r>
            <w:r w:rsidRPr="008B348A">
              <w:t>)</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323C4E" w:rsidRPr="008B348A" w:rsidTr="00F205BD">
        <w:tc>
          <w:tcPr>
            <w:tcW w:w="2276" w:type="pct"/>
            <w:shd w:val="clear" w:color="auto" w:fill="auto"/>
            <w:vAlign w:val="center"/>
          </w:tcPr>
          <w:p w:rsidR="00323C4E" w:rsidRPr="008B348A" w:rsidRDefault="00323C4E" w:rsidP="00FC4F1F">
            <w:pPr>
              <w:pStyle w:val="Tabletext"/>
              <w:keepNext/>
              <w:keepLines/>
              <w:ind w:left="113"/>
              <w:rPr>
                <w:rFonts w:eastAsiaTheme="minorHAnsi" w:hAnsiTheme="minorHAnsi" w:cstheme="minorBidi"/>
                <w:spacing w:val="-1"/>
              </w:rPr>
            </w:pPr>
            <w:r w:rsidRPr="008B348A">
              <w:rPr>
                <w:rFonts w:eastAsiaTheme="minorHAnsi" w:hAnsiTheme="minorHAnsi" w:cstheme="minorBidi"/>
                <w:spacing w:val="-1"/>
              </w:rPr>
              <w:t>&gt;</w:t>
            </w:r>
            <w:r w:rsidR="0006591F">
              <w:rPr>
                <w:rFonts w:eastAsiaTheme="minorHAnsi" w:hAnsiTheme="minorHAnsi" w:cstheme="minorBidi"/>
                <w:spacing w:val="-1"/>
              </w:rPr>
              <w:t xml:space="preserve"> </w:t>
            </w:r>
            <w:r w:rsidRPr="008B348A">
              <w:rPr>
                <w:rFonts w:eastAsiaTheme="minorHAnsi" w:hAnsiTheme="minorHAnsi" w:cstheme="minorBidi"/>
                <w:spacing w:val="-1"/>
              </w:rPr>
              <w:t>100</w:t>
            </w:r>
            <w:r w:rsidR="0006591F">
              <w:rPr>
                <w:rFonts w:eastAsiaTheme="minorHAnsi" w:hAnsiTheme="minorHAnsi" w:cstheme="minorBidi"/>
                <w:spacing w:val="-1"/>
              </w:rPr>
              <w:t xml:space="preserve"> </w:t>
            </w:r>
            <w:r w:rsidRPr="008B348A">
              <w:rPr>
                <w:rFonts w:eastAsiaTheme="minorHAnsi" w:hAnsiTheme="minorHAnsi" w:cstheme="minorBidi"/>
                <w:spacing w:val="-1"/>
              </w:rPr>
              <w:t>mm</w:t>
            </w:r>
          </w:p>
        </w:tc>
        <w:tc>
          <w:tcPr>
            <w:tcW w:w="1011" w:type="pct"/>
            <w:shd w:val="clear" w:color="auto" w:fill="auto"/>
            <w:vAlign w:val="center"/>
          </w:tcPr>
          <w:p w:rsidR="00323C4E" w:rsidRPr="008B348A" w:rsidRDefault="00323C4E" w:rsidP="00FC4F1F">
            <w:pPr>
              <w:pStyle w:val="Tabletext"/>
              <w:keepNext/>
              <w:keepLines/>
              <w:jc w:val="center"/>
              <w:rPr>
                <w:rFonts w:eastAsiaTheme="minorHAnsi" w:hAnsiTheme="minorHAnsi" w:cstheme="minorBidi"/>
              </w:rPr>
            </w:pPr>
            <w:r w:rsidRPr="008B348A">
              <w:rPr>
                <w:rFonts w:eastAsiaTheme="minorHAnsi" w:hAnsiTheme="minorHAnsi" w:cstheme="minorBidi"/>
              </w:rPr>
              <w:t>51/4</w:t>
            </w:r>
            <w:r w:rsidR="00761E8E">
              <w:rPr>
                <w:rFonts w:eastAsiaTheme="minorHAnsi" w:hAnsiTheme="minorHAnsi" w:cstheme="minorBidi"/>
              </w:rPr>
              <w:t>,</w:t>
            </w:r>
            <w:r w:rsidRPr="008B348A">
              <w:rPr>
                <w:rFonts w:eastAsiaTheme="minorHAnsi" w:hAnsiTheme="minorHAnsi" w:cstheme="minorBidi"/>
              </w:rPr>
              <w:t>884 (1.0</w:t>
            </w:r>
            <w:r w:rsidR="00855AE5">
              <w:rPr>
                <w:rFonts w:eastAsiaTheme="minorHAnsi" w:hAnsiTheme="minorHAnsi" w:cstheme="minorBidi"/>
              </w:rPr>
              <w:t>%</w:t>
            </w:r>
            <w:r w:rsidRPr="008B348A">
              <w:rPr>
                <w:rFonts w:eastAsiaTheme="minorHAnsi" w:hAnsiTheme="minorHAnsi" w:cstheme="minorBidi"/>
              </w:rPr>
              <w:t>)</w:t>
            </w:r>
          </w:p>
        </w:tc>
        <w:tc>
          <w:tcPr>
            <w:tcW w:w="930" w:type="pct"/>
            <w:shd w:val="clear" w:color="auto" w:fill="auto"/>
            <w:vAlign w:val="center"/>
          </w:tcPr>
          <w:p w:rsidR="00323C4E" w:rsidRPr="008B348A" w:rsidRDefault="00323C4E" w:rsidP="00FC4F1F">
            <w:pPr>
              <w:pStyle w:val="Tabletext"/>
              <w:keepNext/>
              <w:keepLines/>
              <w:jc w:val="center"/>
            </w:pPr>
            <w:r w:rsidRPr="008B348A">
              <w:t>0/4</w:t>
            </w:r>
            <w:r w:rsidR="00761E8E">
              <w:t>,</w:t>
            </w:r>
            <w:r w:rsidR="007E0C0D">
              <w:t>880</w:t>
            </w:r>
          </w:p>
        </w:tc>
        <w:tc>
          <w:tcPr>
            <w:tcW w:w="783" w:type="pct"/>
            <w:shd w:val="clear" w:color="auto" w:fill="auto"/>
            <w:vAlign w:val="center"/>
          </w:tcPr>
          <w:p w:rsidR="00323C4E" w:rsidRPr="008B348A" w:rsidRDefault="00323C4E" w:rsidP="00FC4F1F">
            <w:pPr>
              <w:pStyle w:val="Tabletext"/>
              <w:keepNext/>
              <w:keepLines/>
              <w:jc w:val="center"/>
            </w:pPr>
            <w:r w:rsidRPr="008B348A">
              <w:t>NR</w:t>
            </w:r>
          </w:p>
        </w:tc>
      </w:tr>
      <w:tr w:rsidR="004A10BB" w:rsidRPr="00630DEE" w:rsidTr="00401937">
        <w:tc>
          <w:tcPr>
            <w:tcW w:w="5000" w:type="pct"/>
            <w:gridSpan w:val="4"/>
          </w:tcPr>
          <w:p w:rsidR="004A10BB" w:rsidRPr="00630DEE" w:rsidRDefault="004A10BB" w:rsidP="00FC4F1F">
            <w:pPr>
              <w:pStyle w:val="Tabletext"/>
              <w:keepNext/>
              <w:keepLines/>
              <w:rPr>
                <w:b/>
                <w:highlight w:val="yellow"/>
              </w:rPr>
            </w:pPr>
            <w:r w:rsidRPr="00630DEE">
              <w:rPr>
                <w:b/>
              </w:rPr>
              <w:t>Incidence of solicited general symptoms (</w:t>
            </w:r>
            <w:r w:rsidR="00630DEE">
              <w:rPr>
                <w:b/>
              </w:rPr>
              <w:t>G</w:t>
            </w:r>
            <w:r w:rsidRPr="00630DEE">
              <w:rPr>
                <w:b/>
              </w:rPr>
              <w:t>rade 3) reported during the 7-day post-vaccination period (overall/subject)</w:t>
            </w:r>
          </w:p>
        </w:tc>
      </w:tr>
      <w:tr w:rsidR="004A10BB" w:rsidRPr="008B348A" w:rsidTr="00F205BD">
        <w:tc>
          <w:tcPr>
            <w:tcW w:w="2276" w:type="pct"/>
          </w:tcPr>
          <w:p w:rsidR="004A10BB" w:rsidRPr="008B348A" w:rsidRDefault="004A10BB" w:rsidP="00FC4F1F">
            <w:pPr>
              <w:pStyle w:val="Tabletext"/>
              <w:keepNext/>
              <w:keepLines/>
              <w:rPr>
                <w:highlight w:val="yellow"/>
              </w:rPr>
            </w:pPr>
            <w:r w:rsidRPr="008B348A">
              <w:rPr>
                <w:rFonts w:eastAsiaTheme="minorHAnsi" w:hAnsiTheme="minorHAnsi" w:cstheme="minorBidi"/>
              </w:rPr>
              <w:t>Fatigue</w:t>
            </w:r>
            <w:r w:rsidRPr="008B348A">
              <w:rPr>
                <w:rFonts w:eastAsiaTheme="minorHAnsi" w:hAnsiTheme="minorHAnsi" w:cstheme="minorBidi"/>
                <w:b/>
              </w:rPr>
              <w:t xml:space="preserve"> </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257/4</w:t>
            </w:r>
            <w:r w:rsidR="00761E8E">
              <w:rPr>
                <w:rFonts w:eastAsiaTheme="minorHAnsi" w:hAnsiTheme="minorHAnsi" w:cstheme="minorBidi"/>
              </w:rPr>
              <w:t>,</w:t>
            </w:r>
            <w:r w:rsidRPr="008B348A">
              <w:rPr>
                <w:rFonts w:eastAsiaTheme="minorHAnsi" w:hAnsiTheme="minorHAnsi" w:cstheme="minorBidi"/>
              </w:rPr>
              <w:t>876 (5.3%)</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50/4</w:t>
            </w:r>
            <w:r w:rsidR="00761E8E">
              <w:rPr>
                <w:rFonts w:eastAsiaTheme="minorHAnsi" w:hAnsiTheme="minorHAnsi" w:cstheme="minorBidi"/>
              </w:rPr>
              <w:t>,</w:t>
            </w:r>
            <w:r w:rsidRPr="008B348A">
              <w:rPr>
                <w:rFonts w:eastAsiaTheme="minorHAnsi" w:hAnsiTheme="minorHAnsi" w:cstheme="minorBidi"/>
              </w:rPr>
              <w:t>881 (1.0%)</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4A10BB" w:rsidP="00FC4F1F">
            <w:pPr>
              <w:pStyle w:val="Tabletext"/>
              <w:keepNext/>
              <w:keepLines/>
              <w:rPr>
                <w:highlight w:val="yellow"/>
              </w:rPr>
            </w:pPr>
            <w:r w:rsidRPr="008B348A">
              <w:rPr>
                <w:rFonts w:eastAsiaTheme="minorHAnsi" w:hAnsiTheme="minorHAnsi" w:cstheme="minorBidi"/>
              </w:rPr>
              <w:t>Gastrointestinal</w:t>
            </w:r>
            <w:r w:rsidRPr="008B348A">
              <w:rPr>
                <w:rFonts w:eastAsiaTheme="minorHAnsi" w:hAnsiTheme="minorHAnsi" w:cstheme="minorBidi"/>
                <w:spacing w:val="-19"/>
              </w:rPr>
              <w:t xml:space="preserve"> </w:t>
            </w:r>
            <w:r w:rsidRPr="008B348A">
              <w:rPr>
                <w:rFonts w:eastAsiaTheme="minorHAnsi" w:hAnsiTheme="minorHAnsi" w:cstheme="minorBidi"/>
              </w:rPr>
              <w:t>symptoms</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66/4</w:t>
            </w:r>
            <w:r w:rsidR="00761E8E">
              <w:rPr>
                <w:rFonts w:eastAsiaTheme="minorHAnsi" w:hAnsiTheme="minorHAnsi" w:cstheme="minorBidi"/>
              </w:rPr>
              <w:t>,</w:t>
            </w:r>
            <w:r w:rsidRPr="008B348A">
              <w:rPr>
                <w:rFonts w:eastAsiaTheme="minorHAnsi" w:hAnsiTheme="minorHAnsi" w:cstheme="minorBidi"/>
              </w:rPr>
              <w:t>876 (1.4%)</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27/4</w:t>
            </w:r>
            <w:r w:rsidR="00761E8E">
              <w:rPr>
                <w:rFonts w:eastAsiaTheme="minorHAnsi" w:hAnsiTheme="minorHAnsi" w:cstheme="minorBidi"/>
              </w:rPr>
              <w:t>,</w:t>
            </w:r>
            <w:r w:rsidRPr="008B348A">
              <w:rPr>
                <w:rFonts w:eastAsiaTheme="minorHAnsi" w:hAnsiTheme="minorHAnsi" w:cstheme="minorBidi"/>
              </w:rPr>
              <w:t>881 (0.6%)</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4A10BB" w:rsidP="00FC4F1F">
            <w:pPr>
              <w:pStyle w:val="Tabletext"/>
              <w:keepNext/>
              <w:keepLines/>
              <w:rPr>
                <w:highlight w:val="yellow"/>
              </w:rPr>
            </w:pPr>
            <w:r w:rsidRPr="008B348A">
              <w:rPr>
                <w:rFonts w:eastAsiaTheme="minorHAnsi" w:hAnsiTheme="minorHAnsi" w:cstheme="minorBidi"/>
              </w:rPr>
              <w:t>Headache</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162/4</w:t>
            </w:r>
            <w:r w:rsidR="00761E8E">
              <w:rPr>
                <w:rFonts w:eastAsiaTheme="minorHAnsi" w:hAnsiTheme="minorHAnsi" w:cstheme="minorBidi"/>
              </w:rPr>
              <w:t>,</w:t>
            </w:r>
            <w:r w:rsidRPr="008B348A">
              <w:rPr>
                <w:rFonts w:eastAsiaTheme="minorHAnsi" w:hAnsiTheme="minorHAnsi" w:cstheme="minorBidi"/>
              </w:rPr>
              <w:t>876 (3.3%)</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34/4</w:t>
            </w:r>
            <w:r w:rsidR="00761E8E">
              <w:rPr>
                <w:rFonts w:eastAsiaTheme="minorHAnsi" w:hAnsiTheme="minorHAnsi" w:cstheme="minorBidi"/>
              </w:rPr>
              <w:t>,</w:t>
            </w:r>
            <w:r w:rsidRPr="008B348A">
              <w:rPr>
                <w:rFonts w:eastAsiaTheme="minorHAnsi" w:hAnsiTheme="minorHAnsi" w:cstheme="minorBidi"/>
              </w:rPr>
              <w:t>881 (0.7%)</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4A10BB" w:rsidP="00FC4F1F">
            <w:pPr>
              <w:pStyle w:val="Tabletext"/>
              <w:keepNext/>
              <w:keepLines/>
              <w:rPr>
                <w:highlight w:val="yellow"/>
              </w:rPr>
            </w:pPr>
            <w:r w:rsidRPr="008B348A">
              <w:rPr>
                <w:rFonts w:eastAsiaTheme="minorHAnsi" w:hAnsiTheme="minorHAnsi" w:cstheme="minorBidi"/>
              </w:rPr>
              <w:t>Myalgia</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248/4</w:t>
            </w:r>
            <w:r w:rsidR="00761E8E">
              <w:rPr>
                <w:rFonts w:eastAsiaTheme="minorHAnsi" w:hAnsiTheme="minorHAnsi" w:cstheme="minorBidi"/>
              </w:rPr>
              <w:t>,</w:t>
            </w:r>
            <w:r w:rsidRPr="008B348A">
              <w:rPr>
                <w:rFonts w:eastAsiaTheme="minorHAnsi" w:hAnsiTheme="minorHAnsi" w:cstheme="minorBidi"/>
              </w:rPr>
              <w:t>876 (5.1%)</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33/4</w:t>
            </w:r>
            <w:r w:rsidR="00761E8E">
              <w:rPr>
                <w:rFonts w:eastAsiaTheme="minorHAnsi" w:hAnsiTheme="minorHAnsi" w:cstheme="minorBidi"/>
              </w:rPr>
              <w:t>,</w:t>
            </w:r>
            <w:r w:rsidRPr="008B348A">
              <w:rPr>
                <w:rFonts w:eastAsiaTheme="minorHAnsi" w:hAnsiTheme="minorHAnsi" w:cstheme="minorBidi"/>
              </w:rPr>
              <w:t>881 (0.7%)</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4A10BB" w:rsidP="00FC4F1F">
            <w:pPr>
              <w:pStyle w:val="Tabletext"/>
              <w:keepNext/>
              <w:keepLines/>
              <w:rPr>
                <w:highlight w:val="yellow"/>
              </w:rPr>
            </w:pPr>
            <w:r w:rsidRPr="008B348A">
              <w:rPr>
                <w:rFonts w:eastAsiaTheme="minorHAnsi" w:hAnsiTheme="minorHAnsi" w:cstheme="minorBidi"/>
              </w:rPr>
              <w:t>Shivering</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198/4</w:t>
            </w:r>
            <w:r w:rsidR="00761E8E">
              <w:rPr>
                <w:rFonts w:eastAsiaTheme="minorHAnsi" w:hAnsiTheme="minorHAnsi" w:cstheme="minorBidi"/>
              </w:rPr>
              <w:t>,</w:t>
            </w:r>
            <w:r w:rsidRPr="008B348A">
              <w:rPr>
                <w:rFonts w:eastAsiaTheme="minorHAnsi" w:hAnsiTheme="minorHAnsi" w:cstheme="minorBidi"/>
              </w:rPr>
              <w:t>876 (4.4%)</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13/4</w:t>
            </w:r>
            <w:r w:rsidR="00761E8E">
              <w:rPr>
                <w:rFonts w:eastAsiaTheme="minorHAnsi" w:hAnsiTheme="minorHAnsi" w:cstheme="minorBidi"/>
              </w:rPr>
              <w:t>,</w:t>
            </w:r>
            <w:r w:rsidRPr="008B348A">
              <w:rPr>
                <w:rFonts w:eastAsiaTheme="minorHAnsi" w:hAnsiTheme="minorHAnsi" w:cstheme="minorBidi"/>
              </w:rPr>
              <w:t>881 (0.3%)</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4A10BB" w:rsidP="00FC4F1F">
            <w:pPr>
              <w:pStyle w:val="Tabletext"/>
              <w:keepNext/>
              <w:keepLines/>
              <w:rPr>
                <w:rFonts w:eastAsiaTheme="minorHAnsi" w:hAnsiTheme="minorHAnsi" w:cstheme="minorBidi"/>
              </w:rPr>
            </w:pPr>
            <w:r w:rsidRPr="008B348A">
              <w:rPr>
                <w:rFonts w:eastAsiaTheme="minorHAnsi" w:hAnsiTheme="minorHAnsi" w:cstheme="minorBidi"/>
              </w:rPr>
              <w:t>Temperature &gt; 39.0</w:t>
            </w:r>
            <w:r w:rsidR="0006591F">
              <w:rPr>
                <w:rFonts w:eastAsiaTheme="minorHAnsi" w:hAnsiTheme="minorHAnsi" w:cstheme="minorBidi"/>
              </w:rPr>
              <w:t xml:space="preserve"> degrees</w:t>
            </w:r>
          </w:p>
        </w:tc>
        <w:tc>
          <w:tcPr>
            <w:tcW w:w="1011" w:type="pct"/>
            <w:vAlign w:val="center"/>
          </w:tcPr>
          <w:p w:rsidR="004A10BB" w:rsidRPr="008B348A" w:rsidRDefault="004A10BB" w:rsidP="00FC4F1F">
            <w:pPr>
              <w:pStyle w:val="Tabletext"/>
              <w:keepNext/>
              <w:keepLines/>
              <w:jc w:val="center"/>
              <w:rPr>
                <w:rFonts w:eastAsiaTheme="minorHAnsi" w:hAnsiTheme="minorHAnsi" w:cstheme="minorBidi"/>
              </w:rPr>
            </w:pPr>
            <w:r w:rsidRPr="008B348A">
              <w:rPr>
                <w:rFonts w:eastAsiaTheme="minorHAnsi" w:hAnsiTheme="minorHAnsi" w:cstheme="minorBidi"/>
              </w:rPr>
              <w:t>14/4</w:t>
            </w:r>
            <w:r w:rsidR="00761E8E">
              <w:rPr>
                <w:rFonts w:eastAsiaTheme="minorHAnsi" w:hAnsiTheme="minorHAnsi" w:cstheme="minorBidi"/>
              </w:rPr>
              <w:t>,</w:t>
            </w:r>
            <w:r w:rsidRPr="008B348A">
              <w:rPr>
                <w:rFonts w:eastAsiaTheme="minorHAnsi" w:hAnsiTheme="minorHAnsi" w:cstheme="minorBidi"/>
              </w:rPr>
              <w:t>876 (0.3%)</w:t>
            </w:r>
          </w:p>
        </w:tc>
        <w:tc>
          <w:tcPr>
            <w:tcW w:w="930" w:type="pct"/>
            <w:vAlign w:val="center"/>
          </w:tcPr>
          <w:p w:rsidR="004A10BB" w:rsidRPr="008B348A" w:rsidRDefault="004A10BB" w:rsidP="00FC4F1F">
            <w:pPr>
              <w:pStyle w:val="Tabletext"/>
              <w:keepNext/>
              <w:keepLines/>
              <w:jc w:val="center"/>
              <w:rPr>
                <w:rFonts w:eastAsiaTheme="minorHAnsi" w:hAnsiTheme="minorHAnsi" w:cstheme="minorBidi"/>
              </w:rPr>
            </w:pPr>
            <w:r w:rsidRPr="008B348A">
              <w:rPr>
                <w:rFonts w:eastAsiaTheme="minorHAnsi" w:hAnsiTheme="minorHAnsi" w:cstheme="minorBidi"/>
              </w:rPr>
              <w:t>8/4</w:t>
            </w:r>
            <w:r w:rsidR="00761E8E">
              <w:rPr>
                <w:rFonts w:eastAsiaTheme="minorHAnsi" w:hAnsiTheme="minorHAnsi" w:cstheme="minorBidi"/>
              </w:rPr>
              <w:t>,</w:t>
            </w:r>
            <w:r w:rsidRPr="008B348A">
              <w:rPr>
                <w:rFonts w:eastAsiaTheme="minorHAnsi" w:hAnsiTheme="minorHAnsi" w:cstheme="minorBidi"/>
              </w:rPr>
              <w:t>881 (0.2%)</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401937">
        <w:tc>
          <w:tcPr>
            <w:tcW w:w="5000" w:type="pct"/>
            <w:gridSpan w:val="4"/>
          </w:tcPr>
          <w:p w:rsidR="004A10BB" w:rsidRPr="008B348A" w:rsidRDefault="004A10BB" w:rsidP="00FC4F1F">
            <w:pPr>
              <w:pStyle w:val="Tabletext"/>
              <w:keepNext/>
              <w:keepLines/>
              <w:rPr>
                <w:highlight w:val="yellow"/>
              </w:rPr>
            </w:pPr>
            <w:r w:rsidRPr="008B348A">
              <w:rPr>
                <w:rFonts w:eastAsiaTheme="minorHAnsi" w:hAnsiTheme="minorHAnsi" w:cstheme="minorBidi"/>
              </w:rPr>
              <w:t>Other adverse events</w:t>
            </w:r>
          </w:p>
        </w:tc>
      </w:tr>
      <w:tr w:rsidR="004A10BB" w:rsidRPr="008B348A" w:rsidTr="00F205BD">
        <w:trPr>
          <w:trHeight w:val="181"/>
        </w:trPr>
        <w:tc>
          <w:tcPr>
            <w:tcW w:w="2276" w:type="pct"/>
            <w:vAlign w:val="center"/>
          </w:tcPr>
          <w:p w:rsidR="004A10BB" w:rsidRPr="008B348A" w:rsidRDefault="004A10BB" w:rsidP="00FC4F1F">
            <w:pPr>
              <w:pStyle w:val="Tabletext"/>
              <w:keepNext/>
              <w:keepLines/>
              <w:rPr>
                <w:rFonts w:eastAsiaTheme="minorHAnsi" w:hAnsiTheme="minorHAnsi" w:cstheme="minorBidi"/>
              </w:rPr>
            </w:pPr>
            <w:r w:rsidRPr="008B348A">
              <w:rPr>
                <w:rFonts w:eastAsiaTheme="minorHAnsi" w:hAnsiTheme="minorHAnsi" w:cstheme="minorBidi"/>
              </w:rPr>
              <w:t>SAEs, at least one symptom</w:t>
            </w:r>
          </w:p>
        </w:tc>
        <w:tc>
          <w:tcPr>
            <w:tcW w:w="1011" w:type="pct"/>
            <w:vAlign w:val="center"/>
          </w:tcPr>
          <w:p w:rsidR="004A10BB" w:rsidRPr="008B348A" w:rsidRDefault="004A10BB" w:rsidP="00FC4F1F">
            <w:pPr>
              <w:pStyle w:val="Tabletext"/>
              <w:keepNext/>
              <w:keepLines/>
              <w:jc w:val="center"/>
            </w:pPr>
            <w:r w:rsidRPr="008B348A">
              <w:rPr>
                <w:rFonts w:eastAsiaTheme="minorHAnsi" w:hAnsiTheme="minorHAnsi" w:cstheme="minorBidi"/>
              </w:rPr>
              <w:t>1</w:t>
            </w:r>
            <w:r w:rsidR="00761E8E">
              <w:rPr>
                <w:rFonts w:eastAsiaTheme="minorHAnsi" w:hAnsiTheme="minorHAnsi" w:cstheme="minorBidi"/>
              </w:rPr>
              <w:t>,</w:t>
            </w:r>
            <w:r w:rsidRPr="008B348A">
              <w:rPr>
                <w:rFonts w:eastAsiaTheme="minorHAnsi" w:hAnsiTheme="minorHAnsi" w:cstheme="minorBidi"/>
              </w:rPr>
              <w:t>880/14</w:t>
            </w:r>
            <w:r w:rsidR="00761E8E">
              <w:rPr>
                <w:rFonts w:eastAsiaTheme="minorHAnsi" w:hAnsiTheme="minorHAnsi" w:cstheme="minorBidi"/>
              </w:rPr>
              <w:t>,</w:t>
            </w:r>
            <w:r w:rsidRPr="008B348A">
              <w:rPr>
                <w:rFonts w:eastAsiaTheme="minorHAnsi" w:hAnsiTheme="minorHAnsi" w:cstheme="minorBidi"/>
              </w:rPr>
              <w:t>64</w:t>
            </w:r>
            <w:r w:rsidR="00514D7E">
              <w:rPr>
                <w:rFonts w:eastAsiaTheme="minorHAnsi" w:hAnsiTheme="minorHAnsi" w:cstheme="minorBidi"/>
              </w:rPr>
              <w:t>5</w:t>
            </w:r>
            <w:r w:rsidRPr="008B348A">
              <w:rPr>
                <w:rFonts w:eastAsiaTheme="minorHAnsi" w:hAnsiTheme="minorHAnsi" w:cstheme="minorBidi"/>
              </w:rPr>
              <w:t xml:space="preserve"> </w:t>
            </w:r>
            <w:r w:rsidR="00761E8E">
              <w:rPr>
                <w:rFonts w:eastAsiaTheme="minorHAnsi" w:hAnsiTheme="minorHAnsi" w:cstheme="minorBidi"/>
              </w:rPr>
              <w:br/>
            </w:r>
            <w:r w:rsidRPr="008B348A">
              <w:rPr>
                <w:rFonts w:eastAsiaTheme="minorHAnsi" w:hAnsiTheme="minorHAnsi" w:cstheme="minorBidi"/>
              </w:rPr>
              <w:t>(12.8%)</w:t>
            </w:r>
          </w:p>
        </w:tc>
        <w:tc>
          <w:tcPr>
            <w:tcW w:w="930" w:type="pct"/>
            <w:vAlign w:val="center"/>
          </w:tcPr>
          <w:p w:rsidR="004A10BB" w:rsidRPr="008B348A" w:rsidRDefault="004A10BB" w:rsidP="00FC4F1F">
            <w:pPr>
              <w:pStyle w:val="Tabletext"/>
              <w:keepNext/>
              <w:keepLines/>
              <w:jc w:val="center"/>
            </w:pPr>
            <w:r w:rsidRPr="008B348A">
              <w:t>1</w:t>
            </w:r>
            <w:r w:rsidR="00761E8E">
              <w:t>,</w:t>
            </w:r>
            <w:r w:rsidRPr="008B348A">
              <w:t>945/14</w:t>
            </w:r>
            <w:r w:rsidR="00761E8E">
              <w:t>,</w:t>
            </w:r>
            <w:r w:rsidRPr="008B348A">
              <w:t xml:space="preserve">660 </w:t>
            </w:r>
            <w:r w:rsidR="00404953">
              <w:br/>
            </w:r>
            <w:r w:rsidRPr="008B348A">
              <w:t>(13.3%)</w:t>
            </w:r>
          </w:p>
        </w:tc>
        <w:tc>
          <w:tcPr>
            <w:tcW w:w="783" w:type="pct"/>
            <w:vAlign w:val="center"/>
          </w:tcPr>
          <w:p w:rsidR="004A10BB" w:rsidRPr="008B348A" w:rsidRDefault="004A10BB" w:rsidP="00FC4F1F">
            <w:pPr>
              <w:pStyle w:val="Tabletext"/>
              <w:keepNext/>
              <w:keepLines/>
              <w:jc w:val="center"/>
            </w:pPr>
            <w:r w:rsidRPr="008B348A">
              <w:t>0.97 (0.91</w:t>
            </w:r>
            <w:r w:rsidR="00630DEE">
              <w:t xml:space="preserve">, </w:t>
            </w:r>
            <w:r w:rsidRPr="008B348A">
              <w:t>1.03)</w:t>
            </w:r>
            <w:r w:rsidR="00060DB7">
              <w:t>;</w:t>
            </w:r>
          </w:p>
          <w:p w:rsidR="004A10BB" w:rsidRPr="008B348A" w:rsidRDefault="004A10BB" w:rsidP="00FC4F1F">
            <w:pPr>
              <w:pStyle w:val="Tabletext"/>
              <w:keepNext/>
              <w:keepLines/>
              <w:jc w:val="center"/>
            </w:pPr>
            <w:r w:rsidRPr="008B348A">
              <w:t xml:space="preserve">Unadjusted </w:t>
            </w:r>
            <w:r w:rsidR="00630DEE">
              <w:br/>
            </w:r>
            <w:r w:rsidRPr="008B348A">
              <w:t>p-value = 0.31578</w:t>
            </w:r>
          </w:p>
        </w:tc>
      </w:tr>
      <w:tr w:rsidR="004A10BB" w:rsidRPr="008B348A" w:rsidTr="00F205BD">
        <w:tc>
          <w:tcPr>
            <w:tcW w:w="2276" w:type="pct"/>
          </w:tcPr>
          <w:p w:rsidR="004A10BB" w:rsidRPr="008B348A" w:rsidRDefault="004A10BB" w:rsidP="00FC4F1F">
            <w:pPr>
              <w:pStyle w:val="Tabletext"/>
              <w:keepNext/>
              <w:keepLines/>
              <w:rPr>
                <w:rFonts w:eastAsiaTheme="minorHAnsi" w:hAnsiTheme="minorHAnsi" w:cstheme="minorBidi"/>
              </w:rPr>
            </w:pPr>
            <w:r w:rsidRPr="008B348A">
              <w:rPr>
                <w:rFonts w:eastAsiaTheme="minorHAnsi" w:hAnsiTheme="minorHAnsi" w:cstheme="minorBidi"/>
              </w:rPr>
              <w:t>SAEs related to vaccination</w:t>
            </w:r>
          </w:p>
        </w:tc>
        <w:tc>
          <w:tcPr>
            <w:tcW w:w="1011" w:type="pct"/>
            <w:vAlign w:val="center"/>
          </w:tcPr>
          <w:p w:rsidR="004A10BB" w:rsidRPr="008B348A" w:rsidRDefault="004A10BB" w:rsidP="00FC4F1F">
            <w:pPr>
              <w:pStyle w:val="Tabletext"/>
              <w:keepNext/>
              <w:keepLines/>
              <w:jc w:val="center"/>
              <w:rPr>
                <w:rFonts w:eastAsiaTheme="minorHAnsi" w:hAnsiTheme="minorHAnsi" w:cstheme="minorBidi"/>
                <w:i/>
              </w:rPr>
            </w:pPr>
            <w:r w:rsidRPr="008B348A">
              <w:rPr>
                <w:rFonts w:eastAsiaTheme="minorHAnsi" w:hAnsiTheme="minorHAnsi" w:cstheme="minorBidi"/>
                <w:i/>
              </w:rPr>
              <w:t>15 (0.1%)</w:t>
            </w:r>
          </w:p>
        </w:tc>
        <w:tc>
          <w:tcPr>
            <w:tcW w:w="930" w:type="pct"/>
            <w:vAlign w:val="center"/>
          </w:tcPr>
          <w:p w:rsidR="004A10BB" w:rsidRPr="008B348A" w:rsidRDefault="004A10BB" w:rsidP="00FC4F1F">
            <w:pPr>
              <w:pStyle w:val="Tabletext"/>
              <w:keepNext/>
              <w:keepLines/>
              <w:jc w:val="center"/>
              <w:rPr>
                <w:i/>
              </w:rPr>
            </w:pPr>
            <w:r w:rsidRPr="008B348A">
              <w:rPr>
                <w:i/>
              </w:rPr>
              <w:t>15 (0.1%)</w:t>
            </w:r>
          </w:p>
        </w:tc>
        <w:tc>
          <w:tcPr>
            <w:tcW w:w="783" w:type="pct"/>
            <w:vAlign w:val="center"/>
          </w:tcPr>
          <w:p w:rsidR="004A10BB" w:rsidRPr="008B348A" w:rsidRDefault="004A10BB" w:rsidP="00FC4F1F">
            <w:pPr>
              <w:pStyle w:val="Tabletext"/>
              <w:keepNext/>
              <w:keepLines/>
              <w:jc w:val="center"/>
            </w:pPr>
          </w:p>
        </w:tc>
      </w:tr>
      <w:tr w:rsidR="004A10BB" w:rsidRPr="008B348A" w:rsidTr="00F205BD">
        <w:tc>
          <w:tcPr>
            <w:tcW w:w="2276" w:type="pct"/>
          </w:tcPr>
          <w:p w:rsidR="004A10BB" w:rsidRPr="008B348A" w:rsidRDefault="00630DEE" w:rsidP="00FC4F1F">
            <w:pPr>
              <w:pStyle w:val="Tabletext"/>
              <w:keepNext/>
              <w:keepLines/>
              <w:rPr>
                <w:rFonts w:eastAsiaTheme="minorHAnsi" w:hAnsiTheme="minorHAnsi" w:cstheme="minorBidi"/>
              </w:rPr>
            </w:pPr>
            <w:r>
              <w:rPr>
                <w:rFonts w:eastAsiaTheme="minorHAnsi" w:hAnsiTheme="minorHAnsi" w:cstheme="minorBidi"/>
              </w:rPr>
              <w:t xml:space="preserve">Discontinuation </w:t>
            </w:r>
            <w:r w:rsidR="004A10BB" w:rsidRPr="008B348A">
              <w:rPr>
                <w:rFonts w:eastAsiaTheme="minorHAnsi" w:hAnsiTheme="minorHAnsi" w:cstheme="minorBidi"/>
                <w:spacing w:val="-7"/>
              </w:rPr>
              <w:t xml:space="preserve"> </w:t>
            </w:r>
            <w:r w:rsidR="004A10BB" w:rsidRPr="008B348A">
              <w:rPr>
                <w:rFonts w:eastAsiaTheme="minorHAnsi" w:hAnsiTheme="minorHAnsi" w:cstheme="minorBidi"/>
              </w:rPr>
              <w:t>due</w:t>
            </w:r>
            <w:r w:rsidR="004A10BB" w:rsidRPr="008B348A">
              <w:rPr>
                <w:rFonts w:eastAsiaTheme="minorHAnsi" w:hAnsiTheme="minorHAnsi" w:cstheme="minorBidi"/>
                <w:spacing w:val="-4"/>
              </w:rPr>
              <w:t xml:space="preserve"> </w:t>
            </w:r>
            <w:r w:rsidR="004A10BB" w:rsidRPr="008B348A">
              <w:rPr>
                <w:rFonts w:eastAsiaTheme="minorHAnsi" w:hAnsiTheme="minorHAnsi" w:cstheme="minorBidi"/>
              </w:rPr>
              <w:t>to</w:t>
            </w:r>
            <w:r w:rsidR="004A10BB" w:rsidRPr="008B348A">
              <w:rPr>
                <w:rFonts w:eastAsiaTheme="minorHAnsi" w:hAnsiTheme="minorHAnsi" w:cstheme="minorBidi"/>
                <w:spacing w:val="-3"/>
              </w:rPr>
              <w:t xml:space="preserve"> </w:t>
            </w:r>
            <w:r w:rsidR="004A10BB" w:rsidRPr="008B348A">
              <w:rPr>
                <w:rFonts w:eastAsiaTheme="minorHAnsi" w:hAnsiTheme="minorHAnsi" w:cstheme="minorBidi"/>
              </w:rPr>
              <w:t>a</w:t>
            </w:r>
            <w:r w:rsidR="00641CD0">
              <w:rPr>
                <w:rFonts w:eastAsiaTheme="minorHAnsi" w:hAnsiTheme="minorHAnsi" w:cstheme="minorBidi"/>
              </w:rPr>
              <w:t xml:space="preserve"> SAE or </w:t>
            </w:r>
            <w:r w:rsidR="004A10BB" w:rsidRPr="008B348A">
              <w:rPr>
                <w:rFonts w:eastAsiaTheme="minorHAnsi" w:hAnsiTheme="minorHAnsi" w:cstheme="minorBidi"/>
              </w:rPr>
              <w:t>AE</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116/NR (NR)</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65/NR (NR)</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630DEE" w:rsidP="00FC4F1F">
            <w:pPr>
              <w:pStyle w:val="Tabletext"/>
              <w:keepNext/>
              <w:keepLines/>
              <w:ind w:firstLine="142"/>
              <w:rPr>
                <w:rFonts w:eastAsiaTheme="minorHAnsi" w:hAnsiTheme="minorHAnsi" w:cstheme="minorBidi"/>
              </w:rPr>
            </w:pPr>
            <w:r>
              <w:rPr>
                <w:rFonts w:eastAsiaTheme="minorHAnsi" w:hAnsiTheme="minorHAnsi" w:cstheme="minorBidi"/>
              </w:rPr>
              <w:t xml:space="preserve">Discontinuation </w:t>
            </w:r>
            <w:r w:rsidR="004A10BB" w:rsidRPr="008B348A">
              <w:rPr>
                <w:rFonts w:eastAsiaTheme="minorHAnsi" w:hAnsiTheme="minorHAnsi" w:cstheme="minorBidi"/>
              </w:rPr>
              <w:t>due</w:t>
            </w:r>
            <w:r w:rsidR="004A10BB" w:rsidRPr="008B348A">
              <w:rPr>
                <w:rFonts w:eastAsiaTheme="minorHAnsi" w:hAnsiTheme="minorHAnsi" w:cstheme="minorBidi"/>
                <w:spacing w:val="-4"/>
              </w:rPr>
              <w:t xml:space="preserve"> </w:t>
            </w:r>
            <w:r w:rsidR="004A10BB" w:rsidRPr="008B348A">
              <w:rPr>
                <w:rFonts w:eastAsiaTheme="minorHAnsi" w:hAnsiTheme="minorHAnsi" w:cstheme="minorBidi"/>
              </w:rPr>
              <w:t>to</w:t>
            </w:r>
            <w:r w:rsidR="004A10BB" w:rsidRPr="008B348A">
              <w:rPr>
                <w:rFonts w:eastAsiaTheme="minorHAnsi" w:hAnsiTheme="minorHAnsi" w:cstheme="minorBidi"/>
                <w:spacing w:val="-3"/>
              </w:rPr>
              <w:t xml:space="preserve"> </w:t>
            </w:r>
            <w:r w:rsidR="004A10BB" w:rsidRPr="008B348A">
              <w:rPr>
                <w:rFonts w:eastAsiaTheme="minorHAnsi" w:hAnsiTheme="minorHAnsi" w:cstheme="minorBidi"/>
              </w:rPr>
              <w:t>a</w:t>
            </w:r>
            <w:r w:rsidR="00F205BD">
              <w:rPr>
                <w:rFonts w:eastAsiaTheme="minorHAnsi" w:hAnsiTheme="minorHAnsi" w:cstheme="minorBidi"/>
              </w:rPr>
              <w:t>n</w:t>
            </w:r>
            <w:r w:rsidR="00641CD0">
              <w:rPr>
                <w:rFonts w:eastAsiaTheme="minorHAnsi" w:hAnsiTheme="minorHAnsi" w:cstheme="minorBidi"/>
              </w:rPr>
              <w:t xml:space="preserve"> </w:t>
            </w:r>
            <w:r w:rsidR="004A10BB" w:rsidRPr="008B348A">
              <w:rPr>
                <w:rFonts w:eastAsiaTheme="minorHAnsi" w:hAnsiTheme="minorHAnsi" w:cstheme="minorBidi"/>
              </w:rPr>
              <w:t>AE</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62/NR (0.4</w:t>
            </w:r>
            <w:r w:rsidR="00BE64CA">
              <w:rPr>
                <w:rFonts w:eastAsiaTheme="minorHAnsi" w:hAnsiTheme="minorHAnsi" w:cstheme="minorBidi"/>
              </w:rPr>
              <w:t>%</w:t>
            </w:r>
            <w:r w:rsidRPr="008B348A">
              <w:rPr>
                <w:rFonts w:eastAsiaTheme="minorHAnsi" w:hAnsiTheme="minorHAnsi" w:cstheme="minorBidi"/>
              </w:rPr>
              <w:t>)</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17/NR (0.1</w:t>
            </w:r>
            <w:r w:rsidR="00BE64CA">
              <w:rPr>
                <w:rFonts w:eastAsiaTheme="minorHAnsi" w:hAnsiTheme="minorHAnsi" w:cstheme="minorBidi"/>
              </w:rPr>
              <w:t>%</w:t>
            </w:r>
            <w:r w:rsidRPr="008B348A">
              <w:rPr>
                <w:rFonts w:eastAsiaTheme="minorHAnsi" w:hAnsiTheme="minorHAnsi" w:cstheme="minorBidi"/>
              </w:rPr>
              <w:t>)</w:t>
            </w:r>
          </w:p>
        </w:tc>
        <w:tc>
          <w:tcPr>
            <w:tcW w:w="783" w:type="pct"/>
            <w:vAlign w:val="center"/>
          </w:tcPr>
          <w:p w:rsidR="004A10BB" w:rsidRPr="008B348A" w:rsidRDefault="004A10BB" w:rsidP="00FC4F1F">
            <w:pPr>
              <w:pStyle w:val="Tabletext"/>
              <w:keepNext/>
              <w:keepLines/>
              <w:jc w:val="center"/>
            </w:pPr>
            <w:r w:rsidRPr="008B348A">
              <w:t>NR</w:t>
            </w:r>
          </w:p>
        </w:tc>
      </w:tr>
      <w:tr w:rsidR="004A10BB" w:rsidRPr="008B348A" w:rsidTr="00F205BD">
        <w:tc>
          <w:tcPr>
            <w:tcW w:w="2276" w:type="pct"/>
          </w:tcPr>
          <w:p w:rsidR="004A10BB" w:rsidRPr="008B348A" w:rsidRDefault="00630DEE" w:rsidP="00FC4F1F">
            <w:pPr>
              <w:pStyle w:val="Tabletext"/>
              <w:keepNext/>
              <w:keepLines/>
              <w:ind w:firstLine="142"/>
              <w:rPr>
                <w:rFonts w:eastAsiaTheme="minorHAnsi" w:hAnsiTheme="minorHAnsi" w:cstheme="minorBidi"/>
              </w:rPr>
            </w:pPr>
            <w:r>
              <w:rPr>
                <w:rFonts w:eastAsiaTheme="minorHAnsi" w:hAnsiTheme="minorHAnsi" w:cstheme="minorBidi"/>
              </w:rPr>
              <w:t xml:space="preserve">Discontinuation </w:t>
            </w:r>
            <w:r w:rsidR="004A10BB" w:rsidRPr="008B348A">
              <w:rPr>
                <w:rFonts w:eastAsiaTheme="minorHAnsi" w:hAnsiTheme="minorHAnsi" w:cstheme="minorBidi"/>
              </w:rPr>
              <w:t>due</w:t>
            </w:r>
            <w:r w:rsidR="004A10BB" w:rsidRPr="008B348A">
              <w:rPr>
                <w:rFonts w:eastAsiaTheme="minorHAnsi" w:hAnsiTheme="minorHAnsi" w:cstheme="minorBidi"/>
                <w:spacing w:val="-4"/>
              </w:rPr>
              <w:t xml:space="preserve"> </w:t>
            </w:r>
            <w:r w:rsidR="004A10BB" w:rsidRPr="008B348A">
              <w:rPr>
                <w:rFonts w:eastAsiaTheme="minorHAnsi" w:hAnsiTheme="minorHAnsi" w:cstheme="minorBidi"/>
              </w:rPr>
              <w:t>to</w:t>
            </w:r>
            <w:r w:rsidR="004A10BB" w:rsidRPr="008B348A">
              <w:rPr>
                <w:rFonts w:eastAsiaTheme="minorHAnsi" w:hAnsiTheme="minorHAnsi" w:cstheme="minorBidi"/>
                <w:spacing w:val="-3"/>
              </w:rPr>
              <w:t xml:space="preserve"> </w:t>
            </w:r>
            <w:r w:rsidR="004A10BB" w:rsidRPr="008B348A">
              <w:rPr>
                <w:rFonts w:eastAsiaTheme="minorHAnsi" w:hAnsiTheme="minorHAnsi" w:cstheme="minorBidi"/>
              </w:rPr>
              <w:t>a</w:t>
            </w:r>
            <w:r w:rsidR="00641CD0">
              <w:rPr>
                <w:rFonts w:eastAsiaTheme="minorHAnsi" w:hAnsiTheme="minorHAnsi" w:cstheme="minorBidi"/>
              </w:rPr>
              <w:t xml:space="preserve"> SAE </w:t>
            </w:r>
          </w:p>
        </w:tc>
        <w:tc>
          <w:tcPr>
            <w:tcW w:w="1011"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54/NR (0.4</w:t>
            </w:r>
            <w:r w:rsidR="00BE64CA">
              <w:rPr>
                <w:rFonts w:eastAsiaTheme="minorHAnsi" w:hAnsiTheme="minorHAnsi" w:cstheme="minorBidi"/>
              </w:rPr>
              <w:t>%</w:t>
            </w:r>
            <w:r w:rsidRPr="008B348A">
              <w:rPr>
                <w:rFonts w:eastAsiaTheme="minorHAnsi" w:hAnsiTheme="minorHAnsi" w:cstheme="minorBidi"/>
              </w:rPr>
              <w:t>)</w:t>
            </w:r>
          </w:p>
        </w:tc>
        <w:tc>
          <w:tcPr>
            <w:tcW w:w="930" w:type="pct"/>
            <w:vAlign w:val="center"/>
          </w:tcPr>
          <w:p w:rsidR="004A10BB" w:rsidRPr="008B348A" w:rsidRDefault="004A10BB" w:rsidP="00FC4F1F">
            <w:pPr>
              <w:pStyle w:val="Tabletext"/>
              <w:keepNext/>
              <w:keepLines/>
              <w:jc w:val="center"/>
              <w:rPr>
                <w:highlight w:val="yellow"/>
              </w:rPr>
            </w:pPr>
            <w:r w:rsidRPr="008B348A">
              <w:rPr>
                <w:rFonts w:eastAsiaTheme="minorHAnsi" w:hAnsiTheme="minorHAnsi" w:cstheme="minorBidi"/>
              </w:rPr>
              <w:t>48/NR (0.3</w:t>
            </w:r>
            <w:r w:rsidR="00BE64CA">
              <w:rPr>
                <w:rFonts w:eastAsiaTheme="minorHAnsi" w:hAnsiTheme="minorHAnsi" w:cstheme="minorBidi"/>
              </w:rPr>
              <w:t>%</w:t>
            </w:r>
            <w:r w:rsidRPr="008B348A">
              <w:rPr>
                <w:rFonts w:eastAsiaTheme="minorHAnsi" w:hAnsiTheme="minorHAnsi" w:cstheme="minorBidi"/>
              </w:rPr>
              <w:t>)</w:t>
            </w:r>
          </w:p>
        </w:tc>
        <w:tc>
          <w:tcPr>
            <w:tcW w:w="783" w:type="pct"/>
            <w:vAlign w:val="center"/>
          </w:tcPr>
          <w:p w:rsidR="004A10BB" w:rsidRPr="008B348A" w:rsidRDefault="004A10BB" w:rsidP="00FC4F1F">
            <w:pPr>
              <w:pStyle w:val="Tabletext"/>
              <w:keepNext/>
              <w:keepLines/>
              <w:jc w:val="center"/>
            </w:pPr>
            <w:r w:rsidRPr="008B348A">
              <w:t>NR</w:t>
            </w:r>
          </w:p>
        </w:tc>
      </w:tr>
    </w:tbl>
    <w:p w:rsidR="004A10BB" w:rsidRPr="008B348A" w:rsidRDefault="0006591F" w:rsidP="004A10BB">
      <w:pPr>
        <w:pStyle w:val="TableFooter"/>
      </w:pPr>
      <w:r>
        <w:rPr>
          <w:rFonts w:eastAsia="Calibri"/>
        </w:rPr>
        <w:t xml:space="preserve">AE: adverse event; </w:t>
      </w:r>
      <w:r w:rsidR="004A10BB" w:rsidRPr="008B348A">
        <w:rPr>
          <w:rFonts w:eastAsia="Calibri"/>
        </w:rPr>
        <w:t>CI</w:t>
      </w:r>
      <w:r w:rsidR="001D720F" w:rsidRPr="008B348A">
        <w:rPr>
          <w:rFonts w:eastAsia="Calibri"/>
        </w:rPr>
        <w:t>:</w:t>
      </w:r>
      <w:r w:rsidR="004A10BB" w:rsidRPr="008B348A">
        <w:rPr>
          <w:rFonts w:eastAsia="Calibri"/>
        </w:rPr>
        <w:t xml:space="preserve"> confidence interval; </w:t>
      </w:r>
      <w:r>
        <w:rPr>
          <w:rFonts w:eastAsia="Calibri"/>
        </w:rPr>
        <w:t>HZ/</w:t>
      </w:r>
      <w:proofErr w:type="spellStart"/>
      <w:r>
        <w:rPr>
          <w:rFonts w:eastAsia="Calibri"/>
        </w:rPr>
        <w:t>su</w:t>
      </w:r>
      <w:proofErr w:type="spellEnd"/>
      <w:r>
        <w:rPr>
          <w:rFonts w:eastAsia="Calibri"/>
        </w:rPr>
        <w:t xml:space="preserve">: recombinant varicella zoster vaccine; </w:t>
      </w:r>
      <w:r w:rsidR="004A10BB" w:rsidRPr="008B348A">
        <w:rPr>
          <w:rFonts w:eastAsia="Calibri"/>
        </w:rPr>
        <w:t>n</w:t>
      </w:r>
      <w:r w:rsidR="001D720F" w:rsidRPr="008B348A">
        <w:rPr>
          <w:rFonts w:eastAsia="Calibri"/>
        </w:rPr>
        <w:t>:</w:t>
      </w:r>
      <w:r w:rsidR="004A10BB" w:rsidRPr="008B348A">
        <w:rPr>
          <w:rFonts w:eastAsia="Calibri"/>
        </w:rPr>
        <w:t xml:space="preserve"> number of participants reporting data; N</w:t>
      </w:r>
      <w:r w:rsidR="001D720F" w:rsidRPr="008B348A">
        <w:rPr>
          <w:rFonts w:eastAsia="Calibri"/>
        </w:rPr>
        <w:t>:</w:t>
      </w:r>
      <w:r w:rsidR="004A10BB" w:rsidRPr="008B348A">
        <w:rPr>
          <w:rFonts w:eastAsia="Calibri"/>
        </w:rPr>
        <w:t xml:space="preserve"> total participants in group; </w:t>
      </w:r>
      <w:r>
        <w:rPr>
          <w:rFonts w:eastAsia="Calibri"/>
        </w:rPr>
        <w:t xml:space="preserve">NR: not reported; </w:t>
      </w:r>
      <w:r w:rsidR="004A10BB" w:rsidRPr="008B348A">
        <w:rPr>
          <w:rFonts w:eastAsia="Calibri"/>
        </w:rPr>
        <w:t>RR</w:t>
      </w:r>
      <w:r w:rsidR="001D720F" w:rsidRPr="008B348A">
        <w:rPr>
          <w:rFonts w:eastAsia="Calibri"/>
        </w:rPr>
        <w:t>:</w:t>
      </w:r>
      <w:r w:rsidR="004A10BB" w:rsidRPr="008B348A">
        <w:rPr>
          <w:rFonts w:eastAsia="Calibri"/>
        </w:rPr>
        <w:t xml:space="preserve"> relative risk</w:t>
      </w:r>
      <w:r w:rsidR="004A10BB" w:rsidRPr="008B348A">
        <w:t>; SAE: serious adverse event</w:t>
      </w:r>
    </w:p>
    <w:p w:rsidR="004A10BB" w:rsidRDefault="004A10BB" w:rsidP="004A10BB">
      <w:pPr>
        <w:pStyle w:val="TableFooter"/>
        <w:rPr>
          <w:i/>
        </w:rPr>
      </w:pPr>
      <w:r w:rsidRPr="008B348A">
        <w:t>Source: Table 33-36 p87 of the submission and</w:t>
      </w:r>
      <w:r w:rsidRPr="008B348A">
        <w:rPr>
          <w:i/>
        </w:rPr>
        <w:t xml:space="preserve"> GSK summary of safety 2017, p77</w:t>
      </w:r>
    </w:p>
    <w:p w:rsidR="00E92F71" w:rsidRPr="008B348A" w:rsidRDefault="00E92F71" w:rsidP="004A10BB">
      <w:pPr>
        <w:pStyle w:val="TableFooter"/>
        <w:rPr>
          <w:sz w:val="20"/>
        </w:rPr>
      </w:pPr>
    </w:p>
    <w:p w:rsidR="004A10BB" w:rsidRPr="0086667F" w:rsidRDefault="004A10BB" w:rsidP="00ED2457">
      <w:pPr>
        <w:pStyle w:val="ListParagraph"/>
        <w:widowControl/>
        <w:numPr>
          <w:ilvl w:val="1"/>
          <w:numId w:val="2"/>
        </w:numPr>
      </w:pPr>
      <w:r w:rsidRPr="0086667F">
        <w:t xml:space="preserve">The ATAGI noted that rates of </w:t>
      </w:r>
      <w:proofErr w:type="spellStart"/>
      <w:r w:rsidRPr="0086667F">
        <w:t>reactogenicity</w:t>
      </w:r>
      <w:proofErr w:type="spellEnd"/>
      <w:r w:rsidRPr="0086667F">
        <w:t xml:space="preserve"> </w:t>
      </w:r>
      <w:r w:rsidR="00060DB7">
        <w:t>with the</w:t>
      </w:r>
      <w:r w:rsidRPr="0086667F">
        <w:t xml:space="preserve"> HZ/</w:t>
      </w:r>
      <w:proofErr w:type="spellStart"/>
      <w:r w:rsidRPr="0086667F">
        <w:t>su</w:t>
      </w:r>
      <w:proofErr w:type="spellEnd"/>
      <w:r w:rsidRPr="0086667F">
        <w:t xml:space="preserve"> vaccine were noticeably high</w:t>
      </w:r>
      <w:r w:rsidR="00404953">
        <w:t>er</w:t>
      </w:r>
      <w:r w:rsidRPr="0086667F">
        <w:t xml:space="preserve"> in the ZOE</w:t>
      </w:r>
      <w:r w:rsidRPr="0086667F">
        <w:noBreakHyphen/>
        <w:t>50 and ZOE-70 trials</w:t>
      </w:r>
      <w:r w:rsidR="00404953">
        <w:t xml:space="preserve"> compared to placebo. This was evident in the pooled results, which suggested higher rates of pain, redness and swelling</w:t>
      </w:r>
      <w:r w:rsidRPr="0086667F">
        <w:t>.</w:t>
      </w:r>
      <w:r w:rsidR="00404953">
        <w:t xml:space="preserve"> The incidence of Grade 3 adverse events w</w:t>
      </w:r>
      <w:r w:rsidR="005715CF">
        <w:t>as</w:t>
      </w:r>
      <w:r w:rsidR="00404953">
        <w:t xml:space="preserve"> numerically higher for most events in the pooled HZ/</w:t>
      </w:r>
      <w:proofErr w:type="spellStart"/>
      <w:r w:rsidR="00404953">
        <w:t>su</w:t>
      </w:r>
      <w:proofErr w:type="spellEnd"/>
      <w:r w:rsidR="00404953">
        <w:t xml:space="preserve"> arm.</w:t>
      </w:r>
    </w:p>
    <w:p w:rsidR="004A10BB" w:rsidRPr="0098559C" w:rsidRDefault="004A10BB" w:rsidP="00ED2457">
      <w:pPr>
        <w:pStyle w:val="ListParagraph"/>
        <w:widowControl/>
        <w:numPr>
          <w:ilvl w:val="1"/>
          <w:numId w:val="2"/>
        </w:numPr>
      </w:pPr>
      <w:r w:rsidRPr="0098559C">
        <w:t xml:space="preserve">The ATAGI </w:t>
      </w:r>
      <w:r w:rsidR="00B53757" w:rsidRPr="0098559C">
        <w:t xml:space="preserve">and ESC </w:t>
      </w:r>
      <w:r w:rsidRPr="0098559C">
        <w:t xml:space="preserve">noted </w:t>
      </w:r>
      <w:r w:rsidR="00B53757" w:rsidRPr="0098559C">
        <w:t xml:space="preserve">that although </w:t>
      </w:r>
      <w:r w:rsidRPr="0098559C">
        <w:t xml:space="preserve">there were no major safety concerns identified, </w:t>
      </w:r>
      <w:r w:rsidR="00060DB7">
        <w:t xml:space="preserve">continuing </w:t>
      </w:r>
      <w:r w:rsidRPr="0098559C">
        <w:t xml:space="preserve">safety monitoring </w:t>
      </w:r>
      <w:r w:rsidR="00060DB7">
        <w:t>would be</w:t>
      </w:r>
      <w:r w:rsidRPr="0098559C">
        <w:t xml:space="preserve"> of particular importance for </w:t>
      </w:r>
      <w:r w:rsidR="00060DB7">
        <w:t xml:space="preserve">the </w:t>
      </w:r>
      <w:r w:rsidRPr="0098559C">
        <w:t>HZ/</w:t>
      </w:r>
      <w:proofErr w:type="spellStart"/>
      <w:r w:rsidRPr="0098559C">
        <w:t>su</w:t>
      </w:r>
      <w:proofErr w:type="spellEnd"/>
      <w:r w:rsidRPr="0098559C">
        <w:t xml:space="preserve"> vaccine given the novel adjuvant system used in the vaccine.</w:t>
      </w:r>
    </w:p>
    <w:p w:rsidR="00FB0204" w:rsidRDefault="004A10BB" w:rsidP="00ED2457">
      <w:pPr>
        <w:pStyle w:val="ListParagraph"/>
        <w:widowControl/>
        <w:numPr>
          <w:ilvl w:val="1"/>
          <w:numId w:val="2"/>
        </w:numPr>
      </w:pPr>
      <w:r w:rsidRPr="0086667F">
        <w:t xml:space="preserve">No </w:t>
      </w:r>
      <w:r w:rsidR="00323C4E" w:rsidRPr="0086667F">
        <w:t xml:space="preserve">formal </w:t>
      </w:r>
      <w:r w:rsidRPr="0086667F">
        <w:t>indirect comparison</w:t>
      </w:r>
      <w:r w:rsidR="004017C7" w:rsidRPr="0086667F">
        <w:t xml:space="preserve"> of </w:t>
      </w:r>
      <w:r w:rsidR="005C6BA2" w:rsidRPr="0086667F">
        <w:t xml:space="preserve">safety outcomes </w:t>
      </w:r>
      <w:r w:rsidR="00B53757">
        <w:t>between</w:t>
      </w:r>
      <w:r w:rsidR="005C6BA2" w:rsidRPr="0086667F">
        <w:t xml:space="preserve"> </w:t>
      </w:r>
      <w:r w:rsidR="004017C7" w:rsidRPr="0086667F">
        <w:t>the HZ/</w:t>
      </w:r>
      <w:proofErr w:type="spellStart"/>
      <w:r w:rsidR="004017C7" w:rsidRPr="0086667F">
        <w:t>su</w:t>
      </w:r>
      <w:proofErr w:type="spellEnd"/>
      <w:r w:rsidR="004017C7" w:rsidRPr="0086667F">
        <w:t xml:space="preserve"> vaccine </w:t>
      </w:r>
      <w:r w:rsidR="00B53757">
        <w:t xml:space="preserve">and </w:t>
      </w:r>
      <w:r w:rsidR="004017C7" w:rsidRPr="0086667F">
        <w:t xml:space="preserve">the live-HZ vaccine, using the ZOE-50, ZOE-70 and </w:t>
      </w:r>
      <w:r w:rsidRPr="0086667F">
        <w:t>SPS trial</w:t>
      </w:r>
      <w:r w:rsidR="00BE64CA" w:rsidRPr="0086667F">
        <w:t>s</w:t>
      </w:r>
      <w:r w:rsidRPr="0086667F">
        <w:t xml:space="preserve"> was conducted</w:t>
      </w:r>
      <w:r w:rsidR="00BE64CA" w:rsidRPr="0086667F">
        <w:t xml:space="preserve"> by the submission</w:t>
      </w:r>
      <w:r w:rsidRPr="0086667F">
        <w:t>.</w:t>
      </w:r>
    </w:p>
    <w:p w:rsidR="00FB0204" w:rsidRDefault="00FB0204">
      <w:pPr>
        <w:widowControl/>
        <w:jc w:val="left"/>
      </w:pPr>
      <w:r>
        <w:br w:type="page"/>
      </w:r>
    </w:p>
    <w:p w:rsidR="004A10BB" w:rsidRPr="0086667F" w:rsidRDefault="00323C4E" w:rsidP="00ED2457">
      <w:pPr>
        <w:pStyle w:val="ListParagraph"/>
        <w:widowControl/>
        <w:numPr>
          <w:ilvl w:val="1"/>
          <w:numId w:val="2"/>
        </w:numPr>
      </w:pPr>
      <w:r w:rsidRPr="0086667F">
        <w:lastRenderedPageBreak/>
        <w:t xml:space="preserve">A naïve indirect comparison </w:t>
      </w:r>
      <w:r w:rsidR="00B53757">
        <w:t>demonstrated</w:t>
      </w:r>
      <w:r w:rsidR="00B53757" w:rsidRPr="0086667F">
        <w:t xml:space="preserve"> </w:t>
      </w:r>
      <w:r w:rsidRPr="0086667F">
        <w:t xml:space="preserve">that </w:t>
      </w:r>
      <w:r w:rsidR="00763E84">
        <w:t>individuals</w:t>
      </w:r>
      <w:r w:rsidRPr="0086667F">
        <w:t xml:space="preserve"> experienced higher rates of pain with the HZ/</w:t>
      </w:r>
      <w:proofErr w:type="spellStart"/>
      <w:r w:rsidRPr="0086667F">
        <w:t>su</w:t>
      </w:r>
      <w:proofErr w:type="spellEnd"/>
      <w:r w:rsidRPr="0086667F">
        <w:t xml:space="preserve"> vaccine (</w:t>
      </w:r>
      <w:r w:rsidR="0020540A">
        <w:rPr>
          <w:noProof/>
          <w:color w:val="000000"/>
          <w:highlight w:val="black"/>
        </w:rPr>
        <w:t>'''''''''</w:t>
      </w:r>
      <w:r w:rsidRPr="0086667F">
        <w:t>%) compared to the live-HZ vaccine (</w:t>
      </w:r>
      <w:r w:rsidRPr="001C2AAA">
        <w:t>34.5</w:t>
      </w:r>
      <w:r w:rsidRPr="0086667F">
        <w:t xml:space="preserve">%). Rates of erythema (redness) and swelling were similar. </w:t>
      </w:r>
      <w:r w:rsidR="00763E84">
        <w:t>Individuals</w:t>
      </w:r>
      <w:r w:rsidRPr="0086667F">
        <w:t xml:space="preserve"> reported higher rates of serious adverse events with the HZ/</w:t>
      </w:r>
      <w:proofErr w:type="spellStart"/>
      <w:r w:rsidRPr="0086667F">
        <w:t>su</w:t>
      </w:r>
      <w:proofErr w:type="spellEnd"/>
      <w:r w:rsidRPr="0086667F">
        <w:t xml:space="preserve"> vaccine in the ZOE trials (</w:t>
      </w:r>
      <w:proofErr w:type="gramStart"/>
      <w:r w:rsidR="0020540A">
        <w:rPr>
          <w:noProof/>
          <w:color w:val="000000"/>
          <w:highlight w:val="black"/>
        </w:rPr>
        <w:t>''''''''</w:t>
      </w:r>
      <w:r w:rsidRPr="0086667F">
        <w:t>%</w:t>
      </w:r>
      <w:proofErr w:type="gramEnd"/>
      <w:r w:rsidRPr="0086667F">
        <w:t>) compared to the live-HZ vaccine in the SPS trial (1.4%).</w:t>
      </w:r>
    </w:p>
    <w:p w:rsidR="007F1017" w:rsidRPr="008B348A" w:rsidRDefault="007F1017" w:rsidP="00E92F71">
      <w:pPr>
        <w:pStyle w:val="Heading2"/>
      </w:pPr>
      <w:bookmarkStart w:id="10" w:name="_Toc524340210"/>
      <w:r w:rsidRPr="008B348A">
        <w:t>Benefits/harms</w:t>
      </w:r>
      <w:bookmarkEnd w:id="10"/>
    </w:p>
    <w:p w:rsidR="00162913" w:rsidRPr="00036414" w:rsidRDefault="00EC00C9" w:rsidP="00ED2457">
      <w:pPr>
        <w:pStyle w:val="ListParagraph"/>
        <w:widowControl/>
        <w:numPr>
          <w:ilvl w:val="1"/>
          <w:numId w:val="2"/>
        </w:numPr>
      </w:pPr>
      <w:r w:rsidRPr="008B348A">
        <w:t xml:space="preserve">A </w:t>
      </w:r>
      <w:r w:rsidRPr="00036414">
        <w:t xml:space="preserve">summary of the comparative benefits and harms for </w:t>
      </w:r>
      <w:r w:rsidR="006B2A61" w:rsidRPr="00036414">
        <w:t xml:space="preserve">the </w:t>
      </w:r>
      <w:r w:rsidR="0042064D" w:rsidRPr="00036414">
        <w:t>HZ/</w:t>
      </w:r>
      <w:proofErr w:type="spellStart"/>
      <w:r w:rsidR="0042064D" w:rsidRPr="00036414">
        <w:t>su</w:t>
      </w:r>
      <w:proofErr w:type="spellEnd"/>
      <w:r w:rsidR="0042064D" w:rsidRPr="00036414">
        <w:t xml:space="preserve"> </w:t>
      </w:r>
      <w:r w:rsidR="006B2A61" w:rsidRPr="00036414">
        <w:t xml:space="preserve">vaccine </w:t>
      </w:r>
      <w:r w:rsidRPr="00036414">
        <w:t xml:space="preserve">versus </w:t>
      </w:r>
      <w:r w:rsidR="006B2A61" w:rsidRPr="00036414">
        <w:t>no vaccine</w:t>
      </w:r>
      <w:r w:rsidR="00D66BCC">
        <w:t xml:space="preserve"> (placebo)</w:t>
      </w:r>
      <w:r w:rsidR="0042064D" w:rsidRPr="00036414">
        <w:t xml:space="preserve"> </w:t>
      </w:r>
      <w:r w:rsidRPr="00036414">
        <w:t xml:space="preserve">is presented in </w:t>
      </w:r>
      <w:r w:rsidR="00036414" w:rsidRPr="00036414">
        <w:t xml:space="preserve">Table </w:t>
      </w:r>
      <w:r w:rsidR="00DF7A69">
        <w:t>11</w:t>
      </w:r>
      <w:r w:rsidRPr="00036414">
        <w:t>.</w:t>
      </w:r>
    </w:p>
    <w:p w:rsidR="00B62715" w:rsidRPr="008B348A" w:rsidRDefault="00B62715" w:rsidP="0038662B">
      <w:pPr>
        <w:keepNext/>
        <w:rPr>
          <w:rStyle w:val="CommentReference"/>
        </w:rPr>
      </w:pPr>
      <w:r w:rsidRPr="008B348A">
        <w:rPr>
          <w:rStyle w:val="CommentReference"/>
        </w:rPr>
        <w:t xml:space="preserve">Table </w:t>
      </w:r>
      <w:r w:rsidR="00DF7A69">
        <w:rPr>
          <w:rStyle w:val="CommentReference"/>
        </w:rPr>
        <w:t>11</w:t>
      </w:r>
      <w:r w:rsidRPr="008B348A">
        <w:rPr>
          <w:rStyle w:val="CommentReference"/>
        </w:rPr>
        <w:t xml:space="preserve">: Summary of comparative benefits and harms for </w:t>
      </w:r>
      <w:r w:rsidR="006B2A61" w:rsidRPr="008B348A">
        <w:rPr>
          <w:rStyle w:val="CommentReference"/>
        </w:rPr>
        <w:t>the HZ/</w:t>
      </w:r>
      <w:proofErr w:type="spellStart"/>
      <w:r w:rsidR="006B2A61" w:rsidRPr="008B348A">
        <w:rPr>
          <w:rStyle w:val="CommentReference"/>
        </w:rPr>
        <w:t>su</w:t>
      </w:r>
      <w:proofErr w:type="spellEnd"/>
      <w:r w:rsidR="006B2A61" w:rsidRPr="008B348A">
        <w:rPr>
          <w:rStyle w:val="CommentReference"/>
        </w:rPr>
        <w:t xml:space="preserve"> vaccine</w:t>
      </w:r>
      <w:r w:rsidRPr="008B348A">
        <w:rPr>
          <w:rStyle w:val="CommentReference"/>
        </w:rPr>
        <w:t xml:space="preserve"> and </w:t>
      </w:r>
      <w:r w:rsidR="006B2A61" w:rsidRPr="008B348A">
        <w:rPr>
          <w:rStyle w:val="CommentReference"/>
        </w:rPr>
        <w:t>no vaccine</w:t>
      </w:r>
    </w:p>
    <w:tbl>
      <w:tblPr>
        <w:tblW w:w="5000" w:type="pct"/>
        <w:tblLayout w:type="fixed"/>
        <w:tblCellMar>
          <w:left w:w="28" w:type="dxa"/>
          <w:right w:w="28" w:type="dxa"/>
        </w:tblCellMar>
        <w:tblLook w:val="04A0" w:firstRow="1" w:lastRow="0" w:firstColumn="1" w:lastColumn="0" w:noHBand="0" w:noVBand="1"/>
      </w:tblPr>
      <w:tblGrid>
        <w:gridCol w:w="2420"/>
        <w:gridCol w:w="1124"/>
        <w:gridCol w:w="1128"/>
        <w:gridCol w:w="1407"/>
        <w:gridCol w:w="985"/>
        <w:gridCol w:w="985"/>
        <w:gridCol w:w="971"/>
      </w:tblGrid>
      <w:tr w:rsidR="00B53757" w:rsidRPr="008B348A" w:rsidTr="00B53757">
        <w:trPr>
          <w:trHeight w:val="150"/>
        </w:trPr>
        <w:tc>
          <w:tcPr>
            <w:tcW w:w="1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2B30" w:rsidRPr="0098559C" w:rsidRDefault="00852B30" w:rsidP="0038662B">
            <w:pPr>
              <w:keepNext/>
              <w:keepLines/>
              <w:rPr>
                <w:rFonts w:ascii="Arial Narrow" w:hAnsi="Arial Narrow"/>
                <w:b/>
                <w:color w:val="000000"/>
                <w:sz w:val="20"/>
                <w:szCs w:val="18"/>
              </w:rPr>
            </w:pPr>
            <w:r w:rsidRPr="0098559C">
              <w:rPr>
                <w:rFonts w:ascii="Arial Narrow" w:hAnsi="Arial Narrow"/>
                <w:b/>
                <w:color w:val="000000"/>
                <w:sz w:val="20"/>
                <w:szCs w:val="18"/>
              </w:rPr>
              <w:t>Trial</w:t>
            </w:r>
          </w:p>
        </w:tc>
        <w:tc>
          <w:tcPr>
            <w:tcW w:w="623" w:type="pct"/>
            <w:vMerge w:val="restart"/>
            <w:tcBorders>
              <w:top w:val="single" w:sz="4" w:space="0" w:color="auto"/>
              <w:left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N</w:t>
            </w:r>
          </w:p>
        </w:tc>
        <w:tc>
          <w:tcPr>
            <w:tcW w:w="1405" w:type="pct"/>
            <w:gridSpan w:val="2"/>
            <w:vMerge w:val="restart"/>
            <w:tcBorders>
              <w:top w:val="single" w:sz="4" w:space="0" w:color="auto"/>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VE</w:t>
            </w:r>
            <w:r w:rsidR="002A7C91" w:rsidRPr="0098559C">
              <w:rPr>
                <w:rFonts w:ascii="Arial Narrow" w:hAnsi="Arial Narrow"/>
                <w:b/>
                <w:color w:val="000000"/>
                <w:sz w:val="20"/>
                <w:szCs w:val="18"/>
              </w:rPr>
              <w:t>,</w:t>
            </w:r>
          </w:p>
          <w:p w:rsidR="00852B30" w:rsidRPr="0098559C" w:rsidRDefault="00C26EB5"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 xml:space="preserve">% </w:t>
            </w:r>
            <w:r w:rsidR="00852B30" w:rsidRPr="0098559C">
              <w:rPr>
                <w:rFonts w:ascii="Arial Narrow" w:hAnsi="Arial Narrow"/>
                <w:b/>
                <w:color w:val="000000"/>
                <w:sz w:val="20"/>
                <w:szCs w:val="18"/>
              </w:rPr>
              <w:t>(95% CI)</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Event rate/</w:t>
            </w:r>
            <w:r w:rsidR="003134A8" w:rsidRPr="0098559C">
              <w:rPr>
                <w:rFonts w:ascii="Arial Narrow" w:hAnsi="Arial Narrow"/>
                <w:b/>
                <w:color w:val="000000"/>
                <w:sz w:val="20"/>
                <w:szCs w:val="18"/>
              </w:rPr>
              <w:t>year/</w:t>
            </w:r>
            <w:r w:rsidRPr="0098559C">
              <w:rPr>
                <w:rFonts w:ascii="Arial Narrow" w:hAnsi="Arial Narrow"/>
                <w:b/>
                <w:color w:val="000000"/>
                <w:sz w:val="20"/>
                <w:szCs w:val="18"/>
              </w:rPr>
              <w:t>1</w:t>
            </w:r>
            <w:r w:rsidR="00B53757" w:rsidRPr="0098559C">
              <w:rPr>
                <w:rFonts w:ascii="Arial Narrow" w:hAnsi="Arial Narrow"/>
                <w:b/>
                <w:color w:val="000000"/>
                <w:sz w:val="20"/>
                <w:szCs w:val="18"/>
              </w:rPr>
              <w:t>,</w:t>
            </w:r>
            <w:r w:rsidRPr="0098559C">
              <w:rPr>
                <w:rFonts w:ascii="Arial Narrow" w:hAnsi="Arial Narrow"/>
                <w:b/>
                <w:color w:val="000000"/>
                <w:sz w:val="20"/>
                <w:szCs w:val="18"/>
              </w:rPr>
              <w:t>00</w:t>
            </w:r>
            <w:r w:rsidR="002A5C95" w:rsidRPr="0098559C">
              <w:rPr>
                <w:rFonts w:ascii="Arial Narrow" w:hAnsi="Arial Narrow"/>
                <w:b/>
                <w:color w:val="000000"/>
                <w:sz w:val="20"/>
                <w:szCs w:val="18"/>
              </w:rPr>
              <w:t>0</w:t>
            </w:r>
            <w:r w:rsidRPr="0098559C">
              <w:rPr>
                <w:rFonts w:ascii="Arial Narrow" w:hAnsi="Arial Narrow"/>
                <w:b/>
                <w:color w:val="000000"/>
                <w:sz w:val="20"/>
                <w:szCs w:val="18"/>
              </w:rPr>
              <w:t xml:space="preserve"> </w:t>
            </w:r>
            <w:r w:rsidR="002A5C95" w:rsidRPr="0098559C">
              <w:rPr>
                <w:rFonts w:ascii="Arial Narrow" w:hAnsi="Arial Narrow"/>
                <w:b/>
                <w:color w:val="000000"/>
                <w:sz w:val="20"/>
                <w:szCs w:val="18"/>
              </w:rPr>
              <w:t>individuals vaccinated</w:t>
            </w:r>
            <w:r w:rsidRPr="0098559C">
              <w:rPr>
                <w:rFonts w:ascii="Arial Narrow" w:hAnsi="Arial Narrow"/>
                <w:b/>
                <w:color w:val="000000"/>
                <w:sz w:val="20"/>
                <w:szCs w:val="18"/>
              </w:rPr>
              <w:t xml:space="preserve">* </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Increment</w:t>
            </w:r>
          </w:p>
          <w:p w:rsidR="00852B30" w:rsidRPr="0098559C" w:rsidRDefault="00852B30" w:rsidP="00E77743">
            <w:pPr>
              <w:keepNext/>
              <w:keepLines/>
              <w:jc w:val="center"/>
              <w:rPr>
                <w:rFonts w:ascii="Arial Narrow" w:hAnsi="Arial Narrow"/>
                <w:b/>
                <w:color w:val="000000"/>
                <w:sz w:val="20"/>
                <w:szCs w:val="18"/>
              </w:rPr>
            </w:pPr>
            <w:r w:rsidRPr="0098559C">
              <w:rPr>
                <w:rFonts w:ascii="Arial Narrow" w:hAnsi="Arial Narrow"/>
                <w:b/>
                <w:color w:val="000000"/>
                <w:sz w:val="20"/>
                <w:szCs w:val="18"/>
              </w:rPr>
              <w:t>(p</w:t>
            </w:r>
            <w:r w:rsidR="00E77743" w:rsidRPr="0098559C">
              <w:rPr>
                <w:rFonts w:ascii="Arial Narrow" w:hAnsi="Arial Narrow"/>
                <w:b/>
                <w:color w:val="000000"/>
                <w:sz w:val="20"/>
                <w:szCs w:val="18"/>
              </w:rPr>
              <w:t>er year</w:t>
            </w:r>
            <w:r w:rsidRPr="0098559C">
              <w:rPr>
                <w:rFonts w:ascii="Arial Narrow" w:hAnsi="Arial Narrow"/>
                <w:b/>
                <w:color w:val="000000"/>
                <w:sz w:val="20"/>
                <w:szCs w:val="18"/>
              </w:rPr>
              <w:t>)</w:t>
            </w:r>
            <w:r w:rsidR="00BE1339" w:rsidRPr="0098559C">
              <w:rPr>
                <w:rFonts w:ascii="Arial Narrow" w:hAnsi="Arial Narrow"/>
                <w:b/>
                <w:color w:val="000000"/>
                <w:sz w:val="20"/>
                <w:szCs w:val="18"/>
              </w:rPr>
              <w:t>**</w:t>
            </w:r>
          </w:p>
        </w:tc>
      </w:tr>
      <w:tr w:rsidR="00B53757" w:rsidRPr="008B348A" w:rsidTr="00B53757">
        <w:trPr>
          <w:trHeight w:val="159"/>
        </w:trPr>
        <w:tc>
          <w:tcPr>
            <w:tcW w:w="13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852B30" w:rsidRPr="0098559C" w:rsidRDefault="00852B30" w:rsidP="0038662B">
            <w:pPr>
              <w:keepNext/>
              <w:keepLines/>
              <w:rPr>
                <w:rFonts w:ascii="Arial Narrow" w:hAnsi="Arial Narrow"/>
                <w:b/>
                <w:color w:val="000000"/>
                <w:sz w:val="20"/>
                <w:szCs w:val="18"/>
              </w:rPr>
            </w:pPr>
          </w:p>
        </w:tc>
        <w:tc>
          <w:tcPr>
            <w:tcW w:w="623" w:type="pct"/>
            <w:vMerge/>
            <w:tcBorders>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p>
        </w:tc>
        <w:tc>
          <w:tcPr>
            <w:tcW w:w="1405" w:type="pct"/>
            <w:gridSpan w:val="2"/>
            <w:vMerge/>
            <w:tcBorders>
              <w:top w:val="single" w:sz="4" w:space="0" w:color="auto"/>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852B30" w:rsidP="00B53757">
            <w:pPr>
              <w:keepNext/>
              <w:keepLines/>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Pr="0098559C">
              <w:rPr>
                <w:rFonts w:ascii="Arial Narrow" w:hAnsi="Arial Narrow"/>
                <w:b/>
                <w:color w:val="000000"/>
                <w:sz w:val="20"/>
                <w:szCs w:val="18"/>
              </w:rPr>
              <w:t xml:space="preserve"> </w:t>
            </w: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D0262A"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PBO</w:t>
            </w:r>
          </w:p>
        </w:tc>
        <w:tc>
          <w:tcPr>
            <w:tcW w:w="538" w:type="pct"/>
            <w:vMerge/>
            <w:tcBorders>
              <w:top w:val="single" w:sz="4" w:space="0" w:color="auto"/>
              <w:left w:val="single" w:sz="4" w:space="0" w:color="auto"/>
              <w:bottom w:val="single" w:sz="4" w:space="0" w:color="auto"/>
              <w:right w:val="single" w:sz="4" w:space="0" w:color="auto"/>
            </w:tcBorders>
            <w:vAlign w:val="center"/>
          </w:tcPr>
          <w:p w:rsidR="00852B30" w:rsidRPr="0098559C" w:rsidRDefault="00852B30" w:rsidP="0038662B">
            <w:pPr>
              <w:keepNext/>
              <w:keepLines/>
              <w:jc w:val="center"/>
              <w:rPr>
                <w:rFonts w:ascii="Arial Narrow" w:hAnsi="Arial Narrow"/>
                <w:b/>
                <w:color w:val="000000"/>
                <w:sz w:val="20"/>
                <w:szCs w:val="18"/>
              </w:rPr>
            </w:pPr>
          </w:p>
        </w:tc>
      </w:tr>
      <w:tr w:rsidR="00B62715" w:rsidRPr="008B348A" w:rsidTr="00514D7E">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B62715" w:rsidRPr="0098559C" w:rsidRDefault="00B62715" w:rsidP="0038662B">
            <w:pPr>
              <w:keepNext/>
              <w:keepLines/>
              <w:rPr>
                <w:rFonts w:ascii="Arial Narrow" w:hAnsi="Arial Narrow"/>
                <w:b/>
                <w:color w:val="000000"/>
                <w:sz w:val="20"/>
                <w:szCs w:val="18"/>
              </w:rPr>
            </w:pPr>
            <w:r w:rsidRPr="0098559C">
              <w:rPr>
                <w:rFonts w:ascii="Arial Narrow" w:hAnsi="Arial Narrow"/>
                <w:b/>
                <w:color w:val="000000"/>
                <w:sz w:val="20"/>
                <w:szCs w:val="18"/>
              </w:rPr>
              <w:t>Benefits</w:t>
            </w:r>
          </w:p>
        </w:tc>
      </w:tr>
      <w:tr w:rsidR="00B62715" w:rsidRPr="008B348A" w:rsidTr="00514D7E">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B62715" w:rsidRPr="0098559C" w:rsidRDefault="0074470A" w:rsidP="0074470A">
            <w:pPr>
              <w:rPr>
                <w:rFonts w:ascii="Arial Narrow" w:hAnsi="Arial Narrow"/>
                <w:b/>
                <w:color w:val="000000"/>
                <w:sz w:val="20"/>
                <w:szCs w:val="18"/>
              </w:rPr>
            </w:pPr>
            <w:r w:rsidRPr="0098559C">
              <w:rPr>
                <w:rFonts w:ascii="Arial Narrow" w:hAnsi="Arial Narrow"/>
                <w:b/>
                <w:color w:val="000000"/>
                <w:sz w:val="20"/>
                <w:szCs w:val="18"/>
              </w:rPr>
              <w:t>Reduction in HZ</w:t>
            </w:r>
            <w:r w:rsidR="00A83F3B" w:rsidRPr="0098559C">
              <w:rPr>
                <w:rFonts w:ascii="Arial Narrow" w:hAnsi="Arial Narrow"/>
                <w:b/>
                <w:color w:val="000000"/>
                <w:sz w:val="20"/>
                <w:szCs w:val="18"/>
              </w:rPr>
              <w:t xml:space="preserve"> cases</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852B30" w:rsidRPr="0098559C" w:rsidRDefault="00852B30" w:rsidP="00EC00C9">
            <w:pPr>
              <w:rPr>
                <w:rFonts w:ascii="Arial Narrow" w:hAnsi="Arial Narrow"/>
                <w:color w:val="000000"/>
                <w:sz w:val="20"/>
                <w:szCs w:val="18"/>
              </w:rPr>
            </w:pPr>
            <w:r w:rsidRPr="0098559C">
              <w:rPr>
                <w:rFonts w:ascii="Arial Narrow" w:hAnsi="Arial Narrow"/>
                <w:color w:val="000000"/>
                <w:sz w:val="20"/>
                <w:szCs w:val="18"/>
              </w:rPr>
              <w:t>ZOE-50</w:t>
            </w:r>
          </w:p>
        </w:tc>
        <w:tc>
          <w:tcPr>
            <w:tcW w:w="623" w:type="pct"/>
            <w:tcBorders>
              <w:top w:val="single" w:sz="4" w:space="0" w:color="auto"/>
              <w:left w:val="single" w:sz="4" w:space="0" w:color="auto"/>
              <w:bottom w:val="single" w:sz="4" w:space="0" w:color="auto"/>
              <w:right w:val="single" w:sz="4" w:space="0" w:color="auto"/>
            </w:tcBorders>
            <w:vAlign w:val="center"/>
          </w:tcPr>
          <w:p w:rsidR="00852B30" w:rsidRPr="0098559C" w:rsidRDefault="00C26EB5" w:rsidP="00EC00C9">
            <w:pPr>
              <w:jc w:val="center"/>
              <w:rPr>
                <w:rFonts w:ascii="Arial Narrow" w:hAnsi="Arial Narrow"/>
                <w:color w:val="000000"/>
                <w:sz w:val="20"/>
                <w:szCs w:val="18"/>
              </w:rPr>
            </w:pPr>
            <w:r w:rsidRPr="0098559C">
              <w:rPr>
                <w:rFonts w:ascii="Arial Narrow" w:hAnsi="Arial Narrow"/>
                <w:color w:val="000000"/>
                <w:sz w:val="20"/>
                <w:szCs w:val="18"/>
              </w:rPr>
              <w:t>14,749</w:t>
            </w:r>
          </w:p>
        </w:tc>
        <w:tc>
          <w:tcPr>
            <w:tcW w:w="1405" w:type="pct"/>
            <w:gridSpan w:val="2"/>
            <w:tcBorders>
              <w:top w:val="single" w:sz="4" w:space="0" w:color="auto"/>
              <w:left w:val="single" w:sz="4" w:space="0" w:color="auto"/>
              <w:bottom w:val="single" w:sz="4" w:space="0" w:color="auto"/>
              <w:right w:val="single" w:sz="4" w:space="0" w:color="auto"/>
            </w:tcBorders>
            <w:vAlign w:val="center"/>
          </w:tcPr>
          <w:p w:rsidR="00852B30" w:rsidRPr="0098559C" w:rsidRDefault="00C26EB5" w:rsidP="00C26EB5">
            <w:pPr>
              <w:jc w:val="center"/>
              <w:rPr>
                <w:rFonts w:ascii="Arial Narrow" w:hAnsi="Arial Narrow"/>
                <w:color w:val="000000"/>
                <w:sz w:val="20"/>
                <w:szCs w:val="18"/>
              </w:rPr>
            </w:pPr>
            <w:r w:rsidRPr="0098559C">
              <w:rPr>
                <w:rFonts w:ascii="Arial Narrow" w:hAnsi="Arial Narrow"/>
                <w:color w:val="000000"/>
                <w:sz w:val="20"/>
                <w:szCs w:val="18"/>
              </w:rPr>
              <w:t>97.16</w:t>
            </w:r>
            <w:r w:rsidR="002A7C91" w:rsidRPr="0098559C">
              <w:rPr>
                <w:rFonts w:ascii="Arial Narrow" w:hAnsi="Arial Narrow"/>
                <w:color w:val="000000"/>
                <w:sz w:val="20"/>
                <w:szCs w:val="18"/>
              </w:rPr>
              <w:t>%</w:t>
            </w:r>
            <w:r w:rsidRPr="0098559C">
              <w:rPr>
                <w:rFonts w:ascii="Arial Narrow" w:hAnsi="Arial Narrow"/>
                <w:color w:val="000000"/>
                <w:sz w:val="20"/>
                <w:szCs w:val="18"/>
              </w:rPr>
              <w:t xml:space="preserve"> </w:t>
            </w:r>
            <w:r w:rsidR="00852B30" w:rsidRPr="0098559C">
              <w:rPr>
                <w:rFonts w:ascii="Arial Narrow" w:hAnsi="Arial Narrow"/>
                <w:color w:val="000000"/>
                <w:sz w:val="20"/>
                <w:szCs w:val="18"/>
              </w:rPr>
              <w:t>(</w:t>
            </w:r>
            <w:r w:rsidRPr="0098559C">
              <w:rPr>
                <w:rFonts w:ascii="Arial Narrow" w:hAnsi="Arial Narrow"/>
                <w:color w:val="000000"/>
                <w:sz w:val="20"/>
                <w:szCs w:val="18"/>
              </w:rPr>
              <w:t>93.72, 98.97</w:t>
            </w:r>
            <w:r w:rsidR="00852B30" w:rsidRPr="0098559C">
              <w:rPr>
                <w:rFonts w:ascii="Arial Narrow" w:hAnsi="Arial Narrow"/>
                <w:color w:val="000000"/>
                <w:sz w:val="20"/>
                <w:szCs w:val="18"/>
              </w:rPr>
              <w:t>)</w:t>
            </w: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C26EB5" w:rsidP="00EC00C9">
            <w:pPr>
              <w:jc w:val="center"/>
              <w:rPr>
                <w:rFonts w:ascii="Arial Narrow" w:hAnsi="Arial Narrow"/>
                <w:color w:val="000000"/>
                <w:sz w:val="20"/>
                <w:szCs w:val="18"/>
              </w:rPr>
            </w:pPr>
            <w:r w:rsidRPr="0098559C">
              <w:rPr>
                <w:rFonts w:ascii="Arial Narrow" w:hAnsi="Arial Narrow"/>
                <w:color w:val="000000"/>
                <w:sz w:val="20"/>
                <w:szCs w:val="18"/>
              </w:rPr>
              <w:t>0.3</w:t>
            </w: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C26EB5" w:rsidP="00EC00C9">
            <w:pPr>
              <w:jc w:val="center"/>
              <w:rPr>
                <w:rFonts w:ascii="Arial Narrow" w:hAnsi="Arial Narrow"/>
                <w:color w:val="000000"/>
                <w:sz w:val="20"/>
                <w:szCs w:val="18"/>
              </w:rPr>
            </w:pPr>
            <w:r w:rsidRPr="0098559C">
              <w:rPr>
                <w:rFonts w:ascii="Arial Narrow" w:hAnsi="Arial Narrow"/>
                <w:color w:val="000000"/>
                <w:sz w:val="20"/>
                <w:szCs w:val="18"/>
              </w:rPr>
              <w:t>9</w:t>
            </w:r>
            <w:r w:rsidR="002A5C95" w:rsidRPr="0098559C">
              <w:rPr>
                <w:rFonts w:ascii="Arial Narrow" w:hAnsi="Arial Narrow"/>
                <w:color w:val="000000"/>
                <w:sz w:val="20"/>
                <w:szCs w:val="18"/>
              </w:rPr>
              <w:t>.</w:t>
            </w:r>
            <w:r w:rsidRPr="0098559C">
              <w:rPr>
                <w:rFonts w:ascii="Arial Narrow" w:hAnsi="Arial Narrow"/>
                <w:color w:val="000000"/>
                <w:sz w:val="20"/>
                <w:szCs w:val="18"/>
              </w:rPr>
              <w:t>1</w:t>
            </w:r>
          </w:p>
        </w:tc>
        <w:tc>
          <w:tcPr>
            <w:tcW w:w="538" w:type="pct"/>
            <w:tcBorders>
              <w:top w:val="single" w:sz="4" w:space="0" w:color="auto"/>
              <w:left w:val="single" w:sz="4" w:space="0" w:color="auto"/>
              <w:bottom w:val="single" w:sz="4" w:space="0" w:color="auto"/>
              <w:right w:val="single" w:sz="4" w:space="0" w:color="auto"/>
            </w:tcBorders>
            <w:vAlign w:val="center"/>
          </w:tcPr>
          <w:p w:rsidR="00852B30" w:rsidRPr="0098559C" w:rsidRDefault="00F04DBB" w:rsidP="002A5C95">
            <w:pPr>
              <w:jc w:val="center"/>
              <w:rPr>
                <w:rFonts w:ascii="Arial Narrow" w:hAnsi="Arial Narrow"/>
                <w:color w:val="000000"/>
                <w:sz w:val="20"/>
                <w:szCs w:val="18"/>
              </w:rPr>
            </w:pPr>
            <w:r w:rsidRPr="0098559C">
              <w:rPr>
                <w:rFonts w:ascii="Arial Narrow" w:hAnsi="Arial Narrow"/>
                <w:color w:val="000000"/>
                <w:sz w:val="20"/>
                <w:szCs w:val="18"/>
              </w:rPr>
              <w:t>-</w:t>
            </w:r>
            <w:r w:rsidR="00C26EB5" w:rsidRPr="0098559C">
              <w:rPr>
                <w:rFonts w:ascii="Arial Narrow" w:hAnsi="Arial Narrow"/>
                <w:color w:val="000000"/>
                <w:sz w:val="20"/>
                <w:szCs w:val="18"/>
              </w:rPr>
              <w:t>8</w:t>
            </w:r>
            <w:r w:rsidR="002A5C95" w:rsidRPr="0098559C">
              <w:rPr>
                <w:rFonts w:ascii="Arial Narrow" w:hAnsi="Arial Narrow"/>
                <w:color w:val="000000"/>
                <w:sz w:val="20"/>
                <w:szCs w:val="18"/>
              </w:rPr>
              <w:t>.</w:t>
            </w:r>
            <w:r w:rsidR="00C26EB5" w:rsidRPr="0098559C">
              <w:rPr>
                <w:rFonts w:ascii="Arial Narrow" w:hAnsi="Arial Narrow"/>
                <w:color w:val="000000"/>
                <w:sz w:val="20"/>
                <w:szCs w:val="18"/>
              </w:rPr>
              <w:t>8</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852B30" w:rsidRPr="0098559C" w:rsidRDefault="00852B30" w:rsidP="001C0FD0">
            <w:pPr>
              <w:rPr>
                <w:rFonts w:ascii="Arial Narrow" w:hAnsi="Arial Narrow"/>
                <w:color w:val="000000"/>
                <w:sz w:val="20"/>
                <w:szCs w:val="18"/>
              </w:rPr>
            </w:pPr>
            <w:r w:rsidRPr="0098559C">
              <w:rPr>
                <w:rFonts w:ascii="Arial Narrow" w:hAnsi="Arial Narrow"/>
                <w:color w:val="000000"/>
                <w:sz w:val="20"/>
                <w:szCs w:val="18"/>
              </w:rPr>
              <w:t>ZOE-70</w:t>
            </w:r>
          </w:p>
        </w:tc>
        <w:tc>
          <w:tcPr>
            <w:tcW w:w="623" w:type="pct"/>
            <w:tcBorders>
              <w:top w:val="single" w:sz="4" w:space="0" w:color="auto"/>
              <w:left w:val="single" w:sz="4" w:space="0" w:color="auto"/>
              <w:bottom w:val="single" w:sz="4" w:space="0" w:color="auto"/>
              <w:right w:val="single" w:sz="4" w:space="0" w:color="auto"/>
            </w:tcBorders>
            <w:vAlign w:val="center"/>
          </w:tcPr>
          <w:p w:rsidR="00852B30" w:rsidRPr="0098559C" w:rsidRDefault="00C26EB5" w:rsidP="001C0FD0">
            <w:pPr>
              <w:jc w:val="center"/>
              <w:rPr>
                <w:rFonts w:ascii="Arial Narrow" w:hAnsi="Arial Narrow"/>
                <w:color w:val="000000"/>
                <w:sz w:val="20"/>
                <w:szCs w:val="18"/>
              </w:rPr>
            </w:pPr>
            <w:r w:rsidRPr="0098559C">
              <w:rPr>
                <w:rFonts w:ascii="Arial Narrow" w:hAnsi="Arial Narrow"/>
                <w:color w:val="000000"/>
                <w:sz w:val="20"/>
                <w:szCs w:val="18"/>
              </w:rPr>
              <w:t>13,163</w:t>
            </w:r>
          </w:p>
        </w:tc>
        <w:tc>
          <w:tcPr>
            <w:tcW w:w="1405" w:type="pct"/>
            <w:gridSpan w:val="2"/>
            <w:tcBorders>
              <w:top w:val="single" w:sz="4" w:space="0" w:color="auto"/>
              <w:left w:val="single" w:sz="4" w:space="0" w:color="auto"/>
              <w:bottom w:val="single" w:sz="4" w:space="0" w:color="auto"/>
              <w:right w:val="single" w:sz="4" w:space="0" w:color="auto"/>
            </w:tcBorders>
            <w:vAlign w:val="center"/>
          </w:tcPr>
          <w:p w:rsidR="00852B30" w:rsidRPr="0098559C" w:rsidRDefault="00C26EB5" w:rsidP="001C0FD0">
            <w:pPr>
              <w:jc w:val="center"/>
              <w:rPr>
                <w:rFonts w:ascii="Arial Narrow" w:hAnsi="Arial Narrow"/>
                <w:color w:val="000000"/>
                <w:sz w:val="20"/>
                <w:szCs w:val="18"/>
              </w:rPr>
            </w:pPr>
            <w:r w:rsidRPr="0098559C">
              <w:rPr>
                <w:rFonts w:ascii="Arial Narrow" w:hAnsi="Arial Narrow"/>
                <w:color w:val="000000"/>
                <w:sz w:val="20"/>
                <w:szCs w:val="18"/>
              </w:rPr>
              <w:t>89.79</w:t>
            </w:r>
            <w:r w:rsidR="002A7C91" w:rsidRPr="0098559C">
              <w:rPr>
                <w:rFonts w:ascii="Arial Narrow" w:hAnsi="Arial Narrow"/>
                <w:color w:val="000000"/>
                <w:sz w:val="20"/>
                <w:szCs w:val="18"/>
              </w:rPr>
              <w:t>%</w:t>
            </w:r>
            <w:r w:rsidRPr="0098559C">
              <w:rPr>
                <w:rFonts w:ascii="Arial Narrow" w:hAnsi="Arial Narrow"/>
                <w:color w:val="000000"/>
                <w:sz w:val="20"/>
                <w:szCs w:val="18"/>
              </w:rPr>
              <w:t xml:space="preserve"> (84.29, 93.66)</w:t>
            </w: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F04DBB" w:rsidP="001C0FD0">
            <w:pPr>
              <w:jc w:val="center"/>
              <w:rPr>
                <w:rFonts w:ascii="Arial Narrow" w:hAnsi="Arial Narrow"/>
                <w:color w:val="000000"/>
                <w:sz w:val="20"/>
                <w:szCs w:val="18"/>
              </w:rPr>
            </w:pPr>
            <w:r w:rsidRPr="0098559C">
              <w:rPr>
                <w:rFonts w:ascii="Arial Narrow" w:hAnsi="Arial Narrow"/>
                <w:color w:val="000000"/>
                <w:sz w:val="20"/>
                <w:szCs w:val="18"/>
              </w:rPr>
              <w:t>0.9</w:t>
            </w:r>
          </w:p>
        </w:tc>
        <w:tc>
          <w:tcPr>
            <w:tcW w:w="546" w:type="pct"/>
            <w:tcBorders>
              <w:top w:val="single" w:sz="4" w:space="0" w:color="auto"/>
              <w:left w:val="single" w:sz="4" w:space="0" w:color="auto"/>
              <w:bottom w:val="single" w:sz="4" w:space="0" w:color="auto"/>
              <w:right w:val="single" w:sz="4" w:space="0" w:color="auto"/>
            </w:tcBorders>
            <w:vAlign w:val="center"/>
          </w:tcPr>
          <w:p w:rsidR="00852B30" w:rsidRPr="0098559C" w:rsidRDefault="00F04DBB" w:rsidP="001C0FD0">
            <w:pPr>
              <w:jc w:val="center"/>
              <w:rPr>
                <w:rFonts w:ascii="Arial Narrow" w:hAnsi="Arial Narrow"/>
                <w:color w:val="000000"/>
                <w:sz w:val="20"/>
                <w:szCs w:val="18"/>
              </w:rPr>
            </w:pPr>
            <w:r w:rsidRPr="0098559C">
              <w:rPr>
                <w:rFonts w:ascii="Arial Narrow" w:hAnsi="Arial Narrow"/>
                <w:color w:val="000000"/>
                <w:sz w:val="20"/>
                <w:szCs w:val="18"/>
              </w:rPr>
              <w:t>9</w:t>
            </w:r>
            <w:r w:rsidR="002A5C95" w:rsidRPr="0098559C">
              <w:rPr>
                <w:rFonts w:ascii="Arial Narrow" w:hAnsi="Arial Narrow"/>
                <w:color w:val="000000"/>
                <w:sz w:val="20"/>
                <w:szCs w:val="18"/>
              </w:rPr>
              <w:t>.</w:t>
            </w:r>
            <w:r w:rsidRPr="0098559C">
              <w:rPr>
                <w:rFonts w:ascii="Arial Narrow" w:hAnsi="Arial Narrow"/>
                <w:color w:val="000000"/>
                <w:sz w:val="20"/>
                <w:szCs w:val="18"/>
              </w:rPr>
              <w:t>2</w:t>
            </w:r>
          </w:p>
        </w:tc>
        <w:tc>
          <w:tcPr>
            <w:tcW w:w="538" w:type="pct"/>
            <w:tcBorders>
              <w:top w:val="single" w:sz="4" w:space="0" w:color="auto"/>
              <w:left w:val="single" w:sz="4" w:space="0" w:color="auto"/>
              <w:bottom w:val="single" w:sz="4" w:space="0" w:color="auto"/>
              <w:right w:val="single" w:sz="4" w:space="0" w:color="auto"/>
            </w:tcBorders>
            <w:vAlign w:val="center"/>
          </w:tcPr>
          <w:p w:rsidR="00852B30" w:rsidRPr="0098559C" w:rsidRDefault="00F04DBB" w:rsidP="002A5C95">
            <w:pPr>
              <w:jc w:val="center"/>
              <w:rPr>
                <w:rFonts w:ascii="Arial Narrow" w:hAnsi="Arial Narrow"/>
                <w:color w:val="000000"/>
                <w:sz w:val="20"/>
                <w:szCs w:val="18"/>
              </w:rPr>
            </w:pPr>
            <w:r w:rsidRPr="0098559C">
              <w:rPr>
                <w:rFonts w:ascii="Arial Narrow" w:hAnsi="Arial Narrow"/>
                <w:color w:val="000000"/>
                <w:sz w:val="20"/>
                <w:szCs w:val="18"/>
              </w:rPr>
              <w:t>-8</w:t>
            </w:r>
            <w:r w:rsidR="002A5C95" w:rsidRPr="0098559C">
              <w:rPr>
                <w:rFonts w:ascii="Arial Narrow" w:hAnsi="Arial Narrow"/>
                <w:color w:val="000000"/>
                <w:sz w:val="20"/>
                <w:szCs w:val="18"/>
              </w:rPr>
              <w:t>.</w:t>
            </w:r>
            <w:r w:rsidRPr="0098559C">
              <w:rPr>
                <w:rFonts w:ascii="Arial Narrow" w:hAnsi="Arial Narrow"/>
                <w:color w:val="000000"/>
                <w:sz w:val="20"/>
                <w:szCs w:val="18"/>
              </w:rPr>
              <w:t>3</w:t>
            </w:r>
          </w:p>
        </w:tc>
      </w:tr>
      <w:tr w:rsidR="00B53757" w:rsidRPr="008B348A" w:rsidTr="00B53757">
        <w:tc>
          <w:tcPr>
            <w:tcW w:w="1342" w:type="pct"/>
            <w:tcBorders>
              <w:top w:val="single" w:sz="4" w:space="0" w:color="auto"/>
              <w:left w:val="single" w:sz="4" w:space="0" w:color="auto"/>
              <w:bottom w:val="double" w:sz="4" w:space="0" w:color="auto"/>
              <w:right w:val="single" w:sz="4" w:space="0" w:color="auto"/>
            </w:tcBorders>
            <w:shd w:val="clear" w:color="auto" w:fill="auto"/>
            <w:vAlign w:val="center"/>
          </w:tcPr>
          <w:p w:rsidR="00852B30" w:rsidRPr="0098559C" w:rsidRDefault="00852B30" w:rsidP="001C0FD0">
            <w:pPr>
              <w:jc w:val="left"/>
              <w:rPr>
                <w:rFonts w:ascii="Arial Narrow" w:hAnsi="Arial Narrow"/>
                <w:color w:val="000000"/>
                <w:sz w:val="20"/>
                <w:szCs w:val="18"/>
              </w:rPr>
            </w:pPr>
            <w:r w:rsidRPr="0098559C">
              <w:rPr>
                <w:rFonts w:ascii="Arial Narrow" w:hAnsi="Arial Narrow"/>
                <w:color w:val="000000"/>
                <w:sz w:val="20"/>
                <w:szCs w:val="18"/>
              </w:rPr>
              <w:t>Pooled ZOE-50 and ZOE-70</w:t>
            </w:r>
            <w:r w:rsidR="00862A8B">
              <w:rPr>
                <w:rFonts w:ascii="Arial Narrow" w:hAnsi="Arial Narrow"/>
                <w:color w:val="000000"/>
                <w:sz w:val="20"/>
                <w:szCs w:val="18"/>
              </w:rPr>
              <w:t>^</w:t>
            </w:r>
          </w:p>
        </w:tc>
        <w:tc>
          <w:tcPr>
            <w:tcW w:w="623" w:type="pct"/>
            <w:tcBorders>
              <w:top w:val="single" w:sz="4" w:space="0" w:color="auto"/>
              <w:left w:val="single" w:sz="4" w:space="0" w:color="auto"/>
              <w:bottom w:val="double" w:sz="4" w:space="0" w:color="auto"/>
              <w:right w:val="single" w:sz="4" w:space="0" w:color="auto"/>
            </w:tcBorders>
            <w:vAlign w:val="center"/>
          </w:tcPr>
          <w:p w:rsidR="00852B30" w:rsidRPr="0098559C" w:rsidRDefault="00A01168" w:rsidP="001C0FD0">
            <w:pPr>
              <w:jc w:val="center"/>
              <w:rPr>
                <w:rFonts w:ascii="Arial Narrow" w:hAnsi="Arial Narrow"/>
                <w:color w:val="000000"/>
                <w:sz w:val="20"/>
                <w:szCs w:val="18"/>
              </w:rPr>
            </w:pPr>
            <w:r w:rsidRPr="0098559C">
              <w:rPr>
                <w:rFonts w:ascii="Arial Narrow" w:hAnsi="Arial Narrow"/>
                <w:color w:val="000000"/>
                <w:sz w:val="20"/>
                <w:szCs w:val="18"/>
              </w:rPr>
              <w:t>16,596</w:t>
            </w:r>
          </w:p>
        </w:tc>
        <w:tc>
          <w:tcPr>
            <w:tcW w:w="1405" w:type="pct"/>
            <w:gridSpan w:val="2"/>
            <w:tcBorders>
              <w:top w:val="single" w:sz="4" w:space="0" w:color="auto"/>
              <w:left w:val="single" w:sz="4" w:space="0" w:color="auto"/>
              <w:bottom w:val="double" w:sz="4" w:space="0" w:color="auto"/>
              <w:right w:val="single" w:sz="4" w:space="0" w:color="auto"/>
            </w:tcBorders>
            <w:vAlign w:val="center"/>
          </w:tcPr>
          <w:p w:rsidR="00852B30" w:rsidRPr="0098559C" w:rsidRDefault="00A01168" w:rsidP="001C0FD0">
            <w:pPr>
              <w:jc w:val="center"/>
              <w:rPr>
                <w:rFonts w:ascii="Arial Narrow" w:hAnsi="Arial Narrow"/>
                <w:color w:val="000000"/>
                <w:sz w:val="20"/>
                <w:szCs w:val="18"/>
              </w:rPr>
            </w:pPr>
            <w:r w:rsidRPr="0098559C">
              <w:rPr>
                <w:rFonts w:ascii="Arial Narrow" w:hAnsi="Arial Narrow"/>
                <w:color w:val="000000"/>
                <w:sz w:val="20"/>
                <w:szCs w:val="18"/>
              </w:rPr>
              <w:t>91.30</w:t>
            </w:r>
            <w:r w:rsidR="002A7C91" w:rsidRPr="0098559C">
              <w:rPr>
                <w:rFonts w:ascii="Arial Narrow" w:hAnsi="Arial Narrow"/>
                <w:color w:val="000000"/>
                <w:sz w:val="20"/>
                <w:szCs w:val="18"/>
              </w:rPr>
              <w:t>%</w:t>
            </w:r>
            <w:r w:rsidRPr="0098559C">
              <w:rPr>
                <w:rFonts w:ascii="Arial Narrow" w:hAnsi="Arial Narrow"/>
                <w:color w:val="000000"/>
                <w:sz w:val="20"/>
                <w:szCs w:val="18"/>
              </w:rPr>
              <w:t xml:space="preserve"> (86.88, 94.46)</w:t>
            </w:r>
          </w:p>
        </w:tc>
        <w:tc>
          <w:tcPr>
            <w:tcW w:w="546" w:type="pct"/>
            <w:tcBorders>
              <w:top w:val="single" w:sz="4" w:space="0" w:color="auto"/>
              <w:left w:val="single" w:sz="4" w:space="0" w:color="auto"/>
              <w:bottom w:val="double" w:sz="4" w:space="0" w:color="auto"/>
              <w:right w:val="single" w:sz="4" w:space="0" w:color="auto"/>
            </w:tcBorders>
            <w:vAlign w:val="center"/>
          </w:tcPr>
          <w:p w:rsidR="00852B30" w:rsidRPr="0098559C" w:rsidRDefault="00A01168" w:rsidP="001C0FD0">
            <w:pPr>
              <w:jc w:val="center"/>
              <w:rPr>
                <w:rFonts w:ascii="Arial Narrow" w:hAnsi="Arial Narrow"/>
                <w:color w:val="000000"/>
                <w:sz w:val="20"/>
                <w:szCs w:val="18"/>
              </w:rPr>
            </w:pPr>
            <w:r w:rsidRPr="0098559C">
              <w:rPr>
                <w:rFonts w:ascii="Arial Narrow" w:hAnsi="Arial Narrow"/>
                <w:color w:val="000000"/>
                <w:sz w:val="20"/>
                <w:szCs w:val="18"/>
              </w:rPr>
              <w:t>0.8</w:t>
            </w:r>
          </w:p>
        </w:tc>
        <w:tc>
          <w:tcPr>
            <w:tcW w:w="546" w:type="pct"/>
            <w:tcBorders>
              <w:top w:val="single" w:sz="4" w:space="0" w:color="auto"/>
              <w:left w:val="single" w:sz="4" w:space="0" w:color="auto"/>
              <w:bottom w:val="double" w:sz="4" w:space="0" w:color="auto"/>
              <w:right w:val="single" w:sz="4" w:space="0" w:color="auto"/>
            </w:tcBorders>
            <w:vAlign w:val="center"/>
          </w:tcPr>
          <w:p w:rsidR="00852B30" w:rsidRPr="0098559C" w:rsidRDefault="00A01168" w:rsidP="001C0FD0">
            <w:pPr>
              <w:jc w:val="center"/>
              <w:rPr>
                <w:rFonts w:ascii="Arial Narrow" w:hAnsi="Arial Narrow"/>
                <w:color w:val="000000"/>
                <w:sz w:val="20"/>
                <w:szCs w:val="18"/>
              </w:rPr>
            </w:pPr>
            <w:r w:rsidRPr="0098559C">
              <w:rPr>
                <w:rFonts w:ascii="Arial Narrow" w:hAnsi="Arial Narrow"/>
                <w:color w:val="000000"/>
                <w:sz w:val="20"/>
                <w:szCs w:val="18"/>
              </w:rPr>
              <w:t>9</w:t>
            </w:r>
            <w:r w:rsidR="002A5C95" w:rsidRPr="0098559C">
              <w:rPr>
                <w:rFonts w:ascii="Arial Narrow" w:hAnsi="Arial Narrow"/>
                <w:color w:val="000000"/>
                <w:sz w:val="20"/>
                <w:szCs w:val="18"/>
              </w:rPr>
              <w:t>.</w:t>
            </w:r>
            <w:r w:rsidRPr="0098559C">
              <w:rPr>
                <w:rFonts w:ascii="Arial Narrow" w:hAnsi="Arial Narrow"/>
                <w:color w:val="000000"/>
                <w:sz w:val="20"/>
                <w:szCs w:val="18"/>
              </w:rPr>
              <w:t>3</w:t>
            </w:r>
          </w:p>
        </w:tc>
        <w:tc>
          <w:tcPr>
            <w:tcW w:w="538" w:type="pct"/>
            <w:tcBorders>
              <w:top w:val="single" w:sz="4" w:space="0" w:color="auto"/>
              <w:left w:val="single" w:sz="4" w:space="0" w:color="auto"/>
              <w:bottom w:val="double" w:sz="4" w:space="0" w:color="auto"/>
              <w:right w:val="single" w:sz="4" w:space="0" w:color="auto"/>
            </w:tcBorders>
            <w:vAlign w:val="center"/>
          </w:tcPr>
          <w:p w:rsidR="00852B30" w:rsidRPr="0098559C" w:rsidRDefault="00A01168" w:rsidP="002A5C95">
            <w:pPr>
              <w:jc w:val="center"/>
              <w:rPr>
                <w:rFonts w:ascii="Arial Narrow" w:hAnsi="Arial Narrow"/>
                <w:color w:val="000000"/>
                <w:sz w:val="20"/>
                <w:szCs w:val="18"/>
              </w:rPr>
            </w:pPr>
            <w:r w:rsidRPr="0098559C">
              <w:rPr>
                <w:rFonts w:ascii="Arial Narrow" w:hAnsi="Arial Narrow"/>
                <w:color w:val="000000"/>
                <w:sz w:val="20"/>
                <w:szCs w:val="18"/>
              </w:rPr>
              <w:t>-8</w:t>
            </w:r>
            <w:r w:rsidR="002A5C95" w:rsidRPr="0098559C">
              <w:rPr>
                <w:rFonts w:ascii="Arial Narrow" w:hAnsi="Arial Narrow"/>
                <w:color w:val="000000"/>
                <w:sz w:val="20"/>
                <w:szCs w:val="18"/>
              </w:rPr>
              <w:t>.</w:t>
            </w:r>
            <w:r w:rsidRPr="0098559C">
              <w:rPr>
                <w:rFonts w:ascii="Arial Narrow" w:hAnsi="Arial Narrow"/>
                <w:color w:val="000000"/>
                <w:sz w:val="20"/>
                <w:szCs w:val="18"/>
              </w:rPr>
              <w:t>5</w:t>
            </w:r>
          </w:p>
        </w:tc>
      </w:tr>
      <w:tr w:rsidR="001C0FD0" w:rsidRPr="00567230" w:rsidTr="00514D7E">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1C0FD0" w:rsidRPr="0098559C" w:rsidRDefault="001C0FD0" w:rsidP="001C0FD0">
            <w:pPr>
              <w:rPr>
                <w:rFonts w:ascii="Arial Narrow" w:hAnsi="Arial Narrow"/>
                <w:b/>
                <w:color w:val="000000"/>
                <w:sz w:val="20"/>
                <w:szCs w:val="18"/>
              </w:rPr>
            </w:pPr>
            <w:r w:rsidRPr="0098559C">
              <w:rPr>
                <w:rFonts w:ascii="Arial Narrow" w:hAnsi="Arial Narrow"/>
                <w:b/>
                <w:color w:val="000000"/>
                <w:sz w:val="20"/>
                <w:szCs w:val="18"/>
              </w:rPr>
              <w:t>Reduction in PHN</w:t>
            </w:r>
            <w:r w:rsidR="00A83F3B" w:rsidRPr="0098559C">
              <w:rPr>
                <w:rFonts w:ascii="Arial Narrow" w:hAnsi="Arial Narrow"/>
                <w:b/>
                <w:color w:val="000000"/>
                <w:sz w:val="20"/>
                <w:szCs w:val="18"/>
              </w:rPr>
              <w:t xml:space="preserve"> cases</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230" w:rsidRPr="0098559C" w:rsidRDefault="00567230" w:rsidP="00567230">
            <w:pPr>
              <w:rPr>
                <w:rFonts w:ascii="Arial Narrow" w:hAnsi="Arial Narrow"/>
                <w:color w:val="000000"/>
                <w:sz w:val="20"/>
                <w:szCs w:val="18"/>
              </w:rPr>
            </w:pPr>
            <w:r w:rsidRPr="0098559C">
              <w:rPr>
                <w:rFonts w:ascii="Arial Narrow" w:hAnsi="Arial Narrow"/>
                <w:color w:val="000000"/>
                <w:sz w:val="20"/>
                <w:szCs w:val="18"/>
              </w:rPr>
              <w:t>ZOE-50</w:t>
            </w:r>
          </w:p>
        </w:tc>
        <w:tc>
          <w:tcPr>
            <w:tcW w:w="623" w:type="pct"/>
            <w:tcBorders>
              <w:top w:val="single" w:sz="4" w:space="0" w:color="auto"/>
              <w:left w:val="single" w:sz="4" w:space="0" w:color="auto"/>
              <w:bottom w:val="sing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14,753</w:t>
            </w:r>
          </w:p>
        </w:tc>
        <w:tc>
          <w:tcPr>
            <w:tcW w:w="1405" w:type="pct"/>
            <w:gridSpan w:val="2"/>
            <w:tcBorders>
              <w:top w:val="single" w:sz="4" w:space="0" w:color="auto"/>
              <w:left w:val="single" w:sz="4" w:space="0" w:color="auto"/>
              <w:bottom w:val="sing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100</w:t>
            </w:r>
            <w:r w:rsidR="002A7C91" w:rsidRPr="0098559C">
              <w:rPr>
                <w:rFonts w:ascii="Arial Narrow" w:hAnsi="Arial Narrow"/>
                <w:color w:val="000000"/>
                <w:sz w:val="20"/>
                <w:szCs w:val="18"/>
              </w:rPr>
              <w:t>%</w:t>
            </w:r>
            <w:r w:rsidRPr="0098559C">
              <w:rPr>
                <w:rFonts w:ascii="Arial Narrow" w:hAnsi="Arial Narrow"/>
                <w:color w:val="000000"/>
                <w:sz w:val="20"/>
                <w:szCs w:val="18"/>
              </w:rPr>
              <w:t xml:space="preserve"> (77.11, 100.0)</w:t>
            </w:r>
          </w:p>
        </w:tc>
        <w:tc>
          <w:tcPr>
            <w:tcW w:w="546" w:type="pct"/>
            <w:tcBorders>
              <w:top w:val="single" w:sz="4" w:space="0" w:color="auto"/>
              <w:left w:val="single" w:sz="4" w:space="0" w:color="auto"/>
              <w:bottom w:val="sing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0.0</w:t>
            </w:r>
          </w:p>
        </w:tc>
        <w:tc>
          <w:tcPr>
            <w:tcW w:w="546" w:type="pct"/>
            <w:tcBorders>
              <w:top w:val="single" w:sz="4" w:space="0" w:color="auto"/>
              <w:left w:val="single" w:sz="4" w:space="0" w:color="auto"/>
              <w:bottom w:val="sing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0</w:t>
            </w:r>
            <w:r w:rsidR="002A5C95" w:rsidRPr="0098559C">
              <w:rPr>
                <w:rFonts w:ascii="Arial Narrow" w:hAnsi="Arial Narrow"/>
                <w:color w:val="000000"/>
                <w:sz w:val="20"/>
                <w:szCs w:val="18"/>
              </w:rPr>
              <w:t>.</w:t>
            </w:r>
            <w:r w:rsidRPr="0098559C">
              <w:rPr>
                <w:rFonts w:ascii="Arial Narrow" w:hAnsi="Arial Narrow"/>
                <w:color w:val="000000"/>
                <w:sz w:val="20"/>
                <w:szCs w:val="18"/>
              </w:rPr>
              <w:t>6</w:t>
            </w:r>
          </w:p>
        </w:tc>
        <w:tc>
          <w:tcPr>
            <w:tcW w:w="538" w:type="pct"/>
            <w:tcBorders>
              <w:top w:val="single" w:sz="4" w:space="0" w:color="auto"/>
              <w:left w:val="single" w:sz="4" w:space="0" w:color="auto"/>
              <w:bottom w:val="single" w:sz="4" w:space="0" w:color="auto"/>
              <w:right w:val="single" w:sz="4" w:space="0" w:color="auto"/>
            </w:tcBorders>
            <w:vAlign w:val="center"/>
          </w:tcPr>
          <w:p w:rsidR="00567230" w:rsidRPr="0098559C" w:rsidRDefault="00567230" w:rsidP="002A5C95">
            <w:pPr>
              <w:jc w:val="center"/>
              <w:rPr>
                <w:rFonts w:ascii="Arial Narrow" w:hAnsi="Arial Narrow"/>
                <w:color w:val="000000"/>
                <w:sz w:val="20"/>
                <w:szCs w:val="18"/>
              </w:rPr>
            </w:pPr>
            <w:r w:rsidRPr="0098559C">
              <w:rPr>
                <w:rFonts w:ascii="Arial Narrow" w:hAnsi="Arial Narrow"/>
                <w:color w:val="000000"/>
                <w:sz w:val="20"/>
                <w:szCs w:val="18"/>
              </w:rPr>
              <w:t>-0.6</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230" w:rsidRPr="0098559C" w:rsidRDefault="00567230" w:rsidP="00567230">
            <w:pPr>
              <w:rPr>
                <w:rFonts w:ascii="Arial Narrow" w:hAnsi="Arial Narrow"/>
                <w:color w:val="000000"/>
                <w:sz w:val="20"/>
                <w:szCs w:val="18"/>
              </w:rPr>
            </w:pPr>
            <w:r w:rsidRPr="0098559C">
              <w:rPr>
                <w:rFonts w:ascii="Arial Narrow" w:hAnsi="Arial Narrow"/>
                <w:color w:val="000000"/>
                <w:sz w:val="20"/>
                <w:szCs w:val="18"/>
              </w:rPr>
              <w:t>ZOE-70</w:t>
            </w:r>
          </w:p>
        </w:tc>
        <w:tc>
          <w:tcPr>
            <w:tcW w:w="623" w:type="pct"/>
            <w:tcBorders>
              <w:top w:val="single" w:sz="4" w:space="0" w:color="auto"/>
              <w:left w:val="single" w:sz="4" w:space="0" w:color="auto"/>
              <w:bottom w:val="sing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13,163</w:t>
            </w:r>
          </w:p>
        </w:tc>
        <w:tc>
          <w:tcPr>
            <w:tcW w:w="1405" w:type="pct"/>
            <w:gridSpan w:val="2"/>
            <w:tcBorders>
              <w:top w:val="single" w:sz="4" w:space="0" w:color="auto"/>
              <w:left w:val="single" w:sz="4" w:space="0" w:color="auto"/>
              <w:bottom w:val="single" w:sz="4" w:space="0" w:color="auto"/>
              <w:right w:val="single" w:sz="4" w:space="0" w:color="auto"/>
            </w:tcBorders>
            <w:vAlign w:val="center"/>
          </w:tcPr>
          <w:p w:rsidR="00567230" w:rsidRPr="0098559C" w:rsidRDefault="007C359B" w:rsidP="00567230">
            <w:pPr>
              <w:jc w:val="center"/>
              <w:rPr>
                <w:rFonts w:ascii="Arial Narrow" w:hAnsi="Arial Narrow"/>
                <w:color w:val="000000"/>
                <w:sz w:val="20"/>
                <w:szCs w:val="18"/>
              </w:rPr>
            </w:pPr>
            <w:r w:rsidRPr="0098559C">
              <w:rPr>
                <w:rFonts w:ascii="Arial Narrow" w:hAnsi="Arial Narrow"/>
                <w:color w:val="000000"/>
                <w:sz w:val="20"/>
                <w:szCs w:val="18"/>
              </w:rPr>
              <w:t>85.49</w:t>
            </w:r>
            <w:r w:rsidR="002A7C91" w:rsidRPr="0098559C">
              <w:rPr>
                <w:rFonts w:ascii="Arial Narrow" w:hAnsi="Arial Narrow"/>
                <w:color w:val="000000"/>
                <w:sz w:val="20"/>
                <w:szCs w:val="18"/>
              </w:rPr>
              <w:t>%</w:t>
            </w:r>
            <w:r w:rsidRPr="0098559C">
              <w:rPr>
                <w:rFonts w:ascii="Arial Narrow" w:hAnsi="Arial Narrow"/>
                <w:color w:val="000000"/>
                <w:sz w:val="20"/>
                <w:szCs w:val="18"/>
              </w:rPr>
              <w:t xml:space="preserve"> (58.52, 96.30)</w:t>
            </w:r>
          </w:p>
        </w:tc>
        <w:tc>
          <w:tcPr>
            <w:tcW w:w="546" w:type="pct"/>
            <w:tcBorders>
              <w:top w:val="single" w:sz="4" w:space="0" w:color="auto"/>
              <w:left w:val="single" w:sz="4" w:space="0" w:color="auto"/>
              <w:bottom w:val="single" w:sz="4" w:space="0" w:color="auto"/>
              <w:right w:val="single" w:sz="4" w:space="0" w:color="auto"/>
            </w:tcBorders>
            <w:vAlign w:val="center"/>
          </w:tcPr>
          <w:p w:rsidR="00567230" w:rsidRPr="0098559C" w:rsidRDefault="007C359B" w:rsidP="00567230">
            <w:pPr>
              <w:jc w:val="center"/>
              <w:rPr>
                <w:rFonts w:ascii="Arial Narrow" w:hAnsi="Arial Narrow"/>
                <w:color w:val="000000"/>
                <w:sz w:val="20"/>
                <w:szCs w:val="18"/>
              </w:rPr>
            </w:pPr>
            <w:r w:rsidRPr="0098559C">
              <w:rPr>
                <w:rFonts w:ascii="Arial Narrow" w:hAnsi="Arial Narrow"/>
                <w:color w:val="000000"/>
                <w:sz w:val="20"/>
                <w:szCs w:val="18"/>
              </w:rPr>
              <w:t>0.2</w:t>
            </w:r>
          </w:p>
        </w:tc>
        <w:tc>
          <w:tcPr>
            <w:tcW w:w="546" w:type="pct"/>
            <w:tcBorders>
              <w:top w:val="single" w:sz="4" w:space="0" w:color="auto"/>
              <w:left w:val="single" w:sz="4" w:space="0" w:color="auto"/>
              <w:bottom w:val="single" w:sz="4" w:space="0" w:color="auto"/>
              <w:right w:val="single" w:sz="4" w:space="0" w:color="auto"/>
            </w:tcBorders>
            <w:vAlign w:val="center"/>
          </w:tcPr>
          <w:p w:rsidR="00567230" w:rsidRPr="0098559C" w:rsidRDefault="007C359B" w:rsidP="00567230">
            <w:pPr>
              <w:jc w:val="center"/>
              <w:rPr>
                <w:rFonts w:ascii="Arial Narrow" w:hAnsi="Arial Narrow"/>
                <w:color w:val="000000"/>
                <w:sz w:val="20"/>
                <w:szCs w:val="18"/>
              </w:rPr>
            </w:pPr>
            <w:r w:rsidRPr="0098559C">
              <w:rPr>
                <w:rFonts w:ascii="Arial Narrow" w:hAnsi="Arial Narrow"/>
                <w:color w:val="000000"/>
                <w:sz w:val="20"/>
                <w:szCs w:val="18"/>
              </w:rPr>
              <w:t>1</w:t>
            </w:r>
            <w:r w:rsidR="002A5C95" w:rsidRPr="0098559C">
              <w:rPr>
                <w:rFonts w:ascii="Arial Narrow" w:hAnsi="Arial Narrow"/>
                <w:color w:val="000000"/>
                <w:sz w:val="20"/>
                <w:szCs w:val="18"/>
              </w:rPr>
              <w:t>.</w:t>
            </w:r>
            <w:r w:rsidRPr="0098559C">
              <w:rPr>
                <w:rFonts w:ascii="Arial Narrow" w:hAnsi="Arial Narrow"/>
                <w:color w:val="000000"/>
                <w:sz w:val="20"/>
                <w:szCs w:val="18"/>
              </w:rPr>
              <w:t>1</w:t>
            </w:r>
          </w:p>
        </w:tc>
        <w:tc>
          <w:tcPr>
            <w:tcW w:w="538" w:type="pct"/>
            <w:tcBorders>
              <w:top w:val="single" w:sz="4" w:space="0" w:color="auto"/>
              <w:left w:val="single" w:sz="4" w:space="0" w:color="auto"/>
              <w:bottom w:val="single" w:sz="4" w:space="0" w:color="auto"/>
              <w:right w:val="single" w:sz="4" w:space="0" w:color="auto"/>
            </w:tcBorders>
            <w:vAlign w:val="center"/>
          </w:tcPr>
          <w:p w:rsidR="00567230" w:rsidRPr="0098559C" w:rsidRDefault="007C359B" w:rsidP="002A5C95">
            <w:pPr>
              <w:jc w:val="center"/>
              <w:rPr>
                <w:rFonts w:ascii="Arial Narrow" w:hAnsi="Arial Narrow"/>
                <w:color w:val="000000"/>
                <w:sz w:val="20"/>
                <w:szCs w:val="18"/>
              </w:rPr>
            </w:pPr>
            <w:r w:rsidRPr="0098559C">
              <w:rPr>
                <w:rFonts w:ascii="Arial Narrow" w:hAnsi="Arial Narrow"/>
                <w:color w:val="000000"/>
                <w:sz w:val="20"/>
                <w:szCs w:val="18"/>
              </w:rPr>
              <w:t>-0.9</w:t>
            </w:r>
          </w:p>
        </w:tc>
      </w:tr>
      <w:tr w:rsidR="00B53757" w:rsidRPr="008B348A" w:rsidTr="00B53757">
        <w:tc>
          <w:tcPr>
            <w:tcW w:w="1342" w:type="pct"/>
            <w:tcBorders>
              <w:top w:val="single" w:sz="4" w:space="0" w:color="auto"/>
              <w:left w:val="single" w:sz="4" w:space="0" w:color="auto"/>
              <w:bottom w:val="double" w:sz="4" w:space="0" w:color="auto"/>
              <w:right w:val="single" w:sz="4" w:space="0" w:color="auto"/>
            </w:tcBorders>
            <w:shd w:val="clear" w:color="auto" w:fill="auto"/>
            <w:vAlign w:val="center"/>
          </w:tcPr>
          <w:p w:rsidR="00567230" w:rsidRPr="0098559C" w:rsidRDefault="00567230" w:rsidP="00567230">
            <w:pPr>
              <w:rPr>
                <w:rFonts w:ascii="Arial Narrow" w:hAnsi="Arial Narrow"/>
                <w:color w:val="000000"/>
                <w:sz w:val="20"/>
                <w:szCs w:val="18"/>
              </w:rPr>
            </w:pPr>
            <w:r w:rsidRPr="0098559C">
              <w:rPr>
                <w:rFonts w:ascii="Arial Narrow" w:hAnsi="Arial Narrow"/>
                <w:color w:val="000000"/>
                <w:sz w:val="20"/>
                <w:szCs w:val="18"/>
              </w:rPr>
              <w:t>Pooled ZOE-50 and ZOE-70</w:t>
            </w:r>
            <w:r w:rsidR="00862A8B">
              <w:rPr>
                <w:rFonts w:ascii="Arial Narrow" w:hAnsi="Arial Narrow"/>
                <w:color w:val="000000"/>
                <w:sz w:val="20"/>
                <w:szCs w:val="18"/>
              </w:rPr>
              <w:t>^</w:t>
            </w:r>
          </w:p>
        </w:tc>
        <w:tc>
          <w:tcPr>
            <w:tcW w:w="623" w:type="pct"/>
            <w:tcBorders>
              <w:top w:val="single" w:sz="4" w:space="0" w:color="auto"/>
              <w:left w:val="single" w:sz="4" w:space="0" w:color="auto"/>
              <w:bottom w:val="double" w:sz="4" w:space="0" w:color="auto"/>
              <w:right w:val="single" w:sz="4" w:space="0" w:color="auto"/>
            </w:tcBorders>
            <w:vAlign w:val="center"/>
          </w:tcPr>
          <w:p w:rsidR="00567230" w:rsidRPr="0098559C" w:rsidRDefault="00567230" w:rsidP="00567230">
            <w:pPr>
              <w:jc w:val="center"/>
              <w:rPr>
                <w:rFonts w:ascii="Arial Narrow" w:hAnsi="Arial Narrow"/>
                <w:color w:val="000000"/>
                <w:sz w:val="20"/>
                <w:szCs w:val="18"/>
              </w:rPr>
            </w:pPr>
            <w:r w:rsidRPr="0098559C">
              <w:rPr>
                <w:rFonts w:ascii="Arial Narrow" w:hAnsi="Arial Narrow"/>
                <w:color w:val="000000"/>
                <w:sz w:val="20"/>
                <w:szCs w:val="18"/>
              </w:rPr>
              <w:t>16,596</w:t>
            </w:r>
          </w:p>
        </w:tc>
        <w:tc>
          <w:tcPr>
            <w:tcW w:w="1405" w:type="pct"/>
            <w:gridSpan w:val="2"/>
            <w:tcBorders>
              <w:top w:val="single" w:sz="4" w:space="0" w:color="auto"/>
              <w:left w:val="single" w:sz="4" w:space="0" w:color="auto"/>
              <w:bottom w:val="double" w:sz="4" w:space="0" w:color="auto"/>
              <w:right w:val="single" w:sz="4" w:space="0" w:color="auto"/>
            </w:tcBorders>
            <w:vAlign w:val="center"/>
          </w:tcPr>
          <w:p w:rsidR="00567230" w:rsidRPr="0098559C" w:rsidRDefault="007C359B" w:rsidP="00862A8B">
            <w:pPr>
              <w:jc w:val="center"/>
              <w:rPr>
                <w:rFonts w:ascii="Arial Narrow" w:hAnsi="Arial Narrow"/>
                <w:color w:val="000000"/>
                <w:sz w:val="20"/>
                <w:szCs w:val="18"/>
              </w:rPr>
            </w:pPr>
            <w:r w:rsidRPr="0098559C">
              <w:rPr>
                <w:rFonts w:ascii="Arial Narrow" w:hAnsi="Arial Narrow"/>
                <w:color w:val="000000"/>
                <w:sz w:val="20"/>
                <w:szCs w:val="18"/>
              </w:rPr>
              <w:t>88.78</w:t>
            </w:r>
            <w:r w:rsidR="002A7C91" w:rsidRPr="0098559C">
              <w:rPr>
                <w:rFonts w:ascii="Arial Narrow" w:hAnsi="Arial Narrow"/>
                <w:color w:val="000000"/>
                <w:sz w:val="20"/>
                <w:szCs w:val="18"/>
              </w:rPr>
              <w:t>%</w:t>
            </w:r>
            <w:r w:rsidR="00862A8B">
              <w:rPr>
                <w:rFonts w:ascii="Arial Narrow" w:hAnsi="Arial Narrow"/>
                <w:color w:val="000000"/>
                <w:sz w:val="20"/>
                <w:szCs w:val="18"/>
              </w:rPr>
              <w:t xml:space="preserve"> </w:t>
            </w:r>
            <w:r w:rsidRPr="0098559C">
              <w:rPr>
                <w:rFonts w:ascii="Arial Narrow" w:hAnsi="Arial Narrow"/>
                <w:color w:val="000000"/>
                <w:sz w:val="20"/>
                <w:szCs w:val="18"/>
              </w:rPr>
              <w:t>(68.70, 97.10)</w:t>
            </w:r>
          </w:p>
        </w:tc>
        <w:tc>
          <w:tcPr>
            <w:tcW w:w="546" w:type="pct"/>
            <w:tcBorders>
              <w:top w:val="single" w:sz="4" w:space="0" w:color="auto"/>
              <w:left w:val="single" w:sz="4" w:space="0" w:color="auto"/>
              <w:bottom w:val="double" w:sz="4" w:space="0" w:color="auto"/>
              <w:right w:val="single" w:sz="4" w:space="0" w:color="auto"/>
            </w:tcBorders>
            <w:vAlign w:val="center"/>
          </w:tcPr>
          <w:p w:rsidR="00567230" w:rsidRPr="0098559C" w:rsidRDefault="007C359B" w:rsidP="002A5C95">
            <w:pPr>
              <w:jc w:val="center"/>
              <w:rPr>
                <w:rFonts w:ascii="Arial Narrow" w:hAnsi="Arial Narrow"/>
                <w:color w:val="000000"/>
                <w:sz w:val="20"/>
                <w:szCs w:val="18"/>
              </w:rPr>
            </w:pPr>
            <w:r w:rsidRPr="0098559C">
              <w:rPr>
                <w:rFonts w:ascii="Arial Narrow" w:hAnsi="Arial Narrow"/>
                <w:color w:val="000000"/>
                <w:sz w:val="20"/>
                <w:szCs w:val="18"/>
              </w:rPr>
              <w:t>0.1</w:t>
            </w:r>
          </w:p>
        </w:tc>
        <w:tc>
          <w:tcPr>
            <w:tcW w:w="546" w:type="pct"/>
            <w:tcBorders>
              <w:top w:val="single" w:sz="4" w:space="0" w:color="auto"/>
              <w:left w:val="single" w:sz="4" w:space="0" w:color="auto"/>
              <w:bottom w:val="double" w:sz="4" w:space="0" w:color="auto"/>
              <w:right w:val="single" w:sz="4" w:space="0" w:color="auto"/>
            </w:tcBorders>
            <w:vAlign w:val="center"/>
          </w:tcPr>
          <w:p w:rsidR="00567230" w:rsidRPr="0098559C" w:rsidRDefault="007C359B" w:rsidP="00567230">
            <w:pPr>
              <w:jc w:val="center"/>
              <w:rPr>
                <w:rFonts w:ascii="Arial Narrow" w:hAnsi="Arial Narrow"/>
                <w:color w:val="000000"/>
                <w:sz w:val="20"/>
                <w:szCs w:val="18"/>
              </w:rPr>
            </w:pPr>
            <w:r w:rsidRPr="0098559C">
              <w:rPr>
                <w:rFonts w:ascii="Arial Narrow" w:hAnsi="Arial Narrow"/>
                <w:color w:val="000000"/>
                <w:sz w:val="20"/>
                <w:szCs w:val="18"/>
              </w:rPr>
              <w:t>1</w:t>
            </w:r>
            <w:r w:rsidR="002A5C95" w:rsidRPr="0098559C">
              <w:rPr>
                <w:rFonts w:ascii="Arial Narrow" w:hAnsi="Arial Narrow"/>
                <w:color w:val="000000"/>
                <w:sz w:val="20"/>
                <w:szCs w:val="18"/>
              </w:rPr>
              <w:t>.</w:t>
            </w:r>
            <w:r w:rsidRPr="0098559C">
              <w:rPr>
                <w:rFonts w:ascii="Arial Narrow" w:hAnsi="Arial Narrow"/>
                <w:color w:val="000000"/>
                <w:sz w:val="20"/>
                <w:szCs w:val="18"/>
              </w:rPr>
              <w:t>2</w:t>
            </w:r>
          </w:p>
        </w:tc>
        <w:tc>
          <w:tcPr>
            <w:tcW w:w="538" w:type="pct"/>
            <w:tcBorders>
              <w:top w:val="single" w:sz="4" w:space="0" w:color="auto"/>
              <w:left w:val="single" w:sz="4" w:space="0" w:color="auto"/>
              <w:bottom w:val="double" w:sz="4" w:space="0" w:color="auto"/>
              <w:right w:val="single" w:sz="4" w:space="0" w:color="auto"/>
            </w:tcBorders>
            <w:vAlign w:val="center"/>
          </w:tcPr>
          <w:p w:rsidR="00567230" w:rsidRPr="0098559C" w:rsidRDefault="00F81D38" w:rsidP="002A5C95">
            <w:pPr>
              <w:jc w:val="center"/>
              <w:rPr>
                <w:rFonts w:ascii="Arial Narrow" w:hAnsi="Arial Narrow"/>
                <w:color w:val="000000"/>
                <w:sz w:val="20"/>
                <w:szCs w:val="18"/>
              </w:rPr>
            </w:pPr>
            <w:r w:rsidRPr="0098559C">
              <w:rPr>
                <w:rFonts w:ascii="Arial Narrow" w:hAnsi="Arial Narrow"/>
                <w:color w:val="000000"/>
                <w:sz w:val="20"/>
                <w:szCs w:val="18"/>
              </w:rPr>
              <w:t>-</w:t>
            </w:r>
            <w:r w:rsidR="002A5C95" w:rsidRPr="0098559C">
              <w:rPr>
                <w:rFonts w:ascii="Arial Narrow" w:hAnsi="Arial Narrow"/>
                <w:color w:val="000000"/>
                <w:sz w:val="20"/>
                <w:szCs w:val="18"/>
              </w:rPr>
              <w:t>1</w:t>
            </w:r>
            <w:r w:rsidR="007C359B" w:rsidRPr="0098559C">
              <w:rPr>
                <w:rFonts w:ascii="Arial Narrow" w:hAnsi="Arial Narrow"/>
                <w:color w:val="000000"/>
                <w:sz w:val="20"/>
                <w:szCs w:val="18"/>
              </w:rPr>
              <w:t>.1</w:t>
            </w:r>
          </w:p>
        </w:tc>
      </w:tr>
      <w:tr w:rsidR="001C0FD0" w:rsidRPr="008B348A" w:rsidTr="00514D7E">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1C0FD0" w:rsidRPr="0098559C" w:rsidRDefault="001C0FD0" w:rsidP="001C0FD0">
            <w:pPr>
              <w:rPr>
                <w:rFonts w:ascii="Arial Narrow" w:hAnsi="Arial Narrow"/>
                <w:b/>
                <w:color w:val="000000"/>
                <w:sz w:val="20"/>
                <w:szCs w:val="18"/>
              </w:rPr>
            </w:pPr>
            <w:r w:rsidRPr="0098559C">
              <w:rPr>
                <w:rFonts w:ascii="Arial Narrow" w:hAnsi="Arial Narrow"/>
                <w:b/>
                <w:color w:val="000000"/>
                <w:sz w:val="20"/>
                <w:szCs w:val="18"/>
              </w:rPr>
              <w:t xml:space="preserve">Harms </w:t>
            </w:r>
          </w:p>
        </w:tc>
      </w:tr>
      <w:tr w:rsidR="00B53757" w:rsidRPr="008B348A" w:rsidTr="00B53757">
        <w:trPr>
          <w:trHeight w:val="70"/>
        </w:trPr>
        <w:tc>
          <w:tcPr>
            <w:tcW w:w="1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0FD0" w:rsidRPr="0098559C" w:rsidRDefault="001C0FD0" w:rsidP="001C0FD0">
            <w:pPr>
              <w:rPr>
                <w:rFonts w:ascii="Arial Narrow" w:hAnsi="Arial Narrow"/>
                <w:b/>
                <w:color w:val="000000"/>
                <w:sz w:val="20"/>
                <w:szCs w:val="18"/>
              </w:rPr>
            </w:pPr>
          </w:p>
        </w:tc>
        <w:tc>
          <w:tcPr>
            <w:tcW w:w="623" w:type="pct"/>
            <w:vMerge w:val="restart"/>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keepNext/>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00B53757" w:rsidRPr="0098559C">
              <w:rPr>
                <w:rFonts w:ascii="Arial Narrow" w:hAnsi="Arial Narrow"/>
                <w:b/>
                <w:color w:val="000000"/>
                <w:sz w:val="20"/>
                <w:szCs w:val="18"/>
              </w:rPr>
              <w:t>,</w:t>
            </w:r>
            <w:r w:rsidRPr="0098559C">
              <w:rPr>
                <w:rFonts w:ascii="Arial Narrow" w:hAnsi="Arial Narrow"/>
                <w:b/>
                <w:color w:val="000000"/>
                <w:sz w:val="20"/>
                <w:szCs w:val="18"/>
              </w:rPr>
              <w:t xml:space="preserve"> </w:t>
            </w:r>
          </w:p>
          <w:p w:rsidR="001C0FD0" w:rsidRPr="0098559C" w:rsidRDefault="001C0FD0" w:rsidP="001C0FD0">
            <w:pPr>
              <w:jc w:val="center"/>
              <w:rPr>
                <w:rFonts w:ascii="Arial Narrow" w:hAnsi="Arial Narrow"/>
                <w:b/>
                <w:color w:val="000000"/>
                <w:sz w:val="20"/>
                <w:szCs w:val="18"/>
              </w:rPr>
            </w:pPr>
            <w:r w:rsidRPr="0098559C">
              <w:rPr>
                <w:rFonts w:ascii="Arial Narrow" w:hAnsi="Arial Narrow"/>
                <w:b/>
                <w:color w:val="000000"/>
                <w:sz w:val="20"/>
                <w:szCs w:val="18"/>
              </w:rPr>
              <w:t>n/N</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rsidR="001C0FD0" w:rsidRPr="0098559C" w:rsidRDefault="00D0262A" w:rsidP="001C0FD0">
            <w:pPr>
              <w:keepNext/>
              <w:jc w:val="center"/>
              <w:rPr>
                <w:rFonts w:ascii="Arial Narrow" w:hAnsi="Arial Narrow"/>
                <w:b/>
                <w:color w:val="000000"/>
                <w:sz w:val="20"/>
                <w:szCs w:val="18"/>
              </w:rPr>
            </w:pPr>
            <w:r w:rsidRPr="0098559C">
              <w:rPr>
                <w:rFonts w:ascii="Arial Narrow" w:hAnsi="Arial Narrow"/>
                <w:b/>
                <w:color w:val="000000"/>
                <w:sz w:val="20"/>
                <w:szCs w:val="18"/>
              </w:rPr>
              <w:t>PBO</w:t>
            </w:r>
            <w:r w:rsidR="00B53757" w:rsidRPr="0098559C">
              <w:rPr>
                <w:rFonts w:ascii="Arial Narrow" w:hAnsi="Arial Narrow"/>
                <w:b/>
                <w:color w:val="000000"/>
                <w:sz w:val="20"/>
                <w:szCs w:val="18"/>
              </w:rPr>
              <w:t>,</w:t>
            </w:r>
          </w:p>
          <w:p w:rsidR="001C0FD0" w:rsidRPr="0098559C" w:rsidRDefault="001C0FD0" w:rsidP="001C0FD0">
            <w:pPr>
              <w:jc w:val="center"/>
              <w:rPr>
                <w:rFonts w:ascii="Arial Narrow" w:hAnsi="Arial Narrow"/>
                <w:b/>
                <w:color w:val="000000"/>
                <w:sz w:val="20"/>
                <w:szCs w:val="18"/>
              </w:rPr>
            </w:pPr>
            <w:r w:rsidRPr="0098559C">
              <w:rPr>
                <w:rFonts w:ascii="Arial Narrow" w:hAnsi="Arial Narrow"/>
                <w:b/>
                <w:color w:val="000000"/>
                <w:sz w:val="20"/>
                <w:szCs w:val="18"/>
              </w:rPr>
              <w:t>n/N</w:t>
            </w:r>
          </w:p>
        </w:tc>
        <w:tc>
          <w:tcPr>
            <w:tcW w:w="780" w:type="pct"/>
            <w:vMerge w:val="restart"/>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jc w:val="center"/>
              <w:rPr>
                <w:rFonts w:ascii="Arial Narrow" w:hAnsi="Arial Narrow"/>
                <w:b/>
                <w:color w:val="000000"/>
                <w:sz w:val="20"/>
                <w:szCs w:val="18"/>
              </w:rPr>
            </w:pPr>
            <w:r w:rsidRPr="0098559C">
              <w:rPr>
                <w:rFonts w:ascii="Arial Narrow" w:hAnsi="Arial Narrow"/>
                <w:b/>
                <w:color w:val="000000"/>
                <w:sz w:val="20"/>
                <w:szCs w:val="18"/>
              </w:rPr>
              <w:t>RR</w:t>
            </w:r>
          </w:p>
          <w:p w:rsidR="001C0FD0" w:rsidRPr="0098559C" w:rsidRDefault="001C0FD0" w:rsidP="001C0FD0">
            <w:pPr>
              <w:jc w:val="center"/>
              <w:rPr>
                <w:rFonts w:ascii="Arial Narrow" w:hAnsi="Arial Narrow"/>
                <w:b/>
                <w:color w:val="000000"/>
                <w:sz w:val="20"/>
                <w:szCs w:val="18"/>
              </w:rPr>
            </w:pPr>
            <w:r w:rsidRPr="0098559C">
              <w:rPr>
                <w:rFonts w:ascii="Arial Narrow" w:hAnsi="Arial Narrow"/>
                <w:b/>
                <w:color w:val="000000"/>
                <w:sz w:val="20"/>
                <w:szCs w:val="18"/>
              </w:rPr>
              <w:t>(95% CI)</w:t>
            </w:r>
          </w:p>
        </w:tc>
        <w:tc>
          <w:tcPr>
            <w:tcW w:w="1092" w:type="pct"/>
            <w:gridSpan w:val="2"/>
            <w:tcBorders>
              <w:top w:val="single" w:sz="4" w:space="0" w:color="auto"/>
              <w:left w:val="single" w:sz="4" w:space="0" w:color="auto"/>
              <w:bottom w:val="single" w:sz="4" w:space="0" w:color="auto"/>
              <w:right w:val="single" w:sz="4" w:space="0" w:color="auto"/>
            </w:tcBorders>
            <w:vAlign w:val="center"/>
          </w:tcPr>
          <w:p w:rsidR="001C0FD0" w:rsidRPr="0098559C" w:rsidRDefault="00D0262A" w:rsidP="001C0FD0">
            <w:pPr>
              <w:jc w:val="center"/>
              <w:rPr>
                <w:rFonts w:ascii="Arial Narrow" w:hAnsi="Arial Narrow"/>
                <w:b/>
                <w:color w:val="000000"/>
                <w:sz w:val="20"/>
                <w:szCs w:val="18"/>
              </w:rPr>
            </w:pPr>
            <w:r w:rsidRPr="0098559C">
              <w:rPr>
                <w:rFonts w:ascii="Arial Narrow" w:hAnsi="Arial Narrow"/>
                <w:b/>
                <w:color w:val="000000"/>
                <w:sz w:val="20"/>
                <w:szCs w:val="18"/>
              </w:rPr>
              <w:t>Event rate/1</w:t>
            </w:r>
            <w:r w:rsidR="00B53757" w:rsidRPr="0098559C">
              <w:rPr>
                <w:rFonts w:ascii="Arial Narrow" w:hAnsi="Arial Narrow"/>
                <w:b/>
                <w:color w:val="000000"/>
                <w:sz w:val="20"/>
                <w:szCs w:val="18"/>
              </w:rPr>
              <w:t>,</w:t>
            </w:r>
            <w:r w:rsidRPr="0098559C">
              <w:rPr>
                <w:rFonts w:ascii="Arial Narrow" w:hAnsi="Arial Narrow"/>
                <w:b/>
                <w:color w:val="000000"/>
                <w:sz w:val="20"/>
                <w:szCs w:val="18"/>
              </w:rPr>
              <w:t>00</w:t>
            </w:r>
            <w:r w:rsidR="002A5C95" w:rsidRPr="0098559C">
              <w:rPr>
                <w:rFonts w:ascii="Arial Narrow" w:hAnsi="Arial Narrow"/>
                <w:b/>
                <w:color w:val="000000"/>
                <w:sz w:val="20"/>
                <w:szCs w:val="18"/>
              </w:rPr>
              <w:t>0</w:t>
            </w:r>
            <w:r w:rsidRPr="0098559C">
              <w:rPr>
                <w:rFonts w:ascii="Arial Narrow" w:hAnsi="Arial Narrow"/>
                <w:b/>
                <w:color w:val="000000"/>
                <w:sz w:val="20"/>
                <w:szCs w:val="18"/>
              </w:rPr>
              <w:t xml:space="preserve"> </w:t>
            </w:r>
            <w:r w:rsidR="002A5C95" w:rsidRPr="0098559C">
              <w:rPr>
                <w:rFonts w:ascii="Arial Narrow" w:hAnsi="Arial Narrow"/>
                <w:b/>
                <w:color w:val="000000"/>
                <w:sz w:val="20"/>
                <w:szCs w:val="18"/>
              </w:rPr>
              <w:t>individuals vaccinated</w:t>
            </w:r>
            <w:r w:rsidRPr="0098559C">
              <w:rPr>
                <w:rFonts w:ascii="Arial Narrow" w:hAnsi="Arial Narrow"/>
                <w:b/>
                <w:color w:val="000000"/>
                <w:sz w:val="20"/>
                <w:szCs w:val="18"/>
              </w:rPr>
              <w:t>*</w:t>
            </w:r>
          </w:p>
        </w:tc>
        <w:tc>
          <w:tcPr>
            <w:tcW w:w="538" w:type="pct"/>
            <w:vMerge w:val="restart"/>
            <w:tcBorders>
              <w:top w:val="single" w:sz="4" w:space="0" w:color="auto"/>
              <w:left w:val="single" w:sz="4" w:space="0" w:color="auto"/>
              <w:bottom w:val="single" w:sz="4" w:space="0" w:color="auto"/>
              <w:right w:val="single" w:sz="4" w:space="0" w:color="auto"/>
            </w:tcBorders>
            <w:vAlign w:val="center"/>
          </w:tcPr>
          <w:p w:rsidR="001C0FD0" w:rsidRPr="0098559C" w:rsidRDefault="001C0FD0" w:rsidP="00BE1339">
            <w:pPr>
              <w:jc w:val="center"/>
              <w:rPr>
                <w:rFonts w:ascii="Arial Narrow" w:hAnsi="Arial Narrow"/>
                <w:b/>
                <w:color w:val="000000"/>
                <w:sz w:val="20"/>
                <w:szCs w:val="18"/>
              </w:rPr>
            </w:pPr>
            <w:r w:rsidRPr="0098559C">
              <w:rPr>
                <w:rFonts w:ascii="Arial Narrow" w:hAnsi="Arial Narrow"/>
                <w:b/>
                <w:color w:val="000000"/>
                <w:sz w:val="20"/>
                <w:szCs w:val="18"/>
              </w:rPr>
              <w:t>RD</w:t>
            </w:r>
            <w:r w:rsidR="00D0262A" w:rsidRPr="0098559C">
              <w:rPr>
                <w:rFonts w:ascii="Arial Narrow" w:hAnsi="Arial Narrow"/>
                <w:b/>
                <w:color w:val="000000"/>
                <w:sz w:val="20"/>
                <w:szCs w:val="18"/>
              </w:rPr>
              <w:t>**</w:t>
            </w:r>
          </w:p>
        </w:tc>
      </w:tr>
      <w:tr w:rsidR="00B53757" w:rsidRPr="008B348A" w:rsidTr="00B53757">
        <w:trPr>
          <w:trHeight w:val="193"/>
        </w:trPr>
        <w:tc>
          <w:tcPr>
            <w:tcW w:w="13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1C0FD0" w:rsidRPr="0098559C" w:rsidRDefault="001C0FD0" w:rsidP="001C0FD0">
            <w:pPr>
              <w:rPr>
                <w:rFonts w:ascii="Arial Narrow" w:hAnsi="Arial Narrow"/>
                <w:b/>
                <w:color w:val="000000"/>
                <w:sz w:val="20"/>
                <w:szCs w:val="18"/>
              </w:rPr>
            </w:pPr>
          </w:p>
        </w:tc>
        <w:tc>
          <w:tcPr>
            <w:tcW w:w="623" w:type="pct"/>
            <w:vMerge/>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jc w:val="center"/>
              <w:rPr>
                <w:rFonts w:ascii="Arial Narrow" w:hAnsi="Arial Narrow"/>
                <w:b/>
                <w:color w:val="000000"/>
                <w:sz w:val="20"/>
                <w:szCs w:val="18"/>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jc w:val="center"/>
              <w:rPr>
                <w:rFonts w:ascii="Arial Narrow" w:hAnsi="Arial Narrow"/>
                <w:b/>
                <w:color w:val="000000"/>
                <w:sz w:val="20"/>
                <w:szCs w:val="18"/>
              </w:rPr>
            </w:pPr>
          </w:p>
        </w:tc>
        <w:tc>
          <w:tcPr>
            <w:tcW w:w="780" w:type="pct"/>
            <w:vMerge/>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jc w:val="center"/>
              <w:rPr>
                <w:rFonts w:ascii="Arial Narrow" w:hAnsi="Arial Narrow"/>
                <w:b/>
                <w:color w:val="000000"/>
                <w:sz w:val="20"/>
                <w:szCs w:val="18"/>
              </w:rPr>
            </w:pPr>
          </w:p>
        </w:tc>
        <w:tc>
          <w:tcPr>
            <w:tcW w:w="546" w:type="pct"/>
            <w:tcBorders>
              <w:top w:val="single" w:sz="4" w:space="0" w:color="auto"/>
              <w:left w:val="single" w:sz="4" w:space="0" w:color="auto"/>
              <w:bottom w:val="single" w:sz="4" w:space="0" w:color="auto"/>
              <w:right w:val="single" w:sz="4" w:space="0" w:color="auto"/>
            </w:tcBorders>
            <w:vAlign w:val="center"/>
          </w:tcPr>
          <w:p w:rsidR="001C0FD0" w:rsidRPr="0098559C" w:rsidRDefault="007C359B" w:rsidP="00B53757">
            <w:pPr>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Pr="0098559C">
              <w:rPr>
                <w:rFonts w:ascii="Arial Narrow" w:hAnsi="Arial Narrow"/>
                <w:b/>
                <w:color w:val="000000"/>
                <w:sz w:val="20"/>
                <w:szCs w:val="18"/>
              </w:rPr>
              <w:t xml:space="preserve"> </w:t>
            </w:r>
          </w:p>
        </w:tc>
        <w:tc>
          <w:tcPr>
            <w:tcW w:w="546" w:type="pct"/>
            <w:tcBorders>
              <w:top w:val="single" w:sz="4" w:space="0" w:color="auto"/>
              <w:left w:val="single" w:sz="4" w:space="0" w:color="auto"/>
              <w:bottom w:val="single" w:sz="4" w:space="0" w:color="auto"/>
              <w:right w:val="single" w:sz="4" w:space="0" w:color="auto"/>
            </w:tcBorders>
            <w:vAlign w:val="center"/>
          </w:tcPr>
          <w:p w:rsidR="001C0FD0" w:rsidRPr="0098559C" w:rsidRDefault="00D0262A" w:rsidP="001C0FD0">
            <w:pPr>
              <w:jc w:val="center"/>
              <w:rPr>
                <w:rFonts w:ascii="Arial Narrow" w:hAnsi="Arial Narrow"/>
                <w:b/>
                <w:color w:val="000000"/>
                <w:sz w:val="20"/>
                <w:szCs w:val="18"/>
              </w:rPr>
            </w:pPr>
            <w:r w:rsidRPr="0098559C">
              <w:rPr>
                <w:rFonts w:ascii="Arial Narrow" w:hAnsi="Arial Narrow"/>
                <w:b/>
                <w:color w:val="000000"/>
                <w:sz w:val="20"/>
                <w:szCs w:val="18"/>
              </w:rPr>
              <w:t>PBO</w:t>
            </w:r>
          </w:p>
        </w:tc>
        <w:tc>
          <w:tcPr>
            <w:tcW w:w="538" w:type="pct"/>
            <w:vMerge/>
            <w:tcBorders>
              <w:top w:val="single" w:sz="4" w:space="0" w:color="auto"/>
              <w:left w:val="single" w:sz="4" w:space="0" w:color="auto"/>
              <w:bottom w:val="single" w:sz="4" w:space="0" w:color="auto"/>
              <w:right w:val="single" w:sz="4" w:space="0" w:color="auto"/>
            </w:tcBorders>
            <w:vAlign w:val="center"/>
          </w:tcPr>
          <w:p w:rsidR="001C0FD0" w:rsidRPr="0098559C" w:rsidRDefault="001C0FD0" w:rsidP="001C0FD0">
            <w:pPr>
              <w:jc w:val="center"/>
              <w:rPr>
                <w:rFonts w:ascii="Arial Narrow" w:hAnsi="Arial Narrow"/>
                <w:b/>
                <w:color w:val="000000"/>
                <w:sz w:val="20"/>
                <w:szCs w:val="18"/>
              </w:rPr>
            </w:pPr>
          </w:p>
        </w:tc>
      </w:tr>
      <w:tr w:rsidR="001C0FD0" w:rsidRPr="008B348A" w:rsidTr="00514D7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C0FD0" w:rsidRPr="0098559C" w:rsidRDefault="007C359B" w:rsidP="001C0FD0">
            <w:pPr>
              <w:rPr>
                <w:rFonts w:ascii="Arial Narrow" w:hAnsi="Arial Narrow"/>
                <w:b/>
                <w:color w:val="000000"/>
                <w:sz w:val="20"/>
                <w:szCs w:val="18"/>
              </w:rPr>
            </w:pPr>
            <w:r w:rsidRPr="0098559C">
              <w:rPr>
                <w:rFonts w:ascii="Arial Narrow" w:hAnsi="Arial Narrow"/>
                <w:b/>
                <w:color w:val="000000"/>
                <w:sz w:val="20"/>
                <w:szCs w:val="18"/>
              </w:rPr>
              <w:t>Pain, Grade 3</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C359B" w:rsidRPr="0098559C" w:rsidRDefault="007C359B" w:rsidP="007C359B">
            <w:pPr>
              <w:rPr>
                <w:rFonts w:ascii="Arial Narrow" w:hAnsi="Arial Narrow"/>
                <w:color w:val="000000"/>
                <w:sz w:val="20"/>
                <w:szCs w:val="18"/>
              </w:rPr>
            </w:pPr>
            <w:r w:rsidRPr="0098559C">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rsidR="007C359B" w:rsidRPr="0098559C" w:rsidRDefault="007C359B" w:rsidP="007C359B">
            <w:pPr>
              <w:jc w:val="center"/>
              <w:rPr>
                <w:rFonts w:ascii="Arial Narrow" w:hAnsi="Arial Narrow"/>
                <w:color w:val="000000"/>
                <w:sz w:val="20"/>
                <w:szCs w:val="18"/>
              </w:rPr>
            </w:pPr>
            <w:r w:rsidRPr="0098559C">
              <w:rPr>
                <w:rFonts w:ascii="Arial Narrow" w:hAnsi="Arial Narrow"/>
                <w:color w:val="000000"/>
                <w:sz w:val="20"/>
                <w:szCs w:val="18"/>
              </w:rPr>
              <w:t>315/4</w:t>
            </w:r>
            <w:r w:rsidR="00514D7E" w:rsidRPr="0098559C">
              <w:rPr>
                <w:rFonts w:ascii="Arial Narrow" w:hAnsi="Arial Narrow"/>
                <w:color w:val="000000"/>
                <w:sz w:val="20"/>
                <w:szCs w:val="18"/>
              </w:rPr>
              <w:t>,</w:t>
            </w:r>
            <w:r w:rsidRPr="0098559C">
              <w:rPr>
                <w:rFonts w:ascii="Arial Narrow" w:hAnsi="Arial Narrow"/>
                <w:color w:val="000000"/>
                <w:sz w:val="20"/>
                <w:szCs w:val="18"/>
              </w:rPr>
              <w:t>884</w:t>
            </w:r>
          </w:p>
        </w:tc>
        <w:tc>
          <w:tcPr>
            <w:tcW w:w="625" w:type="pct"/>
            <w:tcBorders>
              <w:top w:val="single" w:sz="4" w:space="0" w:color="auto"/>
              <w:left w:val="single" w:sz="4" w:space="0" w:color="auto"/>
              <w:bottom w:val="single" w:sz="4" w:space="0" w:color="auto"/>
              <w:right w:val="single" w:sz="4" w:space="0" w:color="auto"/>
            </w:tcBorders>
            <w:vAlign w:val="center"/>
          </w:tcPr>
          <w:p w:rsidR="007C359B" w:rsidRPr="0098559C" w:rsidRDefault="007C359B" w:rsidP="007C359B">
            <w:pPr>
              <w:jc w:val="center"/>
              <w:rPr>
                <w:rFonts w:ascii="Arial Narrow" w:hAnsi="Arial Narrow"/>
                <w:color w:val="000000"/>
                <w:sz w:val="20"/>
                <w:szCs w:val="18"/>
              </w:rPr>
            </w:pPr>
            <w:r w:rsidRPr="0098559C">
              <w:rPr>
                <w:rFonts w:ascii="Arial Narrow" w:hAnsi="Arial Narrow"/>
                <w:color w:val="000000"/>
                <w:sz w:val="20"/>
                <w:szCs w:val="18"/>
              </w:rPr>
              <w:t>17/4</w:t>
            </w:r>
            <w:r w:rsidR="00514D7E" w:rsidRPr="0098559C">
              <w:rPr>
                <w:rFonts w:ascii="Arial Narrow" w:hAnsi="Arial Narrow"/>
                <w:color w:val="000000"/>
                <w:sz w:val="20"/>
                <w:szCs w:val="18"/>
              </w:rPr>
              <w:t>,</w:t>
            </w:r>
            <w:r w:rsidRPr="0098559C">
              <w:rPr>
                <w:rFonts w:ascii="Arial Narrow" w:hAnsi="Arial Narrow"/>
                <w:color w:val="000000"/>
                <w:sz w:val="20"/>
                <w:szCs w:val="18"/>
              </w:rPr>
              <w:t>880</w:t>
            </w:r>
          </w:p>
        </w:tc>
        <w:tc>
          <w:tcPr>
            <w:tcW w:w="780" w:type="pct"/>
            <w:tcBorders>
              <w:top w:val="single" w:sz="4" w:space="0" w:color="auto"/>
              <w:left w:val="single" w:sz="4" w:space="0" w:color="auto"/>
              <w:bottom w:val="single" w:sz="4" w:space="0" w:color="auto"/>
              <w:right w:val="single" w:sz="4" w:space="0" w:color="auto"/>
            </w:tcBorders>
            <w:vAlign w:val="center"/>
          </w:tcPr>
          <w:p w:rsidR="007C359B" w:rsidRPr="0098559C" w:rsidRDefault="007C359B" w:rsidP="007C359B">
            <w:pPr>
              <w:jc w:val="center"/>
              <w:rPr>
                <w:rFonts w:ascii="Arial Narrow" w:hAnsi="Arial Narrow"/>
                <w:color w:val="000000"/>
                <w:sz w:val="20"/>
                <w:szCs w:val="18"/>
              </w:rPr>
            </w:pPr>
            <w:r w:rsidRPr="0098559C">
              <w:rPr>
                <w:rFonts w:ascii="Arial Narrow" w:hAnsi="Arial Narrow"/>
                <w:color w:val="000000"/>
                <w:sz w:val="20"/>
                <w:szCs w:val="18"/>
              </w:rPr>
              <w:t>NR</w:t>
            </w:r>
          </w:p>
        </w:tc>
        <w:tc>
          <w:tcPr>
            <w:tcW w:w="546" w:type="pct"/>
            <w:tcBorders>
              <w:top w:val="single" w:sz="4" w:space="0" w:color="auto"/>
              <w:left w:val="single" w:sz="4" w:space="0" w:color="auto"/>
              <w:bottom w:val="single" w:sz="4" w:space="0" w:color="auto"/>
              <w:right w:val="single" w:sz="4" w:space="0" w:color="auto"/>
            </w:tcBorders>
            <w:vAlign w:val="center"/>
          </w:tcPr>
          <w:p w:rsidR="007C359B" w:rsidRPr="0098559C" w:rsidRDefault="007C359B" w:rsidP="007C359B">
            <w:pPr>
              <w:jc w:val="center"/>
              <w:rPr>
                <w:rFonts w:ascii="Arial Narrow" w:hAnsi="Arial Narrow"/>
                <w:color w:val="000000"/>
                <w:sz w:val="20"/>
                <w:szCs w:val="18"/>
              </w:rPr>
            </w:pPr>
            <w:r w:rsidRPr="0098559C">
              <w:rPr>
                <w:rFonts w:ascii="Arial Narrow" w:hAnsi="Arial Narrow"/>
                <w:color w:val="000000"/>
                <w:sz w:val="20"/>
                <w:szCs w:val="18"/>
              </w:rPr>
              <w:t>64</w:t>
            </w:r>
          </w:p>
        </w:tc>
        <w:tc>
          <w:tcPr>
            <w:tcW w:w="546" w:type="pct"/>
            <w:tcBorders>
              <w:top w:val="single" w:sz="4" w:space="0" w:color="auto"/>
              <w:left w:val="single" w:sz="4" w:space="0" w:color="auto"/>
              <w:bottom w:val="single" w:sz="4" w:space="0" w:color="auto"/>
              <w:right w:val="single" w:sz="4" w:space="0" w:color="auto"/>
            </w:tcBorders>
            <w:vAlign w:val="center"/>
          </w:tcPr>
          <w:p w:rsidR="007C359B" w:rsidRPr="0098559C" w:rsidRDefault="007C359B" w:rsidP="007C359B">
            <w:pPr>
              <w:jc w:val="center"/>
              <w:rPr>
                <w:rFonts w:ascii="Arial Narrow" w:hAnsi="Arial Narrow"/>
                <w:color w:val="000000"/>
                <w:sz w:val="20"/>
                <w:szCs w:val="18"/>
              </w:rPr>
            </w:pPr>
            <w:r w:rsidRPr="0098559C">
              <w:rPr>
                <w:rFonts w:ascii="Arial Narrow" w:hAnsi="Arial Narrow"/>
                <w:color w:val="000000"/>
                <w:sz w:val="20"/>
                <w:szCs w:val="18"/>
              </w:rPr>
              <w:t>3</w:t>
            </w:r>
          </w:p>
        </w:tc>
        <w:tc>
          <w:tcPr>
            <w:tcW w:w="538" w:type="pct"/>
            <w:tcBorders>
              <w:top w:val="single" w:sz="4" w:space="0" w:color="auto"/>
              <w:left w:val="single" w:sz="4" w:space="0" w:color="auto"/>
              <w:bottom w:val="single" w:sz="4" w:space="0" w:color="auto"/>
              <w:right w:val="single" w:sz="4" w:space="0" w:color="auto"/>
            </w:tcBorders>
            <w:vAlign w:val="center"/>
          </w:tcPr>
          <w:p w:rsidR="007C359B" w:rsidRPr="0098559C" w:rsidRDefault="00D0262A" w:rsidP="002A5C95">
            <w:pPr>
              <w:jc w:val="center"/>
              <w:rPr>
                <w:rFonts w:ascii="Arial Narrow" w:hAnsi="Arial Narrow"/>
                <w:color w:val="000000"/>
                <w:sz w:val="20"/>
                <w:szCs w:val="18"/>
              </w:rPr>
            </w:pPr>
            <w:r w:rsidRPr="0098559C">
              <w:rPr>
                <w:rFonts w:ascii="Arial Narrow" w:hAnsi="Arial Narrow"/>
                <w:color w:val="000000"/>
                <w:sz w:val="20"/>
                <w:szCs w:val="18"/>
              </w:rPr>
              <w:t>61</w:t>
            </w:r>
          </w:p>
        </w:tc>
      </w:tr>
      <w:tr w:rsidR="001C0FD0" w:rsidRPr="00840A41" w:rsidTr="00514D7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C0FD0" w:rsidRPr="0098559C" w:rsidRDefault="007C359B" w:rsidP="007C359B">
            <w:pPr>
              <w:rPr>
                <w:rFonts w:ascii="Arial Narrow" w:hAnsi="Arial Narrow"/>
                <w:b/>
                <w:color w:val="000000"/>
                <w:sz w:val="20"/>
                <w:szCs w:val="18"/>
              </w:rPr>
            </w:pPr>
            <w:r w:rsidRPr="0098559C">
              <w:rPr>
                <w:rFonts w:ascii="Arial Narrow" w:hAnsi="Arial Narrow"/>
                <w:b/>
                <w:color w:val="000000"/>
                <w:sz w:val="20"/>
                <w:szCs w:val="18"/>
              </w:rPr>
              <w:t>Redness &gt;</w:t>
            </w:r>
            <w:r w:rsidR="00744F50" w:rsidRPr="0098559C">
              <w:rPr>
                <w:rFonts w:ascii="Arial Narrow" w:hAnsi="Arial Narrow"/>
                <w:b/>
                <w:color w:val="000000"/>
                <w:sz w:val="20"/>
                <w:szCs w:val="18"/>
              </w:rPr>
              <w:t xml:space="preserve"> </w:t>
            </w:r>
            <w:r w:rsidRPr="0098559C">
              <w:rPr>
                <w:rFonts w:ascii="Arial Narrow" w:hAnsi="Arial Narrow"/>
                <w:b/>
                <w:color w:val="000000"/>
                <w:sz w:val="20"/>
                <w:szCs w:val="18"/>
              </w:rPr>
              <w:t>100</w:t>
            </w:r>
            <w:r w:rsidR="00744F50" w:rsidRPr="0098559C">
              <w:rPr>
                <w:rFonts w:ascii="Arial Narrow" w:hAnsi="Arial Narrow"/>
                <w:b/>
                <w:color w:val="000000"/>
                <w:sz w:val="20"/>
                <w:szCs w:val="18"/>
              </w:rPr>
              <w:t xml:space="preserve"> </w:t>
            </w:r>
            <w:r w:rsidRPr="0098559C">
              <w:rPr>
                <w:rFonts w:ascii="Arial Narrow" w:hAnsi="Arial Narrow"/>
                <w:b/>
                <w:color w:val="000000"/>
                <w:sz w:val="20"/>
                <w:szCs w:val="18"/>
              </w:rPr>
              <w:t>mm</w:t>
            </w:r>
          </w:p>
        </w:tc>
      </w:tr>
      <w:tr w:rsidR="00B53757" w:rsidRPr="00840A41"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840A41" w:rsidRPr="0098559C" w:rsidRDefault="00840A41" w:rsidP="00840A41">
            <w:pPr>
              <w:rPr>
                <w:rFonts w:ascii="Arial Narrow" w:hAnsi="Arial Narrow"/>
                <w:color w:val="000000"/>
                <w:sz w:val="20"/>
                <w:szCs w:val="18"/>
              </w:rPr>
            </w:pPr>
            <w:r w:rsidRPr="0098559C">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141/4</w:t>
            </w:r>
            <w:r w:rsidR="00514D7E" w:rsidRPr="0098559C">
              <w:rPr>
                <w:rFonts w:ascii="Arial Narrow" w:hAnsi="Arial Narrow"/>
                <w:color w:val="000000"/>
                <w:sz w:val="20"/>
                <w:szCs w:val="18"/>
              </w:rPr>
              <w:t>,</w:t>
            </w:r>
            <w:r w:rsidRPr="0098559C">
              <w:rPr>
                <w:rFonts w:ascii="Arial Narrow" w:hAnsi="Arial Narrow"/>
                <w:color w:val="000000"/>
                <w:sz w:val="20"/>
                <w:szCs w:val="18"/>
              </w:rPr>
              <w:t>884</w:t>
            </w:r>
          </w:p>
        </w:tc>
        <w:tc>
          <w:tcPr>
            <w:tcW w:w="625"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0/4</w:t>
            </w:r>
            <w:r w:rsidR="00514D7E" w:rsidRPr="0098559C">
              <w:rPr>
                <w:rFonts w:ascii="Arial Narrow" w:hAnsi="Arial Narrow"/>
                <w:color w:val="000000"/>
                <w:sz w:val="20"/>
                <w:szCs w:val="18"/>
              </w:rPr>
              <w:t>,</w:t>
            </w:r>
            <w:r w:rsidRPr="0098559C">
              <w:rPr>
                <w:rFonts w:ascii="Arial Narrow" w:hAnsi="Arial Narrow"/>
                <w:color w:val="000000"/>
                <w:sz w:val="20"/>
                <w:szCs w:val="18"/>
              </w:rPr>
              <w:t>880</w:t>
            </w:r>
          </w:p>
        </w:tc>
        <w:tc>
          <w:tcPr>
            <w:tcW w:w="780"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NR</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2A5C95">
            <w:pPr>
              <w:jc w:val="center"/>
              <w:rPr>
                <w:rFonts w:ascii="Arial Narrow" w:hAnsi="Arial Narrow"/>
                <w:color w:val="000000"/>
                <w:sz w:val="20"/>
                <w:szCs w:val="18"/>
              </w:rPr>
            </w:pPr>
            <w:r w:rsidRPr="0098559C">
              <w:rPr>
                <w:rFonts w:ascii="Arial Narrow" w:hAnsi="Arial Narrow"/>
                <w:color w:val="000000"/>
                <w:sz w:val="20"/>
                <w:szCs w:val="18"/>
              </w:rPr>
              <w:t>29</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2A5C95">
            <w:pPr>
              <w:jc w:val="center"/>
              <w:rPr>
                <w:rFonts w:ascii="Arial Narrow" w:hAnsi="Arial Narrow"/>
                <w:color w:val="000000"/>
                <w:sz w:val="20"/>
                <w:szCs w:val="18"/>
              </w:rPr>
            </w:pPr>
            <w:r w:rsidRPr="0098559C">
              <w:rPr>
                <w:rFonts w:ascii="Arial Narrow" w:hAnsi="Arial Narrow"/>
                <w:color w:val="000000"/>
                <w:sz w:val="20"/>
                <w:szCs w:val="18"/>
              </w:rPr>
              <w:t>0</w:t>
            </w:r>
          </w:p>
        </w:tc>
        <w:tc>
          <w:tcPr>
            <w:tcW w:w="538" w:type="pct"/>
            <w:tcBorders>
              <w:top w:val="single" w:sz="4" w:space="0" w:color="auto"/>
              <w:left w:val="single" w:sz="4" w:space="0" w:color="auto"/>
              <w:bottom w:val="single" w:sz="4" w:space="0" w:color="auto"/>
              <w:right w:val="single" w:sz="4" w:space="0" w:color="auto"/>
            </w:tcBorders>
            <w:vAlign w:val="center"/>
          </w:tcPr>
          <w:p w:rsidR="00840A41" w:rsidRPr="0098559C" w:rsidRDefault="00D0262A" w:rsidP="002A5C95">
            <w:pPr>
              <w:jc w:val="center"/>
              <w:rPr>
                <w:rFonts w:ascii="Arial Narrow" w:hAnsi="Arial Narrow"/>
                <w:color w:val="000000"/>
                <w:sz w:val="20"/>
                <w:szCs w:val="18"/>
              </w:rPr>
            </w:pPr>
            <w:r w:rsidRPr="0098559C">
              <w:rPr>
                <w:rFonts w:ascii="Arial Narrow" w:hAnsi="Arial Narrow"/>
                <w:color w:val="000000"/>
                <w:sz w:val="20"/>
                <w:szCs w:val="18"/>
              </w:rPr>
              <w:t>29</w:t>
            </w:r>
          </w:p>
        </w:tc>
      </w:tr>
      <w:tr w:rsidR="001C0FD0" w:rsidRPr="008B348A" w:rsidTr="00514D7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1C0FD0" w:rsidRPr="0098559C" w:rsidRDefault="007C359B" w:rsidP="007C359B">
            <w:pPr>
              <w:rPr>
                <w:rFonts w:ascii="Arial Narrow" w:hAnsi="Arial Narrow"/>
                <w:color w:val="000000"/>
                <w:sz w:val="20"/>
                <w:szCs w:val="18"/>
              </w:rPr>
            </w:pPr>
            <w:r w:rsidRPr="0098559C">
              <w:rPr>
                <w:rFonts w:ascii="Arial Narrow" w:hAnsi="Arial Narrow"/>
                <w:b/>
                <w:color w:val="000000"/>
                <w:sz w:val="20"/>
                <w:szCs w:val="18"/>
              </w:rPr>
              <w:t>Swelling &gt;</w:t>
            </w:r>
            <w:r w:rsidR="00744F50" w:rsidRPr="0098559C">
              <w:rPr>
                <w:rFonts w:ascii="Arial Narrow" w:hAnsi="Arial Narrow"/>
                <w:b/>
                <w:color w:val="000000"/>
                <w:sz w:val="20"/>
                <w:szCs w:val="18"/>
              </w:rPr>
              <w:t xml:space="preserve"> </w:t>
            </w:r>
            <w:r w:rsidRPr="0098559C">
              <w:rPr>
                <w:rFonts w:ascii="Arial Narrow" w:hAnsi="Arial Narrow"/>
                <w:b/>
                <w:color w:val="000000"/>
                <w:sz w:val="20"/>
                <w:szCs w:val="18"/>
              </w:rPr>
              <w:t>100</w:t>
            </w:r>
            <w:r w:rsidR="00744F50" w:rsidRPr="0098559C">
              <w:rPr>
                <w:rFonts w:ascii="Arial Narrow" w:hAnsi="Arial Narrow"/>
                <w:b/>
                <w:color w:val="000000"/>
                <w:sz w:val="20"/>
                <w:szCs w:val="18"/>
              </w:rPr>
              <w:t xml:space="preserve"> </w:t>
            </w:r>
            <w:r w:rsidRPr="0098559C">
              <w:rPr>
                <w:rFonts w:ascii="Arial Narrow" w:hAnsi="Arial Narrow"/>
                <w:b/>
                <w:color w:val="000000"/>
                <w:sz w:val="20"/>
                <w:szCs w:val="18"/>
              </w:rPr>
              <w:t>mm</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840A41" w:rsidRPr="0098559C" w:rsidRDefault="00840A41" w:rsidP="00840A41">
            <w:pPr>
              <w:rPr>
                <w:rFonts w:ascii="Arial Narrow" w:hAnsi="Arial Narrow"/>
                <w:color w:val="000000"/>
                <w:sz w:val="20"/>
                <w:szCs w:val="18"/>
              </w:rPr>
            </w:pPr>
            <w:r w:rsidRPr="0098559C">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51/4</w:t>
            </w:r>
            <w:r w:rsidR="00514D7E" w:rsidRPr="0098559C">
              <w:rPr>
                <w:rFonts w:ascii="Arial Narrow" w:hAnsi="Arial Narrow"/>
                <w:color w:val="000000"/>
                <w:sz w:val="20"/>
                <w:szCs w:val="18"/>
              </w:rPr>
              <w:t>,</w:t>
            </w:r>
            <w:r w:rsidRPr="0098559C">
              <w:rPr>
                <w:rFonts w:ascii="Arial Narrow" w:hAnsi="Arial Narrow"/>
                <w:color w:val="000000"/>
                <w:sz w:val="20"/>
                <w:szCs w:val="18"/>
              </w:rPr>
              <w:t>884</w:t>
            </w:r>
          </w:p>
        </w:tc>
        <w:tc>
          <w:tcPr>
            <w:tcW w:w="625"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0/4</w:t>
            </w:r>
            <w:r w:rsidR="00514D7E" w:rsidRPr="0098559C">
              <w:rPr>
                <w:rFonts w:ascii="Arial Narrow" w:hAnsi="Arial Narrow"/>
                <w:color w:val="000000"/>
                <w:sz w:val="20"/>
                <w:szCs w:val="18"/>
              </w:rPr>
              <w:t>,</w:t>
            </w:r>
            <w:r w:rsidRPr="0098559C">
              <w:rPr>
                <w:rFonts w:ascii="Arial Narrow" w:hAnsi="Arial Narrow"/>
                <w:color w:val="000000"/>
                <w:sz w:val="20"/>
                <w:szCs w:val="18"/>
              </w:rPr>
              <w:t>880</w:t>
            </w:r>
          </w:p>
        </w:tc>
        <w:tc>
          <w:tcPr>
            <w:tcW w:w="780"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840A41">
            <w:pPr>
              <w:jc w:val="center"/>
              <w:rPr>
                <w:rFonts w:ascii="Arial Narrow" w:hAnsi="Arial Narrow"/>
                <w:color w:val="000000"/>
                <w:sz w:val="20"/>
                <w:szCs w:val="18"/>
              </w:rPr>
            </w:pPr>
            <w:r w:rsidRPr="0098559C">
              <w:rPr>
                <w:rFonts w:ascii="Arial Narrow" w:hAnsi="Arial Narrow"/>
                <w:color w:val="000000"/>
                <w:sz w:val="20"/>
                <w:szCs w:val="18"/>
              </w:rPr>
              <w:t>NR</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2A5C95">
            <w:pPr>
              <w:jc w:val="center"/>
              <w:rPr>
                <w:rFonts w:ascii="Arial Narrow" w:hAnsi="Arial Narrow"/>
                <w:color w:val="000000"/>
                <w:sz w:val="20"/>
                <w:szCs w:val="18"/>
              </w:rPr>
            </w:pPr>
            <w:r w:rsidRPr="0098559C">
              <w:rPr>
                <w:rFonts w:ascii="Arial Narrow" w:hAnsi="Arial Narrow"/>
                <w:color w:val="000000"/>
                <w:sz w:val="20"/>
              </w:rPr>
              <w:t>10</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D30847" w:rsidP="00840A41">
            <w:pPr>
              <w:jc w:val="center"/>
              <w:rPr>
                <w:rFonts w:ascii="Arial Narrow" w:hAnsi="Arial Narrow"/>
                <w:color w:val="000000"/>
                <w:sz w:val="20"/>
                <w:szCs w:val="18"/>
              </w:rPr>
            </w:pPr>
            <w:r w:rsidRPr="0098559C">
              <w:rPr>
                <w:rFonts w:ascii="Arial Narrow" w:hAnsi="Arial Narrow"/>
                <w:color w:val="000000"/>
                <w:sz w:val="20"/>
              </w:rPr>
              <w:t>0</w:t>
            </w:r>
          </w:p>
        </w:tc>
        <w:tc>
          <w:tcPr>
            <w:tcW w:w="538" w:type="pct"/>
            <w:tcBorders>
              <w:top w:val="single" w:sz="4" w:space="0" w:color="auto"/>
              <w:left w:val="single" w:sz="4" w:space="0" w:color="auto"/>
              <w:bottom w:val="single" w:sz="4" w:space="0" w:color="auto"/>
              <w:right w:val="single" w:sz="4" w:space="0" w:color="auto"/>
            </w:tcBorders>
            <w:vAlign w:val="center"/>
          </w:tcPr>
          <w:p w:rsidR="00840A41" w:rsidRPr="0098559C" w:rsidRDefault="00D0262A" w:rsidP="002A5C95">
            <w:pPr>
              <w:jc w:val="center"/>
              <w:rPr>
                <w:rFonts w:ascii="Arial Narrow" w:hAnsi="Arial Narrow"/>
                <w:color w:val="000000"/>
                <w:sz w:val="20"/>
                <w:szCs w:val="18"/>
              </w:rPr>
            </w:pPr>
            <w:r w:rsidRPr="0098559C">
              <w:rPr>
                <w:rFonts w:ascii="Arial Narrow" w:hAnsi="Arial Narrow"/>
                <w:color w:val="000000"/>
                <w:sz w:val="20"/>
              </w:rPr>
              <w:t>10</w:t>
            </w:r>
          </w:p>
        </w:tc>
      </w:tr>
      <w:tr w:rsidR="00840A41" w:rsidRPr="00B67444" w:rsidTr="00514D7E">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40A41" w:rsidRPr="0098559C" w:rsidRDefault="00840A41" w:rsidP="006C0242">
            <w:pPr>
              <w:rPr>
                <w:rFonts w:ascii="Arial Narrow" w:hAnsi="Arial Narrow"/>
                <w:color w:val="000000"/>
                <w:sz w:val="20"/>
                <w:szCs w:val="18"/>
              </w:rPr>
            </w:pPr>
            <w:r w:rsidRPr="0098559C">
              <w:rPr>
                <w:rFonts w:ascii="Arial Narrow" w:hAnsi="Arial Narrow"/>
                <w:b/>
                <w:color w:val="000000"/>
                <w:sz w:val="20"/>
                <w:szCs w:val="18"/>
              </w:rPr>
              <w:t>Serious adverse events, at least one symptom</w:t>
            </w:r>
          </w:p>
        </w:tc>
      </w:tr>
      <w:tr w:rsidR="00B53757" w:rsidRPr="008B348A" w:rsidTr="00B5375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840A41" w:rsidRPr="0098559C" w:rsidRDefault="00840A41" w:rsidP="00840A41">
            <w:pPr>
              <w:rPr>
                <w:rFonts w:ascii="Arial Narrow" w:hAnsi="Arial Narrow"/>
                <w:color w:val="000000"/>
                <w:sz w:val="20"/>
                <w:szCs w:val="18"/>
              </w:rPr>
            </w:pPr>
            <w:r w:rsidRPr="0098559C">
              <w:rPr>
                <w:rFonts w:ascii="Arial Narrow" w:hAnsi="Arial Narrow"/>
                <w:color w:val="000000"/>
                <w:sz w:val="20"/>
                <w:szCs w:val="18"/>
              </w:rPr>
              <w:t>Pooled ZOE-50 and ZOE-70</w:t>
            </w:r>
          </w:p>
        </w:tc>
        <w:tc>
          <w:tcPr>
            <w:tcW w:w="623" w:type="pct"/>
            <w:tcBorders>
              <w:top w:val="single" w:sz="4" w:space="0" w:color="auto"/>
              <w:left w:val="single" w:sz="4" w:space="0" w:color="auto"/>
              <w:bottom w:val="single" w:sz="4" w:space="0" w:color="auto"/>
              <w:right w:val="single" w:sz="4" w:space="0" w:color="auto"/>
            </w:tcBorders>
            <w:vAlign w:val="center"/>
          </w:tcPr>
          <w:p w:rsidR="00840A41" w:rsidRPr="0098559C" w:rsidRDefault="00514D7E" w:rsidP="00840A41">
            <w:pPr>
              <w:jc w:val="center"/>
              <w:rPr>
                <w:rFonts w:ascii="Arial Narrow" w:hAnsi="Arial Narrow"/>
                <w:color w:val="000000"/>
                <w:sz w:val="20"/>
                <w:szCs w:val="18"/>
              </w:rPr>
            </w:pPr>
            <w:r w:rsidRPr="0098559C">
              <w:rPr>
                <w:rFonts w:ascii="Arial Narrow" w:hAnsi="Arial Narrow"/>
                <w:color w:val="000000"/>
                <w:sz w:val="20"/>
                <w:szCs w:val="18"/>
              </w:rPr>
              <w:t>1</w:t>
            </w:r>
            <w:r w:rsidR="00761E8E" w:rsidRPr="0098559C">
              <w:rPr>
                <w:rFonts w:ascii="Arial Narrow" w:hAnsi="Arial Narrow"/>
                <w:color w:val="000000"/>
                <w:sz w:val="20"/>
                <w:szCs w:val="18"/>
              </w:rPr>
              <w:t>,</w:t>
            </w:r>
            <w:r w:rsidRPr="0098559C">
              <w:rPr>
                <w:rFonts w:ascii="Arial Narrow" w:hAnsi="Arial Narrow"/>
                <w:color w:val="000000"/>
                <w:sz w:val="20"/>
                <w:szCs w:val="18"/>
              </w:rPr>
              <w:t>880/14,645</w:t>
            </w:r>
          </w:p>
        </w:tc>
        <w:tc>
          <w:tcPr>
            <w:tcW w:w="625" w:type="pct"/>
            <w:tcBorders>
              <w:top w:val="single" w:sz="4" w:space="0" w:color="auto"/>
              <w:left w:val="single" w:sz="4" w:space="0" w:color="auto"/>
              <w:bottom w:val="single" w:sz="4" w:space="0" w:color="auto"/>
              <w:right w:val="single" w:sz="4" w:space="0" w:color="auto"/>
            </w:tcBorders>
            <w:vAlign w:val="center"/>
          </w:tcPr>
          <w:p w:rsidR="00840A41" w:rsidRPr="0098559C" w:rsidRDefault="00514D7E" w:rsidP="00840A41">
            <w:pPr>
              <w:jc w:val="center"/>
              <w:rPr>
                <w:rFonts w:ascii="Arial Narrow" w:hAnsi="Arial Narrow"/>
                <w:color w:val="000000"/>
                <w:sz w:val="20"/>
                <w:szCs w:val="18"/>
              </w:rPr>
            </w:pPr>
            <w:r w:rsidRPr="0098559C">
              <w:rPr>
                <w:rFonts w:ascii="Arial Narrow" w:hAnsi="Arial Narrow"/>
                <w:color w:val="000000"/>
                <w:sz w:val="20"/>
                <w:szCs w:val="18"/>
              </w:rPr>
              <w:t>1945/14,660</w:t>
            </w:r>
          </w:p>
        </w:tc>
        <w:tc>
          <w:tcPr>
            <w:tcW w:w="780" w:type="pct"/>
            <w:tcBorders>
              <w:top w:val="single" w:sz="4" w:space="0" w:color="auto"/>
              <w:left w:val="single" w:sz="4" w:space="0" w:color="auto"/>
              <w:bottom w:val="single" w:sz="4" w:space="0" w:color="auto"/>
              <w:right w:val="single" w:sz="4" w:space="0" w:color="auto"/>
            </w:tcBorders>
            <w:vAlign w:val="center"/>
          </w:tcPr>
          <w:p w:rsidR="00840A41" w:rsidRPr="0098559C" w:rsidRDefault="00B67444" w:rsidP="00B67444">
            <w:pPr>
              <w:pStyle w:val="Tabletext"/>
              <w:jc w:val="center"/>
              <w:rPr>
                <w:rFonts w:cs="Arial"/>
                <w:snapToGrid w:val="0"/>
                <w:color w:val="000000"/>
                <w:szCs w:val="18"/>
              </w:rPr>
            </w:pPr>
            <w:r w:rsidRPr="0098559C">
              <w:rPr>
                <w:rFonts w:cs="Arial"/>
                <w:snapToGrid w:val="0"/>
                <w:color w:val="000000"/>
                <w:szCs w:val="18"/>
              </w:rPr>
              <w:t>0.97 (0.91-1.03)</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2A5C95">
            <w:pPr>
              <w:jc w:val="center"/>
              <w:rPr>
                <w:rFonts w:ascii="Arial Narrow" w:hAnsi="Arial Narrow"/>
                <w:color w:val="000000"/>
                <w:sz w:val="20"/>
                <w:szCs w:val="18"/>
              </w:rPr>
            </w:pPr>
            <w:r w:rsidRPr="0098559C">
              <w:rPr>
                <w:rFonts w:ascii="Arial Narrow" w:hAnsi="Arial Narrow"/>
                <w:color w:val="000000"/>
                <w:sz w:val="20"/>
              </w:rPr>
              <w:t>128</w:t>
            </w:r>
          </w:p>
        </w:tc>
        <w:tc>
          <w:tcPr>
            <w:tcW w:w="546" w:type="pct"/>
            <w:tcBorders>
              <w:top w:val="single" w:sz="4" w:space="0" w:color="auto"/>
              <w:left w:val="single" w:sz="4" w:space="0" w:color="auto"/>
              <w:bottom w:val="single" w:sz="4" w:space="0" w:color="auto"/>
              <w:right w:val="single" w:sz="4" w:space="0" w:color="auto"/>
            </w:tcBorders>
            <w:vAlign w:val="center"/>
          </w:tcPr>
          <w:p w:rsidR="00840A41" w:rsidRPr="0098559C" w:rsidRDefault="00840A41" w:rsidP="002A5C95">
            <w:pPr>
              <w:jc w:val="center"/>
              <w:rPr>
                <w:rFonts w:ascii="Arial Narrow" w:hAnsi="Arial Narrow"/>
                <w:color w:val="000000"/>
                <w:sz w:val="20"/>
                <w:szCs w:val="18"/>
              </w:rPr>
            </w:pPr>
            <w:r w:rsidRPr="0098559C">
              <w:rPr>
                <w:rFonts w:ascii="Arial Narrow" w:hAnsi="Arial Narrow"/>
                <w:color w:val="000000"/>
                <w:sz w:val="20"/>
              </w:rPr>
              <w:t>133</w:t>
            </w:r>
          </w:p>
        </w:tc>
        <w:tc>
          <w:tcPr>
            <w:tcW w:w="538" w:type="pct"/>
            <w:tcBorders>
              <w:top w:val="single" w:sz="4" w:space="0" w:color="auto"/>
              <w:left w:val="single" w:sz="4" w:space="0" w:color="auto"/>
              <w:bottom w:val="single" w:sz="4" w:space="0" w:color="auto"/>
              <w:right w:val="single" w:sz="4" w:space="0" w:color="auto"/>
            </w:tcBorders>
            <w:vAlign w:val="center"/>
          </w:tcPr>
          <w:p w:rsidR="00840A41" w:rsidRPr="0098559C" w:rsidRDefault="00B67444" w:rsidP="002A5C95">
            <w:pPr>
              <w:jc w:val="center"/>
              <w:rPr>
                <w:rFonts w:ascii="Arial Narrow" w:hAnsi="Arial Narrow"/>
                <w:color w:val="000000"/>
                <w:sz w:val="20"/>
                <w:szCs w:val="18"/>
              </w:rPr>
            </w:pPr>
            <w:r w:rsidRPr="0098559C">
              <w:rPr>
                <w:rFonts w:ascii="Arial Narrow" w:hAnsi="Arial Narrow"/>
                <w:color w:val="000000"/>
                <w:sz w:val="20"/>
              </w:rPr>
              <w:t>-5</w:t>
            </w:r>
          </w:p>
        </w:tc>
      </w:tr>
    </w:tbl>
    <w:p w:rsidR="00E83DC9" w:rsidRDefault="00E83DC9" w:rsidP="00E83DC9">
      <w:pPr>
        <w:pStyle w:val="TableFooter"/>
      </w:pPr>
      <w:r w:rsidRPr="008B348A">
        <w:rPr>
          <w:rFonts w:eastAsia="Calibri"/>
        </w:rPr>
        <w:t xml:space="preserve">CI: confidence interval; </w:t>
      </w:r>
      <w:r>
        <w:rPr>
          <w:rFonts w:eastAsia="Calibri"/>
        </w:rPr>
        <w:t xml:space="preserve">HZ: herpes zoster; </w:t>
      </w:r>
      <w:r w:rsidR="00744F50">
        <w:rPr>
          <w:rFonts w:eastAsia="Calibri"/>
        </w:rPr>
        <w:t>HZ/</w:t>
      </w:r>
      <w:proofErr w:type="spellStart"/>
      <w:r w:rsidR="00744F50">
        <w:rPr>
          <w:rFonts w:eastAsia="Calibri"/>
        </w:rPr>
        <w:t>su</w:t>
      </w:r>
      <w:proofErr w:type="spellEnd"/>
      <w:r w:rsidR="00744F50">
        <w:rPr>
          <w:rFonts w:eastAsia="Calibri"/>
        </w:rPr>
        <w:t xml:space="preserve">: recombinant varicella zoster vaccine; </w:t>
      </w:r>
      <w:r w:rsidRPr="008B348A">
        <w:rPr>
          <w:rFonts w:eastAsia="Calibri"/>
        </w:rPr>
        <w:t>n: number of participants reporting data; N: total participants in group;</w:t>
      </w:r>
      <w:r w:rsidR="00E77743">
        <w:rPr>
          <w:rFonts w:eastAsia="Calibri"/>
        </w:rPr>
        <w:t xml:space="preserve"> </w:t>
      </w:r>
      <w:r w:rsidR="00BC7180">
        <w:rPr>
          <w:rFonts w:eastAsia="Calibri"/>
        </w:rPr>
        <w:t xml:space="preserve">NR: not reported; </w:t>
      </w:r>
      <w:r w:rsidR="00E77743">
        <w:rPr>
          <w:rFonts w:eastAsia="Calibri"/>
        </w:rPr>
        <w:t>PBO: placebo;</w:t>
      </w:r>
      <w:r w:rsidRPr="008B348A">
        <w:rPr>
          <w:rFonts w:eastAsia="Calibri"/>
        </w:rPr>
        <w:t xml:space="preserve"> </w:t>
      </w:r>
      <w:r>
        <w:rPr>
          <w:rFonts w:eastAsia="Calibri"/>
        </w:rPr>
        <w:t xml:space="preserve">PHN: </w:t>
      </w:r>
      <w:r w:rsidR="009042CD">
        <w:rPr>
          <w:rFonts w:eastAsia="Calibri"/>
        </w:rPr>
        <w:t>post-herpetic</w:t>
      </w:r>
      <w:r w:rsidRPr="00E83DC9">
        <w:rPr>
          <w:rFonts w:eastAsia="Calibri"/>
        </w:rPr>
        <w:t xml:space="preserve"> neuralgia</w:t>
      </w:r>
      <w:r>
        <w:rPr>
          <w:rFonts w:eastAsia="Calibri"/>
        </w:rPr>
        <w:t xml:space="preserve">; </w:t>
      </w:r>
      <w:r w:rsidRPr="008B348A">
        <w:rPr>
          <w:rFonts w:eastAsia="Calibri"/>
        </w:rPr>
        <w:t>RD: risk difference; RR: relative risk</w:t>
      </w:r>
      <w:r>
        <w:t>; SAE: serious adverse event; VE: vaccine efficacy.</w:t>
      </w:r>
    </w:p>
    <w:p w:rsidR="00862A8B" w:rsidRDefault="00862A8B" w:rsidP="00862A8B">
      <w:pPr>
        <w:pStyle w:val="TableFooter"/>
      </w:pPr>
      <w:r>
        <w:t xml:space="preserve">^persons aged </w:t>
      </w:r>
      <w:r>
        <w:rPr>
          <w:rFonts w:ascii="Candara" w:hAnsi="Candara"/>
        </w:rPr>
        <w:t>≥</w:t>
      </w:r>
      <w:r>
        <w:t>70 YOA</w:t>
      </w:r>
    </w:p>
    <w:p w:rsidR="00744F50" w:rsidRDefault="00744F50" w:rsidP="00744F50">
      <w:pPr>
        <w:pStyle w:val="TableFooter"/>
      </w:pPr>
      <w:r>
        <w:t>*</w:t>
      </w:r>
      <w:r w:rsidR="00C7438D">
        <w:t xml:space="preserve"> Mean</w:t>
      </w:r>
      <w:r w:rsidRPr="00274FB1">
        <w:t xml:space="preserve"> duration of follow-up: ZOE-50 = 3.</w:t>
      </w:r>
      <w:r w:rsidR="00862A8B">
        <w:t>2</w:t>
      </w:r>
      <w:r w:rsidRPr="00274FB1">
        <w:t xml:space="preserve"> years; ZOE-70 = 3.7 years.</w:t>
      </w:r>
    </w:p>
    <w:p w:rsidR="00744F50" w:rsidRPr="0098559C" w:rsidRDefault="00744F50" w:rsidP="00744F50">
      <w:pPr>
        <w:pStyle w:val="TableFooter"/>
      </w:pPr>
      <w:r w:rsidRPr="0098559C">
        <w:t>** Calculated during the evaluation</w:t>
      </w:r>
    </w:p>
    <w:p w:rsidR="00841D09" w:rsidRDefault="007F4A61" w:rsidP="007F4A61">
      <w:pPr>
        <w:pStyle w:val="TableFooter"/>
      </w:pPr>
      <w:r w:rsidRPr="00B67444">
        <w:t xml:space="preserve">Source: </w:t>
      </w:r>
      <w:r w:rsidR="00F61A01" w:rsidRPr="008B348A">
        <w:t>T</w:t>
      </w:r>
      <w:r w:rsidR="00F61A01">
        <w:t xml:space="preserve">able 22 and 23 p73-74, </w:t>
      </w:r>
      <w:r w:rsidR="00F61A01" w:rsidRPr="008B348A">
        <w:t>Table 24 and 25</w:t>
      </w:r>
      <w:r w:rsidR="00F61A01">
        <w:t xml:space="preserve"> p74-75, and </w:t>
      </w:r>
      <w:r w:rsidR="00B67444" w:rsidRPr="00B67444">
        <w:t>Table 33-36 p87 of the submission</w:t>
      </w:r>
      <w:r w:rsidR="00B67444">
        <w:t>.</w:t>
      </w:r>
    </w:p>
    <w:p w:rsidR="00841D09" w:rsidRDefault="00841D09" w:rsidP="00651FFE">
      <w:pPr>
        <w:pStyle w:val="TableFooter"/>
      </w:pPr>
      <w:r>
        <w:br w:type="page"/>
      </w:r>
    </w:p>
    <w:p w:rsidR="0042064D" w:rsidRPr="008B348A" w:rsidRDefault="0042064D" w:rsidP="00ED2457">
      <w:pPr>
        <w:pStyle w:val="ListParagraph"/>
        <w:widowControl/>
        <w:numPr>
          <w:ilvl w:val="1"/>
          <w:numId w:val="2"/>
        </w:numPr>
      </w:pPr>
      <w:r w:rsidRPr="008B348A">
        <w:lastRenderedPageBreak/>
        <w:t>A summary of the comparative benefits and harms for HZ/</w:t>
      </w:r>
      <w:proofErr w:type="spellStart"/>
      <w:r w:rsidRPr="008B348A">
        <w:t>su</w:t>
      </w:r>
      <w:proofErr w:type="spellEnd"/>
      <w:r w:rsidRPr="008B348A">
        <w:t xml:space="preserve"> versus the live-HZ vaccine is presented in </w:t>
      </w:r>
      <w:r w:rsidR="00036414">
        <w:t>Table</w:t>
      </w:r>
      <w:r w:rsidR="00855AE5">
        <w:t xml:space="preserve"> </w:t>
      </w:r>
      <w:r w:rsidR="00036414">
        <w:t>1</w:t>
      </w:r>
      <w:r w:rsidR="00DF7A69">
        <w:t>2</w:t>
      </w:r>
      <w:r w:rsidRPr="008B348A">
        <w:t xml:space="preserve">. </w:t>
      </w:r>
    </w:p>
    <w:p w:rsidR="00B62715" w:rsidRPr="00A83F3B" w:rsidRDefault="00B62715" w:rsidP="00514D7E">
      <w:pPr>
        <w:keepNext/>
        <w:keepLines/>
        <w:rPr>
          <w:rStyle w:val="CommentReference"/>
        </w:rPr>
      </w:pPr>
      <w:r w:rsidRPr="00A83F3B">
        <w:rPr>
          <w:rStyle w:val="CommentReference"/>
        </w:rPr>
        <w:t xml:space="preserve">Table </w:t>
      </w:r>
      <w:r w:rsidR="0038662B">
        <w:rPr>
          <w:rStyle w:val="CommentReference"/>
        </w:rPr>
        <w:t>1</w:t>
      </w:r>
      <w:r w:rsidR="00DF7A69">
        <w:rPr>
          <w:rStyle w:val="CommentReference"/>
        </w:rPr>
        <w:t>2</w:t>
      </w:r>
      <w:r w:rsidRPr="00A83F3B">
        <w:rPr>
          <w:rStyle w:val="CommentReference"/>
        </w:rPr>
        <w:t>:</w:t>
      </w:r>
      <w:r w:rsidR="003134A8">
        <w:rPr>
          <w:rStyle w:val="CommentReference"/>
        </w:rPr>
        <w:t xml:space="preserve"> </w:t>
      </w:r>
      <w:r w:rsidRPr="00A83F3B">
        <w:rPr>
          <w:rStyle w:val="CommentReference"/>
        </w:rPr>
        <w:t xml:space="preserve">Summary of comparative benefits and harms for </w:t>
      </w:r>
      <w:r w:rsidR="0042064D" w:rsidRPr="00A83F3B">
        <w:rPr>
          <w:rStyle w:val="CommentReference"/>
        </w:rPr>
        <w:t>the HZ/</w:t>
      </w:r>
      <w:proofErr w:type="spellStart"/>
      <w:r w:rsidR="0042064D" w:rsidRPr="00A83F3B">
        <w:rPr>
          <w:rStyle w:val="CommentReference"/>
        </w:rPr>
        <w:t>su</w:t>
      </w:r>
      <w:proofErr w:type="spellEnd"/>
      <w:r w:rsidR="0042064D" w:rsidRPr="00A83F3B">
        <w:rPr>
          <w:rStyle w:val="CommentReference"/>
        </w:rPr>
        <w:t xml:space="preserve"> vaccine </w:t>
      </w:r>
      <w:r w:rsidRPr="00A83F3B">
        <w:rPr>
          <w:rStyle w:val="CommentReference"/>
        </w:rPr>
        <w:t xml:space="preserve">and </w:t>
      </w:r>
      <w:r w:rsidR="0042064D" w:rsidRPr="00A83F3B">
        <w:rPr>
          <w:rStyle w:val="CommentReference"/>
        </w:rPr>
        <w:t>the live-HZ vaccine</w:t>
      </w:r>
    </w:p>
    <w:tbl>
      <w:tblPr>
        <w:tblW w:w="9100" w:type="dxa"/>
        <w:tblLayout w:type="fixed"/>
        <w:tblCellMar>
          <w:left w:w="28" w:type="dxa"/>
          <w:right w:w="28" w:type="dxa"/>
        </w:tblCellMar>
        <w:tblLook w:val="04A0" w:firstRow="1" w:lastRow="0" w:firstColumn="1" w:lastColumn="0" w:noHBand="0" w:noVBand="1"/>
      </w:tblPr>
      <w:tblGrid>
        <w:gridCol w:w="1588"/>
        <w:gridCol w:w="708"/>
        <w:gridCol w:w="142"/>
        <w:gridCol w:w="851"/>
        <w:gridCol w:w="141"/>
        <w:gridCol w:w="709"/>
        <w:gridCol w:w="425"/>
        <w:gridCol w:w="993"/>
        <w:gridCol w:w="283"/>
        <w:gridCol w:w="284"/>
        <w:gridCol w:w="567"/>
        <w:gridCol w:w="425"/>
        <w:gridCol w:w="283"/>
        <w:gridCol w:w="709"/>
        <w:gridCol w:w="992"/>
      </w:tblGrid>
      <w:tr w:rsidR="00227FB8" w:rsidRPr="0098559C" w:rsidTr="00227FB8">
        <w:trPr>
          <w:cantSplit/>
          <w:trHeight w:val="105"/>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38662B">
            <w:pPr>
              <w:keepNext/>
              <w:keepLines/>
              <w:rPr>
                <w:rFonts w:ascii="Arial Narrow" w:hAnsi="Arial Narrow"/>
                <w:color w:val="000000"/>
                <w:sz w:val="20"/>
                <w:szCs w:val="18"/>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B62715" w:rsidRPr="0098559C" w:rsidRDefault="00A83F3B"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005D3E4C" w:rsidRPr="0098559C">
              <w:rPr>
                <w:rFonts w:ascii="Arial Narrow" w:hAnsi="Arial Narrow"/>
                <w:b/>
                <w:color w:val="000000"/>
                <w:sz w:val="20"/>
                <w:szCs w:val="18"/>
              </w:rPr>
              <w:t>,</w:t>
            </w:r>
            <w:r w:rsidRPr="0098559C">
              <w:rPr>
                <w:rFonts w:ascii="Arial Narrow" w:hAnsi="Arial Narrow"/>
                <w:b/>
                <w:color w:val="000000"/>
                <w:sz w:val="20"/>
                <w:szCs w:val="18"/>
              </w:rPr>
              <w:t xml:space="preserve"> </w:t>
            </w:r>
          </w:p>
          <w:p w:rsidR="002C5889" w:rsidRPr="0098559C" w:rsidRDefault="002C5889"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n/N</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PBO</w:t>
            </w:r>
            <w:r w:rsidR="005D3E4C" w:rsidRPr="0098559C">
              <w:rPr>
                <w:rFonts w:ascii="Arial Narrow" w:hAnsi="Arial Narrow"/>
                <w:b/>
                <w:color w:val="000000"/>
                <w:sz w:val="20"/>
                <w:szCs w:val="18"/>
              </w:rPr>
              <w:t>,</w:t>
            </w:r>
          </w:p>
          <w:p w:rsidR="002C5889" w:rsidRPr="0098559C" w:rsidRDefault="002C5889"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n/N</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B62715" w:rsidRPr="0098559C" w:rsidRDefault="00A83F3B"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Live-HZ</w:t>
            </w:r>
            <w:r w:rsidR="005D3E4C" w:rsidRPr="0098559C">
              <w:rPr>
                <w:rFonts w:ascii="Arial Narrow" w:hAnsi="Arial Narrow"/>
                <w:b/>
                <w:color w:val="000000"/>
                <w:sz w:val="20"/>
                <w:szCs w:val="18"/>
              </w:rPr>
              <w:t>,</w:t>
            </w:r>
          </w:p>
          <w:p w:rsidR="002C5889" w:rsidRPr="0098559C" w:rsidRDefault="002C5889"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n/N</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B62715" w:rsidRPr="0098559C" w:rsidRDefault="007D3AD5"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VE</w:t>
            </w:r>
          </w:p>
          <w:p w:rsidR="00B62715" w:rsidRPr="0098559C" w:rsidRDefault="00B62715" w:rsidP="0038662B">
            <w:pPr>
              <w:keepNext/>
              <w:keepLines/>
              <w:jc w:val="center"/>
              <w:rPr>
                <w:rFonts w:ascii="Arial Narrow" w:hAnsi="Arial Narrow"/>
                <w:color w:val="000000"/>
                <w:sz w:val="20"/>
                <w:szCs w:val="18"/>
              </w:rPr>
            </w:pPr>
            <w:r w:rsidRPr="0098559C">
              <w:rPr>
                <w:rFonts w:ascii="Arial Narrow" w:hAnsi="Arial Narrow"/>
                <w:b/>
                <w:color w:val="000000"/>
                <w:sz w:val="20"/>
                <w:szCs w:val="18"/>
              </w:rPr>
              <w:t>(95% CI)</w:t>
            </w:r>
          </w:p>
        </w:tc>
        <w:tc>
          <w:tcPr>
            <w:tcW w:w="1842" w:type="dxa"/>
            <w:gridSpan w:val="5"/>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Event rate/</w:t>
            </w:r>
            <w:r w:rsidR="003134A8" w:rsidRPr="0098559C">
              <w:rPr>
                <w:rFonts w:ascii="Arial Narrow" w:hAnsi="Arial Narrow"/>
                <w:b/>
                <w:color w:val="000000"/>
                <w:sz w:val="20"/>
                <w:szCs w:val="18"/>
              </w:rPr>
              <w:t>year/</w:t>
            </w:r>
            <w:r w:rsidRPr="0098559C">
              <w:rPr>
                <w:rFonts w:ascii="Arial Narrow" w:hAnsi="Arial Narrow"/>
                <w:b/>
                <w:color w:val="000000"/>
                <w:sz w:val="20"/>
                <w:szCs w:val="18"/>
              </w:rPr>
              <w:t>1</w:t>
            </w:r>
            <w:r w:rsidR="005D3E4C" w:rsidRPr="0098559C">
              <w:rPr>
                <w:rFonts w:ascii="Arial Narrow" w:hAnsi="Arial Narrow"/>
                <w:b/>
                <w:color w:val="000000"/>
                <w:sz w:val="20"/>
                <w:szCs w:val="18"/>
              </w:rPr>
              <w:t>,</w:t>
            </w:r>
            <w:r w:rsidRPr="0098559C">
              <w:rPr>
                <w:rFonts w:ascii="Arial Narrow" w:hAnsi="Arial Narrow"/>
                <w:b/>
                <w:color w:val="000000"/>
                <w:sz w:val="20"/>
                <w:szCs w:val="18"/>
              </w:rPr>
              <w:t>00</w:t>
            </w:r>
            <w:r w:rsidR="002A5C95" w:rsidRPr="0098559C">
              <w:rPr>
                <w:rFonts w:ascii="Arial Narrow" w:hAnsi="Arial Narrow"/>
                <w:b/>
                <w:color w:val="000000"/>
                <w:sz w:val="20"/>
                <w:szCs w:val="18"/>
              </w:rPr>
              <w:t>0</w:t>
            </w:r>
            <w:r w:rsidRPr="0098559C">
              <w:rPr>
                <w:rFonts w:ascii="Arial Narrow" w:hAnsi="Arial Narrow"/>
                <w:b/>
                <w:color w:val="000000"/>
                <w:sz w:val="20"/>
                <w:szCs w:val="18"/>
              </w:rPr>
              <w:t xml:space="preserve"> </w:t>
            </w:r>
            <w:r w:rsidR="002A5C95" w:rsidRPr="0098559C">
              <w:rPr>
                <w:rFonts w:ascii="Arial Narrow" w:hAnsi="Arial Narrow"/>
                <w:b/>
                <w:color w:val="000000"/>
                <w:sz w:val="20"/>
                <w:szCs w:val="18"/>
              </w:rPr>
              <w:t>individuals vaccinated</w:t>
            </w:r>
            <w:r w:rsidRPr="0098559C">
              <w:rPr>
                <w:rFonts w:ascii="Arial Narrow" w:hAnsi="Arial Narrow"/>
                <w:b/>
                <w:color w:val="000000"/>
                <w:sz w:val="20"/>
                <w:szCs w:val="18"/>
              </w:rPr>
              <w:t xml:space="preserve">* </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CF3F75" w:rsidRPr="0098559C" w:rsidRDefault="00CF3F75" w:rsidP="00CF3F75">
            <w:pPr>
              <w:keepNext/>
              <w:keepLines/>
              <w:jc w:val="center"/>
              <w:rPr>
                <w:rFonts w:ascii="Arial Narrow" w:hAnsi="Arial Narrow"/>
                <w:b/>
                <w:color w:val="000000"/>
                <w:sz w:val="20"/>
                <w:szCs w:val="18"/>
              </w:rPr>
            </w:pPr>
            <w:r w:rsidRPr="0098559C">
              <w:rPr>
                <w:rFonts w:ascii="Arial Narrow" w:hAnsi="Arial Narrow"/>
                <w:b/>
                <w:color w:val="000000"/>
                <w:sz w:val="20"/>
                <w:szCs w:val="18"/>
              </w:rPr>
              <w:t>Increment</w:t>
            </w:r>
          </w:p>
          <w:p w:rsidR="00B62715" w:rsidRPr="0098559C" w:rsidRDefault="00CF3F75" w:rsidP="00E77743">
            <w:pPr>
              <w:keepNext/>
              <w:keepLines/>
              <w:jc w:val="center"/>
              <w:rPr>
                <w:rFonts w:ascii="Arial Narrow" w:hAnsi="Arial Narrow"/>
                <w:color w:val="000000"/>
                <w:sz w:val="20"/>
                <w:szCs w:val="18"/>
              </w:rPr>
            </w:pPr>
            <w:r w:rsidRPr="0098559C">
              <w:rPr>
                <w:rFonts w:ascii="Arial Narrow" w:hAnsi="Arial Narrow"/>
                <w:b/>
                <w:color w:val="000000"/>
                <w:sz w:val="20"/>
                <w:szCs w:val="18"/>
              </w:rPr>
              <w:t>(</w:t>
            </w:r>
            <w:r w:rsidR="00E77743" w:rsidRPr="0098559C">
              <w:rPr>
                <w:rFonts w:ascii="Arial Narrow" w:hAnsi="Arial Narrow"/>
                <w:b/>
                <w:color w:val="000000"/>
                <w:sz w:val="20"/>
                <w:szCs w:val="18"/>
              </w:rPr>
              <w:t>per year</w:t>
            </w:r>
            <w:r w:rsidRPr="0098559C">
              <w:rPr>
                <w:rFonts w:ascii="Arial Narrow" w:hAnsi="Arial Narrow"/>
                <w:b/>
                <w:color w:val="000000"/>
                <w:sz w:val="20"/>
                <w:szCs w:val="18"/>
              </w:rPr>
              <w:t>)**</w:t>
            </w:r>
          </w:p>
        </w:tc>
      </w:tr>
      <w:tr w:rsidR="00227FB8" w:rsidRPr="0098559C" w:rsidTr="00227FB8">
        <w:trPr>
          <w:cantSplit/>
          <w:trHeight w:val="70"/>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38662B">
            <w:pPr>
              <w:keepNext/>
              <w:keepLines/>
              <w:rPr>
                <w:rFonts w:ascii="Arial Narrow" w:hAnsi="Arial Narrow"/>
                <w:color w:val="000000"/>
                <w:sz w:val="20"/>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62715" w:rsidRPr="0098559C" w:rsidRDefault="002F4528" w:rsidP="00B53757">
            <w:pPr>
              <w:keepNext/>
              <w:keepLines/>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Pr="0098559C">
              <w:rPr>
                <w:rFonts w:ascii="Arial Narrow" w:hAnsi="Arial Narrow"/>
                <w:b/>
                <w:color w:val="000000"/>
                <w:sz w:val="20"/>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r w:rsidRPr="0098559C">
              <w:rPr>
                <w:rFonts w:ascii="Arial Narrow" w:hAnsi="Arial Narrow"/>
                <w:b/>
                <w:color w:val="000000"/>
                <w:sz w:val="20"/>
                <w:szCs w:val="18"/>
              </w:rPr>
              <w:t>PBO</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715" w:rsidRPr="0098559C" w:rsidRDefault="00227FB8" w:rsidP="00B53757">
            <w:pPr>
              <w:keepNext/>
              <w:keepLines/>
              <w:jc w:val="center"/>
              <w:rPr>
                <w:rFonts w:ascii="Arial Narrow" w:hAnsi="Arial Narrow"/>
                <w:b/>
                <w:color w:val="000000"/>
                <w:sz w:val="20"/>
                <w:szCs w:val="18"/>
              </w:rPr>
            </w:pPr>
            <w:r>
              <w:rPr>
                <w:rFonts w:ascii="Arial Narrow" w:hAnsi="Arial Narrow"/>
                <w:b/>
                <w:color w:val="000000"/>
                <w:sz w:val="20"/>
                <w:szCs w:val="18"/>
              </w:rPr>
              <w:t>Live-HZ</w:t>
            </w:r>
            <w:r w:rsidR="002F4528" w:rsidRPr="0098559C">
              <w:rPr>
                <w:rFonts w:ascii="Arial Narrow" w:hAnsi="Arial Narrow"/>
                <w:b/>
                <w:color w:val="000000"/>
                <w:sz w:val="20"/>
                <w:szCs w:val="18"/>
              </w:rPr>
              <w:t xml:space="preserve"> </w:t>
            </w: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38662B">
            <w:pPr>
              <w:keepNext/>
              <w:keepLines/>
              <w:jc w:val="center"/>
              <w:rPr>
                <w:rFonts w:ascii="Arial Narrow" w:hAnsi="Arial Narrow"/>
                <w:b/>
                <w:color w:val="000000"/>
                <w:sz w:val="20"/>
                <w:szCs w:val="18"/>
              </w:rPr>
            </w:pPr>
          </w:p>
        </w:tc>
      </w:tr>
      <w:tr w:rsidR="007D3AD5" w:rsidRPr="0098559C" w:rsidTr="00227FB8">
        <w:trPr>
          <w:cantSplit/>
        </w:trPr>
        <w:tc>
          <w:tcPr>
            <w:tcW w:w="9100" w:type="dxa"/>
            <w:gridSpan w:val="15"/>
            <w:tcBorders>
              <w:top w:val="single" w:sz="4" w:space="0" w:color="auto"/>
              <w:left w:val="single" w:sz="4" w:space="0" w:color="auto"/>
              <w:bottom w:val="double" w:sz="4" w:space="0" w:color="auto"/>
              <w:right w:val="single" w:sz="4" w:space="0" w:color="auto"/>
            </w:tcBorders>
            <w:shd w:val="clear" w:color="auto" w:fill="auto"/>
            <w:vAlign w:val="center"/>
          </w:tcPr>
          <w:p w:rsidR="007D3AD5" w:rsidRPr="0098559C" w:rsidRDefault="007D3AD5" w:rsidP="0038662B">
            <w:pPr>
              <w:keepNext/>
              <w:keepLines/>
              <w:rPr>
                <w:rFonts w:ascii="Arial Narrow" w:hAnsi="Arial Narrow"/>
                <w:b/>
                <w:color w:val="000000"/>
                <w:sz w:val="20"/>
                <w:szCs w:val="18"/>
              </w:rPr>
            </w:pPr>
            <w:r w:rsidRPr="0098559C">
              <w:rPr>
                <w:rFonts w:ascii="Arial Narrow" w:hAnsi="Arial Narrow"/>
                <w:b/>
                <w:color w:val="000000"/>
                <w:sz w:val="20"/>
                <w:szCs w:val="18"/>
              </w:rPr>
              <w:t>Benefits</w:t>
            </w:r>
          </w:p>
        </w:tc>
      </w:tr>
      <w:tr w:rsidR="007D3AD5" w:rsidRPr="0098559C" w:rsidTr="00227FB8">
        <w:trPr>
          <w:cantSplit/>
        </w:trPr>
        <w:tc>
          <w:tcPr>
            <w:tcW w:w="9100" w:type="dxa"/>
            <w:gridSpan w:val="15"/>
            <w:tcBorders>
              <w:top w:val="double" w:sz="4" w:space="0" w:color="auto"/>
              <w:left w:val="single" w:sz="4" w:space="0" w:color="auto"/>
              <w:bottom w:val="single" w:sz="4" w:space="0" w:color="auto"/>
              <w:right w:val="single" w:sz="4" w:space="0" w:color="auto"/>
            </w:tcBorders>
            <w:shd w:val="clear" w:color="auto" w:fill="auto"/>
            <w:vAlign w:val="center"/>
          </w:tcPr>
          <w:p w:rsidR="007D3AD5" w:rsidRPr="0098559C" w:rsidRDefault="007D3AD5" w:rsidP="0038662B">
            <w:pPr>
              <w:keepNext/>
              <w:keepLines/>
              <w:rPr>
                <w:rFonts w:ascii="Arial Narrow" w:hAnsi="Arial Narrow"/>
                <w:b/>
                <w:color w:val="000000"/>
                <w:sz w:val="20"/>
                <w:szCs w:val="18"/>
              </w:rPr>
            </w:pPr>
            <w:r w:rsidRPr="0098559C">
              <w:rPr>
                <w:rFonts w:ascii="Arial Narrow" w:hAnsi="Arial Narrow"/>
                <w:b/>
                <w:color w:val="000000"/>
                <w:sz w:val="20"/>
                <w:szCs w:val="18"/>
              </w:rPr>
              <w:t>Reduction in HZ cases: indirect comparison</w:t>
            </w:r>
          </w:p>
        </w:tc>
      </w:tr>
      <w:tr w:rsidR="00227FB8" w:rsidRPr="0098559C" w:rsidTr="00227FB8">
        <w:trPr>
          <w:cantSplit/>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83F3B" w:rsidRPr="0098559C" w:rsidRDefault="00A83F3B" w:rsidP="002F4528">
            <w:pPr>
              <w:jc w:val="left"/>
              <w:rPr>
                <w:rFonts w:ascii="Arial Narrow" w:hAnsi="Arial Narrow"/>
                <w:color w:val="000000"/>
                <w:sz w:val="20"/>
                <w:szCs w:val="18"/>
              </w:rPr>
            </w:pPr>
            <w:r w:rsidRPr="0098559C">
              <w:rPr>
                <w:rFonts w:ascii="Arial Narrow" w:hAnsi="Arial Narrow"/>
                <w:color w:val="000000"/>
                <w:sz w:val="20"/>
                <w:szCs w:val="18"/>
              </w:rPr>
              <w:t>Pooled ZOE-50 and ZOE-70 (≥ 70 years)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2F4528">
            <w:pPr>
              <w:jc w:val="center"/>
              <w:rPr>
                <w:rFonts w:ascii="Arial Narrow" w:hAnsi="Arial Narrow"/>
                <w:sz w:val="20"/>
                <w:szCs w:val="18"/>
              </w:rPr>
            </w:pPr>
            <w:r w:rsidRPr="0098559C">
              <w:rPr>
                <w:rStyle w:val="TableText0"/>
              </w:rPr>
              <w:t>25/8,250</w:t>
            </w:r>
          </w:p>
        </w:tc>
        <w:tc>
          <w:tcPr>
            <w:tcW w:w="851" w:type="dxa"/>
            <w:tcBorders>
              <w:top w:val="single" w:sz="4" w:space="0" w:color="auto"/>
              <w:left w:val="single" w:sz="4" w:space="0" w:color="auto"/>
              <w:bottom w:val="single" w:sz="4" w:space="0" w:color="auto"/>
              <w:right w:val="single" w:sz="4" w:space="0" w:color="auto"/>
            </w:tcBorders>
            <w:vAlign w:val="center"/>
          </w:tcPr>
          <w:p w:rsidR="00A83F3B" w:rsidRPr="0098559C" w:rsidRDefault="00A83F3B" w:rsidP="002F4528">
            <w:pPr>
              <w:jc w:val="center"/>
              <w:rPr>
                <w:rFonts w:ascii="Arial Narrow" w:hAnsi="Arial Narrow"/>
                <w:sz w:val="20"/>
                <w:szCs w:val="18"/>
              </w:rPr>
            </w:pPr>
            <w:r w:rsidRPr="0098559C">
              <w:rPr>
                <w:rStyle w:val="TableText0"/>
              </w:rPr>
              <w:t>284/8,346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A83F3B">
            <w:pPr>
              <w:jc w:val="center"/>
              <w:rPr>
                <w:rFonts w:ascii="Arial Narrow" w:hAnsi="Arial Narrow"/>
                <w:color w:val="000000"/>
                <w:sz w:val="20"/>
                <w:szCs w:val="18"/>
              </w:rPr>
            </w:pPr>
            <w:r w:rsidRPr="0098559C">
              <w:rPr>
                <w:rFonts w:ascii="Arial Narrow" w:hAnsi="Arial Narrow"/>
                <w:color w:val="000000"/>
                <w:sz w:val="20"/>
                <w:szCs w:val="18"/>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7D3AD5">
            <w:pPr>
              <w:jc w:val="center"/>
              <w:rPr>
                <w:rFonts w:ascii="Arial Narrow" w:hAnsi="Arial Narrow"/>
                <w:sz w:val="20"/>
                <w:szCs w:val="18"/>
              </w:rPr>
            </w:pPr>
            <w:r w:rsidRPr="0098559C">
              <w:rPr>
                <w:rFonts w:ascii="Arial Narrow" w:hAnsi="Arial Narrow"/>
                <w:sz w:val="20"/>
                <w:szCs w:val="18"/>
              </w:rPr>
              <w:t>0.</w:t>
            </w:r>
            <w:r w:rsidR="002F4528" w:rsidRPr="0098559C">
              <w:rPr>
                <w:rFonts w:ascii="Arial Narrow" w:hAnsi="Arial Narrow"/>
                <w:sz w:val="20"/>
                <w:szCs w:val="18"/>
              </w:rPr>
              <w:t>91</w:t>
            </w:r>
            <w:r w:rsidR="007D3AD5" w:rsidRPr="0098559C">
              <w:rPr>
                <w:rFonts w:ascii="Arial Narrow" w:hAnsi="Arial Narrow"/>
                <w:sz w:val="20"/>
                <w:szCs w:val="18"/>
              </w:rPr>
              <w:t xml:space="preserve"> </w:t>
            </w:r>
            <w:r w:rsidRPr="0098559C">
              <w:rPr>
                <w:rFonts w:ascii="Arial Narrow" w:hAnsi="Arial Narrow"/>
                <w:sz w:val="20"/>
                <w:szCs w:val="18"/>
              </w:rPr>
              <w:t>(0.</w:t>
            </w:r>
            <w:r w:rsidR="002F4528" w:rsidRPr="0098559C">
              <w:rPr>
                <w:rFonts w:ascii="Arial Narrow" w:hAnsi="Arial Narrow"/>
                <w:sz w:val="20"/>
                <w:szCs w:val="18"/>
              </w:rPr>
              <w:t>87</w:t>
            </w:r>
            <w:r w:rsidRPr="0098559C">
              <w:rPr>
                <w:rFonts w:ascii="Arial Narrow" w:hAnsi="Arial Narrow"/>
                <w:sz w:val="20"/>
                <w:szCs w:val="18"/>
              </w:rPr>
              <w:t xml:space="preserve">, </w:t>
            </w:r>
            <w:r w:rsidR="002F4528" w:rsidRPr="0098559C">
              <w:rPr>
                <w:rFonts w:ascii="Arial Narrow" w:hAnsi="Arial Narrow"/>
                <w:sz w:val="20"/>
                <w:szCs w:val="18"/>
              </w:rPr>
              <w:t>0.94</w:t>
            </w:r>
            <w:r w:rsidRPr="0098559C">
              <w:rPr>
                <w:rFonts w:ascii="Arial Narrow" w:hAnsi="Arial Narrow"/>
                <w:sz w:val="20"/>
                <w:szCs w:val="18"/>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2F4528" w:rsidP="00D30847">
            <w:pPr>
              <w:jc w:val="center"/>
              <w:rPr>
                <w:rFonts w:ascii="Arial Narrow" w:hAnsi="Arial Narrow"/>
                <w:color w:val="000000"/>
                <w:sz w:val="20"/>
                <w:szCs w:val="18"/>
              </w:rPr>
            </w:pPr>
            <w:r w:rsidRPr="0098559C">
              <w:rPr>
                <w:rFonts w:ascii="Arial Narrow" w:hAnsi="Arial Narrow"/>
                <w:color w:val="000000"/>
                <w:sz w:val="20"/>
                <w:szCs w:val="18"/>
              </w:rPr>
              <w:t>0.8</w:t>
            </w:r>
          </w:p>
        </w:tc>
        <w:tc>
          <w:tcPr>
            <w:tcW w:w="567" w:type="dxa"/>
            <w:tcBorders>
              <w:top w:val="single" w:sz="4" w:space="0" w:color="auto"/>
              <w:left w:val="single" w:sz="4" w:space="0" w:color="auto"/>
              <w:bottom w:val="single" w:sz="4" w:space="0" w:color="auto"/>
              <w:right w:val="single" w:sz="4" w:space="0" w:color="auto"/>
            </w:tcBorders>
            <w:vAlign w:val="center"/>
          </w:tcPr>
          <w:p w:rsidR="00A83F3B" w:rsidRPr="0098559C" w:rsidRDefault="002F4528" w:rsidP="00A83F3B">
            <w:pPr>
              <w:jc w:val="center"/>
              <w:rPr>
                <w:rFonts w:ascii="Arial Narrow" w:hAnsi="Arial Narrow"/>
                <w:color w:val="000000"/>
                <w:sz w:val="20"/>
                <w:szCs w:val="18"/>
              </w:rPr>
            </w:pPr>
            <w:r w:rsidRPr="0098559C">
              <w:rPr>
                <w:rFonts w:ascii="Arial Narrow" w:hAnsi="Arial Narrow"/>
                <w:color w:val="000000"/>
                <w:sz w:val="20"/>
                <w:szCs w:val="18"/>
              </w:rPr>
              <w:t>9</w:t>
            </w:r>
            <w:r w:rsidR="002A5C95" w:rsidRPr="0098559C">
              <w:rPr>
                <w:rFonts w:ascii="Arial Narrow" w:hAnsi="Arial Narrow"/>
                <w:color w:val="000000"/>
                <w:sz w:val="20"/>
                <w:szCs w:val="18"/>
              </w:rPr>
              <w:t>.</w:t>
            </w:r>
            <w:r w:rsidRPr="0098559C">
              <w:rPr>
                <w:rFonts w:ascii="Arial Narrow" w:hAnsi="Arial Narrow"/>
                <w:color w:val="000000"/>
                <w:sz w:val="20"/>
                <w:szCs w:val="18"/>
              </w:rPr>
              <w:t>3</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A83F3B">
            <w:pPr>
              <w:jc w:val="center"/>
              <w:rPr>
                <w:rFonts w:ascii="Arial Narrow" w:hAnsi="Arial Narrow"/>
                <w:color w:val="000000"/>
                <w:sz w:val="20"/>
                <w:szCs w:val="18"/>
              </w:rPr>
            </w:pPr>
            <w:r w:rsidRPr="0098559C">
              <w:rPr>
                <w:rFonts w:ascii="Arial Narrow" w:hAnsi="Arial Narrow"/>
                <w:color w:val="000000"/>
                <w:sz w:val="20"/>
                <w:szCs w:val="18"/>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B34A9A" w:rsidP="007D3AD5">
            <w:pPr>
              <w:jc w:val="center"/>
              <w:rPr>
                <w:rFonts w:ascii="Arial Narrow" w:hAnsi="Arial Narrow"/>
                <w:color w:val="000000"/>
                <w:sz w:val="20"/>
                <w:szCs w:val="18"/>
              </w:rPr>
            </w:pPr>
            <w:r w:rsidRPr="0098559C">
              <w:rPr>
                <w:rFonts w:ascii="Arial Narrow" w:hAnsi="Arial Narrow"/>
                <w:color w:val="000000"/>
                <w:sz w:val="20"/>
                <w:szCs w:val="18"/>
              </w:rPr>
              <w:t>-8</w:t>
            </w:r>
            <w:r w:rsidR="002A5C95" w:rsidRPr="0098559C">
              <w:rPr>
                <w:rFonts w:ascii="Arial Narrow" w:hAnsi="Arial Narrow"/>
                <w:color w:val="000000"/>
                <w:sz w:val="20"/>
                <w:szCs w:val="18"/>
              </w:rPr>
              <w:t>.</w:t>
            </w:r>
            <w:r w:rsidRPr="0098559C">
              <w:rPr>
                <w:rFonts w:ascii="Arial Narrow" w:hAnsi="Arial Narrow"/>
                <w:color w:val="000000"/>
                <w:sz w:val="20"/>
                <w:szCs w:val="18"/>
              </w:rPr>
              <w:t>5</w:t>
            </w:r>
          </w:p>
          <w:p w:rsidR="005B4A3D" w:rsidRPr="0098559C" w:rsidRDefault="005B4A3D" w:rsidP="005B4A3D">
            <w:pPr>
              <w:jc w:val="center"/>
              <w:rPr>
                <w:rFonts w:ascii="Arial Narrow" w:hAnsi="Arial Narrow"/>
                <w:color w:val="000000"/>
                <w:sz w:val="20"/>
                <w:szCs w:val="18"/>
              </w:rPr>
            </w:pPr>
            <w:r w:rsidRPr="0098559C">
              <w:rPr>
                <w:rFonts w:ascii="Arial Narrow" w:hAnsi="Arial Narrow"/>
                <w:color w:val="000000"/>
                <w:sz w:val="20"/>
                <w:szCs w:val="18"/>
              </w:rPr>
              <w:t>(-10.5 if PBO = 11.5)</w:t>
            </w:r>
            <w:r w:rsidRPr="0098559C">
              <w:rPr>
                <w:rFonts w:ascii="Arial Narrow" w:hAnsi="Arial Narrow"/>
                <w:color w:val="000000"/>
                <w:sz w:val="20"/>
                <w:szCs w:val="18"/>
                <w:vertAlign w:val="superscript"/>
              </w:rPr>
              <w:t>1</w:t>
            </w:r>
          </w:p>
        </w:tc>
      </w:tr>
      <w:tr w:rsidR="00227FB8" w:rsidRPr="0098559C" w:rsidTr="00227FB8">
        <w:trPr>
          <w:cantSplit/>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A83F3B" w:rsidRPr="0098559C" w:rsidRDefault="00A83F3B" w:rsidP="002F4528">
            <w:pPr>
              <w:jc w:val="left"/>
              <w:rPr>
                <w:rFonts w:ascii="Arial Narrow" w:hAnsi="Arial Narrow"/>
                <w:color w:val="000000"/>
                <w:sz w:val="20"/>
                <w:szCs w:val="18"/>
              </w:rPr>
            </w:pPr>
            <w:r w:rsidRPr="0098559C">
              <w:rPr>
                <w:rFonts w:ascii="Arial Narrow" w:hAnsi="Arial Narrow"/>
                <w:color w:val="000000"/>
                <w:sz w:val="20"/>
                <w:szCs w:val="18"/>
              </w:rPr>
              <w:t>SPS (≥ 70 years)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744F50" w:rsidP="00A83F3B">
            <w:pPr>
              <w:jc w:val="center"/>
              <w:rPr>
                <w:rFonts w:ascii="Arial Narrow" w:hAnsi="Arial Narrow"/>
                <w:color w:val="000000"/>
                <w:sz w:val="20"/>
                <w:szCs w:val="18"/>
              </w:rPr>
            </w:pPr>
            <w:r w:rsidRPr="0098559C">
              <w:rPr>
                <w:rFonts w:ascii="Arial Narrow" w:hAnsi="Arial Narrow"/>
                <w:color w:val="000000"/>
                <w:sz w:val="20"/>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A83F3B" w:rsidRPr="0098559C" w:rsidRDefault="00A83F3B" w:rsidP="002F4528">
            <w:pPr>
              <w:jc w:val="center"/>
              <w:rPr>
                <w:rFonts w:ascii="Arial Narrow" w:hAnsi="Arial Narrow"/>
                <w:color w:val="000000"/>
                <w:sz w:val="20"/>
                <w:szCs w:val="18"/>
              </w:rPr>
            </w:pPr>
            <w:r w:rsidRPr="0098559C">
              <w:rPr>
                <w:rStyle w:val="TableText0"/>
              </w:rPr>
              <w:t>308/8</w:t>
            </w:r>
            <w:r w:rsidR="00C543DA" w:rsidRPr="0098559C">
              <w:rPr>
                <w:rStyle w:val="TableText0"/>
              </w:rPr>
              <w:t>,</w:t>
            </w:r>
            <w:r w:rsidRPr="0098559C">
              <w:rPr>
                <w:rStyle w:val="TableText0"/>
              </w:rPr>
              <w:t>891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2F4528">
            <w:pPr>
              <w:jc w:val="center"/>
              <w:rPr>
                <w:rFonts w:ascii="Arial Narrow" w:hAnsi="Arial Narrow"/>
                <w:color w:val="000000"/>
                <w:sz w:val="20"/>
                <w:szCs w:val="18"/>
              </w:rPr>
            </w:pPr>
            <w:r w:rsidRPr="0098559C">
              <w:rPr>
                <w:rStyle w:val="TableText0"/>
              </w:rPr>
              <w:t>193/8</w:t>
            </w:r>
            <w:r w:rsidR="00761E8E" w:rsidRPr="0098559C">
              <w:rPr>
                <w:rStyle w:val="TableText0"/>
              </w:rPr>
              <w:t>,</w:t>
            </w:r>
            <w:r w:rsidRPr="0098559C">
              <w:rPr>
                <w:rStyle w:val="TableText0"/>
              </w:rPr>
              <w:t>884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7D3AD5">
            <w:pPr>
              <w:jc w:val="center"/>
              <w:rPr>
                <w:rFonts w:ascii="Arial Narrow" w:hAnsi="Arial Narrow"/>
                <w:color w:val="000000"/>
                <w:sz w:val="20"/>
                <w:szCs w:val="18"/>
              </w:rPr>
            </w:pPr>
            <w:r w:rsidRPr="0098559C">
              <w:rPr>
                <w:rFonts w:ascii="Arial Narrow" w:hAnsi="Arial Narrow"/>
                <w:sz w:val="20"/>
                <w:szCs w:val="18"/>
              </w:rPr>
              <w:t>0.</w:t>
            </w:r>
            <w:r w:rsidR="002F4528" w:rsidRPr="0098559C">
              <w:rPr>
                <w:rFonts w:ascii="Arial Narrow" w:hAnsi="Arial Narrow"/>
                <w:sz w:val="20"/>
                <w:szCs w:val="18"/>
              </w:rPr>
              <w:t>38</w:t>
            </w:r>
            <w:r w:rsidR="007D3AD5" w:rsidRPr="0098559C">
              <w:rPr>
                <w:rFonts w:ascii="Arial Narrow" w:hAnsi="Arial Narrow"/>
                <w:sz w:val="20"/>
                <w:szCs w:val="18"/>
              </w:rPr>
              <w:t xml:space="preserve"> </w:t>
            </w:r>
            <w:r w:rsidRPr="0098559C">
              <w:rPr>
                <w:rFonts w:ascii="Arial Narrow" w:hAnsi="Arial Narrow"/>
                <w:sz w:val="20"/>
                <w:szCs w:val="18"/>
              </w:rPr>
              <w:t>(0.</w:t>
            </w:r>
            <w:r w:rsidR="002F4528" w:rsidRPr="0098559C">
              <w:rPr>
                <w:rFonts w:ascii="Arial Narrow" w:hAnsi="Arial Narrow"/>
                <w:sz w:val="20"/>
                <w:szCs w:val="18"/>
              </w:rPr>
              <w:t>25</w:t>
            </w:r>
            <w:r w:rsidRPr="0098559C">
              <w:rPr>
                <w:rFonts w:ascii="Arial Narrow" w:hAnsi="Arial Narrow"/>
                <w:sz w:val="20"/>
                <w:szCs w:val="18"/>
              </w:rPr>
              <w:t xml:space="preserve">, </w:t>
            </w:r>
            <w:r w:rsidR="002F4528" w:rsidRPr="0098559C">
              <w:rPr>
                <w:rFonts w:ascii="Arial Narrow" w:hAnsi="Arial Narrow"/>
                <w:sz w:val="20"/>
                <w:szCs w:val="18"/>
              </w:rPr>
              <w:t>0.48</w:t>
            </w:r>
            <w:r w:rsidRPr="0098559C">
              <w:rPr>
                <w:rFonts w:ascii="Arial Narrow" w:hAnsi="Arial Narrow"/>
                <w:sz w:val="20"/>
                <w:szCs w:val="18"/>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A83F3B" w:rsidP="00A83F3B">
            <w:pPr>
              <w:jc w:val="center"/>
              <w:rPr>
                <w:rFonts w:ascii="Arial Narrow" w:hAnsi="Arial Narrow"/>
                <w:color w:val="000000"/>
                <w:sz w:val="20"/>
                <w:szCs w:val="18"/>
              </w:rPr>
            </w:pPr>
            <w:r w:rsidRPr="0098559C">
              <w:rPr>
                <w:rFonts w:ascii="Arial Narrow" w:hAnsi="Arial Narrow"/>
                <w:color w:val="000000"/>
                <w:sz w:val="20"/>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A83F3B" w:rsidRPr="0098559C" w:rsidRDefault="002F4528" w:rsidP="00A83F3B">
            <w:pPr>
              <w:jc w:val="center"/>
              <w:rPr>
                <w:rFonts w:ascii="Arial Narrow" w:hAnsi="Arial Narrow"/>
                <w:color w:val="000000"/>
                <w:sz w:val="20"/>
                <w:szCs w:val="18"/>
              </w:rPr>
            </w:pPr>
            <w:r w:rsidRPr="0098559C">
              <w:rPr>
                <w:rFonts w:ascii="Arial Narrow" w:hAnsi="Arial Narrow"/>
                <w:color w:val="000000"/>
                <w:sz w:val="20"/>
                <w:szCs w:val="18"/>
              </w:rPr>
              <w:t>11</w:t>
            </w:r>
            <w:r w:rsidR="002A5C95" w:rsidRPr="0098559C">
              <w:rPr>
                <w:rFonts w:ascii="Arial Narrow" w:hAnsi="Arial Narrow"/>
                <w:color w:val="000000"/>
                <w:sz w:val="20"/>
                <w:szCs w:val="18"/>
              </w:rPr>
              <w:t>.</w:t>
            </w:r>
            <w:r w:rsidRPr="0098559C">
              <w:rPr>
                <w:rFonts w:ascii="Arial Narrow" w:hAnsi="Arial Narrow"/>
                <w:color w:val="000000"/>
                <w:sz w:val="20"/>
                <w:szCs w:val="18"/>
              </w:rPr>
              <w:t>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2F4528" w:rsidP="002F4528">
            <w:pPr>
              <w:jc w:val="center"/>
              <w:rPr>
                <w:rFonts w:ascii="Arial Narrow" w:hAnsi="Arial Narrow"/>
                <w:color w:val="000000"/>
                <w:sz w:val="20"/>
                <w:szCs w:val="18"/>
              </w:rPr>
            </w:pPr>
            <w:r w:rsidRPr="0098559C">
              <w:rPr>
                <w:rFonts w:ascii="Arial Narrow" w:hAnsi="Arial Narrow"/>
                <w:color w:val="000000"/>
                <w:sz w:val="20"/>
                <w:szCs w:val="18"/>
              </w:rPr>
              <w:t>7</w:t>
            </w:r>
            <w:r w:rsidR="002A5C95" w:rsidRPr="0098559C">
              <w:rPr>
                <w:rFonts w:ascii="Arial Narrow" w:hAnsi="Arial Narrow"/>
                <w:color w:val="000000"/>
                <w:sz w:val="20"/>
                <w:szCs w:val="18"/>
              </w:rPr>
              <w:t>.</w:t>
            </w:r>
            <w:r w:rsidRPr="0098559C">
              <w:rPr>
                <w:rFonts w:ascii="Arial Narrow" w:hAnsi="Arial Narrow"/>
                <w:color w:val="000000"/>
                <w:sz w:val="20"/>
                <w:szCs w:val="18"/>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83F3B" w:rsidRPr="0098559C" w:rsidRDefault="00B34A9A" w:rsidP="002A5C95">
            <w:pPr>
              <w:jc w:val="center"/>
              <w:rPr>
                <w:rFonts w:ascii="Arial Narrow" w:hAnsi="Arial Narrow"/>
                <w:color w:val="000000"/>
                <w:sz w:val="20"/>
                <w:szCs w:val="18"/>
              </w:rPr>
            </w:pPr>
            <w:r w:rsidRPr="0098559C">
              <w:rPr>
                <w:rFonts w:ascii="Arial Narrow" w:hAnsi="Arial Narrow"/>
                <w:color w:val="000000"/>
                <w:sz w:val="20"/>
                <w:szCs w:val="18"/>
              </w:rPr>
              <w:t>-4</w:t>
            </w:r>
            <w:r w:rsidR="002A5C95" w:rsidRPr="0098559C">
              <w:rPr>
                <w:rFonts w:ascii="Arial Narrow" w:hAnsi="Arial Narrow"/>
                <w:color w:val="000000"/>
                <w:sz w:val="20"/>
                <w:szCs w:val="18"/>
              </w:rPr>
              <w:t>.</w:t>
            </w:r>
            <w:r w:rsidRPr="0098559C">
              <w:rPr>
                <w:rFonts w:ascii="Arial Narrow" w:hAnsi="Arial Narrow"/>
                <w:color w:val="000000"/>
                <w:sz w:val="20"/>
                <w:szCs w:val="18"/>
              </w:rPr>
              <w:t>3</w:t>
            </w:r>
          </w:p>
          <w:p w:rsidR="005B4A3D" w:rsidRPr="0098559C" w:rsidRDefault="005B4A3D" w:rsidP="005B4A3D">
            <w:pPr>
              <w:jc w:val="center"/>
              <w:rPr>
                <w:rFonts w:ascii="Arial Narrow" w:hAnsi="Arial Narrow"/>
                <w:color w:val="000000"/>
                <w:sz w:val="20"/>
                <w:szCs w:val="18"/>
              </w:rPr>
            </w:pPr>
            <w:r w:rsidRPr="0098559C">
              <w:rPr>
                <w:rFonts w:ascii="Arial Narrow" w:hAnsi="Arial Narrow"/>
                <w:color w:val="000000"/>
                <w:sz w:val="20"/>
                <w:szCs w:val="18"/>
              </w:rPr>
              <w:t>(-3.5 if PBO = 9.3)</w:t>
            </w:r>
            <w:r w:rsidRPr="0098559C">
              <w:rPr>
                <w:rFonts w:ascii="Arial Narrow" w:hAnsi="Arial Narrow"/>
                <w:color w:val="000000"/>
                <w:sz w:val="20"/>
                <w:szCs w:val="18"/>
                <w:vertAlign w:val="superscript"/>
              </w:rPr>
              <w:t xml:space="preserve"> 2</w:t>
            </w:r>
          </w:p>
        </w:tc>
      </w:tr>
      <w:tr w:rsidR="003D2C5B" w:rsidRPr="0098559C" w:rsidTr="00227FB8">
        <w:trPr>
          <w:cantSplit/>
        </w:trPr>
        <w:tc>
          <w:tcPr>
            <w:tcW w:w="4139" w:type="dxa"/>
            <w:gridSpan w:val="6"/>
            <w:tcBorders>
              <w:top w:val="single" w:sz="4" w:space="0" w:color="auto"/>
              <w:left w:val="single" w:sz="4" w:space="0" w:color="auto"/>
              <w:bottom w:val="double" w:sz="4" w:space="0" w:color="auto"/>
              <w:right w:val="single" w:sz="4" w:space="0" w:color="auto"/>
            </w:tcBorders>
            <w:shd w:val="clear" w:color="auto" w:fill="auto"/>
            <w:vAlign w:val="center"/>
          </w:tcPr>
          <w:p w:rsidR="00B62715" w:rsidRPr="0098559C" w:rsidRDefault="00B62715" w:rsidP="00227FB8">
            <w:pPr>
              <w:jc w:val="left"/>
              <w:rPr>
                <w:rFonts w:ascii="Arial Narrow" w:hAnsi="Arial Narrow"/>
                <w:color w:val="000000"/>
                <w:sz w:val="20"/>
                <w:szCs w:val="18"/>
              </w:rPr>
            </w:pPr>
            <w:r w:rsidRPr="0098559C">
              <w:rPr>
                <w:rFonts w:ascii="Arial Narrow" w:hAnsi="Arial Narrow"/>
                <w:color w:val="000000"/>
                <w:sz w:val="20"/>
                <w:szCs w:val="18"/>
              </w:rPr>
              <w:t xml:space="preserve">Indirect comparison: </w:t>
            </w:r>
            <w:r w:rsidR="002F4528" w:rsidRPr="0098559C">
              <w:rPr>
                <w:rFonts w:ascii="Arial Narrow" w:hAnsi="Arial Narrow"/>
                <w:color w:val="000000"/>
                <w:sz w:val="20"/>
                <w:szCs w:val="18"/>
              </w:rPr>
              <w:t xml:space="preserve">Pooled ZOE-50 </w:t>
            </w:r>
            <w:r w:rsidR="00227FB8">
              <w:rPr>
                <w:rFonts w:ascii="Arial Narrow" w:hAnsi="Arial Narrow"/>
                <w:color w:val="000000"/>
                <w:sz w:val="20"/>
                <w:szCs w:val="18"/>
              </w:rPr>
              <w:t>+</w:t>
            </w:r>
            <w:r w:rsidR="002F4528" w:rsidRPr="0098559C">
              <w:rPr>
                <w:rFonts w:ascii="Arial Narrow" w:hAnsi="Arial Narrow"/>
                <w:color w:val="000000"/>
                <w:sz w:val="20"/>
                <w:szCs w:val="18"/>
              </w:rPr>
              <w:t xml:space="preserve"> ZOE-70</w:t>
            </w:r>
            <w:r w:rsidRPr="0098559C">
              <w:rPr>
                <w:rFonts w:ascii="Arial Narrow" w:hAnsi="Arial Narrow"/>
                <w:color w:val="000000"/>
                <w:sz w:val="20"/>
                <w:szCs w:val="18"/>
              </w:rPr>
              <w:t xml:space="preserve"> </w:t>
            </w:r>
            <w:r w:rsidR="00B213A6" w:rsidRPr="0098559C">
              <w:rPr>
                <w:rFonts w:ascii="Arial Narrow" w:hAnsi="Arial Narrow"/>
                <w:color w:val="000000"/>
                <w:sz w:val="20"/>
                <w:szCs w:val="18"/>
              </w:rPr>
              <w:t>vs.</w:t>
            </w:r>
            <w:r w:rsidRPr="0098559C">
              <w:rPr>
                <w:rFonts w:ascii="Arial Narrow" w:hAnsi="Arial Narrow"/>
                <w:color w:val="000000"/>
                <w:sz w:val="20"/>
                <w:szCs w:val="18"/>
              </w:rPr>
              <w:t xml:space="preserve"> </w:t>
            </w:r>
            <w:r w:rsidR="002F4528" w:rsidRPr="0098559C">
              <w:rPr>
                <w:rFonts w:ascii="Arial Narrow" w:hAnsi="Arial Narrow"/>
                <w:color w:val="000000"/>
                <w:sz w:val="20"/>
                <w:szCs w:val="18"/>
              </w:rPr>
              <w:t>SPS</w:t>
            </w:r>
          </w:p>
        </w:tc>
        <w:tc>
          <w:tcPr>
            <w:tcW w:w="1418" w:type="dxa"/>
            <w:gridSpan w:val="2"/>
            <w:tcBorders>
              <w:top w:val="single" w:sz="4" w:space="0" w:color="auto"/>
              <w:left w:val="single" w:sz="4" w:space="0" w:color="auto"/>
              <w:bottom w:val="double" w:sz="4" w:space="0" w:color="auto"/>
              <w:right w:val="single" w:sz="4" w:space="0" w:color="auto"/>
            </w:tcBorders>
            <w:vAlign w:val="center"/>
          </w:tcPr>
          <w:p w:rsidR="00B62715" w:rsidRPr="0098559C" w:rsidRDefault="0020540A" w:rsidP="00C543DA">
            <w:pPr>
              <w:jc w:val="center"/>
              <w:rPr>
                <w:rFonts w:ascii="Arial Narrow" w:hAnsi="Arial Narrow"/>
                <w:color w:val="000000"/>
                <w:sz w:val="20"/>
                <w:szCs w:val="18"/>
              </w:rPr>
            </w:pPr>
            <w:r>
              <w:rPr>
                <w:rFonts w:ascii="Arial Narrow" w:hAnsi="Arial Narrow"/>
                <w:noProof/>
                <w:color w:val="000000"/>
                <w:sz w:val="20"/>
                <w:szCs w:val="18"/>
                <w:highlight w:val="black"/>
              </w:rPr>
              <w:t>''''''''''' '''''''''''''''''''''''''</w:t>
            </w:r>
            <w:r w:rsidR="00561F7F" w:rsidRPr="0098559C">
              <w:rPr>
                <w:rFonts w:ascii="Arial Narrow" w:hAnsi="Arial Narrow"/>
                <w:sz w:val="20"/>
                <w:szCs w:val="18"/>
              </w:rPr>
              <w:t>*</w:t>
            </w:r>
            <w:r w:rsidR="00BE1339" w:rsidRPr="0098559C">
              <w:rPr>
                <w:rFonts w:ascii="Arial Narrow" w:hAnsi="Arial Narrow"/>
                <w:sz w:val="20"/>
                <w:szCs w:val="18"/>
              </w:rPr>
              <w:t>*</w:t>
            </w:r>
          </w:p>
        </w:tc>
        <w:tc>
          <w:tcPr>
            <w:tcW w:w="1842" w:type="dxa"/>
            <w:gridSpan w:val="5"/>
            <w:tcBorders>
              <w:top w:val="single" w:sz="4" w:space="0" w:color="auto"/>
              <w:left w:val="single" w:sz="4" w:space="0" w:color="auto"/>
              <w:bottom w:val="double" w:sz="4" w:space="0" w:color="auto"/>
              <w:right w:val="single" w:sz="4" w:space="0" w:color="auto"/>
            </w:tcBorders>
            <w:shd w:val="clear" w:color="auto" w:fill="auto"/>
            <w:vAlign w:val="center"/>
          </w:tcPr>
          <w:p w:rsidR="00B62715" w:rsidRPr="0098559C" w:rsidRDefault="00B62715" w:rsidP="00EC00C9">
            <w:pPr>
              <w:jc w:val="center"/>
              <w:rPr>
                <w:rFonts w:ascii="Arial Narrow" w:hAnsi="Arial Narrow"/>
                <w:color w:val="000000"/>
                <w:sz w:val="20"/>
                <w:szCs w:val="18"/>
              </w:rPr>
            </w:pPr>
            <w:r w:rsidRPr="0098559C">
              <w:rPr>
                <w:rFonts w:ascii="Arial Narrow" w:hAnsi="Arial Narrow"/>
                <w:color w:val="000000"/>
                <w:sz w:val="20"/>
                <w:szCs w:val="18"/>
              </w:rPr>
              <w:t>-</w:t>
            </w:r>
          </w:p>
        </w:tc>
        <w:tc>
          <w:tcPr>
            <w:tcW w:w="1701" w:type="dxa"/>
            <w:gridSpan w:val="2"/>
            <w:tcBorders>
              <w:top w:val="single" w:sz="4" w:space="0" w:color="auto"/>
              <w:left w:val="single" w:sz="4" w:space="0" w:color="auto"/>
              <w:bottom w:val="double" w:sz="4" w:space="0" w:color="auto"/>
              <w:right w:val="single" w:sz="4" w:space="0" w:color="auto"/>
            </w:tcBorders>
            <w:vAlign w:val="center"/>
          </w:tcPr>
          <w:p w:rsidR="00B62715" w:rsidRPr="0020540A" w:rsidRDefault="0020540A" w:rsidP="002A5C95">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A83F3B" w:rsidRPr="0098559C" w:rsidTr="00227FB8">
        <w:trPr>
          <w:cantSplit/>
        </w:trPr>
        <w:tc>
          <w:tcPr>
            <w:tcW w:w="9100" w:type="dxa"/>
            <w:gridSpan w:val="15"/>
            <w:tcBorders>
              <w:top w:val="double" w:sz="4" w:space="0" w:color="auto"/>
              <w:left w:val="single" w:sz="4" w:space="0" w:color="auto"/>
              <w:bottom w:val="single" w:sz="4" w:space="0" w:color="auto"/>
              <w:right w:val="single" w:sz="4" w:space="0" w:color="auto"/>
            </w:tcBorders>
            <w:shd w:val="clear" w:color="auto" w:fill="auto"/>
            <w:vAlign w:val="center"/>
          </w:tcPr>
          <w:p w:rsidR="00A83F3B" w:rsidRPr="0098559C" w:rsidRDefault="00A83F3B" w:rsidP="00A83F3B">
            <w:pPr>
              <w:rPr>
                <w:rFonts w:ascii="Arial Narrow" w:hAnsi="Arial Narrow"/>
                <w:b/>
                <w:color w:val="000000"/>
                <w:sz w:val="20"/>
                <w:szCs w:val="18"/>
              </w:rPr>
            </w:pPr>
            <w:r w:rsidRPr="0098559C">
              <w:rPr>
                <w:rFonts w:ascii="Arial Narrow" w:hAnsi="Arial Narrow"/>
                <w:b/>
                <w:color w:val="000000"/>
                <w:sz w:val="20"/>
                <w:szCs w:val="18"/>
              </w:rPr>
              <w:t>Reduction in PHN cases: indirect comparison</w:t>
            </w:r>
          </w:p>
        </w:tc>
      </w:tr>
      <w:tr w:rsidR="00227FB8" w:rsidRPr="0098559C" w:rsidTr="00227FB8">
        <w:trPr>
          <w:cantSplit/>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134A8" w:rsidRPr="0098559C" w:rsidRDefault="003134A8" w:rsidP="00C543DA">
            <w:pPr>
              <w:jc w:val="left"/>
              <w:rPr>
                <w:rFonts w:ascii="Arial Narrow" w:hAnsi="Arial Narrow"/>
                <w:color w:val="000000"/>
                <w:sz w:val="20"/>
                <w:szCs w:val="18"/>
              </w:rPr>
            </w:pPr>
            <w:r w:rsidRPr="0098559C">
              <w:rPr>
                <w:rFonts w:ascii="Arial Narrow" w:hAnsi="Arial Narrow"/>
                <w:color w:val="000000"/>
                <w:sz w:val="20"/>
                <w:szCs w:val="18"/>
              </w:rPr>
              <w:t>Pooled ZOE-50 and ZOE-70 (≥ 70 years)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sz w:val="20"/>
                <w:szCs w:val="18"/>
              </w:rPr>
            </w:pPr>
            <w:r w:rsidRPr="0098559C">
              <w:rPr>
                <w:rStyle w:val="TableText0"/>
              </w:rPr>
              <w:t>4/8</w:t>
            </w:r>
            <w:r w:rsidR="006C6E7A" w:rsidRPr="0098559C">
              <w:rPr>
                <w:rStyle w:val="TableText0"/>
              </w:rPr>
              <w:t>,</w:t>
            </w:r>
            <w:r w:rsidRPr="0098559C">
              <w:rPr>
                <w:rStyle w:val="TableText0"/>
              </w:rPr>
              <w:t>250</w:t>
            </w:r>
          </w:p>
        </w:tc>
        <w:tc>
          <w:tcPr>
            <w:tcW w:w="851" w:type="dxa"/>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sz w:val="20"/>
                <w:szCs w:val="18"/>
              </w:rPr>
            </w:pPr>
            <w:r w:rsidRPr="0098559C">
              <w:rPr>
                <w:rStyle w:val="TableText0"/>
              </w:rPr>
              <w:t>36/8</w:t>
            </w:r>
            <w:r w:rsidR="00C543DA" w:rsidRPr="0098559C">
              <w:rPr>
                <w:rStyle w:val="TableText0"/>
              </w:rPr>
              <w:t>,</w:t>
            </w:r>
            <w:r w:rsidRPr="0098559C">
              <w:rPr>
                <w:rStyle w:val="TableText0"/>
              </w:rPr>
              <w:t>346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Style w:val="TableText0"/>
              </w:rPr>
            </w:pPr>
            <w:r w:rsidRPr="0098559C">
              <w:rPr>
                <w:rStyle w:val="TableText0"/>
              </w:rPr>
              <w:t>0.89 (0.69, 0.97)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0.1</w:t>
            </w:r>
          </w:p>
        </w:tc>
        <w:tc>
          <w:tcPr>
            <w:tcW w:w="567" w:type="dxa"/>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1</w:t>
            </w:r>
            <w:r w:rsidR="002A5C95" w:rsidRPr="0098559C">
              <w:rPr>
                <w:rFonts w:ascii="Arial Narrow" w:hAnsi="Arial Narrow"/>
                <w:color w:val="000000"/>
                <w:sz w:val="20"/>
                <w:szCs w:val="18"/>
              </w:rPr>
              <w:t>.</w:t>
            </w:r>
            <w:r w:rsidRPr="0098559C">
              <w:rPr>
                <w:rFonts w:ascii="Arial Narrow" w:hAnsi="Arial Narrow"/>
                <w:color w:val="000000"/>
                <w:sz w:val="20"/>
                <w:szCs w:val="18"/>
              </w:rPr>
              <w:t>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B34A9A" w:rsidP="002A5C95">
            <w:pPr>
              <w:jc w:val="center"/>
              <w:rPr>
                <w:rFonts w:ascii="Arial Narrow" w:hAnsi="Arial Narrow"/>
                <w:color w:val="000000"/>
                <w:sz w:val="20"/>
                <w:szCs w:val="18"/>
              </w:rPr>
            </w:pPr>
            <w:r w:rsidRPr="0098559C">
              <w:rPr>
                <w:rFonts w:ascii="Arial Narrow" w:hAnsi="Arial Narrow"/>
                <w:color w:val="000000"/>
                <w:sz w:val="20"/>
                <w:szCs w:val="18"/>
              </w:rPr>
              <w:t>-1</w:t>
            </w:r>
            <w:r w:rsidR="002A5C95" w:rsidRPr="0098559C">
              <w:rPr>
                <w:rFonts w:ascii="Arial Narrow" w:hAnsi="Arial Narrow"/>
                <w:color w:val="000000"/>
                <w:sz w:val="20"/>
                <w:szCs w:val="18"/>
              </w:rPr>
              <w:t>.</w:t>
            </w:r>
            <w:r w:rsidRPr="0098559C">
              <w:rPr>
                <w:rFonts w:ascii="Arial Narrow" w:hAnsi="Arial Narrow"/>
                <w:color w:val="000000"/>
                <w:sz w:val="20"/>
                <w:szCs w:val="18"/>
              </w:rPr>
              <w:t>1</w:t>
            </w:r>
          </w:p>
          <w:p w:rsidR="005B4A3D" w:rsidRPr="0098559C" w:rsidRDefault="005B4A3D" w:rsidP="002A5C95">
            <w:pPr>
              <w:jc w:val="center"/>
              <w:rPr>
                <w:rFonts w:ascii="Arial Narrow" w:hAnsi="Arial Narrow"/>
                <w:color w:val="000000"/>
                <w:sz w:val="20"/>
                <w:szCs w:val="18"/>
              </w:rPr>
            </w:pPr>
            <w:r w:rsidRPr="0098559C">
              <w:rPr>
                <w:rFonts w:ascii="Arial Narrow" w:hAnsi="Arial Narrow"/>
                <w:color w:val="000000"/>
                <w:sz w:val="20"/>
                <w:szCs w:val="18"/>
              </w:rPr>
              <w:t>(-1.9 if PBO = 2.1)</w:t>
            </w:r>
            <w:r w:rsidRPr="0098559C">
              <w:rPr>
                <w:rFonts w:ascii="Arial Narrow" w:hAnsi="Arial Narrow"/>
                <w:color w:val="000000"/>
                <w:sz w:val="20"/>
                <w:szCs w:val="18"/>
                <w:vertAlign w:val="superscript"/>
              </w:rPr>
              <w:t>3</w:t>
            </w:r>
          </w:p>
        </w:tc>
      </w:tr>
      <w:tr w:rsidR="00227FB8" w:rsidRPr="0098559C" w:rsidTr="00227FB8">
        <w:trPr>
          <w:cantSplit/>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3134A8" w:rsidRPr="0098559C" w:rsidRDefault="003134A8" w:rsidP="00C543DA">
            <w:pPr>
              <w:jc w:val="left"/>
              <w:rPr>
                <w:rFonts w:ascii="Arial Narrow" w:hAnsi="Arial Narrow"/>
                <w:color w:val="000000"/>
                <w:sz w:val="20"/>
                <w:szCs w:val="18"/>
              </w:rPr>
            </w:pPr>
            <w:r w:rsidRPr="0098559C">
              <w:rPr>
                <w:rFonts w:ascii="Arial Narrow" w:hAnsi="Arial Narrow"/>
                <w:color w:val="000000"/>
                <w:sz w:val="20"/>
                <w:szCs w:val="18"/>
              </w:rPr>
              <w:t>SPS (≥ 70 years)</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744F50" w:rsidP="003134A8">
            <w:pPr>
              <w:jc w:val="center"/>
              <w:rPr>
                <w:rFonts w:ascii="Arial Narrow" w:hAnsi="Arial Narrow"/>
                <w:color w:val="000000"/>
                <w:sz w:val="20"/>
                <w:szCs w:val="18"/>
              </w:rPr>
            </w:pPr>
            <w:r w:rsidRPr="0098559C">
              <w:rPr>
                <w:rFonts w:ascii="Arial Narrow" w:hAnsi="Arial Narrow"/>
                <w:color w:val="000000"/>
                <w:sz w:val="20"/>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rsidR="003134A8" w:rsidRPr="0098559C" w:rsidRDefault="00561F7F" w:rsidP="003134A8">
            <w:pPr>
              <w:jc w:val="center"/>
              <w:rPr>
                <w:rFonts w:ascii="Arial Narrow" w:hAnsi="Arial Narrow"/>
                <w:color w:val="000000"/>
                <w:sz w:val="20"/>
                <w:szCs w:val="18"/>
              </w:rPr>
            </w:pPr>
            <w:r w:rsidRPr="0098559C">
              <w:rPr>
                <w:rStyle w:val="TableText0"/>
              </w:rPr>
              <w:t>57/8,8</w:t>
            </w:r>
            <w:r w:rsidR="003134A8" w:rsidRPr="0098559C">
              <w:rPr>
                <w:rStyle w:val="TableText0"/>
              </w:rPr>
              <w:t>91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Style w:val="TableText0"/>
              </w:rPr>
              <w:t>19/8,884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Style w:val="TableText0"/>
              </w:rPr>
            </w:pPr>
            <w:r w:rsidRPr="0098559C">
              <w:rPr>
                <w:rStyle w:val="TableText0"/>
              </w:rPr>
              <w:t>0.67 (0.43, 0.81)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3134A8" w:rsidRPr="0098559C" w:rsidRDefault="003134A8" w:rsidP="003134A8">
            <w:pPr>
              <w:jc w:val="center"/>
              <w:rPr>
                <w:rFonts w:ascii="Arial Narrow" w:hAnsi="Arial Narrow"/>
                <w:color w:val="000000"/>
                <w:sz w:val="20"/>
                <w:szCs w:val="18"/>
              </w:rPr>
            </w:pPr>
            <w:r w:rsidRPr="0098559C">
              <w:rPr>
                <w:rFonts w:ascii="Arial Narrow" w:hAnsi="Arial Narrow"/>
                <w:color w:val="000000"/>
                <w:sz w:val="20"/>
                <w:szCs w:val="18"/>
              </w:rPr>
              <w:t>2</w:t>
            </w:r>
            <w:r w:rsidR="002A5C95" w:rsidRPr="0098559C">
              <w:rPr>
                <w:rFonts w:ascii="Arial Narrow" w:hAnsi="Arial Narrow"/>
                <w:color w:val="000000"/>
                <w:sz w:val="20"/>
                <w:szCs w:val="18"/>
              </w:rPr>
              <w:t>.</w:t>
            </w:r>
            <w:r w:rsidRPr="0098559C">
              <w:rPr>
                <w:rFonts w:ascii="Arial Narrow" w:hAnsi="Arial Narrow"/>
                <w:color w:val="000000"/>
                <w:sz w:val="20"/>
                <w:szCs w:val="18"/>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3134A8" w:rsidP="002A5C95">
            <w:pPr>
              <w:jc w:val="center"/>
              <w:rPr>
                <w:rFonts w:ascii="Arial Narrow" w:hAnsi="Arial Narrow"/>
                <w:color w:val="000000"/>
                <w:sz w:val="20"/>
                <w:szCs w:val="18"/>
              </w:rPr>
            </w:pPr>
            <w:r w:rsidRPr="0098559C">
              <w:rPr>
                <w:rFonts w:ascii="Arial Narrow" w:hAnsi="Arial Narrow"/>
                <w:color w:val="000000"/>
                <w:sz w:val="20"/>
                <w:szCs w:val="18"/>
              </w:rPr>
              <w:t>0.7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134A8" w:rsidRPr="0098559C" w:rsidRDefault="00B34A9A" w:rsidP="0086733E">
            <w:pPr>
              <w:jc w:val="center"/>
              <w:rPr>
                <w:rFonts w:ascii="Arial Narrow" w:hAnsi="Arial Narrow"/>
                <w:color w:val="000000"/>
                <w:sz w:val="20"/>
                <w:szCs w:val="18"/>
              </w:rPr>
            </w:pPr>
            <w:r w:rsidRPr="0098559C">
              <w:rPr>
                <w:rFonts w:ascii="Arial Narrow" w:hAnsi="Arial Narrow"/>
                <w:color w:val="000000"/>
                <w:sz w:val="20"/>
                <w:szCs w:val="18"/>
              </w:rPr>
              <w:t>-1</w:t>
            </w:r>
            <w:r w:rsidR="002A5C95" w:rsidRPr="0098559C">
              <w:rPr>
                <w:rFonts w:ascii="Arial Narrow" w:hAnsi="Arial Narrow"/>
                <w:color w:val="000000"/>
                <w:sz w:val="20"/>
                <w:szCs w:val="18"/>
              </w:rPr>
              <w:t>.</w:t>
            </w:r>
            <w:r w:rsidRPr="0098559C">
              <w:rPr>
                <w:rFonts w:ascii="Arial Narrow" w:hAnsi="Arial Narrow"/>
                <w:color w:val="000000"/>
                <w:sz w:val="20"/>
                <w:szCs w:val="18"/>
              </w:rPr>
              <w:t>4</w:t>
            </w:r>
          </w:p>
          <w:p w:rsidR="005B4A3D" w:rsidRPr="0098559C" w:rsidRDefault="005B4A3D" w:rsidP="0086733E">
            <w:pPr>
              <w:jc w:val="center"/>
              <w:rPr>
                <w:rFonts w:ascii="Arial Narrow" w:hAnsi="Arial Narrow"/>
                <w:color w:val="000000"/>
                <w:sz w:val="20"/>
                <w:szCs w:val="18"/>
              </w:rPr>
            </w:pPr>
            <w:r w:rsidRPr="0098559C">
              <w:rPr>
                <w:rFonts w:ascii="Arial Narrow" w:hAnsi="Arial Narrow"/>
                <w:color w:val="000000"/>
                <w:sz w:val="20"/>
                <w:szCs w:val="18"/>
              </w:rPr>
              <w:t>(-0.8 if PBO = 0.3)</w:t>
            </w:r>
            <w:r w:rsidRPr="0098559C">
              <w:rPr>
                <w:rFonts w:ascii="Arial Narrow" w:hAnsi="Arial Narrow"/>
                <w:color w:val="000000"/>
                <w:sz w:val="20"/>
                <w:szCs w:val="18"/>
                <w:vertAlign w:val="superscript"/>
              </w:rPr>
              <w:t>4</w:t>
            </w:r>
          </w:p>
        </w:tc>
      </w:tr>
      <w:tr w:rsidR="003D2C5B" w:rsidRPr="0098559C" w:rsidTr="00227FB8">
        <w:trPr>
          <w:cantSplit/>
        </w:trPr>
        <w:tc>
          <w:tcPr>
            <w:tcW w:w="4139" w:type="dxa"/>
            <w:gridSpan w:val="6"/>
            <w:tcBorders>
              <w:top w:val="single" w:sz="4" w:space="0" w:color="auto"/>
              <w:left w:val="single" w:sz="4" w:space="0" w:color="auto"/>
              <w:bottom w:val="double" w:sz="4" w:space="0" w:color="auto"/>
              <w:right w:val="single" w:sz="4" w:space="0" w:color="auto"/>
            </w:tcBorders>
            <w:shd w:val="clear" w:color="auto" w:fill="auto"/>
            <w:vAlign w:val="center"/>
          </w:tcPr>
          <w:p w:rsidR="00A83F3B" w:rsidRPr="0098559C" w:rsidRDefault="003134A8" w:rsidP="00227FB8">
            <w:pPr>
              <w:jc w:val="left"/>
              <w:rPr>
                <w:rFonts w:ascii="Arial Narrow" w:hAnsi="Arial Narrow"/>
                <w:color w:val="000000"/>
                <w:sz w:val="20"/>
                <w:szCs w:val="18"/>
                <w:highlight w:val="yellow"/>
              </w:rPr>
            </w:pPr>
            <w:r w:rsidRPr="0098559C">
              <w:rPr>
                <w:rFonts w:ascii="Arial Narrow" w:hAnsi="Arial Narrow"/>
                <w:color w:val="000000"/>
                <w:sz w:val="20"/>
                <w:szCs w:val="18"/>
              </w:rPr>
              <w:t xml:space="preserve">Indirect comparison: Pooled ZOE-50 </w:t>
            </w:r>
            <w:r w:rsidR="00227FB8">
              <w:rPr>
                <w:rFonts w:ascii="Arial Narrow" w:hAnsi="Arial Narrow"/>
                <w:color w:val="000000"/>
                <w:sz w:val="20"/>
                <w:szCs w:val="18"/>
              </w:rPr>
              <w:t>+</w:t>
            </w:r>
            <w:r w:rsidRPr="0098559C">
              <w:rPr>
                <w:rFonts w:ascii="Arial Narrow" w:hAnsi="Arial Narrow"/>
                <w:color w:val="000000"/>
                <w:sz w:val="20"/>
                <w:szCs w:val="18"/>
              </w:rPr>
              <w:t xml:space="preserve"> ZOE-70 vs. SPS</w:t>
            </w:r>
          </w:p>
        </w:tc>
        <w:tc>
          <w:tcPr>
            <w:tcW w:w="1418" w:type="dxa"/>
            <w:gridSpan w:val="2"/>
            <w:tcBorders>
              <w:top w:val="single" w:sz="4" w:space="0" w:color="auto"/>
              <w:left w:val="single" w:sz="4" w:space="0" w:color="auto"/>
              <w:bottom w:val="double" w:sz="4" w:space="0" w:color="auto"/>
              <w:right w:val="single" w:sz="4" w:space="0" w:color="auto"/>
            </w:tcBorders>
            <w:vAlign w:val="center"/>
          </w:tcPr>
          <w:p w:rsidR="00A83F3B" w:rsidRPr="0098559C" w:rsidRDefault="0020540A" w:rsidP="003134A8">
            <w:pPr>
              <w:jc w:val="center"/>
              <w:rPr>
                <w:rStyle w:val="TableText0"/>
              </w:rPr>
            </w:pPr>
            <w:r>
              <w:rPr>
                <w:rStyle w:val="TableText0"/>
                <w:noProof/>
                <w:color w:val="000000"/>
                <w:highlight w:val="black"/>
              </w:rPr>
              <w:t>''''''''''' ''''''''''''''' ''''''''''''''</w:t>
            </w:r>
            <w:r w:rsidR="00561F7F" w:rsidRPr="0098559C">
              <w:rPr>
                <w:rStyle w:val="TableText0"/>
              </w:rPr>
              <w:t>*</w:t>
            </w:r>
            <w:r w:rsidR="00BE1339" w:rsidRPr="0098559C">
              <w:rPr>
                <w:rStyle w:val="TableText0"/>
              </w:rPr>
              <w:t>*</w:t>
            </w:r>
          </w:p>
        </w:tc>
        <w:tc>
          <w:tcPr>
            <w:tcW w:w="1842" w:type="dxa"/>
            <w:gridSpan w:val="5"/>
            <w:tcBorders>
              <w:top w:val="single" w:sz="4" w:space="0" w:color="auto"/>
              <w:left w:val="single" w:sz="4" w:space="0" w:color="auto"/>
              <w:bottom w:val="double" w:sz="4" w:space="0" w:color="auto"/>
              <w:right w:val="single" w:sz="4" w:space="0" w:color="auto"/>
            </w:tcBorders>
            <w:shd w:val="clear" w:color="auto" w:fill="auto"/>
            <w:vAlign w:val="center"/>
          </w:tcPr>
          <w:p w:rsidR="00A83F3B" w:rsidRPr="0098559C" w:rsidRDefault="00A83F3B" w:rsidP="006C0242">
            <w:pPr>
              <w:jc w:val="center"/>
              <w:rPr>
                <w:rFonts w:ascii="Arial Narrow" w:hAnsi="Arial Narrow"/>
                <w:color w:val="000000"/>
                <w:sz w:val="20"/>
                <w:szCs w:val="18"/>
              </w:rPr>
            </w:pPr>
            <w:r w:rsidRPr="0098559C">
              <w:rPr>
                <w:rFonts w:ascii="Arial Narrow" w:hAnsi="Arial Narrow"/>
                <w:color w:val="000000"/>
                <w:sz w:val="20"/>
                <w:szCs w:val="18"/>
              </w:rPr>
              <w:t>-</w:t>
            </w:r>
          </w:p>
        </w:tc>
        <w:tc>
          <w:tcPr>
            <w:tcW w:w="1701" w:type="dxa"/>
            <w:gridSpan w:val="2"/>
            <w:tcBorders>
              <w:top w:val="single" w:sz="4" w:space="0" w:color="auto"/>
              <w:left w:val="single" w:sz="4" w:space="0" w:color="auto"/>
              <w:bottom w:val="double" w:sz="4" w:space="0" w:color="auto"/>
              <w:right w:val="single" w:sz="4" w:space="0" w:color="auto"/>
            </w:tcBorders>
            <w:vAlign w:val="center"/>
          </w:tcPr>
          <w:p w:rsidR="00A83F3B" w:rsidRPr="0020540A" w:rsidRDefault="0020540A" w:rsidP="006C0242">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5D044D" w:rsidRPr="0098559C" w:rsidTr="00227FB8">
        <w:trPr>
          <w:cantSplit/>
        </w:trPr>
        <w:tc>
          <w:tcPr>
            <w:tcW w:w="9100" w:type="dxa"/>
            <w:gridSpan w:val="15"/>
            <w:tcBorders>
              <w:top w:val="doub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rPr>
                <w:rFonts w:ascii="Arial Narrow" w:hAnsi="Arial Narrow"/>
                <w:b/>
                <w:color w:val="000000"/>
                <w:sz w:val="20"/>
                <w:szCs w:val="18"/>
              </w:rPr>
            </w:pPr>
            <w:r w:rsidRPr="0098559C">
              <w:rPr>
                <w:rFonts w:ascii="Arial Narrow" w:hAnsi="Arial Narrow"/>
                <w:b/>
                <w:color w:val="000000"/>
                <w:sz w:val="20"/>
                <w:szCs w:val="18"/>
              </w:rPr>
              <w:t xml:space="preserve">Harms </w:t>
            </w:r>
          </w:p>
        </w:tc>
      </w:tr>
      <w:tr w:rsidR="00227FB8" w:rsidRPr="0098559C" w:rsidTr="00227FB8">
        <w:trPr>
          <w:cantSplit/>
          <w:trHeight w:val="70"/>
        </w:trPr>
        <w:tc>
          <w:tcPr>
            <w:tcW w:w="22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rPr>
                <w:rFonts w:ascii="Arial Narrow" w:hAnsi="Arial Narrow"/>
                <w:b/>
                <w:color w:val="000000"/>
                <w:sz w:val="20"/>
                <w:szCs w:val="18"/>
              </w:rPr>
            </w:pP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3E4C" w:rsidRPr="0098559C" w:rsidRDefault="00D0262A" w:rsidP="005D3E4C">
            <w:pPr>
              <w:keepNext/>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Pr="0098559C">
              <w:rPr>
                <w:rFonts w:ascii="Arial Narrow" w:hAnsi="Arial Narrow"/>
                <w:b/>
                <w:color w:val="000000"/>
                <w:sz w:val="20"/>
                <w:szCs w:val="18"/>
              </w:rPr>
              <w:t xml:space="preserve"> or Live-HZ</w:t>
            </w:r>
            <w:r w:rsidR="005D3E4C" w:rsidRPr="0098559C">
              <w:rPr>
                <w:rFonts w:ascii="Arial Narrow" w:hAnsi="Arial Narrow"/>
                <w:b/>
                <w:color w:val="000000"/>
                <w:sz w:val="20"/>
                <w:szCs w:val="18"/>
              </w:rPr>
              <w:t>,</w:t>
            </w:r>
          </w:p>
          <w:p w:rsidR="00B62715" w:rsidRPr="0098559C" w:rsidRDefault="005D3E4C" w:rsidP="005D3E4C">
            <w:pPr>
              <w:keepNext/>
              <w:jc w:val="center"/>
              <w:rPr>
                <w:rFonts w:ascii="Arial Narrow" w:hAnsi="Arial Narrow"/>
                <w:b/>
                <w:color w:val="000000"/>
                <w:sz w:val="20"/>
                <w:szCs w:val="18"/>
              </w:rPr>
            </w:pPr>
            <w:r w:rsidRPr="0098559C">
              <w:rPr>
                <w:rFonts w:ascii="Arial Narrow" w:hAnsi="Arial Narrow"/>
                <w:b/>
                <w:color w:val="000000"/>
                <w:sz w:val="20"/>
                <w:szCs w:val="18"/>
              </w:rPr>
              <w:t>n/N</w:t>
            </w:r>
            <w:r w:rsidR="00D0262A" w:rsidRPr="0098559C">
              <w:rPr>
                <w:rFonts w:ascii="Arial Narrow" w:hAnsi="Arial Narrow"/>
                <w:b/>
                <w:color w:val="000000"/>
                <w:sz w:val="20"/>
                <w:szCs w:val="18"/>
              </w:rPr>
              <w:t xml:space="preserve">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jc w:val="center"/>
              <w:rPr>
                <w:rFonts w:ascii="Arial Narrow" w:hAnsi="Arial Narrow"/>
                <w:b/>
                <w:color w:val="000000"/>
                <w:sz w:val="20"/>
                <w:szCs w:val="18"/>
              </w:rPr>
            </w:pPr>
            <w:r w:rsidRPr="0098559C">
              <w:rPr>
                <w:rFonts w:ascii="Arial Narrow" w:hAnsi="Arial Narrow"/>
                <w:b/>
                <w:color w:val="000000"/>
                <w:sz w:val="20"/>
                <w:szCs w:val="18"/>
              </w:rPr>
              <w:t>PBO</w:t>
            </w:r>
            <w:r w:rsidR="005D3E4C" w:rsidRPr="0098559C">
              <w:rPr>
                <w:rFonts w:ascii="Arial Narrow" w:hAnsi="Arial Narrow"/>
                <w:b/>
                <w:color w:val="000000"/>
                <w:sz w:val="20"/>
                <w:szCs w:val="18"/>
              </w:rPr>
              <w:t>,</w:t>
            </w:r>
          </w:p>
          <w:p w:rsidR="005D3E4C" w:rsidRPr="0098559C" w:rsidRDefault="005D3E4C" w:rsidP="00036414">
            <w:pPr>
              <w:keepNext/>
              <w:jc w:val="center"/>
              <w:rPr>
                <w:rFonts w:ascii="Arial Narrow" w:hAnsi="Arial Narrow"/>
                <w:b/>
                <w:color w:val="000000"/>
                <w:sz w:val="20"/>
                <w:szCs w:val="18"/>
              </w:rPr>
            </w:pPr>
            <w:r w:rsidRPr="0098559C">
              <w:rPr>
                <w:rFonts w:ascii="Arial Narrow" w:hAnsi="Arial Narrow"/>
                <w:b/>
                <w:color w:val="000000"/>
                <w:sz w:val="20"/>
                <w:szCs w:val="18"/>
              </w:rPr>
              <w:t>n/N</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jc w:val="center"/>
              <w:rPr>
                <w:rFonts w:ascii="Arial Narrow" w:hAnsi="Arial Narrow"/>
                <w:b/>
                <w:color w:val="000000"/>
                <w:sz w:val="20"/>
                <w:szCs w:val="18"/>
              </w:rPr>
            </w:pPr>
            <w:r w:rsidRPr="0098559C">
              <w:rPr>
                <w:rFonts w:ascii="Arial Narrow" w:hAnsi="Arial Narrow"/>
                <w:b/>
                <w:color w:val="000000"/>
                <w:sz w:val="20"/>
                <w:szCs w:val="18"/>
              </w:rPr>
              <w:t>RR</w:t>
            </w:r>
          </w:p>
          <w:p w:rsidR="00B62715" w:rsidRPr="0098559C" w:rsidRDefault="00B62715" w:rsidP="00036414">
            <w:pPr>
              <w:keepNext/>
              <w:jc w:val="center"/>
              <w:rPr>
                <w:rFonts w:ascii="Arial Narrow" w:hAnsi="Arial Narrow"/>
                <w:b/>
                <w:color w:val="000000"/>
                <w:sz w:val="20"/>
                <w:szCs w:val="18"/>
              </w:rPr>
            </w:pPr>
            <w:r w:rsidRPr="0098559C">
              <w:rPr>
                <w:rFonts w:ascii="Arial Narrow" w:hAnsi="Arial Narrow"/>
                <w:b/>
                <w:color w:val="000000"/>
                <w:sz w:val="20"/>
                <w:szCs w:val="18"/>
              </w:rPr>
              <w:t>(95% CI)</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2A5C95">
            <w:pPr>
              <w:keepNext/>
              <w:jc w:val="center"/>
              <w:rPr>
                <w:rFonts w:ascii="Arial Narrow" w:hAnsi="Arial Narrow"/>
                <w:b/>
                <w:color w:val="000000"/>
                <w:sz w:val="20"/>
                <w:szCs w:val="18"/>
              </w:rPr>
            </w:pPr>
            <w:r w:rsidRPr="0098559C">
              <w:rPr>
                <w:rFonts w:ascii="Arial Narrow" w:hAnsi="Arial Narrow"/>
                <w:b/>
                <w:color w:val="000000"/>
                <w:sz w:val="20"/>
                <w:szCs w:val="18"/>
              </w:rPr>
              <w:t>Event rate/1</w:t>
            </w:r>
            <w:r w:rsidR="005D3E4C" w:rsidRPr="0098559C">
              <w:rPr>
                <w:rFonts w:ascii="Arial Narrow" w:hAnsi="Arial Narrow"/>
                <w:b/>
                <w:color w:val="000000"/>
                <w:sz w:val="20"/>
                <w:szCs w:val="18"/>
              </w:rPr>
              <w:t>,</w:t>
            </w:r>
            <w:r w:rsidRPr="0098559C">
              <w:rPr>
                <w:rFonts w:ascii="Arial Narrow" w:hAnsi="Arial Narrow"/>
                <w:b/>
                <w:color w:val="000000"/>
                <w:sz w:val="20"/>
                <w:szCs w:val="18"/>
              </w:rPr>
              <w:t>00</w:t>
            </w:r>
            <w:r w:rsidR="00D30847" w:rsidRPr="0098559C">
              <w:rPr>
                <w:rFonts w:ascii="Arial Narrow" w:hAnsi="Arial Narrow"/>
                <w:b/>
                <w:color w:val="000000"/>
                <w:sz w:val="20"/>
                <w:szCs w:val="18"/>
              </w:rPr>
              <w:t>0</w:t>
            </w:r>
            <w:r w:rsidRPr="0098559C">
              <w:rPr>
                <w:rFonts w:ascii="Arial Narrow" w:hAnsi="Arial Narrow"/>
                <w:b/>
                <w:color w:val="000000"/>
                <w:sz w:val="20"/>
                <w:szCs w:val="18"/>
              </w:rPr>
              <w:t xml:space="preserve"> </w:t>
            </w:r>
            <w:r w:rsidR="002A5C95" w:rsidRPr="0098559C">
              <w:rPr>
                <w:rFonts w:ascii="Arial Narrow" w:hAnsi="Arial Narrow"/>
                <w:b/>
                <w:color w:val="000000"/>
                <w:sz w:val="20"/>
                <w:szCs w:val="18"/>
              </w:rPr>
              <w:t>individuals vaccinated</w:t>
            </w:r>
            <w:r w:rsidRPr="0098559C">
              <w:rPr>
                <w:rFonts w:ascii="Arial Narrow" w:hAnsi="Arial Narrow"/>
                <w:b/>
                <w:color w:val="000000"/>
                <w:sz w:val="20"/>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jc w:val="center"/>
              <w:rPr>
                <w:rFonts w:ascii="Arial Narrow" w:hAnsi="Arial Narrow"/>
                <w:b/>
                <w:color w:val="000000"/>
                <w:sz w:val="20"/>
                <w:szCs w:val="18"/>
              </w:rPr>
            </w:pPr>
            <w:r w:rsidRPr="0098559C">
              <w:rPr>
                <w:rFonts w:ascii="Arial Narrow" w:hAnsi="Arial Narrow"/>
                <w:b/>
                <w:color w:val="000000"/>
                <w:sz w:val="20"/>
                <w:szCs w:val="18"/>
              </w:rPr>
              <w:t>RD</w:t>
            </w:r>
            <w:r w:rsidR="00D0262A" w:rsidRPr="0098559C">
              <w:rPr>
                <w:rFonts w:ascii="Arial Narrow" w:hAnsi="Arial Narrow"/>
                <w:b/>
                <w:color w:val="000000"/>
                <w:sz w:val="20"/>
                <w:szCs w:val="18"/>
              </w:rPr>
              <w:t>**</w:t>
            </w:r>
          </w:p>
        </w:tc>
      </w:tr>
      <w:tr w:rsidR="00227FB8" w:rsidRPr="0098559C" w:rsidTr="00227FB8">
        <w:trPr>
          <w:cantSplit/>
          <w:trHeight w:val="390"/>
        </w:trPr>
        <w:tc>
          <w:tcPr>
            <w:tcW w:w="229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B62715" w:rsidP="00036414">
            <w:pPr>
              <w:keepNext/>
              <w:rPr>
                <w:rFonts w:ascii="Arial Narrow" w:hAnsi="Arial Narrow"/>
                <w:b/>
                <w:color w:val="000000"/>
                <w:sz w:val="20"/>
                <w:szCs w:val="18"/>
                <w:highlight w:val="yellow"/>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036414">
            <w:pPr>
              <w:keepNext/>
              <w:jc w:val="center"/>
              <w:rPr>
                <w:rFonts w:ascii="Arial Narrow" w:hAnsi="Arial Narrow"/>
                <w:b/>
                <w:color w:val="000000"/>
                <w:sz w:val="20"/>
                <w:szCs w:val="18"/>
                <w:highlight w:val="yellow"/>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036414">
            <w:pPr>
              <w:keepNext/>
              <w:jc w:val="center"/>
              <w:rPr>
                <w:rFonts w:ascii="Arial Narrow" w:hAnsi="Arial Narrow"/>
                <w:b/>
                <w:color w:val="000000"/>
                <w:sz w:val="20"/>
                <w:szCs w:val="18"/>
                <w:highlight w:val="yellow"/>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036414">
            <w:pPr>
              <w:keepNext/>
              <w:jc w:val="center"/>
              <w:rPr>
                <w:rFonts w:ascii="Arial Narrow" w:hAnsi="Arial Narrow"/>
                <w:b/>
                <w:color w:val="000000"/>
                <w:sz w:val="20"/>
                <w:szCs w:val="18"/>
                <w:highlight w:val="yellow"/>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62715" w:rsidRPr="0098559C" w:rsidRDefault="00D0262A" w:rsidP="005D3E4C">
            <w:pPr>
              <w:keepNext/>
              <w:jc w:val="center"/>
              <w:rPr>
                <w:rFonts w:ascii="Arial Narrow" w:hAnsi="Arial Narrow"/>
                <w:b/>
                <w:color w:val="000000"/>
                <w:sz w:val="20"/>
                <w:szCs w:val="18"/>
              </w:rPr>
            </w:pPr>
            <w:r w:rsidRPr="0098559C">
              <w:rPr>
                <w:rFonts w:ascii="Arial Narrow" w:hAnsi="Arial Narrow"/>
                <w:b/>
                <w:color w:val="000000"/>
                <w:sz w:val="20"/>
                <w:szCs w:val="18"/>
              </w:rPr>
              <w:t>HZ/</w:t>
            </w:r>
            <w:proofErr w:type="spellStart"/>
            <w:r w:rsidRPr="0098559C">
              <w:rPr>
                <w:rFonts w:ascii="Arial Narrow" w:hAnsi="Arial Narrow"/>
                <w:b/>
                <w:color w:val="000000"/>
                <w:sz w:val="20"/>
                <w:szCs w:val="18"/>
              </w:rPr>
              <w:t>su</w:t>
            </w:r>
            <w:proofErr w:type="spellEnd"/>
            <w:r w:rsidRPr="0098559C">
              <w:rPr>
                <w:rFonts w:ascii="Arial Narrow" w:hAnsi="Arial Narrow"/>
                <w:b/>
                <w:color w:val="000000"/>
                <w:sz w:val="20"/>
                <w:szCs w:val="18"/>
              </w:rPr>
              <w:t xml:space="preserve"> or </w:t>
            </w:r>
            <w:r w:rsidR="005D3E4C" w:rsidRPr="0098559C">
              <w:rPr>
                <w:rFonts w:ascii="Arial Narrow" w:hAnsi="Arial Narrow"/>
                <w:b/>
                <w:color w:val="000000"/>
                <w:sz w:val="20"/>
                <w:szCs w:val="18"/>
              </w:rPr>
              <w:br/>
            </w:r>
            <w:r w:rsidRPr="0098559C">
              <w:rPr>
                <w:rFonts w:ascii="Arial Narrow" w:hAnsi="Arial Narrow"/>
                <w:b/>
                <w:color w:val="000000"/>
                <w:sz w:val="20"/>
                <w:szCs w:val="18"/>
              </w:rPr>
              <w:t xml:space="preserve">Live-HZ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2715" w:rsidRPr="0098559C" w:rsidRDefault="00B62715" w:rsidP="00036414">
            <w:pPr>
              <w:keepNext/>
              <w:jc w:val="center"/>
              <w:rPr>
                <w:rFonts w:ascii="Arial Narrow" w:hAnsi="Arial Narrow"/>
                <w:b/>
                <w:color w:val="000000"/>
                <w:sz w:val="20"/>
                <w:szCs w:val="18"/>
              </w:rPr>
            </w:pPr>
            <w:r w:rsidRPr="0098559C">
              <w:rPr>
                <w:rFonts w:ascii="Arial Narrow" w:hAnsi="Arial Narrow"/>
                <w:b/>
                <w:color w:val="000000"/>
                <w:sz w:val="20"/>
                <w:szCs w:val="18"/>
              </w:rPr>
              <w:t>PBO</w:t>
            </w:r>
          </w:p>
        </w:tc>
        <w:tc>
          <w:tcPr>
            <w:tcW w:w="992" w:type="dxa"/>
            <w:vMerge/>
            <w:tcBorders>
              <w:top w:val="single" w:sz="4" w:space="0" w:color="auto"/>
              <w:left w:val="single" w:sz="4" w:space="0" w:color="auto"/>
              <w:bottom w:val="single" w:sz="4" w:space="0" w:color="auto"/>
              <w:right w:val="single" w:sz="4" w:space="0" w:color="auto"/>
            </w:tcBorders>
            <w:vAlign w:val="center"/>
          </w:tcPr>
          <w:p w:rsidR="00B62715" w:rsidRPr="0098559C" w:rsidRDefault="00B62715" w:rsidP="00036414">
            <w:pPr>
              <w:keepNext/>
              <w:jc w:val="center"/>
              <w:rPr>
                <w:rFonts w:ascii="Arial Narrow" w:hAnsi="Arial Narrow"/>
                <w:b/>
                <w:color w:val="000000"/>
                <w:sz w:val="20"/>
                <w:szCs w:val="18"/>
                <w:highlight w:val="yellow"/>
              </w:rPr>
            </w:pPr>
          </w:p>
        </w:tc>
      </w:tr>
      <w:tr w:rsidR="00B62715" w:rsidRPr="0098559C" w:rsidTr="00227FB8">
        <w:trPr>
          <w:cantSplit/>
        </w:trPr>
        <w:tc>
          <w:tcPr>
            <w:tcW w:w="91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3D2C5B" w:rsidP="00036414">
            <w:pPr>
              <w:keepNext/>
              <w:rPr>
                <w:rFonts w:ascii="Arial Narrow" w:hAnsi="Arial Narrow"/>
                <w:color w:val="000000"/>
                <w:sz w:val="20"/>
                <w:szCs w:val="18"/>
              </w:rPr>
            </w:pPr>
            <w:r w:rsidRPr="0098559C">
              <w:rPr>
                <w:rFonts w:ascii="Arial Narrow" w:hAnsi="Arial Narrow"/>
                <w:b/>
                <w:color w:val="000000"/>
                <w:sz w:val="20"/>
                <w:szCs w:val="18"/>
              </w:rPr>
              <w:t>Pain</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2C5B" w:rsidRPr="0098559C" w:rsidRDefault="003D2C5B" w:rsidP="00227FB8">
            <w:pPr>
              <w:jc w:val="left"/>
              <w:rPr>
                <w:rFonts w:ascii="Arial Narrow" w:hAnsi="Arial Narrow"/>
                <w:color w:val="000000"/>
                <w:sz w:val="20"/>
                <w:szCs w:val="18"/>
              </w:rPr>
            </w:pPr>
            <w:r w:rsidRPr="0098559C">
              <w:rPr>
                <w:rFonts w:ascii="Arial Narrow" w:hAnsi="Arial Narrow"/>
                <w:color w:val="000000"/>
                <w:sz w:val="20"/>
                <w:szCs w:val="18"/>
              </w:rPr>
              <w:t xml:space="preserve">Pooled ZOE-50 </w:t>
            </w:r>
            <w:r w:rsidR="00227FB8">
              <w:rPr>
                <w:rFonts w:ascii="Arial Narrow" w:hAnsi="Arial Narrow"/>
                <w:color w:val="000000"/>
                <w:sz w:val="20"/>
                <w:szCs w:val="18"/>
              </w:rPr>
              <w:t>+</w:t>
            </w:r>
            <w:r w:rsidRPr="0098559C">
              <w:rPr>
                <w:rFonts w:ascii="Arial Narrow" w:hAnsi="Arial Narrow"/>
                <w:color w:val="000000"/>
                <w:sz w:val="20"/>
                <w:szCs w:val="18"/>
              </w:rPr>
              <w:t xml:space="preserve"> ZOE-70 (All)</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3,810/4,</w:t>
            </w:r>
            <w:r w:rsidR="00B94D62" w:rsidRPr="0098559C">
              <w:rPr>
                <w:rFonts w:ascii="Arial Narrow" w:hAnsi="Arial Narrow"/>
                <w:sz w:val="20"/>
                <w:szCs w:val="20"/>
              </w:rPr>
              <w:t>884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B94D62">
            <w:pPr>
              <w:jc w:val="center"/>
              <w:rPr>
                <w:rFonts w:ascii="Arial Narrow" w:hAnsi="Arial Narrow"/>
                <w:sz w:val="20"/>
                <w:szCs w:val="20"/>
              </w:rPr>
            </w:pPr>
            <w:r w:rsidRPr="0098559C">
              <w:rPr>
                <w:rFonts w:ascii="Arial Narrow" w:hAnsi="Arial Narrow"/>
                <w:sz w:val="20"/>
                <w:szCs w:val="20"/>
              </w:rPr>
              <w:t>533/4,880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B94D62" w:rsidP="003D2C5B">
            <w:pPr>
              <w:jc w:val="center"/>
              <w:rPr>
                <w:rFonts w:ascii="Arial Narrow" w:hAnsi="Arial Narrow"/>
                <w:color w:val="000000"/>
                <w:sz w:val="20"/>
                <w:szCs w:val="18"/>
              </w:rPr>
            </w:pPr>
            <w:r w:rsidRPr="0098559C">
              <w:rPr>
                <w:rFonts w:ascii="Arial Narrow" w:hAnsi="Arial Narrow"/>
                <w:color w:val="000000"/>
                <w:sz w:val="20"/>
                <w:szCs w:val="18"/>
              </w:rPr>
              <w:t>780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B94D62" w:rsidP="002A5C95">
            <w:pPr>
              <w:jc w:val="center"/>
              <w:rPr>
                <w:rFonts w:ascii="Arial Narrow" w:hAnsi="Arial Narrow"/>
                <w:color w:val="000000"/>
                <w:sz w:val="20"/>
                <w:szCs w:val="18"/>
              </w:rPr>
            </w:pPr>
            <w:r w:rsidRPr="0098559C">
              <w:rPr>
                <w:rFonts w:ascii="Arial Narrow" w:hAnsi="Arial Narrow"/>
                <w:color w:val="000000"/>
                <w:sz w:val="20"/>
                <w:szCs w:val="18"/>
              </w:rPr>
              <w:t>109</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szCs w:val="18"/>
              </w:rPr>
            </w:pPr>
            <w:r w:rsidRPr="0098559C">
              <w:rPr>
                <w:rFonts w:ascii="Arial Narrow" w:hAnsi="Arial Narrow"/>
                <w:color w:val="000000"/>
                <w:sz w:val="20"/>
                <w:szCs w:val="18"/>
              </w:rPr>
              <w:t>6</w:t>
            </w:r>
            <w:r w:rsidR="00DA755E" w:rsidRPr="0098559C">
              <w:rPr>
                <w:rFonts w:ascii="Arial Narrow" w:hAnsi="Arial Narrow"/>
                <w:color w:val="000000"/>
                <w:sz w:val="20"/>
                <w:szCs w:val="18"/>
              </w:rPr>
              <w:t>7</w:t>
            </w:r>
            <w:r w:rsidRPr="0098559C">
              <w:rPr>
                <w:rFonts w:ascii="Arial Narrow" w:hAnsi="Arial Narrow"/>
                <w:color w:val="000000"/>
                <w:sz w:val="20"/>
                <w:szCs w:val="18"/>
              </w:rPr>
              <w:t>1</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tcPr>
          <w:p w:rsidR="003D2C5B" w:rsidRPr="0098559C" w:rsidRDefault="00A241E3" w:rsidP="003D2C5B">
            <w:pPr>
              <w:rPr>
                <w:rFonts w:ascii="Arial Narrow" w:hAnsi="Arial Narrow"/>
                <w:color w:val="000000"/>
                <w:sz w:val="20"/>
                <w:szCs w:val="18"/>
              </w:rPr>
            </w:pPr>
            <w:r w:rsidRPr="0098559C">
              <w:rPr>
                <w:rFonts w:ascii="Arial Narrow" w:hAnsi="Arial Narrow"/>
                <w:color w:val="000000"/>
                <w:sz w:val="20"/>
                <w:szCs w:val="20"/>
              </w:rPr>
              <w:t>SPS</w:t>
            </w:r>
          </w:p>
        </w:tc>
        <w:tc>
          <w:tcPr>
            <w:tcW w:w="1134" w:type="dxa"/>
            <w:gridSpan w:val="3"/>
            <w:tcBorders>
              <w:top w:val="single" w:sz="4" w:space="0" w:color="auto"/>
              <w:left w:val="single" w:sz="4" w:space="0" w:color="auto"/>
              <w:bottom w:val="single" w:sz="4" w:space="0" w:color="auto"/>
              <w:right w:val="single" w:sz="4" w:space="0" w:color="auto"/>
            </w:tcBorders>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1,147/3,</w:t>
            </w:r>
            <w:r w:rsidR="00B94D62" w:rsidRPr="0098559C">
              <w:rPr>
                <w:rFonts w:ascii="Arial Narrow" w:hAnsi="Arial Narrow"/>
                <w:sz w:val="20"/>
                <w:szCs w:val="20"/>
              </w:rPr>
              <w:t>345</w:t>
            </w:r>
          </w:p>
        </w:tc>
        <w:tc>
          <w:tcPr>
            <w:tcW w:w="1134" w:type="dxa"/>
            <w:gridSpan w:val="2"/>
            <w:tcBorders>
              <w:top w:val="single" w:sz="4" w:space="0" w:color="auto"/>
              <w:left w:val="single" w:sz="4" w:space="0" w:color="auto"/>
              <w:bottom w:val="single" w:sz="4" w:space="0" w:color="auto"/>
              <w:right w:val="single" w:sz="4" w:space="0" w:color="auto"/>
            </w:tcBorders>
          </w:tcPr>
          <w:p w:rsidR="003D2C5B" w:rsidRPr="0098559C" w:rsidRDefault="003D2C5B" w:rsidP="00B94D62">
            <w:pPr>
              <w:jc w:val="center"/>
              <w:rPr>
                <w:rFonts w:ascii="Arial Narrow" w:hAnsi="Arial Narrow"/>
                <w:sz w:val="20"/>
                <w:szCs w:val="20"/>
              </w:rPr>
            </w:pPr>
            <w:r w:rsidRPr="0098559C">
              <w:rPr>
                <w:rFonts w:ascii="Arial Narrow" w:hAnsi="Arial Narrow"/>
                <w:sz w:val="20"/>
                <w:szCs w:val="20"/>
              </w:rPr>
              <w:t>278/3,271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szCs w:val="18"/>
              </w:rPr>
            </w:pPr>
            <w:r w:rsidRPr="0098559C">
              <w:rPr>
                <w:rFonts w:ascii="Arial Narrow" w:hAnsi="Arial Narrow"/>
                <w:color w:val="000000"/>
                <w:sz w:val="20"/>
                <w:szCs w:val="18"/>
              </w:rPr>
              <w:t>345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85</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DA755E" w:rsidP="002A5C95">
            <w:pPr>
              <w:jc w:val="center"/>
              <w:rPr>
                <w:rFonts w:ascii="Arial Narrow" w:hAnsi="Arial Narrow"/>
                <w:color w:val="000000"/>
                <w:sz w:val="20"/>
                <w:szCs w:val="18"/>
              </w:rPr>
            </w:pPr>
            <w:r w:rsidRPr="0098559C">
              <w:rPr>
                <w:rFonts w:ascii="Arial Narrow" w:hAnsi="Arial Narrow"/>
                <w:color w:val="000000"/>
                <w:sz w:val="20"/>
                <w:szCs w:val="18"/>
              </w:rPr>
              <w:t>260</w:t>
            </w:r>
          </w:p>
        </w:tc>
      </w:tr>
      <w:tr w:rsidR="00B62715" w:rsidRPr="0098559C" w:rsidTr="00227FB8">
        <w:trPr>
          <w:cantSplit/>
        </w:trPr>
        <w:tc>
          <w:tcPr>
            <w:tcW w:w="91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3D2C5B" w:rsidP="00EC00C9">
            <w:pPr>
              <w:rPr>
                <w:rFonts w:ascii="Arial Narrow" w:hAnsi="Arial Narrow"/>
                <w:b/>
                <w:color w:val="000000"/>
                <w:sz w:val="20"/>
                <w:szCs w:val="18"/>
              </w:rPr>
            </w:pPr>
            <w:r w:rsidRPr="0098559C">
              <w:rPr>
                <w:rFonts w:ascii="Arial Narrow" w:hAnsi="Arial Narrow"/>
                <w:b/>
                <w:color w:val="000000"/>
                <w:sz w:val="20"/>
                <w:szCs w:val="18"/>
              </w:rPr>
              <w:t>Redness</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2C5B" w:rsidRPr="0098559C" w:rsidRDefault="003D2C5B" w:rsidP="00227FB8">
            <w:pPr>
              <w:jc w:val="left"/>
              <w:rPr>
                <w:rFonts w:ascii="Arial Narrow" w:hAnsi="Arial Narrow"/>
                <w:color w:val="000000"/>
                <w:sz w:val="20"/>
                <w:szCs w:val="18"/>
              </w:rPr>
            </w:pPr>
            <w:r w:rsidRPr="0098559C">
              <w:rPr>
                <w:rFonts w:ascii="Arial Narrow" w:hAnsi="Arial Narrow"/>
                <w:color w:val="000000"/>
                <w:sz w:val="20"/>
                <w:szCs w:val="18"/>
              </w:rPr>
              <w:t xml:space="preserve">Pooled ZOE-50 </w:t>
            </w:r>
            <w:r w:rsidR="00227FB8">
              <w:rPr>
                <w:rFonts w:ascii="Arial Narrow" w:hAnsi="Arial Narrow"/>
                <w:color w:val="000000"/>
                <w:sz w:val="20"/>
                <w:szCs w:val="18"/>
              </w:rPr>
              <w:t>+</w:t>
            </w:r>
            <w:r w:rsidRPr="0098559C">
              <w:rPr>
                <w:rFonts w:ascii="Arial Narrow" w:hAnsi="Arial Narrow"/>
                <w:color w:val="000000"/>
                <w:sz w:val="20"/>
                <w:szCs w:val="18"/>
              </w:rPr>
              <w:t xml:space="preserve"> ZOE-70 (All)</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1,863/4,</w:t>
            </w:r>
            <w:r w:rsidR="00B94D62" w:rsidRPr="0098559C">
              <w:rPr>
                <w:rFonts w:ascii="Arial Narrow" w:hAnsi="Arial Narrow"/>
                <w:sz w:val="20"/>
                <w:szCs w:val="20"/>
              </w:rPr>
              <w:t>884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64/4,</w:t>
            </w:r>
            <w:r w:rsidR="00B94D62" w:rsidRPr="0098559C">
              <w:rPr>
                <w:rFonts w:ascii="Arial Narrow" w:hAnsi="Arial Narrow"/>
                <w:sz w:val="20"/>
                <w:szCs w:val="20"/>
              </w:rPr>
              <w:t>880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B94D62" w:rsidP="002A5C95">
            <w:pPr>
              <w:jc w:val="center"/>
              <w:rPr>
                <w:rFonts w:ascii="Arial Narrow" w:hAnsi="Arial Narrow"/>
                <w:color w:val="000000"/>
                <w:sz w:val="20"/>
                <w:szCs w:val="18"/>
              </w:rPr>
            </w:pPr>
            <w:r w:rsidRPr="0098559C">
              <w:rPr>
                <w:rFonts w:ascii="Arial Narrow" w:hAnsi="Arial Narrow"/>
                <w:color w:val="000000"/>
                <w:sz w:val="20"/>
                <w:szCs w:val="18"/>
              </w:rPr>
              <w:t>381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B94D62" w:rsidP="002A5C95">
            <w:pPr>
              <w:jc w:val="center"/>
              <w:rPr>
                <w:rFonts w:ascii="Arial Narrow" w:hAnsi="Arial Narrow"/>
                <w:color w:val="000000"/>
                <w:sz w:val="20"/>
                <w:szCs w:val="18"/>
              </w:rPr>
            </w:pPr>
            <w:r w:rsidRPr="0098559C">
              <w:rPr>
                <w:rFonts w:ascii="Arial Narrow" w:hAnsi="Arial Narrow"/>
                <w:color w:val="000000"/>
                <w:sz w:val="20"/>
                <w:szCs w:val="18"/>
              </w:rPr>
              <w:t>13</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DA755E" w:rsidP="002A5C95">
            <w:pPr>
              <w:jc w:val="center"/>
              <w:rPr>
                <w:rFonts w:ascii="Arial Narrow" w:hAnsi="Arial Narrow"/>
                <w:color w:val="000000"/>
                <w:sz w:val="20"/>
                <w:szCs w:val="18"/>
              </w:rPr>
            </w:pPr>
            <w:r w:rsidRPr="0098559C">
              <w:rPr>
                <w:rFonts w:ascii="Arial Narrow" w:hAnsi="Arial Narrow"/>
                <w:color w:val="000000"/>
                <w:sz w:val="20"/>
                <w:szCs w:val="18"/>
              </w:rPr>
              <w:t>368</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tcPr>
          <w:p w:rsidR="003D2C5B" w:rsidRPr="0098559C" w:rsidRDefault="00A241E3" w:rsidP="00761E8E">
            <w:pPr>
              <w:jc w:val="left"/>
              <w:rPr>
                <w:rFonts w:ascii="Arial Narrow" w:hAnsi="Arial Narrow"/>
                <w:color w:val="000000"/>
                <w:sz w:val="20"/>
                <w:szCs w:val="18"/>
              </w:rPr>
            </w:pPr>
            <w:r w:rsidRPr="0098559C">
              <w:rPr>
                <w:rFonts w:ascii="Arial Narrow" w:hAnsi="Arial Narrow"/>
                <w:color w:val="000000"/>
                <w:sz w:val="20"/>
                <w:szCs w:val="20"/>
              </w:rPr>
              <w:t>SPS</w:t>
            </w:r>
          </w:p>
        </w:tc>
        <w:tc>
          <w:tcPr>
            <w:tcW w:w="1134" w:type="dxa"/>
            <w:gridSpan w:val="3"/>
            <w:tcBorders>
              <w:top w:val="single" w:sz="4" w:space="0" w:color="auto"/>
              <w:left w:val="single" w:sz="4" w:space="0" w:color="auto"/>
              <w:bottom w:val="single" w:sz="4" w:space="0" w:color="auto"/>
              <w:right w:val="single" w:sz="4" w:space="0" w:color="auto"/>
            </w:tcBorders>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1,188/3,</w:t>
            </w:r>
            <w:r w:rsidR="00B94D62" w:rsidRPr="0098559C">
              <w:rPr>
                <w:rFonts w:ascii="Arial Narrow" w:hAnsi="Arial Narrow"/>
                <w:sz w:val="20"/>
                <w:szCs w:val="20"/>
              </w:rPr>
              <w:t>345</w:t>
            </w:r>
          </w:p>
        </w:tc>
        <w:tc>
          <w:tcPr>
            <w:tcW w:w="1134" w:type="dxa"/>
            <w:gridSpan w:val="2"/>
            <w:tcBorders>
              <w:top w:val="single" w:sz="4" w:space="0" w:color="auto"/>
              <w:left w:val="single" w:sz="4" w:space="0" w:color="auto"/>
              <w:bottom w:val="single" w:sz="4" w:space="0" w:color="auto"/>
              <w:right w:val="single" w:sz="4" w:space="0" w:color="auto"/>
            </w:tcBorders>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227/3,</w:t>
            </w:r>
            <w:r w:rsidR="00B94D62" w:rsidRPr="0098559C">
              <w:rPr>
                <w:rFonts w:ascii="Arial Narrow" w:hAnsi="Arial Narrow"/>
                <w:sz w:val="20"/>
                <w:szCs w:val="20"/>
              </w:rPr>
              <w:t>271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szCs w:val="18"/>
              </w:rPr>
            </w:pPr>
            <w:r w:rsidRPr="0098559C">
              <w:rPr>
                <w:rFonts w:ascii="Arial Narrow" w:hAnsi="Arial Narrow"/>
                <w:color w:val="000000"/>
                <w:sz w:val="20"/>
                <w:szCs w:val="18"/>
              </w:rPr>
              <w:t>358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szCs w:val="18"/>
              </w:rPr>
            </w:pPr>
            <w:r w:rsidRPr="0098559C">
              <w:rPr>
                <w:rFonts w:ascii="Arial Narrow" w:hAnsi="Arial Narrow"/>
                <w:color w:val="000000"/>
                <w:sz w:val="20"/>
                <w:szCs w:val="18"/>
              </w:rPr>
              <w:t>70</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DA755E" w:rsidP="002A5C95">
            <w:pPr>
              <w:jc w:val="center"/>
              <w:rPr>
                <w:rFonts w:ascii="Arial Narrow" w:hAnsi="Arial Narrow"/>
                <w:color w:val="000000"/>
                <w:sz w:val="20"/>
                <w:szCs w:val="18"/>
              </w:rPr>
            </w:pPr>
            <w:r w:rsidRPr="0098559C">
              <w:rPr>
                <w:rFonts w:ascii="Arial Narrow" w:hAnsi="Arial Narrow"/>
                <w:color w:val="000000"/>
                <w:sz w:val="20"/>
                <w:szCs w:val="18"/>
              </w:rPr>
              <w:t>288</w:t>
            </w:r>
          </w:p>
        </w:tc>
      </w:tr>
      <w:tr w:rsidR="00B62715" w:rsidRPr="0098559C" w:rsidTr="00227FB8">
        <w:trPr>
          <w:cantSplit/>
        </w:trPr>
        <w:tc>
          <w:tcPr>
            <w:tcW w:w="91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559C" w:rsidRDefault="003D2C5B" w:rsidP="00761E8E">
            <w:pPr>
              <w:jc w:val="left"/>
              <w:rPr>
                <w:rFonts w:ascii="Arial Narrow" w:hAnsi="Arial Narrow"/>
                <w:color w:val="000000"/>
                <w:sz w:val="20"/>
                <w:szCs w:val="18"/>
              </w:rPr>
            </w:pPr>
            <w:r w:rsidRPr="0098559C">
              <w:rPr>
                <w:rFonts w:ascii="Arial Narrow" w:hAnsi="Arial Narrow"/>
                <w:b/>
                <w:color w:val="000000"/>
                <w:sz w:val="20"/>
                <w:szCs w:val="18"/>
              </w:rPr>
              <w:t>Swelling</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2C5B" w:rsidRPr="0098559C" w:rsidRDefault="003D2C5B" w:rsidP="00227FB8">
            <w:pPr>
              <w:jc w:val="left"/>
              <w:rPr>
                <w:rFonts w:ascii="Arial Narrow" w:hAnsi="Arial Narrow"/>
                <w:color w:val="000000"/>
                <w:sz w:val="20"/>
                <w:szCs w:val="18"/>
              </w:rPr>
            </w:pPr>
            <w:r w:rsidRPr="0098559C">
              <w:rPr>
                <w:rFonts w:ascii="Arial Narrow" w:hAnsi="Arial Narrow"/>
                <w:color w:val="000000"/>
                <w:sz w:val="20"/>
                <w:szCs w:val="18"/>
              </w:rPr>
              <w:t xml:space="preserve">Pooled ZOE-50 </w:t>
            </w:r>
            <w:r w:rsidR="00227FB8">
              <w:rPr>
                <w:rFonts w:ascii="Arial Narrow" w:hAnsi="Arial Narrow"/>
                <w:color w:val="000000"/>
                <w:sz w:val="20"/>
                <w:szCs w:val="18"/>
              </w:rPr>
              <w:t>+</w:t>
            </w:r>
            <w:r w:rsidRPr="0098559C">
              <w:rPr>
                <w:rFonts w:ascii="Arial Narrow" w:hAnsi="Arial Narrow"/>
                <w:color w:val="000000"/>
                <w:sz w:val="20"/>
                <w:szCs w:val="18"/>
              </w:rPr>
              <w:t xml:space="preserve"> ZOE-70 (All)</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1,267/4,</w:t>
            </w:r>
            <w:r w:rsidR="00B94D62" w:rsidRPr="0098559C">
              <w:rPr>
                <w:rFonts w:ascii="Arial Narrow" w:hAnsi="Arial Narrow"/>
                <w:sz w:val="20"/>
                <w:szCs w:val="20"/>
              </w:rPr>
              <w:t>884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sz w:val="20"/>
                <w:szCs w:val="20"/>
              </w:rPr>
            </w:pPr>
            <w:r w:rsidRPr="0098559C">
              <w:rPr>
                <w:rFonts w:ascii="Arial Narrow" w:hAnsi="Arial Narrow"/>
                <w:sz w:val="20"/>
                <w:szCs w:val="20"/>
              </w:rPr>
              <w:t>48/4,</w:t>
            </w:r>
            <w:r w:rsidR="00B94D62" w:rsidRPr="0098559C">
              <w:rPr>
                <w:rFonts w:ascii="Arial Narrow" w:hAnsi="Arial Narrow"/>
                <w:sz w:val="20"/>
                <w:szCs w:val="20"/>
              </w:rPr>
              <w:t>880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szCs w:val="18"/>
              </w:rPr>
            </w:pPr>
            <w:r w:rsidRPr="0098559C">
              <w:rPr>
                <w:rFonts w:ascii="Arial Narrow" w:hAnsi="Arial Narrow"/>
                <w:color w:val="000000"/>
                <w:sz w:val="20"/>
                <w:szCs w:val="18"/>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B94D62" w:rsidP="002A5C95">
            <w:pPr>
              <w:jc w:val="center"/>
              <w:rPr>
                <w:rFonts w:ascii="Arial Narrow" w:hAnsi="Arial Narrow"/>
                <w:color w:val="000000"/>
                <w:sz w:val="20"/>
                <w:szCs w:val="18"/>
              </w:rPr>
            </w:pPr>
            <w:r w:rsidRPr="0098559C">
              <w:rPr>
                <w:rFonts w:ascii="Arial Narrow" w:hAnsi="Arial Narrow"/>
                <w:color w:val="000000"/>
                <w:sz w:val="20"/>
                <w:szCs w:val="18"/>
              </w:rPr>
              <w:t>259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B94D62" w:rsidP="002A5C95">
            <w:pPr>
              <w:jc w:val="center"/>
              <w:rPr>
                <w:rFonts w:ascii="Arial Narrow" w:hAnsi="Arial Narrow"/>
                <w:color w:val="000000"/>
                <w:sz w:val="20"/>
                <w:szCs w:val="18"/>
              </w:rPr>
            </w:pPr>
            <w:r w:rsidRPr="0098559C">
              <w:rPr>
                <w:rFonts w:ascii="Arial Narrow" w:hAnsi="Arial Narrow"/>
                <w:color w:val="000000"/>
                <w:sz w:val="20"/>
                <w:szCs w:val="18"/>
              </w:rPr>
              <w:t>1</w:t>
            </w:r>
            <w:r w:rsidR="003D2C5B" w:rsidRPr="0098559C">
              <w:rPr>
                <w:rFonts w:ascii="Arial Narrow" w:hAnsi="Arial Narrow"/>
                <w:color w:val="000000"/>
                <w:sz w:val="20"/>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DA755E" w:rsidP="002A5C95">
            <w:pPr>
              <w:jc w:val="center"/>
              <w:rPr>
                <w:rFonts w:ascii="Arial Narrow" w:hAnsi="Arial Narrow"/>
                <w:color w:val="000000"/>
                <w:sz w:val="20"/>
                <w:szCs w:val="18"/>
              </w:rPr>
            </w:pPr>
            <w:r w:rsidRPr="0098559C">
              <w:rPr>
                <w:rFonts w:ascii="Arial Narrow" w:hAnsi="Arial Narrow"/>
                <w:color w:val="000000"/>
                <w:sz w:val="20"/>
                <w:szCs w:val="18"/>
              </w:rPr>
              <w:t>24</w:t>
            </w:r>
            <w:r w:rsidR="003D2C5B" w:rsidRPr="0098559C">
              <w:rPr>
                <w:rFonts w:ascii="Arial Narrow" w:hAnsi="Arial Narrow"/>
                <w:color w:val="000000"/>
                <w:sz w:val="20"/>
                <w:szCs w:val="18"/>
              </w:rPr>
              <w:t>9</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tcPr>
          <w:p w:rsidR="003D2C5B" w:rsidRPr="0098559C" w:rsidRDefault="00A241E3" w:rsidP="00761E8E">
            <w:pPr>
              <w:jc w:val="left"/>
              <w:rPr>
                <w:rFonts w:ascii="Arial Narrow" w:hAnsi="Arial Narrow"/>
                <w:color w:val="000000"/>
                <w:sz w:val="20"/>
                <w:szCs w:val="18"/>
              </w:rPr>
            </w:pPr>
            <w:r w:rsidRPr="0098559C">
              <w:rPr>
                <w:rFonts w:ascii="Arial Narrow" w:hAnsi="Arial Narrow"/>
                <w:color w:val="000000"/>
                <w:sz w:val="20"/>
                <w:szCs w:val="20"/>
              </w:rPr>
              <w:t>SPS</w:t>
            </w:r>
          </w:p>
        </w:tc>
        <w:tc>
          <w:tcPr>
            <w:tcW w:w="1134" w:type="dxa"/>
            <w:gridSpan w:val="3"/>
            <w:tcBorders>
              <w:top w:val="single" w:sz="4" w:space="0" w:color="auto"/>
              <w:left w:val="single" w:sz="4" w:space="0" w:color="auto"/>
              <w:bottom w:val="single" w:sz="4" w:space="0" w:color="auto"/>
              <w:right w:val="single" w:sz="4" w:space="0" w:color="auto"/>
            </w:tcBorders>
          </w:tcPr>
          <w:p w:rsidR="003D2C5B" w:rsidRPr="0098559C" w:rsidRDefault="003D2C5B" w:rsidP="003D2C5B">
            <w:pPr>
              <w:jc w:val="center"/>
              <w:rPr>
                <w:rFonts w:ascii="Arial Narrow" w:hAnsi="Arial Narrow"/>
                <w:color w:val="000000"/>
                <w:sz w:val="20"/>
              </w:rPr>
            </w:pPr>
            <w:r w:rsidRPr="0098559C">
              <w:rPr>
                <w:rFonts w:ascii="Arial Narrow" w:hAnsi="Arial Narrow"/>
                <w:sz w:val="20"/>
                <w:szCs w:val="20"/>
              </w:rPr>
              <w:t>871/3,</w:t>
            </w:r>
            <w:r w:rsidR="00B94D62" w:rsidRPr="0098559C">
              <w:rPr>
                <w:rFonts w:ascii="Arial Narrow" w:hAnsi="Arial Narrow"/>
                <w:sz w:val="20"/>
                <w:szCs w:val="20"/>
              </w:rPr>
              <w:t>345</w:t>
            </w:r>
          </w:p>
        </w:tc>
        <w:tc>
          <w:tcPr>
            <w:tcW w:w="1134" w:type="dxa"/>
            <w:gridSpan w:val="2"/>
            <w:tcBorders>
              <w:top w:val="single" w:sz="4" w:space="0" w:color="auto"/>
              <w:left w:val="single" w:sz="4" w:space="0" w:color="auto"/>
              <w:bottom w:val="single" w:sz="4" w:space="0" w:color="auto"/>
              <w:right w:val="single" w:sz="4" w:space="0" w:color="auto"/>
            </w:tcBorders>
          </w:tcPr>
          <w:p w:rsidR="003D2C5B" w:rsidRPr="0098559C" w:rsidRDefault="003D2C5B" w:rsidP="003D2C5B">
            <w:pPr>
              <w:jc w:val="center"/>
              <w:rPr>
                <w:rFonts w:ascii="Arial Narrow" w:hAnsi="Arial Narrow"/>
                <w:color w:val="000000"/>
                <w:sz w:val="20"/>
              </w:rPr>
            </w:pPr>
            <w:r w:rsidRPr="0098559C">
              <w:rPr>
                <w:rFonts w:ascii="Arial Narrow" w:hAnsi="Arial Narrow"/>
                <w:sz w:val="20"/>
                <w:szCs w:val="20"/>
              </w:rPr>
              <w:t>147/3,</w:t>
            </w:r>
            <w:r w:rsidR="00B94D62" w:rsidRPr="0098559C">
              <w:rPr>
                <w:rFonts w:ascii="Arial Narrow" w:hAnsi="Arial Narrow"/>
                <w:sz w:val="20"/>
                <w:szCs w:val="20"/>
              </w:rPr>
              <w:t>271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3D2C5B">
            <w:pPr>
              <w:jc w:val="center"/>
              <w:rPr>
                <w:rFonts w:ascii="Arial Narrow" w:hAnsi="Arial Narrow"/>
                <w:color w:val="000000"/>
                <w:sz w:val="20"/>
              </w:rPr>
            </w:pPr>
            <w:r w:rsidRPr="0098559C">
              <w:rPr>
                <w:rFonts w:ascii="Arial Narrow" w:hAnsi="Arial Narrow"/>
                <w:color w:val="000000"/>
                <w:sz w:val="20"/>
              </w:rPr>
              <w:t>NR</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rPr>
            </w:pPr>
            <w:r w:rsidRPr="0098559C">
              <w:rPr>
                <w:rFonts w:ascii="Arial Narrow" w:hAnsi="Arial Narrow"/>
                <w:color w:val="000000"/>
                <w:sz w:val="20"/>
              </w:rPr>
              <w:t>262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D2C5B" w:rsidRPr="0098559C" w:rsidRDefault="003D2C5B" w:rsidP="002A5C95">
            <w:pPr>
              <w:jc w:val="center"/>
              <w:rPr>
                <w:rFonts w:ascii="Arial Narrow" w:hAnsi="Arial Narrow"/>
                <w:color w:val="000000"/>
                <w:sz w:val="20"/>
              </w:rPr>
            </w:pPr>
            <w:r w:rsidRPr="0098559C">
              <w:rPr>
                <w:rFonts w:ascii="Arial Narrow" w:hAnsi="Arial Narrow"/>
                <w:color w:val="000000"/>
                <w:sz w:val="20"/>
              </w:rPr>
              <w:t>45</w:t>
            </w:r>
          </w:p>
        </w:tc>
        <w:tc>
          <w:tcPr>
            <w:tcW w:w="992" w:type="dxa"/>
            <w:tcBorders>
              <w:top w:val="single" w:sz="4" w:space="0" w:color="auto"/>
              <w:left w:val="single" w:sz="4" w:space="0" w:color="auto"/>
              <w:bottom w:val="single" w:sz="4" w:space="0" w:color="auto"/>
              <w:right w:val="single" w:sz="4" w:space="0" w:color="auto"/>
            </w:tcBorders>
            <w:vAlign w:val="center"/>
          </w:tcPr>
          <w:p w:rsidR="003D2C5B" w:rsidRPr="0098559C" w:rsidRDefault="00DA755E" w:rsidP="002A5C95">
            <w:pPr>
              <w:jc w:val="center"/>
              <w:rPr>
                <w:rFonts w:ascii="Arial Narrow" w:hAnsi="Arial Narrow"/>
                <w:color w:val="000000"/>
                <w:sz w:val="20"/>
              </w:rPr>
            </w:pPr>
            <w:r w:rsidRPr="0098559C">
              <w:rPr>
                <w:rFonts w:ascii="Arial Narrow" w:hAnsi="Arial Narrow"/>
                <w:color w:val="000000"/>
                <w:sz w:val="20"/>
              </w:rPr>
              <w:t>217</w:t>
            </w:r>
          </w:p>
        </w:tc>
      </w:tr>
      <w:tr w:rsidR="006C0242" w:rsidRPr="0098559C" w:rsidTr="00227FB8">
        <w:trPr>
          <w:cantSplit/>
        </w:trPr>
        <w:tc>
          <w:tcPr>
            <w:tcW w:w="91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6C0242" w:rsidRPr="0098559C" w:rsidRDefault="006C0242" w:rsidP="00761E8E">
            <w:pPr>
              <w:jc w:val="left"/>
              <w:rPr>
                <w:rFonts w:ascii="Arial Narrow" w:hAnsi="Arial Narrow"/>
                <w:color w:val="000000"/>
                <w:sz w:val="20"/>
                <w:szCs w:val="18"/>
                <w:highlight w:val="yellow"/>
              </w:rPr>
            </w:pPr>
            <w:r w:rsidRPr="0098559C">
              <w:rPr>
                <w:rFonts w:ascii="Arial Narrow" w:hAnsi="Arial Narrow"/>
                <w:b/>
                <w:color w:val="000000"/>
                <w:sz w:val="20"/>
                <w:szCs w:val="18"/>
              </w:rPr>
              <w:t>Serious adverse events, at least one symptom</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E81" w:rsidRPr="0098559C" w:rsidRDefault="004D3E81" w:rsidP="00227FB8">
            <w:pPr>
              <w:jc w:val="left"/>
              <w:rPr>
                <w:rFonts w:ascii="Arial Narrow" w:hAnsi="Arial Narrow"/>
                <w:color w:val="000000"/>
                <w:sz w:val="20"/>
                <w:szCs w:val="20"/>
                <w:highlight w:val="yellow"/>
              </w:rPr>
            </w:pPr>
            <w:r w:rsidRPr="0098559C">
              <w:rPr>
                <w:rFonts w:ascii="Arial Narrow" w:hAnsi="Arial Narrow"/>
                <w:color w:val="000000"/>
                <w:sz w:val="20"/>
                <w:szCs w:val="20"/>
              </w:rPr>
              <w:t xml:space="preserve">Pooled ZOE-50 </w:t>
            </w:r>
            <w:r w:rsidR="00227FB8">
              <w:rPr>
                <w:rFonts w:ascii="Arial Narrow" w:hAnsi="Arial Narrow"/>
                <w:color w:val="000000"/>
                <w:sz w:val="20"/>
                <w:szCs w:val="20"/>
              </w:rPr>
              <w:t>+</w:t>
            </w:r>
            <w:r w:rsidRPr="0098559C">
              <w:rPr>
                <w:rFonts w:ascii="Arial Narrow" w:hAnsi="Arial Narrow"/>
                <w:color w:val="000000"/>
                <w:sz w:val="20"/>
                <w:szCs w:val="20"/>
              </w:rPr>
              <w:t xml:space="preserve"> ZOE-70</w:t>
            </w:r>
            <w:r w:rsidR="005D3E4C" w:rsidRPr="0098559C">
              <w:rPr>
                <w:rFonts w:ascii="Arial Narrow" w:hAnsi="Arial Narrow"/>
                <w:color w:val="000000"/>
                <w:sz w:val="20"/>
                <w:szCs w:val="20"/>
              </w:rPr>
              <w:t xml:space="preserve"> (All)</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3E81" w:rsidRPr="0098559C" w:rsidRDefault="004D3E81" w:rsidP="004D3E81">
            <w:pPr>
              <w:jc w:val="center"/>
              <w:rPr>
                <w:rFonts w:ascii="Arial Narrow" w:hAnsi="Arial Narrow"/>
                <w:color w:val="000000"/>
                <w:sz w:val="20"/>
                <w:szCs w:val="20"/>
                <w:highlight w:val="yellow"/>
              </w:rPr>
            </w:pPr>
            <w:r w:rsidRPr="0098559C">
              <w:rPr>
                <w:rFonts w:ascii="Arial Narrow" w:hAnsi="Arial Narrow"/>
                <w:color w:val="000000"/>
                <w:sz w:val="20"/>
                <w:szCs w:val="20"/>
              </w:rPr>
              <w:t>1</w:t>
            </w:r>
            <w:r w:rsidR="00761E8E" w:rsidRPr="0098559C">
              <w:rPr>
                <w:rFonts w:ascii="Arial Narrow" w:hAnsi="Arial Narrow"/>
                <w:color w:val="000000"/>
                <w:sz w:val="20"/>
                <w:szCs w:val="20"/>
              </w:rPr>
              <w:t>,</w:t>
            </w:r>
            <w:r w:rsidRPr="0098559C">
              <w:rPr>
                <w:rFonts w:ascii="Arial Narrow" w:hAnsi="Arial Narrow"/>
                <w:color w:val="000000"/>
                <w:sz w:val="20"/>
                <w:szCs w:val="20"/>
              </w:rPr>
              <w:t>880/14,645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D3E81" w:rsidRPr="0098559C" w:rsidRDefault="004D3E81" w:rsidP="004D3E81">
            <w:pPr>
              <w:jc w:val="center"/>
              <w:rPr>
                <w:rFonts w:ascii="Arial Narrow" w:hAnsi="Arial Narrow"/>
                <w:color w:val="000000"/>
                <w:sz w:val="20"/>
                <w:szCs w:val="20"/>
                <w:highlight w:val="yellow"/>
              </w:rPr>
            </w:pPr>
            <w:r w:rsidRPr="0098559C">
              <w:rPr>
                <w:rFonts w:ascii="Arial Narrow" w:hAnsi="Arial Narrow"/>
                <w:color w:val="000000"/>
                <w:sz w:val="20"/>
                <w:szCs w:val="20"/>
              </w:rPr>
              <w:t>1</w:t>
            </w:r>
            <w:r w:rsidR="00761E8E" w:rsidRPr="0098559C">
              <w:rPr>
                <w:rFonts w:ascii="Arial Narrow" w:hAnsi="Arial Narrow"/>
                <w:color w:val="000000"/>
                <w:sz w:val="20"/>
                <w:szCs w:val="20"/>
              </w:rPr>
              <w:t>,</w:t>
            </w:r>
            <w:r w:rsidRPr="0098559C">
              <w:rPr>
                <w:rFonts w:ascii="Arial Narrow" w:hAnsi="Arial Narrow"/>
                <w:color w:val="000000"/>
                <w:sz w:val="20"/>
                <w:szCs w:val="20"/>
              </w:rPr>
              <w:t>945/14,660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3E81" w:rsidRPr="0098559C" w:rsidRDefault="009A202A" w:rsidP="004D3E81">
            <w:pPr>
              <w:jc w:val="center"/>
              <w:rPr>
                <w:rFonts w:ascii="Arial Narrow" w:hAnsi="Arial Narrow"/>
                <w:color w:val="000000"/>
                <w:sz w:val="20"/>
                <w:szCs w:val="20"/>
                <w:highlight w:val="yellow"/>
              </w:rPr>
            </w:pPr>
            <w:r w:rsidRPr="0098559C">
              <w:rPr>
                <w:rFonts w:ascii="Arial Narrow" w:hAnsi="Arial Narrow"/>
                <w:color w:val="000000"/>
                <w:sz w:val="20"/>
                <w:szCs w:val="20"/>
              </w:rPr>
              <w:t xml:space="preserve">0.97 (0.91, </w:t>
            </w:r>
            <w:r w:rsidR="004D3E81" w:rsidRPr="0098559C">
              <w:rPr>
                <w:rFonts w:ascii="Arial Narrow" w:hAnsi="Arial Narrow"/>
                <w:color w:val="000000"/>
                <w:sz w:val="20"/>
                <w:szCs w:val="20"/>
              </w:rPr>
              <w:t>1.03)</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D3E81" w:rsidRPr="0098559C" w:rsidRDefault="004D3E81" w:rsidP="002A5C95">
            <w:pPr>
              <w:jc w:val="center"/>
              <w:rPr>
                <w:rFonts w:ascii="Arial Narrow" w:hAnsi="Arial Narrow"/>
                <w:color w:val="000000"/>
                <w:sz w:val="20"/>
                <w:szCs w:val="20"/>
                <w:highlight w:val="yellow"/>
              </w:rPr>
            </w:pPr>
            <w:r w:rsidRPr="0098559C">
              <w:rPr>
                <w:rFonts w:ascii="Arial Narrow" w:hAnsi="Arial Narrow"/>
                <w:color w:val="000000"/>
                <w:sz w:val="20"/>
                <w:szCs w:val="20"/>
              </w:rPr>
              <w:t>128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3E81" w:rsidRPr="0098559C" w:rsidRDefault="004D3E81" w:rsidP="002A5C95">
            <w:pPr>
              <w:jc w:val="center"/>
              <w:rPr>
                <w:rFonts w:ascii="Arial Narrow" w:hAnsi="Arial Narrow"/>
                <w:color w:val="000000"/>
                <w:sz w:val="20"/>
                <w:szCs w:val="20"/>
                <w:highlight w:val="yellow"/>
              </w:rPr>
            </w:pPr>
            <w:r w:rsidRPr="0098559C">
              <w:rPr>
                <w:rFonts w:ascii="Arial Narrow" w:hAnsi="Arial Narrow"/>
                <w:color w:val="000000"/>
                <w:sz w:val="20"/>
                <w:szCs w:val="20"/>
              </w:rPr>
              <w:t>133</w:t>
            </w:r>
          </w:p>
        </w:tc>
        <w:tc>
          <w:tcPr>
            <w:tcW w:w="992" w:type="dxa"/>
            <w:tcBorders>
              <w:top w:val="single" w:sz="4" w:space="0" w:color="auto"/>
              <w:left w:val="single" w:sz="4" w:space="0" w:color="auto"/>
              <w:bottom w:val="single" w:sz="4" w:space="0" w:color="auto"/>
              <w:right w:val="single" w:sz="4" w:space="0" w:color="auto"/>
            </w:tcBorders>
            <w:vAlign w:val="center"/>
          </w:tcPr>
          <w:p w:rsidR="004D3E81" w:rsidRPr="0098559C" w:rsidRDefault="004D3E81" w:rsidP="002A5C95">
            <w:pPr>
              <w:jc w:val="center"/>
              <w:rPr>
                <w:rFonts w:ascii="Arial Narrow" w:hAnsi="Arial Narrow"/>
                <w:color w:val="000000"/>
                <w:sz w:val="20"/>
                <w:szCs w:val="20"/>
                <w:highlight w:val="yellow"/>
              </w:rPr>
            </w:pPr>
            <w:r w:rsidRPr="0098559C">
              <w:rPr>
                <w:rFonts w:ascii="Arial Narrow" w:hAnsi="Arial Narrow"/>
                <w:color w:val="000000"/>
                <w:sz w:val="20"/>
                <w:szCs w:val="20"/>
              </w:rPr>
              <w:t>-5</w:t>
            </w:r>
          </w:p>
        </w:tc>
      </w:tr>
      <w:tr w:rsidR="00227FB8" w:rsidRPr="0098559C" w:rsidTr="00227FB8">
        <w:trPr>
          <w:cantSplit/>
        </w:trPr>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02A" w:rsidRPr="0098559C" w:rsidRDefault="009A202A" w:rsidP="009A202A">
            <w:pPr>
              <w:rPr>
                <w:rFonts w:ascii="Arial Narrow" w:hAnsi="Arial Narrow"/>
                <w:color w:val="000000"/>
                <w:sz w:val="20"/>
                <w:szCs w:val="20"/>
              </w:rPr>
            </w:pPr>
            <w:r w:rsidRPr="0098559C">
              <w:rPr>
                <w:rFonts w:ascii="Arial Narrow" w:hAnsi="Arial Narrow"/>
                <w:color w:val="000000"/>
                <w:sz w:val="20"/>
                <w:szCs w:val="20"/>
              </w:rPr>
              <w:t>SPS</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A202A" w:rsidRPr="0098559C" w:rsidRDefault="009A202A" w:rsidP="009A202A">
            <w:pPr>
              <w:jc w:val="center"/>
              <w:rPr>
                <w:rFonts w:ascii="Arial Narrow" w:hAnsi="Arial Narrow"/>
                <w:color w:val="000000"/>
                <w:sz w:val="20"/>
                <w:szCs w:val="20"/>
              </w:rPr>
            </w:pPr>
            <w:r w:rsidRPr="0098559C">
              <w:rPr>
                <w:rFonts w:ascii="Arial Narrow" w:eastAsiaTheme="minorHAnsi" w:hAnsi="Arial Narrow"/>
                <w:color w:val="000000"/>
                <w:sz w:val="20"/>
                <w:szCs w:val="20"/>
              </w:rPr>
              <w:t>255/18</w:t>
            </w:r>
            <w:r w:rsidR="00761E8E" w:rsidRPr="0098559C">
              <w:rPr>
                <w:rFonts w:ascii="Arial Narrow" w:eastAsiaTheme="minorHAnsi" w:hAnsi="Arial Narrow"/>
                <w:color w:val="000000"/>
                <w:sz w:val="20"/>
                <w:szCs w:val="20"/>
              </w:rPr>
              <w:t>,</w:t>
            </w:r>
            <w:r w:rsidRPr="0098559C">
              <w:rPr>
                <w:rFonts w:ascii="Arial Narrow" w:eastAsiaTheme="minorHAnsi" w:hAnsi="Arial Narrow"/>
                <w:color w:val="000000"/>
                <w:sz w:val="20"/>
                <w:szCs w:val="20"/>
              </w:rPr>
              <w:t>671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A202A" w:rsidRPr="0098559C" w:rsidRDefault="009A202A" w:rsidP="009A202A">
            <w:pPr>
              <w:jc w:val="center"/>
              <w:rPr>
                <w:rFonts w:ascii="Arial Narrow" w:hAnsi="Arial Narrow"/>
                <w:color w:val="000000"/>
                <w:sz w:val="20"/>
                <w:szCs w:val="20"/>
              </w:rPr>
            </w:pPr>
            <w:r w:rsidRPr="0098559C">
              <w:rPr>
                <w:rFonts w:ascii="Arial Narrow" w:eastAsiaTheme="minorHAnsi" w:hAnsi="Arial Narrow"/>
                <w:color w:val="000000"/>
                <w:sz w:val="20"/>
                <w:szCs w:val="20"/>
              </w:rPr>
              <w:t>254/18</w:t>
            </w:r>
            <w:r w:rsidR="00761E8E" w:rsidRPr="0098559C">
              <w:rPr>
                <w:rFonts w:ascii="Arial Narrow" w:eastAsiaTheme="minorHAnsi" w:hAnsi="Arial Narrow"/>
                <w:color w:val="000000"/>
                <w:sz w:val="20"/>
                <w:szCs w:val="20"/>
              </w:rPr>
              <w:t>,</w:t>
            </w:r>
            <w:r w:rsidRPr="0098559C">
              <w:rPr>
                <w:rFonts w:ascii="Arial Narrow" w:eastAsiaTheme="minorHAnsi" w:hAnsi="Arial Narrow"/>
                <w:color w:val="000000"/>
                <w:sz w:val="20"/>
                <w:szCs w:val="20"/>
              </w:rPr>
              <w:t>717</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A202A" w:rsidRPr="0098559C" w:rsidRDefault="009A202A" w:rsidP="009A202A">
            <w:pPr>
              <w:jc w:val="center"/>
              <w:rPr>
                <w:rFonts w:ascii="Arial Narrow" w:hAnsi="Arial Narrow"/>
                <w:color w:val="000000"/>
                <w:sz w:val="20"/>
                <w:szCs w:val="20"/>
              </w:rPr>
            </w:pPr>
            <w:r w:rsidRPr="0098559C">
              <w:rPr>
                <w:rFonts w:ascii="Arial Narrow" w:eastAsiaTheme="minorHAnsi" w:hAnsi="Arial Narrow"/>
                <w:color w:val="000000"/>
                <w:sz w:val="20"/>
                <w:szCs w:val="20"/>
              </w:rPr>
              <w:t>1.01 (0.85, 1.20)</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A202A" w:rsidRPr="0098559C" w:rsidRDefault="009A202A" w:rsidP="002A5C95">
            <w:pPr>
              <w:jc w:val="center"/>
              <w:rPr>
                <w:rFonts w:ascii="Arial Narrow" w:hAnsi="Arial Narrow"/>
                <w:color w:val="000000"/>
                <w:sz w:val="20"/>
                <w:szCs w:val="20"/>
              </w:rPr>
            </w:pPr>
            <w:r w:rsidRPr="0098559C">
              <w:rPr>
                <w:rFonts w:ascii="Arial Narrow" w:hAnsi="Arial Narrow"/>
                <w:color w:val="000000"/>
                <w:sz w:val="20"/>
                <w:szCs w:val="20"/>
              </w:rPr>
              <w:t>14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A202A" w:rsidRPr="0098559C" w:rsidRDefault="009A202A" w:rsidP="002A5C95">
            <w:pPr>
              <w:jc w:val="center"/>
              <w:rPr>
                <w:rFonts w:ascii="Arial Narrow" w:hAnsi="Arial Narrow"/>
                <w:color w:val="000000"/>
                <w:sz w:val="20"/>
                <w:szCs w:val="20"/>
              </w:rPr>
            </w:pPr>
            <w:r w:rsidRPr="0098559C">
              <w:rPr>
                <w:rFonts w:ascii="Arial Narrow" w:hAnsi="Arial Narrow"/>
                <w:color w:val="000000"/>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tcPr>
          <w:p w:rsidR="009A202A" w:rsidRPr="0098559C" w:rsidRDefault="009A202A" w:rsidP="009A202A">
            <w:pPr>
              <w:jc w:val="center"/>
              <w:rPr>
                <w:rFonts w:ascii="Arial Narrow" w:hAnsi="Arial Narrow"/>
                <w:color w:val="000000"/>
                <w:sz w:val="20"/>
                <w:szCs w:val="20"/>
              </w:rPr>
            </w:pPr>
            <w:r w:rsidRPr="0098559C">
              <w:rPr>
                <w:rFonts w:ascii="Arial Narrow" w:hAnsi="Arial Narrow"/>
                <w:color w:val="000000"/>
                <w:sz w:val="20"/>
                <w:szCs w:val="20"/>
              </w:rPr>
              <w:t>0</w:t>
            </w:r>
          </w:p>
        </w:tc>
      </w:tr>
    </w:tbl>
    <w:p w:rsidR="003134A8" w:rsidRPr="0098559C" w:rsidRDefault="003134A8" w:rsidP="003D4A30">
      <w:pPr>
        <w:pStyle w:val="TableFooter"/>
      </w:pPr>
      <w:r w:rsidRPr="0098559C">
        <w:rPr>
          <w:rFonts w:eastAsia="Calibri"/>
        </w:rPr>
        <w:t xml:space="preserve">CI: confidence interval; </w:t>
      </w:r>
      <w:r w:rsidR="00E83DC9" w:rsidRPr="0098559C">
        <w:rPr>
          <w:rFonts w:eastAsia="Calibri"/>
        </w:rPr>
        <w:t xml:space="preserve">HZ: herpes zoster; </w:t>
      </w:r>
      <w:r w:rsidR="00744F50" w:rsidRPr="0098559C">
        <w:rPr>
          <w:rFonts w:eastAsia="Calibri"/>
        </w:rPr>
        <w:t>HZ/</w:t>
      </w:r>
      <w:proofErr w:type="spellStart"/>
      <w:r w:rsidR="00744F50" w:rsidRPr="0098559C">
        <w:rPr>
          <w:rFonts w:eastAsia="Calibri"/>
        </w:rPr>
        <w:t>su</w:t>
      </w:r>
      <w:proofErr w:type="spellEnd"/>
      <w:r w:rsidR="00744F50" w:rsidRPr="0098559C">
        <w:rPr>
          <w:rFonts w:eastAsia="Calibri"/>
        </w:rPr>
        <w:t xml:space="preserve">: recombinant varicella zoster vaccine; </w:t>
      </w:r>
      <w:r w:rsidRPr="0098559C">
        <w:rPr>
          <w:rFonts w:eastAsia="Calibri"/>
        </w:rPr>
        <w:t xml:space="preserve">n: number of participants reporting data; N: total participants in group; </w:t>
      </w:r>
      <w:r w:rsidR="00744F50" w:rsidRPr="0098559C">
        <w:rPr>
          <w:rFonts w:eastAsia="Calibri"/>
        </w:rPr>
        <w:t xml:space="preserve">NR: not reported; </w:t>
      </w:r>
      <w:r w:rsidR="00E77743" w:rsidRPr="0098559C">
        <w:rPr>
          <w:rFonts w:eastAsia="Calibri"/>
        </w:rPr>
        <w:t xml:space="preserve">PBO: placebo; </w:t>
      </w:r>
      <w:r w:rsidR="00E83DC9" w:rsidRPr="0098559C">
        <w:rPr>
          <w:rFonts w:eastAsia="Calibri"/>
        </w:rPr>
        <w:t xml:space="preserve">PHN: </w:t>
      </w:r>
      <w:r w:rsidR="009042CD" w:rsidRPr="0098559C">
        <w:rPr>
          <w:rFonts w:eastAsia="Calibri"/>
        </w:rPr>
        <w:t>post-herpetic</w:t>
      </w:r>
      <w:r w:rsidR="00E83DC9" w:rsidRPr="0098559C">
        <w:rPr>
          <w:rFonts w:eastAsia="Calibri"/>
        </w:rPr>
        <w:t xml:space="preserve"> neuralgia; </w:t>
      </w:r>
      <w:r w:rsidRPr="0098559C">
        <w:rPr>
          <w:rFonts w:eastAsia="Calibri"/>
        </w:rPr>
        <w:t>RD: risk difference; RR: relative risk</w:t>
      </w:r>
      <w:r w:rsidR="00E83DC9" w:rsidRPr="0098559C">
        <w:t>; SAE: serious adverse event; VE: vaccine efficacy.</w:t>
      </w:r>
    </w:p>
    <w:p w:rsidR="00744F50" w:rsidRPr="0098559C" w:rsidRDefault="00744F50" w:rsidP="00744F50">
      <w:pPr>
        <w:pStyle w:val="TableFooter"/>
      </w:pPr>
      <w:r w:rsidRPr="0098559C">
        <w:t xml:space="preserve">* </w:t>
      </w:r>
      <w:r w:rsidR="006665D2">
        <w:t>Mean</w:t>
      </w:r>
      <w:r w:rsidR="006665D2" w:rsidRPr="0098559C">
        <w:t xml:space="preserve"> </w:t>
      </w:r>
      <w:r w:rsidRPr="0098559C">
        <w:t>duration of follow-up: ZOE-50 = 3.</w:t>
      </w:r>
      <w:r w:rsidR="006665D2">
        <w:t>2</w:t>
      </w:r>
      <w:r w:rsidRPr="0098559C">
        <w:t xml:space="preserve"> years; ZOE-70 = 3.7 years; SPS = 3.13</w:t>
      </w:r>
    </w:p>
    <w:p w:rsidR="00744F50" w:rsidRPr="0098559C" w:rsidRDefault="00744F50" w:rsidP="00744F50">
      <w:pPr>
        <w:pStyle w:val="TableFooter"/>
      </w:pPr>
      <w:r w:rsidRPr="0098559C">
        <w:t>** Calculated during the evaluation</w:t>
      </w:r>
    </w:p>
    <w:p w:rsidR="00744F50" w:rsidRPr="0020540A" w:rsidRDefault="0020540A" w:rsidP="00744F50">
      <w:pPr>
        <w:pStyle w:val="TableFooter"/>
        <w:rPr>
          <w:highlight w:val="black"/>
        </w:rPr>
      </w:pPr>
      <w:r>
        <w:rPr>
          <w:noProof/>
          <w:color w:val="000000"/>
          <w:highlight w:val="black"/>
          <w:vertAlign w:val="superscript"/>
        </w:rPr>
        <w:t>''' '''''''''''' '''' ''''''''''''''''''''''''''''''''''''''''''''</w:t>
      </w:r>
    </w:p>
    <w:p w:rsidR="00744F50" w:rsidRPr="0020540A" w:rsidRDefault="0020540A" w:rsidP="00744F50">
      <w:pPr>
        <w:pStyle w:val="TableFooter"/>
        <w:rPr>
          <w:highlight w:val="black"/>
        </w:rPr>
      </w:pPr>
      <w:r>
        <w:rPr>
          <w:noProof/>
          <w:color w:val="000000"/>
          <w:highlight w:val="black"/>
          <w:vertAlign w:val="superscript"/>
        </w:rPr>
        <w:t>''' ''''''''' ''' ''''''''''''''''''''''''''''''''''''''</w:t>
      </w:r>
    </w:p>
    <w:p w:rsidR="00744F50" w:rsidRPr="0020540A" w:rsidRDefault="0020540A" w:rsidP="00744F50">
      <w:pPr>
        <w:pStyle w:val="TableFooter"/>
        <w:rPr>
          <w:highlight w:val="black"/>
        </w:rPr>
      </w:pPr>
      <w:r>
        <w:rPr>
          <w:noProof/>
          <w:color w:val="000000"/>
          <w:highlight w:val="black"/>
          <w:vertAlign w:val="superscript"/>
        </w:rPr>
        <w:t>''' ''''''''' '''' ''''''''''''''''''''''''''''''''''''''''</w:t>
      </w:r>
    </w:p>
    <w:p w:rsidR="00744F50" w:rsidRPr="0020540A" w:rsidRDefault="0020540A" w:rsidP="00744F50">
      <w:pPr>
        <w:pStyle w:val="TableFooter"/>
        <w:rPr>
          <w:highlight w:val="black"/>
        </w:rPr>
      </w:pPr>
      <w:r>
        <w:rPr>
          <w:noProof/>
          <w:color w:val="000000"/>
          <w:highlight w:val="black"/>
          <w:vertAlign w:val="superscript"/>
        </w:rPr>
        <w:t>''' '''''''' ''' ''''''''''''''''''''''''''''''''''''''''</w:t>
      </w:r>
    </w:p>
    <w:p w:rsidR="003134A8" w:rsidRDefault="003D4A30" w:rsidP="003134A8">
      <w:pPr>
        <w:rPr>
          <w:rFonts w:ascii="Arial Narrow" w:hAnsi="Arial Narrow"/>
          <w:sz w:val="18"/>
          <w:szCs w:val="18"/>
        </w:rPr>
      </w:pPr>
      <w:r w:rsidRPr="003134A8">
        <w:rPr>
          <w:rFonts w:ascii="Arial Narrow" w:hAnsi="Arial Narrow"/>
          <w:sz w:val="18"/>
          <w:szCs w:val="18"/>
        </w:rPr>
        <w:t>Source:</w:t>
      </w:r>
      <w:r w:rsidR="003134A8" w:rsidRPr="003134A8">
        <w:rPr>
          <w:rFonts w:ascii="Arial Narrow" w:hAnsi="Arial Narrow"/>
          <w:sz w:val="18"/>
          <w:szCs w:val="18"/>
        </w:rPr>
        <w:t xml:space="preserve"> </w:t>
      </w:r>
      <w:r w:rsidR="003134A8" w:rsidRPr="008B348A">
        <w:rPr>
          <w:rFonts w:ascii="Arial Narrow" w:hAnsi="Arial Narrow"/>
          <w:sz w:val="18"/>
          <w:szCs w:val="18"/>
        </w:rPr>
        <w:t xml:space="preserve">Table 29 p92 and Table 40 p93 of the submission, and </w:t>
      </w:r>
      <w:proofErr w:type="spellStart"/>
      <w:r w:rsidR="003134A8" w:rsidRPr="008B348A">
        <w:rPr>
          <w:rFonts w:ascii="Arial Narrow" w:hAnsi="Arial Narrow"/>
          <w:sz w:val="18"/>
          <w:szCs w:val="18"/>
        </w:rPr>
        <w:t>Oxman</w:t>
      </w:r>
      <w:proofErr w:type="spellEnd"/>
      <w:r w:rsidR="003134A8" w:rsidRPr="008B348A">
        <w:rPr>
          <w:rFonts w:ascii="Arial Narrow" w:hAnsi="Arial Narrow"/>
          <w:sz w:val="18"/>
          <w:szCs w:val="18"/>
        </w:rPr>
        <w:t xml:space="preserve"> (2005) and </w:t>
      </w:r>
      <w:proofErr w:type="spellStart"/>
      <w:r w:rsidR="003134A8" w:rsidRPr="008B348A">
        <w:rPr>
          <w:rFonts w:ascii="Arial Narrow" w:hAnsi="Arial Narrow"/>
          <w:sz w:val="18"/>
          <w:szCs w:val="18"/>
        </w:rPr>
        <w:t>Zostavax</w:t>
      </w:r>
      <w:proofErr w:type="spellEnd"/>
      <w:r w:rsidR="003134A8" w:rsidRPr="008B348A">
        <w:rPr>
          <w:rFonts w:ascii="Arial Narrow" w:hAnsi="Arial Narrow"/>
          <w:sz w:val="18"/>
          <w:szCs w:val="18"/>
        </w:rPr>
        <w:t xml:space="preserve"> PI.</w:t>
      </w:r>
    </w:p>
    <w:p w:rsidR="00E92F71" w:rsidRPr="008B348A" w:rsidRDefault="00E92F71" w:rsidP="00651FFE">
      <w:pPr>
        <w:pStyle w:val="TableFooter"/>
      </w:pPr>
    </w:p>
    <w:p w:rsidR="00FC1884" w:rsidRPr="008B348A" w:rsidRDefault="00EC00C9" w:rsidP="00ED2457">
      <w:pPr>
        <w:pStyle w:val="ListParagraph"/>
        <w:widowControl/>
        <w:numPr>
          <w:ilvl w:val="1"/>
          <w:numId w:val="2"/>
        </w:numPr>
        <w:spacing w:after="0"/>
      </w:pPr>
      <w:r w:rsidRPr="008B348A">
        <w:t>On the basis of direct evidence presented by the submission, for every 1</w:t>
      </w:r>
      <w:r w:rsidR="0022588B">
        <w:t>,</w:t>
      </w:r>
      <w:r w:rsidRPr="008B348A">
        <w:t>00</w:t>
      </w:r>
      <w:r w:rsidR="002A5C95">
        <w:t>0</w:t>
      </w:r>
      <w:r w:rsidRPr="008B348A">
        <w:t xml:space="preserve"> </w:t>
      </w:r>
      <w:r w:rsidR="00D81553">
        <w:t>individuals</w:t>
      </w:r>
      <w:r w:rsidR="00DE7FAC">
        <w:t xml:space="preserve"> aged over 50 years</w:t>
      </w:r>
      <w:r w:rsidRPr="008B348A">
        <w:t xml:space="preserve"> </w:t>
      </w:r>
      <w:r w:rsidR="00D81553">
        <w:t>vaccinated</w:t>
      </w:r>
      <w:r w:rsidRPr="008B348A">
        <w:t xml:space="preserve"> with </w:t>
      </w:r>
      <w:r w:rsidR="0042064D" w:rsidRPr="008B348A">
        <w:t>the HZ/</w:t>
      </w:r>
      <w:proofErr w:type="spellStart"/>
      <w:r w:rsidR="0042064D" w:rsidRPr="008B348A">
        <w:t>su</w:t>
      </w:r>
      <w:proofErr w:type="spellEnd"/>
      <w:r w:rsidR="0042064D" w:rsidRPr="008B348A">
        <w:t xml:space="preserve"> vaccine </w:t>
      </w:r>
      <w:r w:rsidRPr="008B348A">
        <w:t xml:space="preserve">in comparison to </w:t>
      </w:r>
      <w:r w:rsidR="0042064D" w:rsidRPr="008B348A">
        <w:t xml:space="preserve">placebo </w:t>
      </w:r>
      <w:r w:rsidR="00422260" w:rsidRPr="008B348A">
        <w:t xml:space="preserve">and over a </w:t>
      </w:r>
      <w:r w:rsidR="00F81D38">
        <w:t>me</w:t>
      </w:r>
      <w:r w:rsidR="00C608D9">
        <w:t xml:space="preserve">an </w:t>
      </w:r>
      <w:r w:rsidR="00422260" w:rsidRPr="008B348A">
        <w:t xml:space="preserve">duration of </w:t>
      </w:r>
      <w:r w:rsidR="001C2A9B" w:rsidRPr="008B348A">
        <w:t xml:space="preserve">follow-up of </w:t>
      </w:r>
      <w:r w:rsidR="00F81D38">
        <w:t>3.</w:t>
      </w:r>
      <w:r w:rsidR="00D13ECB">
        <w:t>2</w:t>
      </w:r>
      <w:r w:rsidR="00F81D38">
        <w:t xml:space="preserve"> to 3.7 years</w:t>
      </w:r>
      <w:r w:rsidR="001C2A9B" w:rsidRPr="008B348A">
        <w:t>:</w:t>
      </w:r>
    </w:p>
    <w:p w:rsidR="00FC1884" w:rsidRPr="00F81D38" w:rsidRDefault="00FC1884" w:rsidP="00ED2457">
      <w:pPr>
        <w:pStyle w:val="ListParagraph"/>
        <w:widowControl/>
        <w:numPr>
          <w:ilvl w:val="0"/>
          <w:numId w:val="1"/>
        </w:numPr>
        <w:spacing w:before="40" w:after="40"/>
        <w:ind w:left="1077" w:hanging="357"/>
      </w:pPr>
      <w:r w:rsidRPr="00F81D38">
        <w:lastRenderedPageBreak/>
        <w:t xml:space="preserve">Approximately </w:t>
      </w:r>
      <w:r w:rsidR="00881891">
        <w:t>8 to 9</w:t>
      </w:r>
      <w:r w:rsidRPr="00F81D38">
        <w:t xml:space="preserve"> </w:t>
      </w:r>
      <w:r w:rsidR="0042064D" w:rsidRPr="00F81D38">
        <w:t>fewer</w:t>
      </w:r>
      <w:r w:rsidRPr="00F81D38">
        <w:t xml:space="preserve"> </w:t>
      </w:r>
      <w:r w:rsidR="00D30847">
        <w:t>individuals</w:t>
      </w:r>
      <w:r w:rsidR="00D30847" w:rsidRPr="00F81D38">
        <w:t xml:space="preserve"> </w:t>
      </w:r>
      <w:r w:rsidR="00F81D38" w:rsidRPr="00F81D38">
        <w:t xml:space="preserve">per year </w:t>
      </w:r>
      <w:r w:rsidRPr="00F81D38">
        <w:t xml:space="preserve">would have </w:t>
      </w:r>
      <w:r w:rsidR="0042064D" w:rsidRPr="00F81D38">
        <w:t>HZ</w:t>
      </w:r>
      <w:r w:rsidR="001C2A9B" w:rsidRPr="00F81D38">
        <w:t>.</w:t>
      </w:r>
    </w:p>
    <w:p w:rsidR="00FC1884" w:rsidRPr="00F81D38" w:rsidRDefault="00FC1884" w:rsidP="00ED2457">
      <w:pPr>
        <w:pStyle w:val="ListParagraph"/>
        <w:widowControl/>
        <w:numPr>
          <w:ilvl w:val="0"/>
          <w:numId w:val="1"/>
        </w:numPr>
        <w:spacing w:before="40" w:after="40"/>
        <w:ind w:left="1077" w:hanging="357"/>
      </w:pPr>
      <w:r w:rsidRPr="00F81D38">
        <w:t xml:space="preserve">Approximately </w:t>
      </w:r>
      <w:r w:rsidR="00881891">
        <w:t>1</w:t>
      </w:r>
      <w:r w:rsidR="00F81D38" w:rsidRPr="00F81D38">
        <w:t xml:space="preserve"> </w:t>
      </w:r>
      <w:r w:rsidRPr="00F81D38">
        <w:t xml:space="preserve">fewer </w:t>
      </w:r>
      <w:r w:rsidR="00D30847">
        <w:t>individuals</w:t>
      </w:r>
      <w:r w:rsidR="00D30847" w:rsidRPr="00F81D38">
        <w:t xml:space="preserve"> </w:t>
      </w:r>
      <w:r w:rsidR="00F81D38" w:rsidRPr="00F81D38">
        <w:t xml:space="preserve">per year </w:t>
      </w:r>
      <w:r w:rsidRPr="00F81D38">
        <w:t>woul</w:t>
      </w:r>
      <w:r w:rsidR="001C2A9B" w:rsidRPr="00F81D38">
        <w:t xml:space="preserve">d have </w:t>
      </w:r>
      <w:r w:rsidR="0042064D" w:rsidRPr="00F81D38">
        <w:t>PHN</w:t>
      </w:r>
      <w:r w:rsidR="001C2A9B" w:rsidRPr="00F81D38">
        <w:t>.</w:t>
      </w:r>
    </w:p>
    <w:p w:rsidR="00FC1884" w:rsidRPr="00F81D38" w:rsidRDefault="00FC1884" w:rsidP="00ED2457">
      <w:pPr>
        <w:pStyle w:val="ListParagraph"/>
        <w:widowControl/>
        <w:numPr>
          <w:ilvl w:val="0"/>
          <w:numId w:val="1"/>
        </w:numPr>
        <w:spacing w:before="40" w:after="40"/>
        <w:ind w:left="1077" w:hanging="357"/>
      </w:pPr>
      <w:r w:rsidRPr="00F81D38">
        <w:t xml:space="preserve">Approximately </w:t>
      </w:r>
      <w:r w:rsidR="00F81D38" w:rsidRPr="00F81D38">
        <w:t>61</w:t>
      </w:r>
      <w:r w:rsidRPr="00F81D38">
        <w:t xml:space="preserve"> additional </w:t>
      </w:r>
      <w:r w:rsidR="00D30847">
        <w:t>individuals</w:t>
      </w:r>
      <w:r w:rsidR="00D30847" w:rsidRPr="00F81D38">
        <w:t xml:space="preserve"> </w:t>
      </w:r>
      <w:r w:rsidR="00F81D38" w:rsidRPr="00F81D38">
        <w:t xml:space="preserve">would experience </w:t>
      </w:r>
      <w:r w:rsidR="005D3E4C">
        <w:t>G</w:t>
      </w:r>
      <w:r w:rsidR="00F81D38" w:rsidRPr="00F81D38">
        <w:t>rade 3 pain.</w:t>
      </w:r>
    </w:p>
    <w:p w:rsidR="00B60939" w:rsidRPr="00F81D38" w:rsidRDefault="00FC1884" w:rsidP="00ED2457">
      <w:pPr>
        <w:pStyle w:val="ListParagraph"/>
        <w:widowControl/>
        <w:numPr>
          <w:ilvl w:val="0"/>
          <w:numId w:val="1"/>
        </w:numPr>
        <w:spacing w:before="40" w:after="40"/>
        <w:ind w:left="1077" w:hanging="357"/>
      </w:pPr>
      <w:r w:rsidRPr="00F81D38">
        <w:t>Approximately</w:t>
      </w:r>
      <w:r w:rsidR="001C2A9B" w:rsidRPr="00F81D38">
        <w:t xml:space="preserve"> 2</w:t>
      </w:r>
      <w:r w:rsidR="00F81D38" w:rsidRPr="00F81D38">
        <w:t>9</w:t>
      </w:r>
      <w:r w:rsidR="001C2A9B" w:rsidRPr="00F81D38">
        <w:t xml:space="preserve"> additional </w:t>
      </w:r>
      <w:r w:rsidR="00D30847">
        <w:t>individuals</w:t>
      </w:r>
      <w:r w:rsidR="00D30847" w:rsidRPr="00F81D38">
        <w:t xml:space="preserve"> </w:t>
      </w:r>
      <w:r w:rsidR="00F81D38" w:rsidRPr="00F81D38">
        <w:t>would experience redness &gt;100</w:t>
      </w:r>
      <w:r w:rsidR="00855AE5">
        <w:t xml:space="preserve"> </w:t>
      </w:r>
      <w:r w:rsidR="00F81D38" w:rsidRPr="00F81D38">
        <w:t>mm</w:t>
      </w:r>
      <w:r w:rsidR="001C2A9B" w:rsidRPr="00F81D38">
        <w:t>.</w:t>
      </w:r>
    </w:p>
    <w:p w:rsidR="00F81D38" w:rsidRPr="00F81D38" w:rsidRDefault="00F81D38" w:rsidP="00ED2457">
      <w:pPr>
        <w:pStyle w:val="ListParagraph"/>
        <w:widowControl/>
        <w:numPr>
          <w:ilvl w:val="0"/>
          <w:numId w:val="1"/>
        </w:numPr>
        <w:spacing w:before="40"/>
        <w:ind w:left="1077" w:hanging="357"/>
      </w:pPr>
      <w:r w:rsidRPr="00F81D38">
        <w:t xml:space="preserve">Approximately 10 additional </w:t>
      </w:r>
      <w:r w:rsidR="00D30847">
        <w:t>individuals</w:t>
      </w:r>
      <w:r w:rsidR="00D30847" w:rsidRPr="00F81D38">
        <w:t xml:space="preserve"> </w:t>
      </w:r>
      <w:r w:rsidRPr="00F81D38">
        <w:t>would experience swelling &gt;100</w:t>
      </w:r>
      <w:r w:rsidR="00855AE5">
        <w:t xml:space="preserve"> </w:t>
      </w:r>
      <w:r w:rsidRPr="00F81D38">
        <w:t>mm.</w:t>
      </w:r>
    </w:p>
    <w:p w:rsidR="0042064D" w:rsidRPr="00507770" w:rsidRDefault="0042064D" w:rsidP="00ED2457">
      <w:pPr>
        <w:pStyle w:val="ListParagraph"/>
        <w:widowControl/>
        <w:numPr>
          <w:ilvl w:val="1"/>
          <w:numId w:val="2"/>
        </w:numPr>
        <w:spacing w:after="0"/>
      </w:pPr>
      <w:r w:rsidRPr="008B348A">
        <w:t xml:space="preserve">On the basis of </w:t>
      </w:r>
      <w:r w:rsidR="005D3E4C">
        <w:t xml:space="preserve">the naïve </w:t>
      </w:r>
      <w:r w:rsidRPr="008B348A">
        <w:t>indirect comparison evidence presented by the submission, for every 1</w:t>
      </w:r>
      <w:r w:rsidR="0022588B">
        <w:t>,</w:t>
      </w:r>
      <w:r w:rsidRPr="008B348A">
        <w:t>00</w:t>
      </w:r>
      <w:r w:rsidR="00881891">
        <w:t>0</w:t>
      </w:r>
      <w:r w:rsidRPr="008B348A">
        <w:t xml:space="preserve"> </w:t>
      </w:r>
      <w:r w:rsidR="00D81553">
        <w:t>individuals</w:t>
      </w:r>
      <w:r w:rsidRPr="008B348A">
        <w:t xml:space="preserve"> </w:t>
      </w:r>
      <w:r w:rsidR="00DE7FAC">
        <w:t xml:space="preserve">aged over 70 years </w:t>
      </w:r>
      <w:r w:rsidR="00D81553">
        <w:t>vaccinated</w:t>
      </w:r>
      <w:r w:rsidRPr="008B348A">
        <w:t xml:space="preserve"> with the HZ/</w:t>
      </w:r>
      <w:proofErr w:type="spellStart"/>
      <w:r w:rsidRPr="008B348A">
        <w:t>su</w:t>
      </w:r>
      <w:proofErr w:type="spellEnd"/>
      <w:r w:rsidRPr="008B348A">
        <w:t xml:space="preserve"> vaccine in co</w:t>
      </w:r>
      <w:r w:rsidRPr="00507770">
        <w:t xml:space="preserve">mparison to the live-HZ vaccine and over a </w:t>
      </w:r>
      <w:r w:rsidR="00DE3B58">
        <w:t>mean</w:t>
      </w:r>
      <w:r w:rsidR="00DE3B58" w:rsidRPr="00507770">
        <w:t xml:space="preserve"> </w:t>
      </w:r>
      <w:r w:rsidRPr="00507770">
        <w:t xml:space="preserve">duration of follow-up of </w:t>
      </w:r>
      <w:r w:rsidR="00F81D38" w:rsidRPr="00507770">
        <w:t>3.</w:t>
      </w:r>
      <w:r w:rsidR="00D13ECB">
        <w:t>2</w:t>
      </w:r>
      <w:r w:rsidR="00F81D38" w:rsidRPr="00507770">
        <w:t xml:space="preserve"> to 3.7 </w:t>
      </w:r>
      <w:r w:rsidR="00415785">
        <w:t>years</w:t>
      </w:r>
      <w:r w:rsidRPr="00507770">
        <w:t>:</w:t>
      </w:r>
    </w:p>
    <w:p w:rsidR="005F66E7" w:rsidRPr="00F81D38" w:rsidRDefault="005F66E7" w:rsidP="00ED2457">
      <w:pPr>
        <w:pStyle w:val="ListParagraph"/>
        <w:widowControl/>
        <w:numPr>
          <w:ilvl w:val="0"/>
          <w:numId w:val="1"/>
        </w:numPr>
        <w:spacing w:before="40" w:after="40"/>
        <w:ind w:left="1077" w:hanging="357"/>
      </w:pPr>
      <w:r w:rsidRPr="00F81D38">
        <w:t xml:space="preserve">Approximately </w:t>
      </w:r>
      <w:r w:rsidR="0020540A">
        <w:rPr>
          <w:noProof/>
          <w:color w:val="000000"/>
          <w:highlight w:val="black"/>
        </w:rPr>
        <w:t>''' '''' '''</w:t>
      </w:r>
      <w:r w:rsidR="005B4A3D" w:rsidRPr="00F81D38">
        <w:t xml:space="preserve"> </w:t>
      </w:r>
      <w:r w:rsidRPr="00F81D38">
        <w:t xml:space="preserve">fewer </w:t>
      </w:r>
      <w:r w:rsidR="00D30847">
        <w:t>individuals</w:t>
      </w:r>
      <w:r w:rsidR="00D30847" w:rsidRPr="00F81D38">
        <w:t xml:space="preserve"> </w:t>
      </w:r>
      <w:r w:rsidRPr="00F81D38">
        <w:t>per year would have HZ.</w:t>
      </w:r>
    </w:p>
    <w:p w:rsidR="005F66E7" w:rsidRPr="00F81D38" w:rsidRDefault="005B4A3D" w:rsidP="00ED2457">
      <w:pPr>
        <w:pStyle w:val="ListParagraph"/>
        <w:widowControl/>
        <w:numPr>
          <w:ilvl w:val="0"/>
          <w:numId w:val="1"/>
        </w:numPr>
        <w:spacing w:before="40" w:after="40"/>
        <w:ind w:left="1077" w:hanging="357"/>
      </w:pPr>
      <w:r w:rsidRPr="00F81D38">
        <w:t xml:space="preserve">Approximately </w:t>
      </w:r>
      <w:r w:rsidR="0020540A">
        <w:rPr>
          <w:noProof/>
          <w:color w:val="000000"/>
          <w:highlight w:val="black"/>
        </w:rPr>
        <w:t>'''''' ''''' '''''''</w:t>
      </w:r>
      <w:r>
        <w:t xml:space="preserve"> </w:t>
      </w:r>
      <w:r w:rsidRPr="00F81D38">
        <w:t xml:space="preserve">fewer </w:t>
      </w:r>
      <w:r>
        <w:t>individuals</w:t>
      </w:r>
      <w:r w:rsidRPr="00F81D38">
        <w:t xml:space="preserve"> per year would have </w:t>
      </w:r>
      <w:r>
        <w:t>PHN</w:t>
      </w:r>
      <w:r w:rsidR="005F66E7" w:rsidRPr="00F81D38">
        <w:t>.</w:t>
      </w:r>
    </w:p>
    <w:p w:rsidR="0042064D" w:rsidRPr="00507770" w:rsidRDefault="0042064D" w:rsidP="00ED2457">
      <w:pPr>
        <w:pStyle w:val="ListParagraph"/>
        <w:widowControl/>
        <w:numPr>
          <w:ilvl w:val="0"/>
          <w:numId w:val="1"/>
        </w:numPr>
        <w:spacing w:before="40" w:after="40"/>
        <w:ind w:left="1077" w:hanging="357"/>
      </w:pPr>
      <w:r w:rsidRPr="00507770">
        <w:t xml:space="preserve">Approximately </w:t>
      </w:r>
      <w:r w:rsidR="0020540A">
        <w:rPr>
          <w:noProof/>
          <w:color w:val="000000"/>
          <w:highlight w:val="black"/>
        </w:rPr>
        <w:t>'''''''</w:t>
      </w:r>
      <w:r w:rsidRPr="00507770">
        <w:t xml:space="preserve"> additional</w:t>
      </w:r>
      <w:r w:rsidR="00507770" w:rsidRPr="00507770">
        <w:t xml:space="preserve"> </w:t>
      </w:r>
      <w:r w:rsidR="00D30847">
        <w:t>individuals</w:t>
      </w:r>
      <w:r w:rsidR="00D30847" w:rsidRPr="00F81D38">
        <w:t xml:space="preserve"> </w:t>
      </w:r>
      <w:r w:rsidR="00507770" w:rsidRPr="00507770">
        <w:t xml:space="preserve">would experience </w:t>
      </w:r>
      <w:r w:rsidR="005D3E4C">
        <w:t xml:space="preserve">any </w:t>
      </w:r>
      <w:r w:rsidR="00507770" w:rsidRPr="00507770">
        <w:t>pain</w:t>
      </w:r>
      <w:r w:rsidRPr="00507770">
        <w:t>.</w:t>
      </w:r>
    </w:p>
    <w:p w:rsidR="00507770" w:rsidRPr="00507770" w:rsidRDefault="00507770" w:rsidP="00ED2457">
      <w:pPr>
        <w:pStyle w:val="ListParagraph"/>
        <w:widowControl/>
        <w:numPr>
          <w:ilvl w:val="0"/>
          <w:numId w:val="1"/>
        </w:numPr>
        <w:spacing w:before="40" w:after="40"/>
        <w:ind w:left="1077" w:hanging="357"/>
      </w:pPr>
      <w:r w:rsidRPr="00507770">
        <w:t xml:space="preserve">Approximately </w:t>
      </w:r>
      <w:r w:rsidR="0020540A">
        <w:rPr>
          <w:noProof/>
          <w:color w:val="000000"/>
          <w:highlight w:val="black"/>
        </w:rPr>
        <w:t>''''''</w:t>
      </w:r>
      <w:r w:rsidRPr="00507770">
        <w:t xml:space="preserve"> additional </w:t>
      </w:r>
      <w:r w:rsidR="00D30847">
        <w:t>individuals</w:t>
      </w:r>
      <w:r w:rsidR="00D30847" w:rsidRPr="00F81D38">
        <w:t xml:space="preserve"> </w:t>
      </w:r>
      <w:r w:rsidRPr="00507770">
        <w:t xml:space="preserve">would experience </w:t>
      </w:r>
      <w:r w:rsidR="00DE61AA">
        <w:t xml:space="preserve">any </w:t>
      </w:r>
      <w:r w:rsidRPr="00507770">
        <w:t>redness.</w:t>
      </w:r>
    </w:p>
    <w:p w:rsidR="00507770" w:rsidRPr="00507770" w:rsidRDefault="00507770" w:rsidP="00ED2457">
      <w:pPr>
        <w:pStyle w:val="ListParagraph"/>
        <w:widowControl/>
        <w:numPr>
          <w:ilvl w:val="0"/>
          <w:numId w:val="1"/>
        </w:numPr>
        <w:spacing w:before="40"/>
        <w:ind w:left="1077" w:hanging="357"/>
      </w:pPr>
      <w:r w:rsidRPr="00507770">
        <w:t xml:space="preserve">Approximately </w:t>
      </w:r>
      <w:r w:rsidR="0020540A">
        <w:rPr>
          <w:noProof/>
          <w:color w:val="000000"/>
          <w:highlight w:val="black"/>
        </w:rPr>
        <w:t>''''''</w:t>
      </w:r>
      <w:r w:rsidRPr="00507770">
        <w:t xml:space="preserve"> additional </w:t>
      </w:r>
      <w:r w:rsidR="00D30847">
        <w:t>individuals</w:t>
      </w:r>
      <w:r w:rsidR="00D30847" w:rsidRPr="00F81D38">
        <w:t xml:space="preserve"> </w:t>
      </w:r>
      <w:r w:rsidRPr="00507770">
        <w:t xml:space="preserve">would experience </w:t>
      </w:r>
      <w:r w:rsidR="00DE61AA">
        <w:t xml:space="preserve">any </w:t>
      </w:r>
      <w:r w:rsidRPr="00507770">
        <w:t>swelling.</w:t>
      </w:r>
    </w:p>
    <w:p w:rsidR="00B60939" w:rsidRPr="008B348A" w:rsidRDefault="00B60939" w:rsidP="00E92F71">
      <w:pPr>
        <w:pStyle w:val="Heading2"/>
      </w:pPr>
      <w:bookmarkStart w:id="11" w:name="_Toc524340211"/>
      <w:r w:rsidRPr="008B348A">
        <w:t>Clinical claim</w:t>
      </w:r>
      <w:bookmarkEnd w:id="11"/>
    </w:p>
    <w:p w:rsidR="00724226" w:rsidRPr="0098559C" w:rsidRDefault="00724226" w:rsidP="00ED2457">
      <w:pPr>
        <w:pStyle w:val="ListParagraph"/>
        <w:widowControl/>
        <w:numPr>
          <w:ilvl w:val="1"/>
          <w:numId w:val="2"/>
        </w:numPr>
        <w:spacing w:after="0"/>
      </w:pPr>
      <w:r w:rsidRPr="0098559C">
        <w:t>The submission described two doses of the HZ/</w:t>
      </w:r>
      <w:proofErr w:type="spellStart"/>
      <w:r w:rsidRPr="0098559C">
        <w:t>su</w:t>
      </w:r>
      <w:proofErr w:type="spellEnd"/>
      <w:r w:rsidRPr="0098559C">
        <w:t xml:space="preserve"> vaccine as</w:t>
      </w:r>
      <w:r w:rsidR="00F35E2B" w:rsidRPr="0098559C">
        <w:t xml:space="preserve"> having</w:t>
      </w:r>
      <w:r w:rsidRPr="0098559C">
        <w:t>:</w:t>
      </w:r>
    </w:p>
    <w:p w:rsidR="00724226" w:rsidRPr="0098559C" w:rsidRDefault="00724226" w:rsidP="00ED2457">
      <w:pPr>
        <w:pStyle w:val="ListParagraph"/>
        <w:widowControl/>
        <w:numPr>
          <w:ilvl w:val="1"/>
          <w:numId w:val="8"/>
        </w:numPr>
        <w:spacing w:before="40" w:after="40"/>
        <w:ind w:left="1077" w:hanging="357"/>
      </w:pPr>
      <w:r w:rsidRPr="0098559C">
        <w:t>Superior efficacy and a similar safety profile</w:t>
      </w:r>
      <w:r w:rsidR="005D3E4C" w:rsidRPr="0098559C">
        <w:t>,</w:t>
      </w:r>
      <w:r w:rsidRPr="0098559C">
        <w:t xml:space="preserve"> </w:t>
      </w:r>
      <w:r w:rsidR="005D3E4C" w:rsidRPr="0098559C">
        <w:t>despite being</w:t>
      </w:r>
      <w:r w:rsidRPr="0098559C">
        <w:t xml:space="preserve"> more </w:t>
      </w:r>
      <w:proofErr w:type="spellStart"/>
      <w:r w:rsidRPr="0098559C">
        <w:t>reactogenic</w:t>
      </w:r>
      <w:proofErr w:type="spellEnd"/>
      <w:r w:rsidR="00F35E2B" w:rsidRPr="0098559C">
        <w:t>,</w:t>
      </w:r>
      <w:r w:rsidRPr="0098559C">
        <w:t xml:space="preserve"> compared with the live-HZ vaccine, the current funded standard of care for </w:t>
      </w:r>
      <w:r w:rsidR="00865792" w:rsidRPr="0098559C">
        <w:t xml:space="preserve">individuals aged </w:t>
      </w:r>
      <w:r w:rsidRPr="0098559C">
        <w:t>70</w:t>
      </w:r>
      <w:r w:rsidR="005715CF" w:rsidRPr="0098559C">
        <w:t xml:space="preserve"> to</w:t>
      </w:r>
      <w:r w:rsidRPr="0098559C">
        <w:t xml:space="preserve"> 79 years</w:t>
      </w:r>
      <w:r w:rsidR="00415785" w:rsidRPr="0098559C">
        <w:t>; and</w:t>
      </w:r>
      <w:r w:rsidRPr="0098559C">
        <w:t>.</w:t>
      </w:r>
    </w:p>
    <w:p w:rsidR="00724226" w:rsidRPr="0098559C" w:rsidRDefault="00724226" w:rsidP="00C94A02">
      <w:pPr>
        <w:pStyle w:val="ListParagraph"/>
        <w:widowControl/>
        <w:numPr>
          <w:ilvl w:val="1"/>
          <w:numId w:val="8"/>
        </w:numPr>
        <w:spacing w:before="40" w:after="120"/>
        <w:ind w:left="1077" w:hanging="357"/>
      </w:pPr>
      <w:r w:rsidRPr="0098559C">
        <w:t xml:space="preserve">Superior efficacy and slightly inferior safety when compared with no vaccine (placebo) for </w:t>
      </w:r>
      <w:r w:rsidR="00865792" w:rsidRPr="0098559C">
        <w:t xml:space="preserve">individuals aged </w:t>
      </w:r>
      <w:r w:rsidRPr="0098559C">
        <w:t>60</w:t>
      </w:r>
      <w:r w:rsidR="005715CF" w:rsidRPr="0098559C">
        <w:t xml:space="preserve"> to </w:t>
      </w:r>
      <w:r w:rsidRPr="0098559C">
        <w:t xml:space="preserve">69 </w:t>
      </w:r>
      <w:r w:rsidR="005715CF" w:rsidRPr="0098559C">
        <w:t xml:space="preserve">years </w:t>
      </w:r>
      <w:r w:rsidRPr="0098559C">
        <w:t>and 80 years</w:t>
      </w:r>
      <w:r w:rsidR="005715CF" w:rsidRPr="0098559C">
        <w:t xml:space="preserve"> and over</w:t>
      </w:r>
      <w:r w:rsidRPr="0098559C">
        <w:t>.</w:t>
      </w:r>
    </w:p>
    <w:p w:rsidR="00724226" w:rsidRPr="0098559C" w:rsidRDefault="00DB6A95" w:rsidP="00ED2457">
      <w:pPr>
        <w:pStyle w:val="ListParagraph"/>
        <w:widowControl/>
        <w:numPr>
          <w:ilvl w:val="1"/>
          <w:numId w:val="2"/>
        </w:numPr>
        <w:spacing w:after="0"/>
      </w:pPr>
      <w:r w:rsidRPr="0098559C">
        <w:t>In terms of efficacy, the ESC considered that the HZ/</w:t>
      </w:r>
      <w:proofErr w:type="spellStart"/>
      <w:r w:rsidRPr="0098559C">
        <w:t>su</w:t>
      </w:r>
      <w:proofErr w:type="spellEnd"/>
      <w:r w:rsidRPr="0098559C">
        <w:t xml:space="preserve"> vaccine was superior to placebo and the live-HZ vaccine. However, the ESC </w:t>
      </w:r>
      <w:r w:rsidR="004B754F" w:rsidRPr="0098559C">
        <w:t xml:space="preserve">considered </w:t>
      </w:r>
      <w:r w:rsidRPr="0098559C">
        <w:t>that</w:t>
      </w:r>
      <w:r w:rsidR="008B5789" w:rsidRPr="0098559C">
        <w:t xml:space="preserve"> t</w:t>
      </w:r>
      <w:r w:rsidR="00724226" w:rsidRPr="0098559C">
        <w:t xml:space="preserve">he </w:t>
      </w:r>
      <w:r w:rsidR="00865792" w:rsidRPr="0098559C">
        <w:t xml:space="preserve">magnitude of benefit </w:t>
      </w:r>
      <w:r w:rsidR="005D3E4C" w:rsidRPr="0098559C">
        <w:t xml:space="preserve">in both comparisons </w:t>
      </w:r>
      <w:r w:rsidR="00724226" w:rsidRPr="0098559C">
        <w:t xml:space="preserve">should be considered with caution </w:t>
      </w:r>
      <w:r w:rsidRPr="0098559C">
        <w:t>as</w:t>
      </w:r>
      <w:r w:rsidR="00724226" w:rsidRPr="0098559C">
        <w:t>:</w:t>
      </w:r>
    </w:p>
    <w:p w:rsidR="00323C4E" w:rsidRPr="0098559C" w:rsidRDefault="00323C4E" w:rsidP="00ED2457">
      <w:pPr>
        <w:pStyle w:val="ListParagraph"/>
        <w:numPr>
          <w:ilvl w:val="0"/>
          <w:numId w:val="4"/>
        </w:numPr>
        <w:spacing w:after="40"/>
        <w:ind w:left="1077" w:hanging="357"/>
      </w:pPr>
      <w:r w:rsidRPr="0098559C">
        <w:t xml:space="preserve">The trials excluded </w:t>
      </w:r>
      <w:r w:rsidR="00D81553" w:rsidRPr="0098559C">
        <w:t>individuals</w:t>
      </w:r>
      <w:r w:rsidRPr="0098559C">
        <w:t xml:space="preserve"> who had previously experienced HZ, had previously received a varicella/HZ vaccine, or were immunocompromised or immunosuppressed. </w:t>
      </w:r>
      <w:r w:rsidR="00865792" w:rsidRPr="0098559C">
        <w:t>While s</w:t>
      </w:r>
      <w:r w:rsidRPr="0098559C">
        <w:t xml:space="preserve">ome immunogenicity data </w:t>
      </w:r>
      <w:r w:rsidR="00E610BF">
        <w:t>were</w:t>
      </w:r>
      <w:r w:rsidR="00E610BF" w:rsidRPr="0098559C">
        <w:t xml:space="preserve"> </w:t>
      </w:r>
      <w:r w:rsidRPr="0098559C">
        <w:t>available</w:t>
      </w:r>
      <w:r w:rsidR="00865792" w:rsidRPr="0098559C">
        <w:t>,</w:t>
      </w:r>
      <w:r w:rsidRPr="0098559C">
        <w:t xml:space="preserve"> </w:t>
      </w:r>
      <w:r w:rsidR="00865792" w:rsidRPr="0098559C">
        <w:t>ATAGI advise</w:t>
      </w:r>
      <w:r w:rsidR="00DB6A95" w:rsidRPr="0098559C">
        <w:t>d</w:t>
      </w:r>
      <w:r w:rsidR="00865792" w:rsidRPr="0098559C">
        <w:t xml:space="preserve"> that </w:t>
      </w:r>
      <w:r w:rsidRPr="0098559C">
        <w:t xml:space="preserve">there </w:t>
      </w:r>
      <w:r w:rsidR="00DB6A95" w:rsidRPr="0098559C">
        <w:t>wa</w:t>
      </w:r>
      <w:r w:rsidRPr="0098559C">
        <w:t xml:space="preserve">s no established </w:t>
      </w:r>
      <w:proofErr w:type="spellStart"/>
      <w:r w:rsidRPr="0098559C">
        <w:t>immunocorrelate</w:t>
      </w:r>
      <w:proofErr w:type="spellEnd"/>
      <w:r w:rsidRPr="0098559C">
        <w:t xml:space="preserve"> of protection for HZ. Consequently, the incremental benefit of vaccinating these individuals</w:t>
      </w:r>
      <w:r w:rsidR="00DB6A95" w:rsidRPr="0098559C">
        <w:t xml:space="preserve"> wa</w:t>
      </w:r>
      <w:r w:rsidRPr="0098559C">
        <w:t xml:space="preserve">s unknown. It </w:t>
      </w:r>
      <w:r w:rsidR="00E610BF">
        <w:t>i</w:t>
      </w:r>
      <w:r w:rsidR="00E610BF" w:rsidRPr="0098559C">
        <w:t xml:space="preserve">s </w:t>
      </w:r>
      <w:r w:rsidRPr="0098559C">
        <w:t>likely that the clinical efficacy is less than in immunocompetent individuals (ATAGI pre-submission advice, p20), and individuals with recent HZ episode history (</w:t>
      </w:r>
      <w:r w:rsidRPr="0098559C">
        <w:rPr>
          <w:rFonts w:cs="Calibri"/>
        </w:rPr>
        <w:t>≤</w:t>
      </w:r>
      <w:r w:rsidR="00C94A02">
        <w:rPr>
          <w:rFonts w:cs="Calibri"/>
        </w:rPr>
        <w:t xml:space="preserve"> </w:t>
      </w:r>
      <w:r w:rsidRPr="0098559C">
        <w:t>4 years) (</w:t>
      </w:r>
      <w:proofErr w:type="spellStart"/>
      <w:r w:rsidRPr="0098559C">
        <w:t>Gordeaux</w:t>
      </w:r>
      <w:proofErr w:type="spellEnd"/>
      <w:r w:rsidRPr="0098559C">
        <w:t xml:space="preserve"> et al</w:t>
      </w:r>
      <w:r w:rsidR="00C94A02">
        <w:t>,</w:t>
      </w:r>
      <w:r w:rsidRPr="0098559C">
        <w:t xml:space="preserve"> 2017). No evidence </w:t>
      </w:r>
      <w:r w:rsidR="00DB6A95" w:rsidRPr="0098559C">
        <w:t>wa</w:t>
      </w:r>
      <w:r w:rsidRPr="0098559C">
        <w:t>s available on the incremental benefit of vaccinating individuals with the HZ/</w:t>
      </w:r>
      <w:proofErr w:type="spellStart"/>
      <w:r w:rsidRPr="0098559C">
        <w:t>su</w:t>
      </w:r>
      <w:proofErr w:type="spellEnd"/>
      <w:r w:rsidRPr="0098559C">
        <w:t xml:space="preserve"> vaccine who</w:t>
      </w:r>
      <w:r w:rsidR="00C94A02">
        <w:t xml:space="preserve"> had recently received (within five</w:t>
      </w:r>
      <w:r w:rsidRPr="0098559C">
        <w:t xml:space="preserve"> years) the live-HZ vaccine.</w:t>
      </w:r>
    </w:p>
    <w:p w:rsidR="00323C4E" w:rsidRPr="0098559C" w:rsidRDefault="00323C4E" w:rsidP="00ED2457">
      <w:pPr>
        <w:pStyle w:val="ListParagraph"/>
        <w:numPr>
          <w:ilvl w:val="0"/>
          <w:numId w:val="4"/>
        </w:numPr>
        <w:spacing w:after="40"/>
        <w:ind w:left="1077" w:hanging="357"/>
      </w:pPr>
      <w:r w:rsidRPr="0098559C">
        <w:rPr>
          <w:szCs w:val="20"/>
        </w:rPr>
        <w:t>Overall</w:t>
      </w:r>
      <w:r w:rsidR="00431049" w:rsidRPr="0098559C">
        <w:rPr>
          <w:szCs w:val="20"/>
        </w:rPr>
        <w:t>,</w:t>
      </w:r>
      <w:r w:rsidRPr="0098559C">
        <w:rPr>
          <w:szCs w:val="20"/>
        </w:rPr>
        <w:t xml:space="preserve"> </w:t>
      </w:r>
      <w:r w:rsidR="00A65102" w:rsidRPr="0098559C">
        <w:rPr>
          <w:szCs w:val="20"/>
        </w:rPr>
        <w:t>VE</w:t>
      </w:r>
      <w:r w:rsidR="00A65102" w:rsidRPr="0098559C">
        <w:rPr>
          <w:szCs w:val="20"/>
          <w:vertAlign w:val="subscript"/>
        </w:rPr>
        <w:t>HZ</w:t>
      </w:r>
      <w:r w:rsidRPr="0098559C">
        <w:rPr>
          <w:szCs w:val="20"/>
        </w:rPr>
        <w:t xml:space="preserve"> waned </w:t>
      </w:r>
      <w:r w:rsidR="006B605F" w:rsidRPr="0098559C">
        <w:rPr>
          <w:szCs w:val="20"/>
        </w:rPr>
        <w:t xml:space="preserve">by approximately 10% </w:t>
      </w:r>
      <w:r w:rsidR="00AB6A1D" w:rsidRPr="0098559C">
        <w:rPr>
          <w:szCs w:val="20"/>
        </w:rPr>
        <w:t xml:space="preserve">over </w:t>
      </w:r>
      <w:r w:rsidR="006B605F" w:rsidRPr="0098559C">
        <w:rPr>
          <w:szCs w:val="20"/>
        </w:rPr>
        <w:t xml:space="preserve">the </w:t>
      </w:r>
      <w:r w:rsidR="00AB6A1D" w:rsidRPr="0098559C">
        <w:rPr>
          <w:szCs w:val="20"/>
        </w:rPr>
        <w:t>four years</w:t>
      </w:r>
      <w:r w:rsidR="006B605F" w:rsidRPr="0098559C">
        <w:rPr>
          <w:szCs w:val="20"/>
        </w:rPr>
        <w:t xml:space="preserve"> of ZOE trial follow-up.</w:t>
      </w:r>
      <w:r w:rsidR="00AB6A1D" w:rsidRPr="0098559C">
        <w:rPr>
          <w:szCs w:val="20"/>
        </w:rPr>
        <w:t xml:space="preserve"> </w:t>
      </w:r>
      <w:r w:rsidRPr="0098559C">
        <w:rPr>
          <w:szCs w:val="20"/>
        </w:rPr>
        <w:t>Th</w:t>
      </w:r>
      <w:r w:rsidR="00C94A02">
        <w:rPr>
          <w:szCs w:val="20"/>
        </w:rPr>
        <w:t xml:space="preserve">e short follow-up </w:t>
      </w:r>
      <w:r w:rsidRPr="0098559C">
        <w:rPr>
          <w:szCs w:val="20"/>
        </w:rPr>
        <w:t>limit</w:t>
      </w:r>
      <w:r w:rsidR="00DB6A95" w:rsidRPr="0098559C">
        <w:rPr>
          <w:szCs w:val="20"/>
        </w:rPr>
        <w:t>ed</w:t>
      </w:r>
      <w:r w:rsidRPr="0098559C">
        <w:rPr>
          <w:szCs w:val="20"/>
        </w:rPr>
        <w:t xml:space="preserve"> the ability to assess waning in the longer-term an</w:t>
      </w:r>
      <w:r w:rsidR="009B29FC" w:rsidRPr="0098559C">
        <w:rPr>
          <w:szCs w:val="20"/>
        </w:rPr>
        <w:t xml:space="preserve">d the need for a booster dose, </w:t>
      </w:r>
      <w:r w:rsidR="00C94A02">
        <w:rPr>
          <w:szCs w:val="20"/>
        </w:rPr>
        <w:t>particularly</w:t>
      </w:r>
      <w:r w:rsidR="009B29FC" w:rsidRPr="0098559C">
        <w:rPr>
          <w:szCs w:val="20"/>
        </w:rPr>
        <w:t xml:space="preserve"> for</w:t>
      </w:r>
      <w:r w:rsidR="00865792" w:rsidRPr="0098559C">
        <w:rPr>
          <w:szCs w:val="20"/>
        </w:rPr>
        <w:t xml:space="preserve"> individuals aged</w:t>
      </w:r>
      <w:r w:rsidR="009B29FC" w:rsidRPr="0098559C">
        <w:rPr>
          <w:szCs w:val="20"/>
        </w:rPr>
        <w:t xml:space="preserve"> 60 year</w:t>
      </w:r>
      <w:r w:rsidR="00F86A99" w:rsidRPr="0098559C">
        <w:rPr>
          <w:szCs w:val="20"/>
        </w:rPr>
        <w:t>s</w:t>
      </w:r>
      <w:r w:rsidRPr="0098559C">
        <w:rPr>
          <w:szCs w:val="20"/>
        </w:rPr>
        <w:t>.</w:t>
      </w:r>
      <w:r w:rsidR="00124228" w:rsidRPr="0098559C">
        <w:rPr>
          <w:szCs w:val="20"/>
        </w:rPr>
        <w:t xml:space="preserve"> However, the ESC considered </w:t>
      </w:r>
      <w:r w:rsidR="005D4740" w:rsidRPr="0098559C">
        <w:rPr>
          <w:szCs w:val="20"/>
        </w:rPr>
        <w:t xml:space="preserve">that given </w:t>
      </w:r>
      <w:r w:rsidR="00124228" w:rsidRPr="0098559C">
        <w:t>the high vaccine efficacy and slow rates of waning in the ZOE-50 trial over 3.</w:t>
      </w:r>
      <w:r w:rsidR="00C83E14">
        <w:t>2</w:t>
      </w:r>
      <w:r w:rsidR="00124228" w:rsidRPr="0098559C">
        <w:t xml:space="preserve"> years, waning of the HZ/</w:t>
      </w:r>
      <w:proofErr w:type="spellStart"/>
      <w:r w:rsidR="00124228" w:rsidRPr="0098559C">
        <w:t>su</w:t>
      </w:r>
      <w:proofErr w:type="spellEnd"/>
      <w:r w:rsidR="00124228" w:rsidRPr="0098559C">
        <w:t xml:space="preserve"> vaccine would likely take </w:t>
      </w:r>
      <w:r w:rsidR="00124228" w:rsidRPr="0098559C">
        <w:lastRenderedPageBreak/>
        <w:t>many years for the primary cohort of 60 year olds.</w:t>
      </w:r>
    </w:p>
    <w:p w:rsidR="009F3D18" w:rsidRPr="0098559C" w:rsidRDefault="006B605F" w:rsidP="00ED2457">
      <w:pPr>
        <w:pStyle w:val="ListParagraph"/>
        <w:numPr>
          <w:ilvl w:val="0"/>
          <w:numId w:val="4"/>
        </w:numPr>
        <w:ind w:left="1077" w:hanging="357"/>
      </w:pPr>
      <w:r w:rsidRPr="0098559C">
        <w:t xml:space="preserve">In the indirect comparison between </w:t>
      </w:r>
      <w:r w:rsidR="00C94A02">
        <w:t xml:space="preserve">the </w:t>
      </w:r>
      <w:r w:rsidRPr="0098559C">
        <w:t>HZ/</w:t>
      </w:r>
      <w:proofErr w:type="spellStart"/>
      <w:r w:rsidRPr="0098559C">
        <w:t>su</w:t>
      </w:r>
      <w:proofErr w:type="spellEnd"/>
      <w:r w:rsidRPr="0098559C">
        <w:t xml:space="preserve"> and live-HZ vaccines, t</w:t>
      </w:r>
      <w:r w:rsidR="009F3D18" w:rsidRPr="0098559C">
        <w:t>he PHN event rates</w:t>
      </w:r>
      <w:r w:rsidR="00AB3300">
        <w:t xml:space="preserve"> </w:t>
      </w:r>
      <w:r w:rsidR="009F3D18" w:rsidRPr="0098559C">
        <w:t>w</w:t>
      </w:r>
      <w:r w:rsidR="00DB6A95" w:rsidRPr="0098559C">
        <w:t>ere</w:t>
      </w:r>
      <w:r w:rsidR="009F3D18" w:rsidRPr="0098559C">
        <w:t xml:space="preserve"> considerably higher in the SPS </w:t>
      </w:r>
      <w:r w:rsidR="00DB6A95" w:rsidRPr="0098559C">
        <w:t xml:space="preserve">trial </w:t>
      </w:r>
      <w:r w:rsidR="009F3D18" w:rsidRPr="0098559C">
        <w:t>(2.13 per 1</w:t>
      </w:r>
      <w:r w:rsidRPr="0098559C">
        <w:t>,</w:t>
      </w:r>
      <w:r w:rsidR="009F3D18" w:rsidRPr="0098559C">
        <w:t>000) compared to the ZOE-50 (0.6 per 1</w:t>
      </w:r>
      <w:r w:rsidRPr="0098559C">
        <w:t>,</w:t>
      </w:r>
      <w:r w:rsidR="009F3D18" w:rsidRPr="0098559C">
        <w:t>000) and ZOE-70 trials (1.1 per 1</w:t>
      </w:r>
      <w:r w:rsidRPr="0098559C">
        <w:t>,</w:t>
      </w:r>
      <w:r w:rsidR="009F3D18" w:rsidRPr="0098559C">
        <w:t>000).</w:t>
      </w:r>
    </w:p>
    <w:p w:rsidR="008B5789" w:rsidRDefault="008B5789" w:rsidP="00ED2457">
      <w:pPr>
        <w:pStyle w:val="ListParagraph"/>
        <w:widowControl/>
        <w:numPr>
          <w:ilvl w:val="1"/>
          <w:numId w:val="2"/>
        </w:numPr>
      </w:pPr>
      <w:r w:rsidRPr="0098559C">
        <w:t xml:space="preserve">The </w:t>
      </w:r>
      <w:r w:rsidR="006B605F" w:rsidRPr="0098559C">
        <w:t xml:space="preserve">ESC considered the </w:t>
      </w:r>
      <w:r w:rsidRPr="0098559C">
        <w:t>safety conclusion</w:t>
      </w:r>
      <w:r w:rsidR="006B605F" w:rsidRPr="0098559C">
        <w:t>s</w:t>
      </w:r>
      <w:r w:rsidR="00A241E3" w:rsidRPr="0098559C">
        <w:t xml:space="preserve"> regarding the HZ/</w:t>
      </w:r>
      <w:proofErr w:type="spellStart"/>
      <w:r w:rsidR="00A241E3" w:rsidRPr="0098559C">
        <w:t>su</w:t>
      </w:r>
      <w:proofErr w:type="spellEnd"/>
      <w:r w:rsidR="00A241E3" w:rsidRPr="0098559C">
        <w:t xml:space="preserve"> vaccine compared to no vaccine (placebo)</w:t>
      </w:r>
      <w:r w:rsidRPr="0098559C">
        <w:t xml:space="preserve"> </w:t>
      </w:r>
      <w:r w:rsidR="006B605F" w:rsidRPr="0098559C">
        <w:t xml:space="preserve">and to the live-HZ vaccine </w:t>
      </w:r>
      <w:r w:rsidRPr="0098559C">
        <w:t xml:space="preserve">presented by the submission </w:t>
      </w:r>
      <w:r w:rsidR="004B754F" w:rsidRPr="0098559C">
        <w:t>w</w:t>
      </w:r>
      <w:r w:rsidR="006B605F" w:rsidRPr="0098559C">
        <w:t>ere</w:t>
      </w:r>
      <w:r w:rsidR="004B754F" w:rsidRPr="0098559C">
        <w:t xml:space="preserve"> reasonable</w:t>
      </w:r>
      <w:r w:rsidRPr="0098559C">
        <w:t>.</w:t>
      </w:r>
    </w:p>
    <w:p w:rsidR="00BD5534" w:rsidRPr="001C7BAA" w:rsidRDefault="00BD5534" w:rsidP="00E610BF">
      <w:pPr>
        <w:pStyle w:val="ListParagraph"/>
        <w:widowControl/>
        <w:numPr>
          <w:ilvl w:val="1"/>
          <w:numId w:val="2"/>
        </w:numPr>
        <w:spacing w:after="120"/>
        <w:ind w:left="709" w:hanging="709"/>
        <w:rPr>
          <w:rFonts w:asciiTheme="minorHAnsi" w:hAnsiTheme="minorHAnsi"/>
          <w:szCs w:val="20"/>
        </w:rPr>
      </w:pPr>
      <w:r w:rsidRPr="001C7BAA">
        <w:rPr>
          <w:rFonts w:asciiTheme="minorHAnsi" w:hAnsiTheme="minorHAnsi"/>
          <w:szCs w:val="20"/>
        </w:rPr>
        <w:t xml:space="preserve">The PBAC considered that the claim of superior comparative effectiveness </w:t>
      </w:r>
      <w:r w:rsidR="007B5435">
        <w:rPr>
          <w:rFonts w:asciiTheme="minorHAnsi" w:hAnsiTheme="minorHAnsi"/>
          <w:szCs w:val="20"/>
        </w:rPr>
        <w:t xml:space="preserve">and similar safety to the live HZ vaccine </w:t>
      </w:r>
      <w:r w:rsidRPr="001C7BAA">
        <w:rPr>
          <w:rFonts w:asciiTheme="minorHAnsi" w:hAnsiTheme="minorHAnsi"/>
          <w:szCs w:val="20"/>
        </w:rPr>
        <w:t>was reasonable.</w:t>
      </w:r>
    </w:p>
    <w:p w:rsidR="00BD5534" w:rsidRPr="001C7BAA" w:rsidRDefault="00BD5534" w:rsidP="00E610BF">
      <w:pPr>
        <w:pStyle w:val="ListParagraph"/>
        <w:widowControl/>
        <w:numPr>
          <w:ilvl w:val="1"/>
          <w:numId w:val="2"/>
        </w:numPr>
        <w:spacing w:after="120"/>
        <w:ind w:left="709" w:hanging="709"/>
        <w:rPr>
          <w:rFonts w:asciiTheme="minorHAnsi" w:hAnsiTheme="minorHAnsi"/>
          <w:szCs w:val="20"/>
        </w:rPr>
      </w:pPr>
      <w:r w:rsidRPr="001C7BAA">
        <w:rPr>
          <w:rFonts w:asciiTheme="minorHAnsi" w:hAnsiTheme="minorHAnsi"/>
          <w:szCs w:val="20"/>
        </w:rPr>
        <w:t>The PBAC considered that the claim of superior comparative</w:t>
      </w:r>
      <w:r w:rsidR="00EF41F4">
        <w:rPr>
          <w:rFonts w:asciiTheme="minorHAnsi" w:hAnsiTheme="minorHAnsi"/>
          <w:szCs w:val="20"/>
        </w:rPr>
        <w:t xml:space="preserve"> effectiveness and</w:t>
      </w:r>
      <w:r w:rsidR="008A144F">
        <w:rPr>
          <w:rFonts w:asciiTheme="minorHAnsi" w:hAnsiTheme="minorHAnsi"/>
          <w:szCs w:val="20"/>
        </w:rPr>
        <w:t xml:space="preserve"> </w:t>
      </w:r>
      <w:r w:rsidR="00487473">
        <w:rPr>
          <w:rFonts w:asciiTheme="minorHAnsi" w:hAnsiTheme="minorHAnsi"/>
          <w:szCs w:val="20"/>
        </w:rPr>
        <w:t>‘</w:t>
      </w:r>
      <w:r w:rsidR="008A144F">
        <w:rPr>
          <w:rFonts w:asciiTheme="minorHAnsi" w:hAnsiTheme="minorHAnsi"/>
          <w:szCs w:val="20"/>
        </w:rPr>
        <w:t>slightly</w:t>
      </w:r>
      <w:r w:rsidR="00487473">
        <w:rPr>
          <w:rFonts w:asciiTheme="minorHAnsi" w:hAnsiTheme="minorHAnsi"/>
          <w:szCs w:val="20"/>
        </w:rPr>
        <w:t>’</w:t>
      </w:r>
      <w:r w:rsidR="00EF41F4">
        <w:rPr>
          <w:rFonts w:asciiTheme="minorHAnsi" w:hAnsiTheme="minorHAnsi"/>
          <w:szCs w:val="20"/>
        </w:rPr>
        <w:t xml:space="preserve"> inferior</w:t>
      </w:r>
      <w:r w:rsidRPr="001C7BAA">
        <w:rPr>
          <w:rFonts w:asciiTheme="minorHAnsi" w:hAnsiTheme="minorHAnsi"/>
          <w:szCs w:val="20"/>
        </w:rPr>
        <w:t xml:space="preserve"> safety</w:t>
      </w:r>
      <w:r w:rsidR="00EF41F4">
        <w:rPr>
          <w:rFonts w:asciiTheme="minorHAnsi" w:hAnsiTheme="minorHAnsi"/>
          <w:szCs w:val="20"/>
        </w:rPr>
        <w:t xml:space="preserve"> to no vaccine</w:t>
      </w:r>
      <w:r w:rsidRPr="001C7BAA">
        <w:rPr>
          <w:rFonts w:asciiTheme="minorHAnsi" w:hAnsiTheme="minorHAnsi"/>
          <w:szCs w:val="20"/>
        </w:rPr>
        <w:t xml:space="preserve"> was reasonable</w:t>
      </w:r>
      <w:r w:rsidR="002555FA">
        <w:rPr>
          <w:rFonts w:asciiTheme="minorHAnsi" w:hAnsiTheme="minorHAnsi"/>
          <w:szCs w:val="20"/>
        </w:rPr>
        <w:t>, with the PBAC noting the increased frequency of injection site reactions compared to placebo</w:t>
      </w:r>
      <w:r w:rsidRPr="001C7BAA">
        <w:rPr>
          <w:rFonts w:asciiTheme="minorHAnsi" w:hAnsiTheme="minorHAnsi"/>
          <w:szCs w:val="20"/>
        </w:rPr>
        <w:t>.</w:t>
      </w:r>
    </w:p>
    <w:p w:rsidR="008B5789" w:rsidRPr="00FC4F1F" w:rsidRDefault="008B5789" w:rsidP="00E92F71">
      <w:pPr>
        <w:pStyle w:val="Heading2"/>
      </w:pPr>
      <w:bookmarkStart w:id="12" w:name="_Toc524340212"/>
      <w:r w:rsidRPr="00FC4F1F">
        <w:t>Economic analysis</w:t>
      </w:r>
      <w:bookmarkEnd w:id="12"/>
      <w:r w:rsidRPr="00FC4F1F">
        <w:t xml:space="preserve"> </w:t>
      </w:r>
    </w:p>
    <w:p w:rsidR="003F15A4" w:rsidRPr="0098559C" w:rsidRDefault="003F15A4" w:rsidP="00ED2457">
      <w:pPr>
        <w:pStyle w:val="ListParagraph"/>
        <w:widowControl/>
        <w:numPr>
          <w:ilvl w:val="1"/>
          <w:numId w:val="2"/>
        </w:numPr>
      </w:pPr>
      <w:r w:rsidRPr="0098559C">
        <w:rPr>
          <w:rFonts w:cs="Calibri"/>
          <w:snapToGrid/>
          <w:szCs w:val="24"/>
          <w:lang w:eastAsia="en-AU"/>
        </w:rPr>
        <w:t>The submission presented a stepped, modelled economic evaluation based on direct randomised trials. The type of economic evaluation presented was a cost-utility analysis.</w:t>
      </w:r>
    </w:p>
    <w:p w:rsidR="009D02E2" w:rsidRPr="0098559C" w:rsidRDefault="009D02E2" w:rsidP="009D02E2">
      <w:pPr>
        <w:pStyle w:val="ListParagraph"/>
        <w:widowControl/>
        <w:numPr>
          <w:ilvl w:val="1"/>
          <w:numId w:val="2"/>
        </w:numPr>
      </w:pPr>
      <w:r w:rsidRPr="0098559C">
        <w:t xml:space="preserve">Although the ESC considered that </w:t>
      </w:r>
      <w:r w:rsidR="00130E4A">
        <w:t>the</w:t>
      </w:r>
      <w:r w:rsidRPr="0098559C">
        <w:t xml:space="preserve"> HZ/</w:t>
      </w:r>
      <w:proofErr w:type="spellStart"/>
      <w:r w:rsidRPr="0098559C">
        <w:t>su</w:t>
      </w:r>
      <w:proofErr w:type="spellEnd"/>
      <w:r w:rsidRPr="0098559C">
        <w:t xml:space="preserve"> </w:t>
      </w:r>
      <w:r w:rsidR="00130E4A">
        <w:t xml:space="preserve">vaccine </w:t>
      </w:r>
      <w:r w:rsidRPr="0098559C">
        <w:t xml:space="preserve">would provide direct benefits to the treated individual, it was concerned about the high opportunity costs. The ESC recalled that the threshold of incremental </w:t>
      </w:r>
      <w:r w:rsidR="00130E4A">
        <w:t>quality-adjusted life years (</w:t>
      </w:r>
      <w:r w:rsidRPr="0098559C">
        <w:t>QALYs</w:t>
      </w:r>
      <w:r w:rsidR="00130E4A">
        <w:t>)</w:t>
      </w:r>
      <w:r w:rsidRPr="0098559C">
        <w:t xml:space="preserve"> </w:t>
      </w:r>
      <w:r w:rsidR="00130E4A">
        <w:t xml:space="preserve">gained previously accepted by the PBAC </w:t>
      </w:r>
      <w:r w:rsidRPr="0098559C">
        <w:t xml:space="preserve">for treatments with large opportunity costs, such as population preventative interventions including lipid-lowering, anti-hypertensive drugs and vaccines, was at the lower end of the ICER range. Therefore, the ESC considered that the acceptable ICER for </w:t>
      </w:r>
      <w:r w:rsidR="00130E4A">
        <w:t xml:space="preserve">the </w:t>
      </w:r>
      <w:r w:rsidRPr="0098559C">
        <w:t>HZ/</w:t>
      </w:r>
      <w:proofErr w:type="spellStart"/>
      <w:r w:rsidRPr="0098559C">
        <w:t>su</w:t>
      </w:r>
      <w:proofErr w:type="spellEnd"/>
      <w:r w:rsidRPr="0098559C">
        <w:t xml:space="preserve"> </w:t>
      </w:r>
      <w:r w:rsidR="00130E4A">
        <w:t xml:space="preserve">vaccine </w:t>
      </w:r>
      <w:r w:rsidRPr="0098559C">
        <w:t xml:space="preserve">should </w:t>
      </w:r>
      <w:r w:rsidR="00130E4A">
        <w:t xml:space="preserve">also </w:t>
      </w:r>
      <w:r w:rsidRPr="0098559C">
        <w:t>be at the lower end of the range previously accepted for other population preventative interventions with large opportunity costs.</w:t>
      </w:r>
    </w:p>
    <w:p w:rsidR="00F867B5" w:rsidRPr="0098559C" w:rsidRDefault="00F867B5" w:rsidP="00ED2457">
      <w:pPr>
        <w:pStyle w:val="ListParagraph"/>
        <w:widowControl/>
        <w:numPr>
          <w:ilvl w:val="1"/>
          <w:numId w:val="2"/>
        </w:numPr>
        <w:spacing w:after="0"/>
      </w:pPr>
      <w:r w:rsidRPr="0098559C">
        <w:t>The submission presented three analyses</w:t>
      </w:r>
      <w:r w:rsidR="00C25ED0" w:rsidRPr="0098559C">
        <w:t xml:space="preserve"> across three age groups</w:t>
      </w:r>
      <w:r w:rsidR="007B0CA3" w:rsidRPr="0098559C">
        <w:t xml:space="preserve">. </w:t>
      </w:r>
      <w:r w:rsidR="00130E4A">
        <w:t>It wa</w:t>
      </w:r>
      <w:r w:rsidR="006E30E5" w:rsidRPr="0098559C">
        <w:t xml:space="preserve">s noted that the ongoing NIP cohort </w:t>
      </w:r>
      <w:r w:rsidR="00130E4A">
        <w:t xml:space="preserve">would be </w:t>
      </w:r>
      <w:r w:rsidR="006E30E5" w:rsidRPr="0098559C">
        <w:t>for 60-year olds only</w:t>
      </w:r>
      <w:r w:rsidR="00130E4A">
        <w:t>,</w:t>
      </w:r>
      <w:r w:rsidR="006E30E5" w:rsidRPr="0098559C">
        <w:t xml:space="preserve"> and there </w:t>
      </w:r>
      <w:r w:rsidR="00130E4A">
        <w:t xml:space="preserve">would be </w:t>
      </w:r>
      <w:r w:rsidR="006E30E5" w:rsidRPr="0098559C">
        <w:t>no separate ongoing 70-year old or 80-year old program</w:t>
      </w:r>
      <w:r w:rsidR="00130E4A">
        <w:t>. The analyses were</w:t>
      </w:r>
      <w:r w:rsidRPr="0098559C">
        <w:t>:</w:t>
      </w:r>
    </w:p>
    <w:p w:rsidR="00F867B5" w:rsidRPr="0098559C" w:rsidRDefault="00F867B5" w:rsidP="00ED2457">
      <w:pPr>
        <w:pStyle w:val="ListParagraph"/>
        <w:widowControl/>
        <w:numPr>
          <w:ilvl w:val="1"/>
          <w:numId w:val="24"/>
        </w:numPr>
        <w:spacing w:before="40" w:after="40"/>
        <w:ind w:left="1077" w:hanging="357"/>
      </w:pPr>
      <w:r w:rsidRPr="0098559C">
        <w:t>HZ/</w:t>
      </w:r>
      <w:proofErr w:type="spellStart"/>
      <w:r w:rsidRPr="0098559C">
        <w:t>su</w:t>
      </w:r>
      <w:proofErr w:type="spellEnd"/>
      <w:r w:rsidRPr="0098559C">
        <w:t xml:space="preserve"> vaccine</w:t>
      </w:r>
      <w:r w:rsidR="00130E4A">
        <w:t>,</w:t>
      </w:r>
      <w:r w:rsidRPr="0098559C">
        <w:t xml:space="preserve"> given as two doses two months apart</w:t>
      </w:r>
      <w:r w:rsidR="00130E4A">
        <w:t>,</w:t>
      </w:r>
      <w:r w:rsidRPr="0098559C">
        <w:t xml:space="preserve"> compared to no vaccination in Australian adults aged 60 years of age</w:t>
      </w:r>
      <w:r w:rsidR="00130E4A">
        <w:t>;</w:t>
      </w:r>
    </w:p>
    <w:p w:rsidR="00F867B5" w:rsidRPr="0098559C" w:rsidRDefault="00F867B5" w:rsidP="00ED2457">
      <w:pPr>
        <w:pStyle w:val="ListParagraph"/>
        <w:widowControl/>
        <w:numPr>
          <w:ilvl w:val="1"/>
          <w:numId w:val="24"/>
        </w:numPr>
        <w:spacing w:before="40" w:after="40"/>
        <w:ind w:left="1077" w:hanging="357"/>
      </w:pPr>
      <w:r w:rsidRPr="0098559C">
        <w:t>HZ/</w:t>
      </w:r>
      <w:proofErr w:type="spellStart"/>
      <w:r w:rsidRPr="0098559C">
        <w:t>su</w:t>
      </w:r>
      <w:proofErr w:type="spellEnd"/>
      <w:r w:rsidRPr="0098559C">
        <w:t xml:space="preserve"> vaccine</w:t>
      </w:r>
      <w:r w:rsidR="00130E4A">
        <w:t>,</w:t>
      </w:r>
      <w:r w:rsidRPr="0098559C">
        <w:t xml:space="preserve"> given as two doses two months apart</w:t>
      </w:r>
      <w:r w:rsidR="00130E4A">
        <w:t>,</w:t>
      </w:r>
      <w:r w:rsidRPr="0098559C">
        <w:t xml:space="preserve"> compared to the live-HZ vaccine</w:t>
      </w:r>
      <w:r w:rsidR="00130E4A">
        <w:t>,</w:t>
      </w:r>
      <w:r w:rsidRPr="0098559C">
        <w:t xml:space="preserve"> </w:t>
      </w:r>
      <w:r w:rsidR="00130E4A">
        <w:t xml:space="preserve">given </w:t>
      </w:r>
      <w:r w:rsidRPr="0098559C">
        <w:t>as a single dose</w:t>
      </w:r>
      <w:r w:rsidR="00130E4A">
        <w:t>,</w:t>
      </w:r>
      <w:r w:rsidRPr="0098559C">
        <w:t xml:space="preserve"> in Australian adults aged 70 years of age</w:t>
      </w:r>
      <w:r w:rsidR="00130E4A">
        <w:t>; and</w:t>
      </w:r>
    </w:p>
    <w:p w:rsidR="00F867B5" w:rsidRDefault="00F867B5" w:rsidP="00ED2457">
      <w:pPr>
        <w:pStyle w:val="ListParagraph"/>
        <w:widowControl/>
        <w:numPr>
          <w:ilvl w:val="1"/>
          <w:numId w:val="24"/>
        </w:numPr>
        <w:spacing w:before="40"/>
        <w:ind w:left="1077" w:hanging="357"/>
      </w:pPr>
      <w:r w:rsidRPr="0098559C">
        <w:t>HZ/</w:t>
      </w:r>
      <w:proofErr w:type="spellStart"/>
      <w:r w:rsidRPr="0098559C">
        <w:t>su</w:t>
      </w:r>
      <w:proofErr w:type="spellEnd"/>
      <w:r w:rsidRPr="0098559C">
        <w:t xml:space="preserve"> vaccine</w:t>
      </w:r>
      <w:r w:rsidR="00130E4A">
        <w:t>,</w:t>
      </w:r>
      <w:r w:rsidRPr="0098559C">
        <w:t xml:space="preserve"> given as two doses two months apart</w:t>
      </w:r>
      <w:r w:rsidR="00130E4A">
        <w:t>,</w:t>
      </w:r>
      <w:r w:rsidRPr="0098559C">
        <w:t xml:space="preserve"> compared to no vaccination in Australian adults aged 80 years</w:t>
      </w:r>
      <w:r w:rsidR="00C25ED0" w:rsidRPr="0098559C">
        <w:t>.</w:t>
      </w:r>
    </w:p>
    <w:p w:rsidR="00050005" w:rsidRPr="0098559C" w:rsidRDefault="00050005" w:rsidP="00050005">
      <w:pPr>
        <w:pStyle w:val="ListParagraph"/>
        <w:widowControl/>
        <w:numPr>
          <w:ilvl w:val="1"/>
          <w:numId w:val="2"/>
        </w:numPr>
      </w:pPr>
      <w:r>
        <w:t>The PBAC noted a comparison of the proposed vaccination program (</w:t>
      </w:r>
      <w:r w:rsidR="00854017">
        <w:t>two</w:t>
      </w:r>
      <w:r>
        <w:t xml:space="preserve"> doses of HZ/</w:t>
      </w:r>
      <w:proofErr w:type="spellStart"/>
      <w:r>
        <w:t>su</w:t>
      </w:r>
      <w:proofErr w:type="spellEnd"/>
      <w:r>
        <w:t xml:space="preserve"> vaccine at age 60 years) versus the current vaccination program (a single dose of the live-HZ vaccine at 70 years) was not presented in the submission.</w:t>
      </w:r>
      <w:r w:rsidR="00854017">
        <w:t xml:space="preserve"> </w:t>
      </w:r>
    </w:p>
    <w:p w:rsidR="00275C5A" w:rsidRPr="008B348A" w:rsidRDefault="00F95041" w:rsidP="00FC4F1F">
      <w:pPr>
        <w:keepNext/>
        <w:rPr>
          <w:rStyle w:val="CommentReference"/>
        </w:rPr>
      </w:pPr>
      <w:r>
        <w:rPr>
          <w:rStyle w:val="CommentReference"/>
        </w:rPr>
        <w:lastRenderedPageBreak/>
        <w:t>Table 1</w:t>
      </w:r>
      <w:r w:rsidR="00DF7A69">
        <w:rPr>
          <w:rStyle w:val="CommentReference"/>
        </w:rPr>
        <w:t>3</w:t>
      </w:r>
      <w:r w:rsidR="00275C5A" w:rsidRPr="008B348A">
        <w:rPr>
          <w:rStyle w:val="CommentReference"/>
        </w:rPr>
        <w:t>: Summary of model structure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model structure and rationale"/>
      </w:tblPr>
      <w:tblGrid>
        <w:gridCol w:w="1149"/>
        <w:gridCol w:w="7871"/>
      </w:tblGrid>
      <w:tr w:rsidR="002329BA" w:rsidRPr="008B348A" w:rsidTr="00F95041">
        <w:trPr>
          <w:tblHeader/>
        </w:trPr>
        <w:tc>
          <w:tcPr>
            <w:tcW w:w="0" w:type="auto"/>
            <w:shd w:val="clear" w:color="auto" w:fill="auto"/>
            <w:vAlign w:val="center"/>
          </w:tcPr>
          <w:p w:rsidR="00275C5A" w:rsidRPr="008B348A" w:rsidRDefault="00275C5A" w:rsidP="003D1DE4">
            <w:pPr>
              <w:pStyle w:val="Tabletext"/>
              <w:rPr>
                <w:b/>
              </w:rPr>
            </w:pPr>
            <w:r w:rsidRPr="008B348A">
              <w:rPr>
                <w:b/>
              </w:rPr>
              <w:t>Component</w:t>
            </w:r>
          </w:p>
        </w:tc>
        <w:tc>
          <w:tcPr>
            <w:tcW w:w="0" w:type="auto"/>
            <w:shd w:val="clear" w:color="auto" w:fill="auto"/>
            <w:vAlign w:val="center"/>
          </w:tcPr>
          <w:p w:rsidR="00275C5A" w:rsidRPr="008B348A" w:rsidRDefault="00275C5A" w:rsidP="003D1DE4">
            <w:pPr>
              <w:pStyle w:val="Tabletext"/>
              <w:jc w:val="center"/>
              <w:rPr>
                <w:b/>
              </w:rPr>
            </w:pPr>
            <w:r w:rsidRPr="008B348A">
              <w:rPr>
                <w:b/>
              </w:rPr>
              <w:t>Summary</w:t>
            </w:r>
          </w:p>
        </w:tc>
      </w:tr>
      <w:tr w:rsidR="002329BA" w:rsidRPr="008B348A" w:rsidTr="00F95041">
        <w:tc>
          <w:tcPr>
            <w:tcW w:w="0" w:type="auto"/>
            <w:shd w:val="clear" w:color="auto" w:fill="auto"/>
          </w:tcPr>
          <w:p w:rsidR="00726E6F" w:rsidRPr="008B348A" w:rsidRDefault="00726E6F" w:rsidP="00726E6F">
            <w:pPr>
              <w:pStyle w:val="Tabletext"/>
            </w:pPr>
            <w:r w:rsidRPr="008B348A">
              <w:t>Type of analysis</w:t>
            </w:r>
          </w:p>
        </w:tc>
        <w:tc>
          <w:tcPr>
            <w:tcW w:w="0" w:type="auto"/>
            <w:shd w:val="clear" w:color="auto" w:fill="auto"/>
          </w:tcPr>
          <w:p w:rsidR="00726E6F" w:rsidRPr="0098559C" w:rsidRDefault="00726E6F" w:rsidP="00726E6F">
            <w:pPr>
              <w:pStyle w:val="Tabletext"/>
            </w:pPr>
            <w:r w:rsidRPr="0098559C">
              <w:t>Cost-utility analysis</w:t>
            </w:r>
          </w:p>
        </w:tc>
      </w:tr>
      <w:tr w:rsidR="002329BA" w:rsidRPr="008B348A" w:rsidTr="00F95041">
        <w:tc>
          <w:tcPr>
            <w:tcW w:w="0" w:type="auto"/>
            <w:shd w:val="clear" w:color="auto" w:fill="auto"/>
          </w:tcPr>
          <w:p w:rsidR="00726E6F" w:rsidRPr="008B348A" w:rsidRDefault="00726E6F" w:rsidP="00726E6F">
            <w:pPr>
              <w:pStyle w:val="Tabletext"/>
            </w:pPr>
            <w:r w:rsidRPr="008B348A">
              <w:t>Outcomes</w:t>
            </w:r>
          </w:p>
        </w:tc>
        <w:tc>
          <w:tcPr>
            <w:tcW w:w="0" w:type="auto"/>
            <w:shd w:val="clear" w:color="auto" w:fill="auto"/>
          </w:tcPr>
          <w:p w:rsidR="00726E6F" w:rsidRPr="0098559C" w:rsidRDefault="00726E6F" w:rsidP="00130E4A">
            <w:pPr>
              <w:pStyle w:val="Tabletext"/>
            </w:pPr>
            <w:r w:rsidRPr="0098559C">
              <w:t xml:space="preserve">QALYs. The submission also presented </w:t>
            </w:r>
            <w:r w:rsidR="00C25ED0" w:rsidRPr="0098559C">
              <w:t xml:space="preserve">disaggregated results for </w:t>
            </w:r>
            <w:r w:rsidRPr="0098559C">
              <w:t>number of HZ cases, PHN cases, HZ-related complications and HZ-related deaths.</w:t>
            </w:r>
          </w:p>
        </w:tc>
      </w:tr>
      <w:tr w:rsidR="002329BA" w:rsidRPr="008B348A" w:rsidTr="005048F5">
        <w:tc>
          <w:tcPr>
            <w:tcW w:w="0" w:type="auto"/>
            <w:shd w:val="clear" w:color="auto" w:fill="auto"/>
          </w:tcPr>
          <w:p w:rsidR="00275C5A" w:rsidRPr="008B348A" w:rsidRDefault="00275C5A" w:rsidP="005048F5">
            <w:pPr>
              <w:pStyle w:val="Tabletext"/>
            </w:pPr>
            <w:r w:rsidRPr="008B348A">
              <w:t>Time horizon</w:t>
            </w:r>
          </w:p>
        </w:tc>
        <w:tc>
          <w:tcPr>
            <w:tcW w:w="0" w:type="auto"/>
            <w:shd w:val="clear" w:color="auto" w:fill="auto"/>
            <w:vAlign w:val="center"/>
          </w:tcPr>
          <w:p w:rsidR="00275C5A" w:rsidRPr="0098559C" w:rsidRDefault="00726E6F" w:rsidP="00C6502B">
            <w:pPr>
              <w:pStyle w:val="Tabletext"/>
            </w:pPr>
            <w:r w:rsidRPr="0098559C">
              <w:t>The multi-cohort model simulate</w:t>
            </w:r>
            <w:r w:rsidR="00130E4A">
              <w:t>d</w:t>
            </w:r>
            <w:r w:rsidRPr="0098559C">
              <w:t xml:space="preserve"> the impact of HZ disease over the remaining life-time from the year of vaccination, with annual cycles. </w:t>
            </w:r>
            <w:r w:rsidR="00AB5CA0" w:rsidRPr="0098559C">
              <w:t>In comparison, the mean follow-up was 3.</w:t>
            </w:r>
            <w:r w:rsidR="00C6502B">
              <w:t>2</w:t>
            </w:r>
            <w:r w:rsidR="00AB5CA0" w:rsidRPr="0098559C">
              <w:t xml:space="preserve"> </w:t>
            </w:r>
            <w:r w:rsidR="005048F5" w:rsidRPr="0098559C">
              <w:t>and</w:t>
            </w:r>
            <w:r w:rsidR="00AB5CA0" w:rsidRPr="0098559C">
              <w:t xml:space="preserve"> 3.7 years in the ZOE-50 and ZOE-70 trial</w:t>
            </w:r>
            <w:r w:rsidR="008B5789" w:rsidRPr="0098559C">
              <w:t>s</w:t>
            </w:r>
            <w:r w:rsidR="005048F5" w:rsidRPr="0098559C">
              <w:t xml:space="preserve"> respectively</w:t>
            </w:r>
            <w:r w:rsidR="00AB5CA0" w:rsidRPr="0098559C">
              <w:t>. Th</w:t>
            </w:r>
            <w:r w:rsidR="005048F5" w:rsidRPr="0098559C">
              <w:t xml:space="preserve">is </w:t>
            </w:r>
            <w:r w:rsidR="00AB5CA0" w:rsidRPr="0098559C">
              <w:t>introduce</w:t>
            </w:r>
            <w:r w:rsidR="00130E4A">
              <w:t>d</w:t>
            </w:r>
            <w:r w:rsidR="00AB5CA0" w:rsidRPr="0098559C">
              <w:t xml:space="preserve"> uncertainty regarding waning in the longer term and the need for a booster dose, especially for </w:t>
            </w:r>
            <w:r w:rsidR="00A9431A" w:rsidRPr="0098559C">
              <w:t xml:space="preserve">individuals aged </w:t>
            </w:r>
            <w:r w:rsidR="00AB5CA0" w:rsidRPr="0098559C">
              <w:t>60 years.</w:t>
            </w:r>
          </w:p>
        </w:tc>
      </w:tr>
      <w:tr w:rsidR="002329BA" w:rsidRPr="008B348A" w:rsidTr="00F95041">
        <w:tc>
          <w:tcPr>
            <w:tcW w:w="0" w:type="auto"/>
            <w:shd w:val="clear" w:color="auto" w:fill="auto"/>
          </w:tcPr>
          <w:p w:rsidR="00726E6F" w:rsidRPr="008B348A" w:rsidRDefault="00726E6F" w:rsidP="00726E6F">
            <w:pPr>
              <w:pStyle w:val="Tabletext"/>
            </w:pPr>
            <w:r w:rsidRPr="008B348A">
              <w:t>Methods used to generate results</w:t>
            </w:r>
          </w:p>
        </w:tc>
        <w:tc>
          <w:tcPr>
            <w:tcW w:w="0" w:type="auto"/>
            <w:shd w:val="clear" w:color="auto" w:fill="auto"/>
          </w:tcPr>
          <w:p w:rsidR="00726E6F" w:rsidRPr="0098559C" w:rsidRDefault="00B72030" w:rsidP="00726E6F">
            <w:pPr>
              <w:pStyle w:val="Tabletext"/>
            </w:pPr>
            <w:r w:rsidRPr="0098559C">
              <w:t>Markov model.</w:t>
            </w:r>
          </w:p>
        </w:tc>
      </w:tr>
      <w:tr w:rsidR="002329BA" w:rsidRPr="008B348A" w:rsidTr="00F95041">
        <w:tc>
          <w:tcPr>
            <w:tcW w:w="0" w:type="auto"/>
            <w:shd w:val="clear" w:color="auto" w:fill="auto"/>
            <w:vAlign w:val="center"/>
          </w:tcPr>
          <w:p w:rsidR="00275C5A" w:rsidRPr="008B348A" w:rsidRDefault="00275C5A" w:rsidP="003D1DE4">
            <w:pPr>
              <w:pStyle w:val="Tabletext"/>
            </w:pPr>
            <w:r w:rsidRPr="008B348A">
              <w:t>Health states</w:t>
            </w:r>
          </w:p>
        </w:tc>
        <w:tc>
          <w:tcPr>
            <w:tcW w:w="0" w:type="auto"/>
            <w:shd w:val="clear" w:color="auto" w:fill="auto"/>
            <w:vAlign w:val="center"/>
          </w:tcPr>
          <w:p w:rsidR="006D5E55" w:rsidRPr="0098559C" w:rsidRDefault="007C1A9D" w:rsidP="00130E4A">
            <w:pPr>
              <w:pStyle w:val="Tabletext"/>
            </w:pPr>
            <w:r w:rsidRPr="0098559C">
              <w:t>No HZ</w:t>
            </w:r>
            <w:r w:rsidR="00130E4A">
              <w:t>;</w:t>
            </w:r>
            <w:r w:rsidRPr="0098559C">
              <w:t xml:space="preserve"> HZ</w:t>
            </w:r>
            <w:r w:rsidR="00130E4A">
              <w:t>;</w:t>
            </w:r>
            <w:r w:rsidRPr="0098559C">
              <w:t xml:space="preserve"> Natural death</w:t>
            </w:r>
            <w:r w:rsidR="00130E4A">
              <w:t>;</w:t>
            </w:r>
            <w:r w:rsidRPr="0098559C">
              <w:t xml:space="preserve"> HZ related deaths</w:t>
            </w:r>
            <w:r w:rsidR="00130E4A">
              <w:t>;</w:t>
            </w:r>
            <w:r w:rsidRPr="0098559C">
              <w:t xml:space="preserve"> </w:t>
            </w:r>
            <w:r w:rsidR="00130E4A">
              <w:t>R</w:t>
            </w:r>
            <w:r w:rsidRPr="0098559C">
              <w:t>ecover</w:t>
            </w:r>
            <w:r w:rsidR="00130E4A">
              <w:t>ed;</w:t>
            </w:r>
            <w:r w:rsidRPr="0098559C">
              <w:t xml:space="preserve"> </w:t>
            </w:r>
            <w:r w:rsidR="00130E4A">
              <w:t>and R</w:t>
            </w:r>
            <w:r w:rsidRPr="0098559C">
              <w:t xml:space="preserve">ecurrent HZ. </w:t>
            </w:r>
            <w:r w:rsidR="00130E4A">
              <w:br/>
            </w:r>
            <w:r w:rsidRPr="0098559C">
              <w:t xml:space="preserve">PHN and non-PHN complications (ocular, neurological, cutaneous, and other non-pain complications) </w:t>
            </w:r>
            <w:r w:rsidR="007E0C0D" w:rsidRPr="0098559C">
              <w:t>occur</w:t>
            </w:r>
            <w:r w:rsidR="007E0C0D">
              <w:t>red</w:t>
            </w:r>
            <w:r w:rsidRPr="0098559C">
              <w:t xml:space="preserve"> within a HZ episode.</w:t>
            </w:r>
          </w:p>
        </w:tc>
      </w:tr>
      <w:tr w:rsidR="002329BA" w:rsidRPr="008B348A" w:rsidTr="00F95041">
        <w:tc>
          <w:tcPr>
            <w:tcW w:w="0" w:type="auto"/>
            <w:shd w:val="clear" w:color="auto" w:fill="auto"/>
            <w:vAlign w:val="center"/>
          </w:tcPr>
          <w:p w:rsidR="00275C5A" w:rsidRPr="008B348A" w:rsidRDefault="00275C5A" w:rsidP="003D1DE4">
            <w:pPr>
              <w:pStyle w:val="Tabletext"/>
            </w:pPr>
            <w:r w:rsidRPr="008B348A">
              <w:t>Cycle length</w:t>
            </w:r>
          </w:p>
        </w:tc>
        <w:tc>
          <w:tcPr>
            <w:tcW w:w="0" w:type="auto"/>
            <w:shd w:val="clear" w:color="auto" w:fill="auto"/>
            <w:vAlign w:val="center"/>
          </w:tcPr>
          <w:p w:rsidR="00275C5A" w:rsidRPr="0098559C" w:rsidRDefault="00726E6F" w:rsidP="003D1DE4">
            <w:pPr>
              <w:pStyle w:val="Tabletext"/>
            </w:pPr>
            <w:r w:rsidRPr="0098559C">
              <w:t>One year</w:t>
            </w:r>
          </w:p>
        </w:tc>
      </w:tr>
      <w:tr w:rsidR="002329BA" w:rsidRPr="008B348A" w:rsidTr="00F95041">
        <w:tc>
          <w:tcPr>
            <w:tcW w:w="0" w:type="auto"/>
            <w:vMerge w:val="restart"/>
            <w:shd w:val="clear" w:color="auto" w:fill="auto"/>
          </w:tcPr>
          <w:p w:rsidR="00726E6F" w:rsidRPr="008B348A" w:rsidRDefault="00726E6F" w:rsidP="00726E6F">
            <w:pPr>
              <w:pStyle w:val="Tabletext"/>
            </w:pPr>
            <w:r w:rsidRPr="008B348A">
              <w:t>Transition probabilities</w:t>
            </w:r>
          </w:p>
        </w:tc>
        <w:tc>
          <w:tcPr>
            <w:tcW w:w="0" w:type="auto"/>
            <w:shd w:val="clear" w:color="auto" w:fill="auto"/>
          </w:tcPr>
          <w:p w:rsidR="00726E6F" w:rsidRPr="0098559C" w:rsidRDefault="00726E6F" w:rsidP="008B5789">
            <w:pPr>
              <w:pStyle w:val="Tabletext"/>
            </w:pPr>
            <w:r w:rsidRPr="0098559C">
              <w:t>Age specific all-cause mortality (ABS data)</w:t>
            </w:r>
            <w:r w:rsidR="00130E4A">
              <w:t>. This wa</w:t>
            </w:r>
            <w:r w:rsidR="00B72030" w:rsidRPr="0098559C">
              <w:t>s appropriate.</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726E6F" w:rsidRPr="0098559C" w:rsidRDefault="00726E6F" w:rsidP="00C6502B">
            <w:pPr>
              <w:pStyle w:val="Tabletext"/>
            </w:pPr>
            <w:r w:rsidRPr="0098559C">
              <w:t xml:space="preserve">Age specific annual incidence of HZ and PHN incidence as a proportion of HZ </w:t>
            </w:r>
            <w:r w:rsidR="0020472B">
              <w:t>was source from</w:t>
            </w:r>
            <w:r w:rsidRPr="0098559C">
              <w:t xml:space="preserve"> </w:t>
            </w:r>
            <w:proofErr w:type="spellStart"/>
            <w:r w:rsidRPr="0098559C">
              <w:rPr>
                <w:szCs w:val="20"/>
              </w:rPr>
              <w:t>Mac</w:t>
            </w:r>
            <w:r w:rsidR="00CC1BC3" w:rsidRPr="0098559C">
              <w:rPr>
                <w:szCs w:val="20"/>
              </w:rPr>
              <w:t>I</w:t>
            </w:r>
            <w:r w:rsidRPr="0098559C">
              <w:rPr>
                <w:szCs w:val="20"/>
              </w:rPr>
              <w:t>ntyre</w:t>
            </w:r>
            <w:proofErr w:type="spellEnd"/>
            <w:r w:rsidRPr="0098559C">
              <w:rPr>
                <w:szCs w:val="20"/>
              </w:rPr>
              <w:t xml:space="preserve"> et al. (2015)</w:t>
            </w:r>
            <w:r w:rsidR="0020472B">
              <w:rPr>
                <w:szCs w:val="20"/>
              </w:rPr>
              <w:t>,</w:t>
            </w:r>
            <w:r w:rsidRPr="0098559C">
              <w:rPr>
                <w:szCs w:val="20"/>
              </w:rPr>
              <w:t xml:space="preserve"> </w:t>
            </w:r>
            <w:r w:rsidR="0020472B">
              <w:rPr>
                <w:szCs w:val="20"/>
              </w:rPr>
              <w:t xml:space="preserve">which was </w:t>
            </w:r>
            <w:r w:rsidRPr="0098559C">
              <w:rPr>
                <w:szCs w:val="20"/>
              </w:rPr>
              <w:t>based on encounters recorded in the Bettering the Evaluation and Care of Health (BEACH) GP database between 2006-2013 (N</w:t>
            </w:r>
            <w:r w:rsidR="00744F50" w:rsidRPr="0098559C">
              <w:rPr>
                <w:szCs w:val="20"/>
              </w:rPr>
              <w:t xml:space="preserve"> </w:t>
            </w:r>
            <w:r w:rsidRPr="0098559C">
              <w:rPr>
                <w:szCs w:val="20"/>
              </w:rPr>
              <w:t>=</w:t>
            </w:r>
            <w:r w:rsidR="00744F50" w:rsidRPr="0098559C">
              <w:rPr>
                <w:szCs w:val="20"/>
              </w:rPr>
              <w:t xml:space="preserve"> </w:t>
            </w:r>
            <w:r w:rsidRPr="0098559C">
              <w:rPr>
                <w:szCs w:val="20"/>
              </w:rPr>
              <w:t>6,302 GPs and 630,200 GP-patient encounters</w:t>
            </w:r>
            <w:r w:rsidR="006002FF">
              <w:rPr>
                <w:szCs w:val="20"/>
              </w:rPr>
              <w:t>, resulting in 655 new cases of HZ managed at GP encounters and 93 new cases of PHN</w:t>
            </w:r>
            <w:r w:rsidRPr="0098559C">
              <w:rPr>
                <w:szCs w:val="20"/>
              </w:rPr>
              <w:t>).</w:t>
            </w:r>
            <w:r w:rsidR="00CB0B40" w:rsidRPr="0098559C">
              <w:rPr>
                <w:szCs w:val="20"/>
              </w:rPr>
              <w:t xml:space="preserve"> </w:t>
            </w:r>
            <w:r w:rsidR="00CB0B40" w:rsidRPr="0098559C">
              <w:t>The incidence of HZ and PHN were based on BEACH data rather than on the placebo arms of the ZOE trials as the</w:t>
            </w:r>
            <w:r w:rsidR="00CB0B40" w:rsidRPr="0098559C">
              <w:rPr>
                <w:szCs w:val="20"/>
              </w:rPr>
              <w:t xml:space="preserve"> submission concluded that the exclusion criteria of the trials meant the trial population was healthier than the general Australian population</w:t>
            </w:r>
            <w:r w:rsidR="00CB0B40" w:rsidRPr="0098559C">
              <w:t xml:space="preserve">. </w:t>
            </w:r>
            <w:r w:rsidRPr="0098559C">
              <w:rPr>
                <w:szCs w:val="20"/>
              </w:rPr>
              <w:t xml:space="preserve"> Th</w:t>
            </w:r>
            <w:r w:rsidR="007B0CA3" w:rsidRPr="0098559C">
              <w:rPr>
                <w:szCs w:val="20"/>
              </w:rPr>
              <w:t>e</w:t>
            </w:r>
            <w:r w:rsidRPr="0098559C">
              <w:rPr>
                <w:szCs w:val="20"/>
              </w:rPr>
              <w:t xml:space="preserve"> </w:t>
            </w:r>
            <w:r w:rsidR="007B0CA3" w:rsidRPr="0098559C">
              <w:rPr>
                <w:szCs w:val="20"/>
              </w:rPr>
              <w:t xml:space="preserve">ESC considered this </w:t>
            </w:r>
            <w:r w:rsidR="00AC51F3" w:rsidRPr="0098559C">
              <w:rPr>
                <w:szCs w:val="20"/>
              </w:rPr>
              <w:t xml:space="preserve">may </w:t>
            </w:r>
            <w:r w:rsidR="00B72FE3">
              <w:rPr>
                <w:szCs w:val="20"/>
              </w:rPr>
              <w:t>have been</w:t>
            </w:r>
            <w:r w:rsidRPr="0098559C">
              <w:rPr>
                <w:szCs w:val="20"/>
              </w:rPr>
              <w:t xml:space="preserve"> reasonable</w:t>
            </w:r>
            <w:r w:rsidR="007C1A9D" w:rsidRPr="0098559C">
              <w:rPr>
                <w:szCs w:val="20"/>
              </w:rPr>
              <w:t xml:space="preserve"> as it increase</w:t>
            </w:r>
            <w:r w:rsidR="007B0CA3" w:rsidRPr="0098559C">
              <w:rPr>
                <w:szCs w:val="20"/>
              </w:rPr>
              <w:t>d</w:t>
            </w:r>
            <w:r w:rsidR="007C1A9D" w:rsidRPr="0098559C">
              <w:rPr>
                <w:szCs w:val="20"/>
              </w:rPr>
              <w:t xml:space="preserve"> the applicability to the Australian context</w:t>
            </w:r>
            <w:r w:rsidRPr="0098559C">
              <w:rPr>
                <w:szCs w:val="20"/>
              </w:rPr>
              <w:t xml:space="preserve">, </w:t>
            </w:r>
            <w:r w:rsidR="007B0CA3" w:rsidRPr="0098559C">
              <w:rPr>
                <w:szCs w:val="20"/>
              </w:rPr>
              <w:t>was</w:t>
            </w:r>
            <w:r w:rsidR="008B5789" w:rsidRPr="0098559C">
              <w:rPr>
                <w:szCs w:val="20"/>
              </w:rPr>
              <w:t xml:space="preserve"> </w:t>
            </w:r>
            <w:r w:rsidRPr="0098559C">
              <w:rPr>
                <w:szCs w:val="20"/>
              </w:rPr>
              <w:t xml:space="preserve">consistent with ATAGI pre-submission advice and </w:t>
            </w:r>
            <w:r w:rsidR="007B0CA3" w:rsidRPr="0098559C">
              <w:rPr>
                <w:szCs w:val="20"/>
              </w:rPr>
              <w:t xml:space="preserve">was </w:t>
            </w:r>
            <w:r w:rsidR="00D72955" w:rsidRPr="0098559C">
              <w:rPr>
                <w:szCs w:val="20"/>
              </w:rPr>
              <w:t>consistent with</w:t>
            </w:r>
            <w:r w:rsidRPr="0098559C">
              <w:rPr>
                <w:szCs w:val="20"/>
              </w:rPr>
              <w:t xml:space="preserve"> the 2014 PBAC submission for the live-HZ vaccine</w:t>
            </w:r>
            <w:r w:rsidRPr="0098559C">
              <w:rPr>
                <w:rStyle w:val="FootnoteReference"/>
                <w:lang w:eastAsia="en-AU"/>
              </w:rPr>
              <w:footnoteReference w:id="2"/>
            </w:r>
            <w:r w:rsidR="00AC51F3" w:rsidRPr="0098559C">
              <w:rPr>
                <w:szCs w:val="20"/>
              </w:rPr>
              <w:t>.</w:t>
            </w:r>
            <w:r w:rsidR="007B0CA3" w:rsidRPr="0098559C">
              <w:rPr>
                <w:szCs w:val="20"/>
              </w:rPr>
              <w:t xml:space="preserve"> </w:t>
            </w:r>
            <w:r w:rsidR="00AC51F3" w:rsidRPr="0098559C">
              <w:rPr>
                <w:szCs w:val="20"/>
              </w:rPr>
              <w:t>However, it was noted that the sensitivity analyses that used the lower HZ rate observed in the placebo arms of the ZOE trials had a large effect on the ICER, and also that BEACH data has become less reliable over time, with lower participation rates</w:t>
            </w:r>
            <w:r w:rsidR="007B0CA3" w:rsidRPr="0098559C">
              <w:rPr>
                <w:szCs w:val="20"/>
              </w:rPr>
              <w:t>.</w:t>
            </w:r>
            <w:r w:rsidR="00AC51F3" w:rsidRPr="0098559C">
              <w:rPr>
                <w:szCs w:val="20"/>
              </w:rPr>
              <w:t xml:space="preserve"> </w:t>
            </w:r>
            <w:r w:rsidR="00CB0B40" w:rsidRPr="0098559C">
              <w:rPr>
                <w:szCs w:val="20"/>
              </w:rPr>
              <w:t xml:space="preserve">The ESC considered the exclusion of immunocompromised patients from the ZOE trials may not sufficiently explain the large discrepancy in the incidence of HZ and PHN in the BEACH data </w:t>
            </w:r>
            <w:r w:rsidR="00B72FE3">
              <w:rPr>
                <w:szCs w:val="20"/>
              </w:rPr>
              <w:t>compared to</w:t>
            </w:r>
            <w:r w:rsidR="00CB0B40" w:rsidRPr="0098559C">
              <w:rPr>
                <w:szCs w:val="20"/>
              </w:rPr>
              <w:t xml:space="preserve"> the ZOE trial data. The ESC considered a more reliable ICER may lie somewhere in between.</w:t>
            </w:r>
            <w:r w:rsidR="00F81403">
              <w:rPr>
                <w:szCs w:val="20"/>
              </w:rPr>
              <w:t xml:space="preserve"> The pre-PBAC Response reiterated that the BEACH data was the most valid source as it evaluated the impact of the vaccine on the Australian population.</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726E6F" w:rsidRPr="0098559C" w:rsidRDefault="00726E6F" w:rsidP="00B72FE3">
            <w:pPr>
              <w:pStyle w:val="Tabletext"/>
            </w:pPr>
            <w:r w:rsidRPr="0098559C">
              <w:t>Incidence of recurrent HZ and PHN was a</w:t>
            </w:r>
            <w:r w:rsidRPr="0098559C">
              <w:rPr>
                <w:szCs w:val="20"/>
              </w:rPr>
              <w:t xml:space="preserve">ssumed </w:t>
            </w:r>
            <w:r w:rsidR="0065077A" w:rsidRPr="0098559C">
              <w:rPr>
                <w:szCs w:val="20"/>
              </w:rPr>
              <w:t xml:space="preserve">to be the </w:t>
            </w:r>
            <w:r w:rsidRPr="0098559C">
              <w:rPr>
                <w:szCs w:val="20"/>
              </w:rPr>
              <w:t xml:space="preserve">same as HZ and PHN incidence based on </w:t>
            </w:r>
            <w:proofErr w:type="spellStart"/>
            <w:r w:rsidRPr="0098559C">
              <w:rPr>
                <w:szCs w:val="20"/>
              </w:rPr>
              <w:t>MacIntyre</w:t>
            </w:r>
            <w:proofErr w:type="spellEnd"/>
            <w:r w:rsidRPr="0098559C">
              <w:rPr>
                <w:szCs w:val="20"/>
              </w:rPr>
              <w:t xml:space="preserve"> et al (2015), supported by Yawn et al (2011) (N</w:t>
            </w:r>
            <w:r w:rsidR="00744F50" w:rsidRPr="0098559C">
              <w:rPr>
                <w:szCs w:val="20"/>
              </w:rPr>
              <w:t xml:space="preserve"> </w:t>
            </w:r>
            <w:r w:rsidRPr="0098559C">
              <w:rPr>
                <w:szCs w:val="20"/>
              </w:rPr>
              <w:t>=</w:t>
            </w:r>
            <w:r w:rsidR="00744F50" w:rsidRPr="0098559C">
              <w:rPr>
                <w:szCs w:val="20"/>
              </w:rPr>
              <w:t xml:space="preserve"> </w:t>
            </w:r>
            <w:r w:rsidRPr="0098559C">
              <w:rPr>
                <w:szCs w:val="20"/>
              </w:rPr>
              <w:t xml:space="preserve">1,669). </w:t>
            </w:r>
            <w:r w:rsidR="00B72FE3">
              <w:rPr>
                <w:szCs w:val="20"/>
              </w:rPr>
              <w:t xml:space="preserve">Although </w:t>
            </w:r>
            <w:r w:rsidRPr="0098559C">
              <w:rPr>
                <w:szCs w:val="20"/>
                <w:lang w:eastAsia="en-AU"/>
              </w:rPr>
              <w:t xml:space="preserve">Yawn et al (2011) estimated a recurrence rate lower than the incidence of HZ </w:t>
            </w:r>
            <w:r w:rsidR="00B72FE3">
              <w:rPr>
                <w:szCs w:val="20"/>
                <w:lang w:eastAsia="en-AU"/>
              </w:rPr>
              <w:t xml:space="preserve">estimated </w:t>
            </w:r>
            <w:r w:rsidRPr="0098559C">
              <w:rPr>
                <w:szCs w:val="20"/>
                <w:lang w:eastAsia="en-AU"/>
              </w:rPr>
              <w:t xml:space="preserve">by </w:t>
            </w:r>
            <w:proofErr w:type="spellStart"/>
            <w:r w:rsidRPr="0098559C">
              <w:rPr>
                <w:szCs w:val="20"/>
                <w:lang w:eastAsia="en-AU"/>
              </w:rPr>
              <w:t>MacIntyre</w:t>
            </w:r>
            <w:proofErr w:type="spellEnd"/>
            <w:r w:rsidRPr="0098559C">
              <w:rPr>
                <w:szCs w:val="20"/>
                <w:lang w:eastAsia="en-AU"/>
              </w:rPr>
              <w:t xml:space="preserve"> et al (2015)</w:t>
            </w:r>
            <w:r w:rsidR="00B72FE3">
              <w:rPr>
                <w:szCs w:val="20"/>
                <w:lang w:eastAsia="en-AU"/>
              </w:rPr>
              <w:t>, th</w:t>
            </w:r>
            <w:r w:rsidRPr="0098559C">
              <w:rPr>
                <w:szCs w:val="20"/>
                <w:lang w:eastAsia="en-AU"/>
              </w:rPr>
              <w:t xml:space="preserve">e rate reported by Yawn et al (2011) </w:t>
            </w:r>
            <w:r w:rsidR="00D66BCC" w:rsidRPr="0098559C">
              <w:rPr>
                <w:szCs w:val="20"/>
                <w:lang w:eastAsia="en-AU"/>
              </w:rPr>
              <w:t>was</w:t>
            </w:r>
            <w:r w:rsidRPr="0098559C">
              <w:rPr>
                <w:szCs w:val="20"/>
                <w:lang w:eastAsia="en-AU"/>
              </w:rPr>
              <w:t xml:space="preserve"> generally higher than the recurrence rate reported by other published studies. Thus, the recurrence rate applied in the model may </w:t>
            </w:r>
            <w:r w:rsidR="00B72FE3">
              <w:rPr>
                <w:szCs w:val="20"/>
                <w:lang w:eastAsia="en-AU"/>
              </w:rPr>
              <w:t>have been</w:t>
            </w:r>
            <w:r w:rsidRPr="0098559C">
              <w:rPr>
                <w:szCs w:val="20"/>
                <w:lang w:eastAsia="en-AU"/>
              </w:rPr>
              <w:t xml:space="preserve"> overestimated. The </w:t>
            </w:r>
            <w:r w:rsidR="007B0CA3" w:rsidRPr="0098559C">
              <w:rPr>
                <w:szCs w:val="20"/>
                <w:lang w:eastAsia="en-AU"/>
              </w:rPr>
              <w:t xml:space="preserve">ESC noted that the </w:t>
            </w:r>
            <w:r w:rsidR="00F83275" w:rsidRPr="0098559C">
              <w:rPr>
                <w:szCs w:val="20"/>
                <w:lang w:eastAsia="en-AU"/>
              </w:rPr>
              <w:t>ICER</w:t>
            </w:r>
            <w:r w:rsidRPr="0098559C">
              <w:rPr>
                <w:szCs w:val="20"/>
                <w:lang w:eastAsia="en-AU"/>
              </w:rPr>
              <w:t xml:space="preserve"> </w:t>
            </w:r>
            <w:r w:rsidR="00FA07C5" w:rsidRPr="0098559C">
              <w:rPr>
                <w:szCs w:val="20"/>
                <w:lang w:eastAsia="en-AU"/>
              </w:rPr>
              <w:t>was</w:t>
            </w:r>
            <w:r w:rsidRPr="0098559C">
              <w:rPr>
                <w:szCs w:val="20"/>
                <w:lang w:eastAsia="en-AU"/>
              </w:rPr>
              <w:t xml:space="preserve"> sensitive to this estimate and </w:t>
            </w:r>
            <w:r w:rsidR="00B72FE3">
              <w:rPr>
                <w:szCs w:val="20"/>
                <w:lang w:eastAsia="en-AU"/>
              </w:rPr>
              <w:t xml:space="preserve">that </w:t>
            </w:r>
            <w:r w:rsidRPr="0098559C">
              <w:rPr>
                <w:szCs w:val="20"/>
                <w:lang w:eastAsia="en-AU"/>
              </w:rPr>
              <w:t>the approach favour</w:t>
            </w:r>
            <w:r w:rsidR="005048F5" w:rsidRPr="0098559C">
              <w:rPr>
                <w:szCs w:val="20"/>
                <w:lang w:eastAsia="en-AU"/>
              </w:rPr>
              <w:t>ed</w:t>
            </w:r>
            <w:r w:rsidRPr="0098559C">
              <w:rPr>
                <w:szCs w:val="20"/>
                <w:lang w:eastAsia="en-AU"/>
              </w:rPr>
              <w:t xml:space="preserve"> the HZ/</w:t>
            </w:r>
            <w:proofErr w:type="spellStart"/>
            <w:r w:rsidRPr="0098559C">
              <w:rPr>
                <w:szCs w:val="20"/>
                <w:lang w:eastAsia="en-AU"/>
              </w:rPr>
              <w:t>su</w:t>
            </w:r>
            <w:proofErr w:type="spellEnd"/>
            <w:r w:rsidRPr="0098559C">
              <w:rPr>
                <w:szCs w:val="20"/>
                <w:lang w:eastAsia="en-AU"/>
              </w:rPr>
              <w:t xml:space="preserve"> vaccine.</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726E6F" w:rsidRPr="0098559C" w:rsidRDefault="00726E6F" w:rsidP="00B72FE3">
            <w:pPr>
              <w:pStyle w:val="Tabletext"/>
            </w:pPr>
            <w:r w:rsidRPr="0098559C">
              <w:rPr>
                <w:szCs w:val="20"/>
              </w:rPr>
              <w:t xml:space="preserve">HZ-related fatality </w:t>
            </w:r>
            <w:r w:rsidR="00B72FE3">
              <w:rPr>
                <w:szCs w:val="20"/>
              </w:rPr>
              <w:t>was source</w:t>
            </w:r>
            <w:r w:rsidR="00D13043">
              <w:rPr>
                <w:szCs w:val="20"/>
              </w:rPr>
              <w:t>d</w:t>
            </w:r>
            <w:r w:rsidR="00B72FE3">
              <w:rPr>
                <w:szCs w:val="20"/>
              </w:rPr>
              <w:t xml:space="preserve"> from</w:t>
            </w:r>
            <w:r w:rsidRPr="0098559C">
              <w:rPr>
                <w:szCs w:val="20"/>
              </w:rPr>
              <w:t xml:space="preserve"> Le and Rothberg (2015), </w:t>
            </w:r>
            <w:r w:rsidR="00D13043">
              <w:rPr>
                <w:szCs w:val="20"/>
              </w:rPr>
              <w:t xml:space="preserve">and </w:t>
            </w:r>
            <w:r w:rsidRPr="0098559C">
              <w:rPr>
                <w:szCs w:val="20"/>
              </w:rPr>
              <w:t xml:space="preserve">based on </w:t>
            </w:r>
            <w:proofErr w:type="spellStart"/>
            <w:r w:rsidRPr="0098559C">
              <w:rPr>
                <w:szCs w:val="20"/>
              </w:rPr>
              <w:t>Centers</w:t>
            </w:r>
            <w:proofErr w:type="spellEnd"/>
            <w:r w:rsidRPr="0098559C">
              <w:rPr>
                <w:szCs w:val="20"/>
              </w:rPr>
              <w:t xml:space="preserve"> for Disease Control and Prevention (CDC) WONDER mortality data from 1999 to 2012. </w:t>
            </w:r>
            <w:r w:rsidRPr="0098559C">
              <w:rPr>
                <w:lang w:eastAsia="en-AU"/>
              </w:rPr>
              <w:t xml:space="preserve">The application of US </w:t>
            </w:r>
            <w:r w:rsidR="00B72FE3">
              <w:rPr>
                <w:lang w:eastAsia="en-AU"/>
              </w:rPr>
              <w:t>data to the Australian context wa</w:t>
            </w:r>
            <w:r w:rsidRPr="0098559C">
              <w:rPr>
                <w:lang w:eastAsia="en-AU"/>
              </w:rPr>
              <w:t>s uncertain.</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726E6F" w:rsidRPr="0098559C" w:rsidRDefault="00E83DC9" w:rsidP="00B72FE3">
            <w:pPr>
              <w:pStyle w:val="Tabletext"/>
            </w:pPr>
            <w:r w:rsidRPr="0098559C">
              <w:rPr>
                <w:szCs w:val="20"/>
              </w:rPr>
              <w:t>Probability</w:t>
            </w:r>
            <w:r w:rsidR="00726E6F" w:rsidRPr="0098559C">
              <w:rPr>
                <w:szCs w:val="20"/>
              </w:rPr>
              <w:t xml:space="preserve"> of non-PHN complications (zoster </w:t>
            </w:r>
            <w:proofErr w:type="spellStart"/>
            <w:r w:rsidR="00726E6F" w:rsidRPr="0098559C">
              <w:rPr>
                <w:szCs w:val="20"/>
              </w:rPr>
              <w:t>ophthalmicus</w:t>
            </w:r>
            <w:proofErr w:type="spellEnd"/>
            <w:r w:rsidR="00726E6F" w:rsidRPr="0098559C">
              <w:rPr>
                <w:szCs w:val="20"/>
              </w:rPr>
              <w:t xml:space="preserve">, neurological </w:t>
            </w:r>
            <w:r w:rsidRPr="0098559C">
              <w:rPr>
                <w:szCs w:val="20"/>
              </w:rPr>
              <w:t>complications</w:t>
            </w:r>
            <w:r w:rsidR="00726E6F" w:rsidRPr="0098559C">
              <w:rPr>
                <w:szCs w:val="20"/>
              </w:rPr>
              <w:t xml:space="preserve">, cutaneous, other non-pain) </w:t>
            </w:r>
            <w:r w:rsidR="00B72FE3">
              <w:rPr>
                <w:szCs w:val="20"/>
              </w:rPr>
              <w:t xml:space="preserve">was sourced from </w:t>
            </w:r>
            <w:r w:rsidR="00726E6F" w:rsidRPr="0098559C">
              <w:rPr>
                <w:szCs w:val="20"/>
              </w:rPr>
              <w:t xml:space="preserve">Yawn et al </w:t>
            </w:r>
            <w:r w:rsidR="0017058A" w:rsidRPr="0098559C">
              <w:rPr>
                <w:szCs w:val="20"/>
              </w:rPr>
              <w:t>(</w:t>
            </w:r>
            <w:r w:rsidR="00726E6F" w:rsidRPr="0098559C">
              <w:rPr>
                <w:szCs w:val="20"/>
              </w:rPr>
              <w:t>2007</w:t>
            </w:r>
            <w:r w:rsidR="0017058A" w:rsidRPr="0098559C">
              <w:rPr>
                <w:szCs w:val="20"/>
              </w:rPr>
              <w:t>)</w:t>
            </w:r>
            <w:r w:rsidR="00726E6F" w:rsidRPr="0098559C">
              <w:rPr>
                <w:szCs w:val="20"/>
              </w:rPr>
              <w:t xml:space="preserve">, </w:t>
            </w:r>
            <w:r w:rsidR="00D13043">
              <w:rPr>
                <w:szCs w:val="20"/>
              </w:rPr>
              <w:t xml:space="preserve">and </w:t>
            </w:r>
            <w:r w:rsidR="00726E6F" w:rsidRPr="0098559C">
              <w:rPr>
                <w:szCs w:val="20"/>
              </w:rPr>
              <w:t>based on a population-based US study (N</w:t>
            </w:r>
            <w:r w:rsidR="00744F50" w:rsidRPr="0098559C">
              <w:rPr>
                <w:szCs w:val="20"/>
              </w:rPr>
              <w:t xml:space="preserve"> </w:t>
            </w:r>
            <w:r w:rsidR="00726E6F" w:rsidRPr="0098559C">
              <w:rPr>
                <w:szCs w:val="20"/>
              </w:rPr>
              <w:t>=</w:t>
            </w:r>
            <w:r w:rsidR="00744F50" w:rsidRPr="0098559C">
              <w:rPr>
                <w:szCs w:val="20"/>
              </w:rPr>
              <w:t xml:space="preserve"> </w:t>
            </w:r>
            <w:r w:rsidR="00726E6F" w:rsidRPr="0098559C">
              <w:rPr>
                <w:szCs w:val="20"/>
              </w:rPr>
              <w:t xml:space="preserve">1,669). </w:t>
            </w:r>
            <w:r w:rsidR="00D13043">
              <w:rPr>
                <w:szCs w:val="20"/>
                <w:lang w:eastAsia="en-AU"/>
              </w:rPr>
              <w:t>This wa</w:t>
            </w:r>
            <w:r w:rsidR="00726E6F" w:rsidRPr="0098559C">
              <w:rPr>
                <w:szCs w:val="20"/>
                <w:lang w:eastAsia="en-AU"/>
              </w:rPr>
              <w:t xml:space="preserve">s reasonable, given </w:t>
            </w:r>
            <w:r w:rsidR="00D13043">
              <w:rPr>
                <w:szCs w:val="20"/>
                <w:lang w:eastAsia="en-AU"/>
              </w:rPr>
              <w:t>that available Australian data wa</w:t>
            </w:r>
            <w:r w:rsidR="00726E6F" w:rsidRPr="0098559C">
              <w:rPr>
                <w:szCs w:val="20"/>
                <w:lang w:eastAsia="en-AU"/>
              </w:rPr>
              <w:t>s for hospitali</w:t>
            </w:r>
            <w:r w:rsidR="0065077A" w:rsidRPr="0098559C">
              <w:rPr>
                <w:szCs w:val="20"/>
                <w:lang w:eastAsia="en-AU"/>
              </w:rPr>
              <w:t>s</w:t>
            </w:r>
            <w:r w:rsidR="00726E6F" w:rsidRPr="0098559C">
              <w:rPr>
                <w:szCs w:val="20"/>
                <w:lang w:eastAsia="en-AU"/>
              </w:rPr>
              <w:t>ed cases only.</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E83DC9" w:rsidRPr="0098559C" w:rsidRDefault="00726E6F" w:rsidP="00B72030">
            <w:pPr>
              <w:pStyle w:val="Tabletext"/>
              <w:rPr>
                <w:szCs w:val="20"/>
              </w:rPr>
            </w:pPr>
            <w:r w:rsidRPr="0098559C">
              <w:rPr>
                <w:szCs w:val="20"/>
              </w:rPr>
              <w:t xml:space="preserve">Trial-based </w:t>
            </w:r>
            <w:r w:rsidR="00E83DC9" w:rsidRPr="0098559C">
              <w:rPr>
                <w:szCs w:val="20"/>
              </w:rPr>
              <w:t>VE</w:t>
            </w:r>
            <w:r w:rsidRPr="0098559C">
              <w:rPr>
                <w:szCs w:val="20"/>
                <w:vertAlign w:val="subscript"/>
              </w:rPr>
              <w:t>HZ</w:t>
            </w:r>
            <w:r w:rsidR="007C1A9D" w:rsidRPr="0098559C">
              <w:rPr>
                <w:szCs w:val="20"/>
              </w:rPr>
              <w:t xml:space="preserve">: </w:t>
            </w:r>
            <w:r w:rsidRPr="0098559C">
              <w:rPr>
                <w:szCs w:val="20"/>
              </w:rPr>
              <w:t>HZ/</w:t>
            </w:r>
            <w:proofErr w:type="spellStart"/>
            <w:r w:rsidRPr="0098559C">
              <w:rPr>
                <w:szCs w:val="20"/>
              </w:rPr>
              <w:t>su</w:t>
            </w:r>
            <w:proofErr w:type="spellEnd"/>
            <w:r w:rsidRPr="0098559C">
              <w:rPr>
                <w:szCs w:val="20"/>
              </w:rPr>
              <w:t xml:space="preserve"> vaccine (ZOE-50 and ZOE-70); live-HZ vaccine (SPS). </w:t>
            </w:r>
          </w:p>
          <w:p w:rsidR="00E83DC9" w:rsidRPr="0098559C" w:rsidRDefault="00E83DC9" w:rsidP="00B72030">
            <w:pPr>
              <w:pStyle w:val="Tabletext"/>
              <w:rPr>
                <w:szCs w:val="20"/>
              </w:rPr>
            </w:pPr>
          </w:p>
          <w:p w:rsidR="005F09CE" w:rsidRPr="0098559C" w:rsidRDefault="00B72030" w:rsidP="00F83275">
            <w:pPr>
              <w:pStyle w:val="Tabletext"/>
              <w:rPr>
                <w:szCs w:val="20"/>
                <w:lang w:eastAsia="en-AU"/>
              </w:rPr>
            </w:pPr>
            <w:r w:rsidRPr="0098559C">
              <w:rPr>
                <w:szCs w:val="20"/>
              </w:rPr>
              <w:t xml:space="preserve">The submission </w:t>
            </w:r>
            <w:r w:rsidR="00417585" w:rsidRPr="0098559C">
              <w:rPr>
                <w:szCs w:val="20"/>
              </w:rPr>
              <w:t xml:space="preserve">assumed </w:t>
            </w:r>
            <w:r w:rsidRPr="0098559C">
              <w:rPr>
                <w:szCs w:val="20"/>
              </w:rPr>
              <w:t xml:space="preserve">that </w:t>
            </w:r>
            <w:r w:rsidR="005243BA" w:rsidRPr="0098559C">
              <w:rPr>
                <w:szCs w:val="20"/>
              </w:rPr>
              <w:t>VE</w:t>
            </w:r>
            <w:r w:rsidR="005243BA" w:rsidRPr="0098559C">
              <w:rPr>
                <w:szCs w:val="20"/>
                <w:vertAlign w:val="subscript"/>
              </w:rPr>
              <w:t>HZ</w:t>
            </w:r>
            <w:r w:rsidR="005243BA" w:rsidRPr="0098559C" w:rsidDel="005243BA">
              <w:rPr>
                <w:szCs w:val="20"/>
              </w:rPr>
              <w:t xml:space="preserve"> </w:t>
            </w:r>
            <w:r w:rsidRPr="0098559C">
              <w:rPr>
                <w:szCs w:val="20"/>
              </w:rPr>
              <w:t>at Year 0</w:t>
            </w:r>
            <w:r w:rsidR="005243BA" w:rsidRPr="0098559C">
              <w:rPr>
                <w:szCs w:val="20"/>
              </w:rPr>
              <w:t xml:space="preserve"> </w:t>
            </w:r>
            <w:r w:rsidRPr="0098559C">
              <w:rPr>
                <w:szCs w:val="20"/>
              </w:rPr>
              <w:t xml:space="preserve">was based on the intercept </w:t>
            </w:r>
            <w:r w:rsidR="00417585" w:rsidRPr="0098559C">
              <w:rPr>
                <w:szCs w:val="20"/>
              </w:rPr>
              <w:t xml:space="preserve">from a </w:t>
            </w:r>
            <w:r w:rsidRPr="0098559C">
              <w:rPr>
                <w:szCs w:val="20"/>
              </w:rPr>
              <w:t xml:space="preserve">linear model used to </w:t>
            </w:r>
            <w:r w:rsidR="00417585" w:rsidRPr="0098559C">
              <w:rPr>
                <w:szCs w:val="20"/>
              </w:rPr>
              <w:t xml:space="preserve">characterise </w:t>
            </w:r>
            <w:r w:rsidRPr="0098559C">
              <w:rPr>
                <w:szCs w:val="20"/>
              </w:rPr>
              <w:t>waning</w:t>
            </w:r>
            <w:r w:rsidR="00417585" w:rsidRPr="0098559C">
              <w:rPr>
                <w:szCs w:val="20"/>
              </w:rPr>
              <w:t xml:space="preserve"> over four years</w:t>
            </w:r>
            <w:r w:rsidRPr="0098559C">
              <w:rPr>
                <w:szCs w:val="20"/>
              </w:rPr>
              <w:t xml:space="preserve">. The approach </w:t>
            </w:r>
            <w:r w:rsidR="00417585" w:rsidRPr="0098559C">
              <w:rPr>
                <w:szCs w:val="20"/>
              </w:rPr>
              <w:t xml:space="preserve">likely </w:t>
            </w:r>
            <w:r w:rsidRPr="0098559C">
              <w:rPr>
                <w:szCs w:val="20"/>
              </w:rPr>
              <w:t>overestimate</w:t>
            </w:r>
            <w:r w:rsidR="00417585" w:rsidRPr="0098559C">
              <w:rPr>
                <w:szCs w:val="20"/>
              </w:rPr>
              <w:t>d</w:t>
            </w:r>
            <w:r w:rsidRPr="0098559C">
              <w:rPr>
                <w:szCs w:val="20"/>
              </w:rPr>
              <w:t xml:space="preserve"> efficacy in th</w:t>
            </w:r>
            <w:r w:rsidR="00417585" w:rsidRPr="0098559C">
              <w:rPr>
                <w:szCs w:val="20"/>
              </w:rPr>
              <w:t xml:space="preserve">ose aged 80 years and </w:t>
            </w:r>
            <w:r w:rsidR="00417585" w:rsidRPr="0098559C">
              <w:rPr>
                <w:szCs w:val="20"/>
              </w:rPr>
              <w:lastRenderedPageBreak/>
              <w:t>over</w:t>
            </w:r>
            <w:r w:rsidRPr="0098559C">
              <w:rPr>
                <w:szCs w:val="20"/>
              </w:rPr>
              <w:t>.</w:t>
            </w:r>
            <w:r w:rsidR="00F83275" w:rsidRPr="0098559C">
              <w:rPr>
                <w:szCs w:val="20"/>
              </w:rPr>
              <w:t xml:space="preserve"> </w:t>
            </w:r>
            <w:r w:rsidR="00F83275" w:rsidRPr="0098559C">
              <w:rPr>
                <w:szCs w:val="20"/>
                <w:lang w:eastAsia="en-AU"/>
              </w:rPr>
              <w:t xml:space="preserve">The ICER </w:t>
            </w:r>
            <w:r w:rsidR="00FA07C5" w:rsidRPr="0098559C">
              <w:rPr>
                <w:szCs w:val="20"/>
                <w:lang w:eastAsia="en-AU"/>
              </w:rPr>
              <w:t>was</w:t>
            </w:r>
            <w:r w:rsidR="00F83275" w:rsidRPr="0098559C">
              <w:rPr>
                <w:szCs w:val="20"/>
                <w:lang w:eastAsia="en-AU"/>
              </w:rPr>
              <w:t xml:space="preserve"> sensitive to waning, especially </w:t>
            </w:r>
            <w:r w:rsidR="00F86A99" w:rsidRPr="0098559C">
              <w:rPr>
                <w:szCs w:val="20"/>
                <w:lang w:eastAsia="en-AU"/>
              </w:rPr>
              <w:t xml:space="preserve">the rate applied </w:t>
            </w:r>
            <w:r w:rsidR="00D7582A" w:rsidRPr="0098559C">
              <w:rPr>
                <w:szCs w:val="20"/>
                <w:lang w:eastAsia="en-AU"/>
              </w:rPr>
              <w:t xml:space="preserve">when the </w:t>
            </w:r>
            <w:r w:rsidR="00763E84">
              <w:rPr>
                <w:szCs w:val="20"/>
                <w:lang w:eastAsia="en-AU"/>
              </w:rPr>
              <w:t>individual</w:t>
            </w:r>
            <w:r w:rsidR="00D7582A" w:rsidRPr="0098559C">
              <w:rPr>
                <w:szCs w:val="20"/>
                <w:lang w:eastAsia="en-AU"/>
              </w:rPr>
              <w:t xml:space="preserve"> reaches</w:t>
            </w:r>
            <w:r w:rsidR="00F83275" w:rsidRPr="0098559C">
              <w:rPr>
                <w:szCs w:val="20"/>
                <w:lang w:eastAsia="en-AU"/>
              </w:rPr>
              <w:t xml:space="preserve"> 70 year</w:t>
            </w:r>
            <w:r w:rsidR="00D7582A" w:rsidRPr="0098559C">
              <w:rPr>
                <w:szCs w:val="20"/>
                <w:lang w:eastAsia="en-AU"/>
              </w:rPr>
              <w:t>s</w:t>
            </w:r>
            <w:r w:rsidR="005048F5" w:rsidRPr="0098559C">
              <w:rPr>
                <w:szCs w:val="20"/>
                <w:lang w:eastAsia="en-AU"/>
              </w:rPr>
              <w:t>, which remained uniform (3.6%) from this point</w:t>
            </w:r>
            <w:r w:rsidR="00F83275" w:rsidRPr="0098559C">
              <w:rPr>
                <w:szCs w:val="20"/>
                <w:lang w:eastAsia="en-AU"/>
              </w:rPr>
              <w:t xml:space="preserve">. The extent </w:t>
            </w:r>
            <w:r w:rsidR="00D13043">
              <w:rPr>
                <w:szCs w:val="20"/>
                <w:lang w:eastAsia="en-AU"/>
              </w:rPr>
              <w:t xml:space="preserve">to which </w:t>
            </w:r>
            <w:r w:rsidR="00F83275" w:rsidRPr="0098559C">
              <w:rPr>
                <w:szCs w:val="20"/>
                <w:lang w:eastAsia="en-AU"/>
              </w:rPr>
              <w:t xml:space="preserve">the results </w:t>
            </w:r>
            <w:r w:rsidR="00D13043">
              <w:rPr>
                <w:szCs w:val="20"/>
                <w:lang w:eastAsia="en-AU"/>
              </w:rPr>
              <w:t>we</w:t>
            </w:r>
            <w:r w:rsidR="00F83275" w:rsidRPr="0098559C">
              <w:rPr>
                <w:szCs w:val="20"/>
                <w:lang w:eastAsia="en-AU"/>
              </w:rPr>
              <w:t>re sensitive to the initial</w:t>
            </w:r>
            <w:r w:rsidR="00D13043">
              <w:rPr>
                <w:szCs w:val="20"/>
                <w:lang w:eastAsia="en-AU"/>
              </w:rPr>
              <w:t xml:space="preserve"> estimates of vaccine efficacy wa</w:t>
            </w:r>
            <w:r w:rsidR="00F83275" w:rsidRPr="0098559C">
              <w:rPr>
                <w:szCs w:val="20"/>
                <w:lang w:eastAsia="en-AU"/>
              </w:rPr>
              <w:t>s unknown.</w:t>
            </w:r>
            <w:r w:rsidR="00417585" w:rsidRPr="0098559C">
              <w:rPr>
                <w:szCs w:val="20"/>
                <w:lang w:eastAsia="en-AU"/>
              </w:rPr>
              <w:t xml:space="preserve"> </w:t>
            </w:r>
          </w:p>
          <w:p w:rsidR="00B72030" w:rsidRPr="0098559C" w:rsidRDefault="00B72030" w:rsidP="00B72030">
            <w:pPr>
              <w:pStyle w:val="Tabletext"/>
              <w:rPr>
                <w:szCs w:val="20"/>
              </w:rPr>
            </w:pPr>
          </w:p>
          <w:p w:rsidR="00726E6F" w:rsidRPr="0098559C" w:rsidRDefault="00B72030" w:rsidP="00B72030">
            <w:pPr>
              <w:pStyle w:val="Tabletext"/>
              <w:rPr>
                <w:szCs w:val="20"/>
              </w:rPr>
            </w:pPr>
            <w:r w:rsidRPr="0098559C">
              <w:rPr>
                <w:szCs w:val="20"/>
              </w:rPr>
              <w:t>It was assumed that VE</w:t>
            </w:r>
            <w:r w:rsidRPr="0098559C">
              <w:rPr>
                <w:szCs w:val="20"/>
                <w:vertAlign w:val="subscript"/>
              </w:rPr>
              <w:t>PHN</w:t>
            </w:r>
            <w:r w:rsidRPr="0098559C">
              <w:rPr>
                <w:szCs w:val="20"/>
              </w:rPr>
              <w:t xml:space="preserve"> = VE</w:t>
            </w:r>
            <w:r w:rsidRPr="0098559C">
              <w:rPr>
                <w:szCs w:val="20"/>
                <w:vertAlign w:val="subscript"/>
              </w:rPr>
              <w:t>HZ</w:t>
            </w:r>
            <w:r w:rsidR="00F867B5" w:rsidRPr="0098559C">
              <w:rPr>
                <w:szCs w:val="20"/>
                <w:vertAlign w:val="subscript"/>
              </w:rPr>
              <w:t xml:space="preserve"> </w:t>
            </w:r>
            <w:r w:rsidR="00F867B5" w:rsidRPr="0098559C">
              <w:rPr>
                <w:szCs w:val="20"/>
              </w:rPr>
              <w:t>for all time periods</w:t>
            </w:r>
            <w:r w:rsidR="00D13043">
              <w:rPr>
                <w:szCs w:val="20"/>
              </w:rPr>
              <w:t xml:space="preserve">. </w:t>
            </w:r>
            <w:r w:rsidR="000F10AA">
              <w:rPr>
                <w:szCs w:val="20"/>
              </w:rPr>
              <w:t>The evaluator considered that t</w:t>
            </w:r>
            <w:r w:rsidR="00D13043">
              <w:rPr>
                <w:szCs w:val="20"/>
              </w:rPr>
              <w:t>his was not justified and wa</w:t>
            </w:r>
            <w:r w:rsidRPr="0098559C">
              <w:rPr>
                <w:szCs w:val="20"/>
              </w:rPr>
              <w:t>s not appropriate, especially for the older age groups.</w:t>
            </w:r>
          </w:p>
          <w:p w:rsidR="00F83275" w:rsidRPr="0098559C" w:rsidRDefault="00F83275" w:rsidP="00B72030">
            <w:pPr>
              <w:pStyle w:val="Tabletext"/>
              <w:rPr>
                <w:szCs w:val="20"/>
              </w:rPr>
            </w:pPr>
          </w:p>
          <w:p w:rsidR="00837B29" w:rsidRPr="0098559C" w:rsidRDefault="00B71948" w:rsidP="00B71948">
            <w:pPr>
              <w:pStyle w:val="Tabletext"/>
            </w:pPr>
            <w:r w:rsidRPr="0098559C">
              <w:t>It was assumed that VE</w:t>
            </w:r>
            <w:r w:rsidRPr="0098559C">
              <w:rPr>
                <w:vertAlign w:val="subscript"/>
              </w:rPr>
              <w:t>HZ</w:t>
            </w:r>
            <w:r w:rsidRPr="0098559C">
              <w:t xml:space="preserve"> </w:t>
            </w:r>
            <w:r w:rsidR="00F867B5" w:rsidRPr="0098559C">
              <w:t>(</w:t>
            </w:r>
            <w:r w:rsidRPr="0098559C">
              <w:t xml:space="preserve">and </w:t>
            </w:r>
            <w:r w:rsidR="00F867B5" w:rsidRPr="0098559C">
              <w:t xml:space="preserve">thus </w:t>
            </w:r>
            <w:r w:rsidRPr="0098559C">
              <w:t>VE</w:t>
            </w:r>
            <w:r w:rsidRPr="0098559C">
              <w:rPr>
                <w:vertAlign w:val="subscript"/>
              </w:rPr>
              <w:t>PHN</w:t>
            </w:r>
            <w:r w:rsidR="00F867B5" w:rsidRPr="0098559C">
              <w:t>)</w:t>
            </w:r>
            <w:r w:rsidRPr="0098559C">
              <w:t xml:space="preserve"> following one dose of the HZ/</w:t>
            </w:r>
            <w:proofErr w:type="spellStart"/>
            <w:r w:rsidRPr="0098559C">
              <w:t>su</w:t>
            </w:r>
            <w:proofErr w:type="spellEnd"/>
            <w:r w:rsidRPr="0098559C">
              <w:t xml:space="preserve"> vaccine wane</w:t>
            </w:r>
            <w:r w:rsidR="00D13043">
              <w:t>d</w:t>
            </w:r>
            <w:r w:rsidRPr="0098559C">
              <w:t xml:space="preserve"> at the same rat</w:t>
            </w:r>
            <w:r w:rsidR="00D13043">
              <w:t>e as the live-HZ vaccine. This wa</w:t>
            </w:r>
            <w:r w:rsidRPr="0098559C">
              <w:t>s uncertain.</w:t>
            </w:r>
          </w:p>
          <w:p w:rsidR="00837B29" w:rsidRPr="0098559C" w:rsidRDefault="00837B29" w:rsidP="00837B29">
            <w:pPr>
              <w:pStyle w:val="Tabletext"/>
              <w:rPr>
                <w:szCs w:val="20"/>
                <w:lang w:eastAsia="en-AU"/>
              </w:rPr>
            </w:pPr>
          </w:p>
          <w:p w:rsidR="005243BA" w:rsidRPr="0098559C" w:rsidRDefault="005243BA" w:rsidP="00837B29">
            <w:pPr>
              <w:pStyle w:val="Tabletext"/>
              <w:rPr>
                <w:szCs w:val="20"/>
                <w:lang w:eastAsia="en-AU"/>
              </w:rPr>
            </w:pPr>
            <w:r w:rsidRPr="0098559C">
              <w:rPr>
                <w:szCs w:val="20"/>
                <w:lang w:eastAsia="en-AU"/>
              </w:rPr>
              <w:t>VE</w:t>
            </w:r>
            <w:r w:rsidRPr="0098559C">
              <w:rPr>
                <w:szCs w:val="20"/>
                <w:vertAlign w:val="subscript"/>
                <w:lang w:eastAsia="en-AU"/>
              </w:rPr>
              <w:t>HZ</w:t>
            </w:r>
            <w:r w:rsidRPr="0098559C">
              <w:rPr>
                <w:szCs w:val="20"/>
                <w:lang w:eastAsia="en-AU"/>
              </w:rPr>
              <w:t xml:space="preserve"> of the HZ/</w:t>
            </w:r>
            <w:proofErr w:type="spellStart"/>
            <w:r w:rsidRPr="0098559C">
              <w:rPr>
                <w:szCs w:val="20"/>
                <w:lang w:eastAsia="en-AU"/>
              </w:rPr>
              <w:t>su</w:t>
            </w:r>
            <w:proofErr w:type="spellEnd"/>
            <w:r w:rsidRPr="0098559C">
              <w:rPr>
                <w:szCs w:val="20"/>
                <w:lang w:eastAsia="en-AU"/>
              </w:rPr>
              <w:t xml:space="preserve"> vaccine at Year 0 </w:t>
            </w:r>
          </w:p>
          <w:tbl>
            <w:tblPr>
              <w:tblStyle w:val="TableGrid"/>
              <w:tblW w:w="0" w:type="auto"/>
              <w:tblCellMar>
                <w:left w:w="57" w:type="dxa"/>
                <w:right w:w="57" w:type="dxa"/>
              </w:tblCellMar>
              <w:tblLook w:val="04A0" w:firstRow="1" w:lastRow="0" w:firstColumn="1" w:lastColumn="0" w:noHBand="0" w:noVBand="1"/>
            </w:tblPr>
            <w:tblGrid>
              <w:gridCol w:w="662"/>
              <w:gridCol w:w="3402"/>
              <w:gridCol w:w="851"/>
              <w:gridCol w:w="1984"/>
              <w:gridCol w:w="807"/>
            </w:tblGrid>
            <w:tr w:rsidR="00AB6A1D" w:rsidRPr="0098559C" w:rsidTr="00AB6A1D">
              <w:tc>
                <w:tcPr>
                  <w:tcW w:w="662" w:type="dxa"/>
                  <w:vMerge w:val="restart"/>
                </w:tcPr>
                <w:p w:rsidR="00AB6A1D" w:rsidRPr="0098559C" w:rsidRDefault="00DE61AA" w:rsidP="00837B29">
                  <w:pPr>
                    <w:pStyle w:val="Tabletext"/>
                    <w:rPr>
                      <w:b/>
                      <w:szCs w:val="20"/>
                    </w:rPr>
                  </w:pPr>
                  <w:r w:rsidRPr="0098559C">
                    <w:rPr>
                      <w:b/>
                      <w:szCs w:val="20"/>
                    </w:rPr>
                    <w:t>Age strata</w:t>
                  </w:r>
                </w:p>
              </w:tc>
              <w:tc>
                <w:tcPr>
                  <w:tcW w:w="4253" w:type="dxa"/>
                  <w:gridSpan w:val="2"/>
                </w:tcPr>
                <w:p w:rsidR="00AB6A1D" w:rsidRPr="0098559C" w:rsidRDefault="00AB6A1D" w:rsidP="00837B29">
                  <w:pPr>
                    <w:pStyle w:val="Tabletext"/>
                    <w:rPr>
                      <w:b/>
                      <w:szCs w:val="20"/>
                    </w:rPr>
                  </w:pPr>
                  <w:r w:rsidRPr="0098559C">
                    <w:rPr>
                      <w:b/>
                      <w:szCs w:val="20"/>
                    </w:rPr>
                    <w:t>VE</w:t>
                  </w:r>
                  <w:r w:rsidRPr="0098559C">
                    <w:rPr>
                      <w:b/>
                      <w:szCs w:val="20"/>
                      <w:vertAlign w:val="subscript"/>
                    </w:rPr>
                    <w:t>HZ</w:t>
                  </w:r>
                </w:p>
              </w:tc>
              <w:tc>
                <w:tcPr>
                  <w:tcW w:w="2791" w:type="dxa"/>
                  <w:gridSpan w:val="2"/>
                </w:tcPr>
                <w:p w:rsidR="00AB6A1D" w:rsidRPr="0098559C" w:rsidRDefault="00AB6A1D" w:rsidP="00837B29">
                  <w:pPr>
                    <w:pStyle w:val="Tabletext"/>
                    <w:rPr>
                      <w:b/>
                      <w:szCs w:val="20"/>
                    </w:rPr>
                  </w:pPr>
                  <w:r w:rsidRPr="0098559C">
                    <w:rPr>
                      <w:b/>
                      <w:szCs w:val="20"/>
                    </w:rPr>
                    <w:t>VE</w:t>
                  </w:r>
                  <w:r w:rsidRPr="0098559C">
                    <w:rPr>
                      <w:b/>
                      <w:szCs w:val="20"/>
                      <w:vertAlign w:val="subscript"/>
                    </w:rPr>
                    <w:t>PHN</w:t>
                  </w:r>
                </w:p>
              </w:tc>
            </w:tr>
            <w:tr w:rsidR="00AB6A1D" w:rsidRPr="0098559C" w:rsidTr="00AB6A1D">
              <w:tc>
                <w:tcPr>
                  <w:tcW w:w="662" w:type="dxa"/>
                  <w:vMerge/>
                </w:tcPr>
                <w:p w:rsidR="00AB6A1D" w:rsidRPr="0098559C" w:rsidRDefault="00AB6A1D" w:rsidP="00837B29">
                  <w:pPr>
                    <w:pStyle w:val="Tabletext"/>
                    <w:rPr>
                      <w:szCs w:val="20"/>
                    </w:rPr>
                  </w:pPr>
                </w:p>
              </w:tc>
              <w:tc>
                <w:tcPr>
                  <w:tcW w:w="3402" w:type="dxa"/>
                </w:tcPr>
                <w:p w:rsidR="00AB6A1D" w:rsidRPr="0098559C" w:rsidRDefault="00AB6A1D" w:rsidP="00837B29">
                  <w:pPr>
                    <w:pStyle w:val="Tabletext"/>
                    <w:rPr>
                      <w:b/>
                      <w:szCs w:val="20"/>
                    </w:rPr>
                  </w:pPr>
                  <w:r w:rsidRPr="0098559C">
                    <w:rPr>
                      <w:b/>
                      <w:szCs w:val="20"/>
                    </w:rPr>
                    <w:t>Trial</w:t>
                  </w:r>
                </w:p>
              </w:tc>
              <w:tc>
                <w:tcPr>
                  <w:tcW w:w="851" w:type="dxa"/>
                </w:tcPr>
                <w:p w:rsidR="00AB6A1D" w:rsidRPr="0098559C" w:rsidRDefault="00AB6A1D" w:rsidP="002466E1">
                  <w:pPr>
                    <w:pStyle w:val="Tabletext"/>
                    <w:rPr>
                      <w:b/>
                      <w:szCs w:val="20"/>
                    </w:rPr>
                  </w:pPr>
                  <w:r w:rsidRPr="0098559C">
                    <w:rPr>
                      <w:b/>
                      <w:szCs w:val="20"/>
                    </w:rPr>
                    <w:t>Model at Year 0</w:t>
                  </w:r>
                </w:p>
              </w:tc>
              <w:tc>
                <w:tcPr>
                  <w:tcW w:w="1984" w:type="dxa"/>
                </w:tcPr>
                <w:p w:rsidR="00AB6A1D" w:rsidRPr="0098559C" w:rsidRDefault="00AB6A1D" w:rsidP="00837B29">
                  <w:pPr>
                    <w:pStyle w:val="Tabletext"/>
                    <w:rPr>
                      <w:b/>
                      <w:szCs w:val="20"/>
                    </w:rPr>
                  </w:pPr>
                  <w:r w:rsidRPr="0098559C">
                    <w:rPr>
                      <w:b/>
                      <w:szCs w:val="20"/>
                    </w:rPr>
                    <w:t>Trial</w:t>
                  </w:r>
                </w:p>
              </w:tc>
              <w:tc>
                <w:tcPr>
                  <w:tcW w:w="807" w:type="dxa"/>
                </w:tcPr>
                <w:p w:rsidR="00AB6A1D" w:rsidRPr="0098559C" w:rsidRDefault="00AB6A1D" w:rsidP="002466E1">
                  <w:pPr>
                    <w:pStyle w:val="Tabletext"/>
                    <w:rPr>
                      <w:b/>
                      <w:szCs w:val="20"/>
                    </w:rPr>
                  </w:pPr>
                  <w:r w:rsidRPr="0098559C">
                    <w:rPr>
                      <w:b/>
                      <w:szCs w:val="20"/>
                    </w:rPr>
                    <w:t>Model at Year 0</w:t>
                  </w:r>
                </w:p>
              </w:tc>
            </w:tr>
            <w:tr w:rsidR="002329BA" w:rsidRPr="0098559C" w:rsidTr="00AB6A1D">
              <w:tc>
                <w:tcPr>
                  <w:tcW w:w="662" w:type="dxa"/>
                </w:tcPr>
                <w:p w:rsidR="002329BA" w:rsidRPr="0098559C" w:rsidRDefault="002329BA" w:rsidP="00DE61AA">
                  <w:pPr>
                    <w:pStyle w:val="Tabletext"/>
                    <w:rPr>
                      <w:szCs w:val="20"/>
                    </w:rPr>
                  </w:pPr>
                  <w:r w:rsidRPr="0098559C">
                    <w:rPr>
                      <w:szCs w:val="20"/>
                    </w:rPr>
                    <w:t xml:space="preserve">50-59 </w:t>
                  </w:r>
                </w:p>
              </w:tc>
              <w:tc>
                <w:tcPr>
                  <w:tcW w:w="3402" w:type="dxa"/>
                </w:tcPr>
                <w:p w:rsidR="002329BA" w:rsidRPr="0098559C" w:rsidRDefault="002466E1" w:rsidP="002329BA">
                  <w:pPr>
                    <w:pStyle w:val="Tabletext"/>
                    <w:rPr>
                      <w:szCs w:val="20"/>
                    </w:rPr>
                  </w:pPr>
                  <w:r w:rsidRPr="0098559C">
                    <w:rPr>
                      <w:szCs w:val="20"/>
                    </w:rPr>
                    <w:t>Over 3.</w:t>
                  </w:r>
                  <w:r w:rsidR="00C6502B">
                    <w:rPr>
                      <w:szCs w:val="20"/>
                    </w:rPr>
                    <w:t>2</w:t>
                  </w:r>
                  <w:r w:rsidRPr="0098559C">
                    <w:rPr>
                      <w:szCs w:val="20"/>
                    </w:rPr>
                    <w:t xml:space="preserve"> years: </w:t>
                  </w:r>
                  <w:r w:rsidR="002329BA" w:rsidRPr="0098559C">
                    <w:rPr>
                      <w:szCs w:val="20"/>
                    </w:rPr>
                    <w:t>96.57 (ZOE-50)</w:t>
                  </w:r>
                </w:p>
                <w:p w:rsidR="002466E1" w:rsidRPr="0098559C" w:rsidRDefault="002466E1" w:rsidP="002329BA">
                  <w:pPr>
                    <w:pStyle w:val="Tabletext"/>
                    <w:rPr>
                      <w:szCs w:val="20"/>
                    </w:rPr>
                  </w:pPr>
                  <w:r w:rsidRPr="0098559C">
                    <w:rPr>
                      <w:szCs w:val="20"/>
                    </w:rPr>
                    <w:t>In Year 1: 96.76 (ZOE-50)</w:t>
                  </w:r>
                </w:p>
              </w:tc>
              <w:tc>
                <w:tcPr>
                  <w:tcW w:w="851" w:type="dxa"/>
                </w:tcPr>
                <w:p w:rsidR="002329BA" w:rsidRPr="0098559C" w:rsidRDefault="002329BA" w:rsidP="00C6502B">
                  <w:pPr>
                    <w:pStyle w:val="Tabletext"/>
                    <w:rPr>
                      <w:szCs w:val="20"/>
                    </w:rPr>
                  </w:pPr>
                  <w:r w:rsidRPr="0098559C">
                    <w:rPr>
                      <w:szCs w:val="20"/>
                    </w:rPr>
                    <w:t>98.4</w:t>
                  </w:r>
                </w:p>
              </w:tc>
              <w:tc>
                <w:tcPr>
                  <w:tcW w:w="1984" w:type="dxa"/>
                </w:tcPr>
                <w:p w:rsidR="002329BA" w:rsidRPr="0098559C" w:rsidRDefault="002466E1" w:rsidP="002329BA">
                  <w:pPr>
                    <w:pStyle w:val="Tabletext"/>
                    <w:rPr>
                      <w:szCs w:val="20"/>
                    </w:rPr>
                  </w:pPr>
                  <w:r w:rsidRPr="0098559C">
                    <w:rPr>
                      <w:szCs w:val="20"/>
                    </w:rPr>
                    <w:t xml:space="preserve">Over 3.1 years: </w:t>
                  </w:r>
                  <w:r w:rsidR="002329BA" w:rsidRPr="0098559C">
                    <w:rPr>
                      <w:szCs w:val="20"/>
                    </w:rPr>
                    <w:t>100</w:t>
                  </w:r>
                </w:p>
                <w:p w:rsidR="002466E1" w:rsidRPr="0098559C" w:rsidRDefault="002466E1" w:rsidP="002329BA">
                  <w:pPr>
                    <w:pStyle w:val="Tabletext"/>
                    <w:rPr>
                      <w:szCs w:val="20"/>
                    </w:rPr>
                  </w:pPr>
                  <w:r w:rsidRPr="0098559C">
                    <w:rPr>
                      <w:szCs w:val="20"/>
                    </w:rPr>
                    <w:t>In Year 1: NR</w:t>
                  </w:r>
                </w:p>
              </w:tc>
              <w:tc>
                <w:tcPr>
                  <w:tcW w:w="807" w:type="dxa"/>
                </w:tcPr>
                <w:p w:rsidR="002329BA" w:rsidRPr="0098559C" w:rsidRDefault="002329BA" w:rsidP="002329BA">
                  <w:pPr>
                    <w:pStyle w:val="Tabletext"/>
                    <w:rPr>
                      <w:szCs w:val="20"/>
                    </w:rPr>
                  </w:pPr>
                  <w:r w:rsidRPr="0098559C">
                    <w:rPr>
                      <w:szCs w:val="20"/>
                    </w:rPr>
                    <w:t>98.4</w:t>
                  </w:r>
                </w:p>
              </w:tc>
            </w:tr>
            <w:tr w:rsidR="002329BA" w:rsidRPr="0098559C" w:rsidTr="00AB6A1D">
              <w:tc>
                <w:tcPr>
                  <w:tcW w:w="662" w:type="dxa"/>
                </w:tcPr>
                <w:p w:rsidR="002329BA" w:rsidRPr="0098559C" w:rsidRDefault="002329BA" w:rsidP="00DE61AA">
                  <w:pPr>
                    <w:pStyle w:val="Tabletext"/>
                    <w:rPr>
                      <w:szCs w:val="20"/>
                    </w:rPr>
                  </w:pPr>
                  <w:r w:rsidRPr="0098559C">
                    <w:rPr>
                      <w:szCs w:val="20"/>
                    </w:rPr>
                    <w:t xml:space="preserve">60-69 </w:t>
                  </w:r>
                </w:p>
              </w:tc>
              <w:tc>
                <w:tcPr>
                  <w:tcW w:w="3402" w:type="dxa"/>
                </w:tcPr>
                <w:p w:rsidR="002329BA" w:rsidRPr="0098559C" w:rsidRDefault="002466E1" w:rsidP="002329BA">
                  <w:pPr>
                    <w:pStyle w:val="Tabletext"/>
                    <w:rPr>
                      <w:szCs w:val="20"/>
                    </w:rPr>
                  </w:pPr>
                  <w:r w:rsidRPr="0098559C">
                    <w:rPr>
                      <w:szCs w:val="20"/>
                    </w:rPr>
                    <w:t>Over 3.</w:t>
                  </w:r>
                  <w:r w:rsidR="00C6502B">
                    <w:rPr>
                      <w:szCs w:val="20"/>
                    </w:rPr>
                    <w:t>2</w:t>
                  </w:r>
                  <w:r w:rsidRPr="0098559C">
                    <w:rPr>
                      <w:szCs w:val="20"/>
                    </w:rPr>
                    <w:t xml:space="preserve"> years: </w:t>
                  </w:r>
                  <w:r w:rsidR="002329BA" w:rsidRPr="0098559C">
                    <w:rPr>
                      <w:szCs w:val="20"/>
                    </w:rPr>
                    <w:t>97.36 (ZOE-50)</w:t>
                  </w:r>
                </w:p>
                <w:p w:rsidR="002466E1" w:rsidRPr="0098559C" w:rsidRDefault="002466E1" w:rsidP="002466E1">
                  <w:pPr>
                    <w:pStyle w:val="Tabletext"/>
                    <w:rPr>
                      <w:szCs w:val="20"/>
                    </w:rPr>
                  </w:pPr>
                  <w:r w:rsidRPr="0098559C">
                    <w:rPr>
                      <w:szCs w:val="20"/>
                    </w:rPr>
                    <w:t>In Year 1: 100.00 (ZOE-50)</w:t>
                  </w:r>
                </w:p>
              </w:tc>
              <w:tc>
                <w:tcPr>
                  <w:tcW w:w="851" w:type="dxa"/>
                </w:tcPr>
                <w:p w:rsidR="002329BA" w:rsidRPr="0098559C" w:rsidRDefault="002329BA" w:rsidP="00C6502B">
                  <w:pPr>
                    <w:pStyle w:val="Tabletext"/>
                    <w:rPr>
                      <w:szCs w:val="20"/>
                    </w:rPr>
                  </w:pPr>
                  <w:r w:rsidRPr="0098559C">
                    <w:rPr>
                      <w:szCs w:val="20"/>
                    </w:rPr>
                    <w:t>98.4</w:t>
                  </w:r>
                </w:p>
              </w:tc>
              <w:tc>
                <w:tcPr>
                  <w:tcW w:w="1984" w:type="dxa"/>
                </w:tcPr>
                <w:p w:rsidR="002329BA" w:rsidRPr="0098559C" w:rsidRDefault="002466E1" w:rsidP="002329BA">
                  <w:pPr>
                    <w:pStyle w:val="Tabletext"/>
                    <w:rPr>
                      <w:szCs w:val="20"/>
                    </w:rPr>
                  </w:pPr>
                  <w:r w:rsidRPr="0098559C">
                    <w:rPr>
                      <w:szCs w:val="20"/>
                    </w:rPr>
                    <w:t xml:space="preserve">Over 3.1 years: </w:t>
                  </w:r>
                  <w:r w:rsidR="002329BA" w:rsidRPr="0098559C">
                    <w:rPr>
                      <w:szCs w:val="20"/>
                    </w:rPr>
                    <w:t>100</w:t>
                  </w:r>
                </w:p>
                <w:p w:rsidR="002466E1" w:rsidRPr="0098559C" w:rsidRDefault="002466E1" w:rsidP="002329BA">
                  <w:pPr>
                    <w:pStyle w:val="Tabletext"/>
                    <w:rPr>
                      <w:szCs w:val="20"/>
                    </w:rPr>
                  </w:pPr>
                  <w:r w:rsidRPr="0098559C">
                    <w:rPr>
                      <w:szCs w:val="20"/>
                    </w:rPr>
                    <w:t>In Year 1: NR</w:t>
                  </w:r>
                </w:p>
              </w:tc>
              <w:tc>
                <w:tcPr>
                  <w:tcW w:w="807" w:type="dxa"/>
                </w:tcPr>
                <w:p w:rsidR="002329BA" w:rsidRPr="0098559C" w:rsidRDefault="002329BA" w:rsidP="002329BA">
                  <w:pPr>
                    <w:pStyle w:val="Tabletext"/>
                    <w:rPr>
                      <w:szCs w:val="20"/>
                    </w:rPr>
                  </w:pPr>
                  <w:r w:rsidRPr="0098559C">
                    <w:rPr>
                      <w:szCs w:val="20"/>
                    </w:rPr>
                    <w:t>98.4</w:t>
                  </w:r>
                </w:p>
              </w:tc>
            </w:tr>
            <w:tr w:rsidR="002329BA" w:rsidRPr="0098559C" w:rsidTr="00AB6A1D">
              <w:tc>
                <w:tcPr>
                  <w:tcW w:w="662" w:type="dxa"/>
                </w:tcPr>
                <w:p w:rsidR="002329BA" w:rsidRPr="0098559C" w:rsidRDefault="002329BA" w:rsidP="00DE61AA">
                  <w:pPr>
                    <w:pStyle w:val="Tabletext"/>
                    <w:rPr>
                      <w:szCs w:val="20"/>
                    </w:rPr>
                  </w:pPr>
                  <w:r w:rsidRPr="0098559C">
                    <w:rPr>
                      <w:szCs w:val="20"/>
                    </w:rPr>
                    <w:t xml:space="preserve">70-79 </w:t>
                  </w:r>
                </w:p>
              </w:tc>
              <w:tc>
                <w:tcPr>
                  <w:tcW w:w="3402" w:type="dxa"/>
                </w:tcPr>
                <w:p w:rsidR="002329BA" w:rsidRPr="0098559C" w:rsidRDefault="002466E1" w:rsidP="002329BA">
                  <w:pPr>
                    <w:pStyle w:val="Tabletext"/>
                    <w:rPr>
                      <w:szCs w:val="20"/>
                    </w:rPr>
                  </w:pPr>
                  <w:r w:rsidRPr="0098559C">
                    <w:rPr>
                      <w:szCs w:val="20"/>
                    </w:rPr>
                    <w:t>Over 3.</w:t>
                  </w:r>
                  <w:r w:rsidR="00C6502B">
                    <w:rPr>
                      <w:szCs w:val="20"/>
                    </w:rPr>
                    <w:t>2</w:t>
                  </w:r>
                  <w:r w:rsidRPr="0098559C">
                    <w:rPr>
                      <w:szCs w:val="20"/>
                    </w:rPr>
                    <w:t xml:space="preserve">-3.7 years: </w:t>
                  </w:r>
                  <w:r w:rsidR="002329BA" w:rsidRPr="0098559C">
                    <w:rPr>
                      <w:szCs w:val="20"/>
                    </w:rPr>
                    <w:t>91.27 (ZOE-50/ZOE-70)</w:t>
                  </w:r>
                </w:p>
                <w:p w:rsidR="002466E1" w:rsidRPr="0098559C" w:rsidRDefault="002466E1" w:rsidP="002466E1">
                  <w:pPr>
                    <w:pStyle w:val="Tabletext"/>
                    <w:rPr>
                      <w:szCs w:val="20"/>
                    </w:rPr>
                  </w:pPr>
                  <w:r w:rsidRPr="0098559C">
                    <w:rPr>
                      <w:szCs w:val="20"/>
                    </w:rPr>
                    <w:t>In Year 1: 98.23 (ZOE-50/ZOE-70)</w:t>
                  </w:r>
                </w:p>
              </w:tc>
              <w:tc>
                <w:tcPr>
                  <w:tcW w:w="851" w:type="dxa"/>
                </w:tcPr>
                <w:p w:rsidR="002329BA" w:rsidRPr="0098559C" w:rsidRDefault="002329BA" w:rsidP="005D2179">
                  <w:pPr>
                    <w:pStyle w:val="Tabletext"/>
                    <w:rPr>
                      <w:szCs w:val="20"/>
                    </w:rPr>
                  </w:pPr>
                  <w:r w:rsidRPr="0098559C">
                    <w:rPr>
                      <w:szCs w:val="20"/>
                    </w:rPr>
                    <w:t>97.8</w:t>
                  </w:r>
                </w:p>
              </w:tc>
              <w:tc>
                <w:tcPr>
                  <w:tcW w:w="1984" w:type="dxa"/>
                </w:tcPr>
                <w:p w:rsidR="002329BA" w:rsidRPr="0098559C" w:rsidRDefault="002466E1" w:rsidP="002329BA">
                  <w:pPr>
                    <w:pStyle w:val="Tabletext"/>
                    <w:rPr>
                      <w:szCs w:val="20"/>
                    </w:rPr>
                  </w:pPr>
                  <w:r w:rsidRPr="0098559C">
                    <w:rPr>
                      <w:szCs w:val="20"/>
                    </w:rPr>
                    <w:t xml:space="preserve">Over 3.1-3.7 years: </w:t>
                  </w:r>
                  <w:r w:rsidR="002329BA" w:rsidRPr="0098559C">
                    <w:rPr>
                      <w:szCs w:val="20"/>
                    </w:rPr>
                    <w:t>93.04</w:t>
                  </w:r>
                </w:p>
                <w:p w:rsidR="002466E1" w:rsidRPr="0098559C" w:rsidRDefault="002466E1" w:rsidP="002329BA">
                  <w:pPr>
                    <w:pStyle w:val="Tabletext"/>
                    <w:rPr>
                      <w:szCs w:val="20"/>
                    </w:rPr>
                  </w:pPr>
                  <w:r w:rsidRPr="0098559C">
                    <w:rPr>
                      <w:szCs w:val="20"/>
                    </w:rPr>
                    <w:t>In Year 1: NR</w:t>
                  </w:r>
                </w:p>
              </w:tc>
              <w:tc>
                <w:tcPr>
                  <w:tcW w:w="807" w:type="dxa"/>
                </w:tcPr>
                <w:p w:rsidR="002329BA" w:rsidRPr="0098559C" w:rsidRDefault="002329BA" w:rsidP="005D2179">
                  <w:pPr>
                    <w:pStyle w:val="Tabletext"/>
                    <w:rPr>
                      <w:szCs w:val="20"/>
                    </w:rPr>
                  </w:pPr>
                  <w:r w:rsidRPr="0098559C">
                    <w:rPr>
                      <w:szCs w:val="20"/>
                    </w:rPr>
                    <w:t>97.8</w:t>
                  </w:r>
                </w:p>
              </w:tc>
            </w:tr>
            <w:tr w:rsidR="002329BA" w:rsidRPr="0098559C" w:rsidTr="00AB6A1D">
              <w:tc>
                <w:tcPr>
                  <w:tcW w:w="662" w:type="dxa"/>
                </w:tcPr>
                <w:p w:rsidR="002329BA" w:rsidRPr="0098559C" w:rsidRDefault="002329BA" w:rsidP="00DE61AA">
                  <w:pPr>
                    <w:pStyle w:val="Tabletext"/>
                    <w:rPr>
                      <w:szCs w:val="20"/>
                    </w:rPr>
                  </w:pPr>
                  <w:r w:rsidRPr="0098559C">
                    <w:rPr>
                      <w:szCs w:val="20"/>
                    </w:rPr>
                    <w:t xml:space="preserve">80+ </w:t>
                  </w:r>
                </w:p>
              </w:tc>
              <w:tc>
                <w:tcPr>
                  <w:tcW w:w="3402" w:type="dxa"/>
                </w:tcPr>
                <w:p w:rsidR="002329BA" w:rsidRPr="0098559C" w:rsidRDefault="002466E1" w:rsidP="002329BA">
                  <w:pPr>
                    <w:pStyle w:val="Tabletext"/>
                    <w:rPr>
                      <w:szCs w:val="20"/>
                    </w:rPr>
                  </w:pPr>
                  <w:r w:rsidRPr="0098559C">
                    <w:rPr>
                      <w:szCs w:val="20"/>
                    </w:rPr>
                    <w:t>Over 3.</w:t>
                  </w:r>
                  <w:r w:rsidR="00C6502B">
                    <w:rPr>
                      <w:szCs w:val="20"/>
                    </w:rPr>
                    <w:t>2</w:t>
                  </w:r>
                  <w:r w:rsidRPr="0098559C">
                    <w:rPr>
                      <w:szCs w:val="20"/>
                    </w:rPr>
                    <w:t xml:space="preserve">-3.7 years: </w:t>
                  </w:r>
                  <w:r w:rsidR="002329BA" w:rsidRPr="0098559C">
                    <w:rPr>
                      <w:szCs w:val="20"/>
                    </w:rPr>
                    <w:t>91.37 (ZOE-50/ZOE-70)</w:t>
                  </w:r>
                </w:p>
                <w:p w:rsidR="002466E1" w:rsidRPr="0098559C" w:rsidRDefault="002466E1" w:rsidP="002466E1">
                  <w:pPr>
                    <w:pStyle w:val="Tabletext"/>
                    <w:rPr>
                      <w:szCs w:val="20"/>
                    </w:rPr>
                  </w:pPr>
                  <w:r w:rsidRPr="0098559C">
                    <w:rPr>
                      <w:szCs w:val="20"/>
                    </w:rPr>
                    <w:t>In Year 1: 96.16 (ZOE-50/ZOE-70)</w:t>
                  </w:r>
                </w:p>
              </w:tc>
              <w:tc>
                <w:tcPr>
                  <w:tcW w:w="851" w:type="dxa"/>
                </w:tcPr>
                <w:p w:rsidR="002329BA" w:rsidRPr="0098559C" w:rsidRDefault="002329BA" w:rsidP="005D2179">
                  <w:pPr>
                    <w:pStyle w:val="Tabletext"/>
                    <w:rPr>
                      <w:szCs w:val="20"/>
                    </w:rPr>
                  </w:pPr>
                  <w:r w:rsidRPr="0098559C">
                    <w:rPr>
                      <w:szCs w:val="20"/>
                    </w:rPr>
                    <w:t>97.8</w:t>
                  </w:r>
                </w:p>
              </w:tc>
              <w:tc>
                <w:tcPr>
                  <w:tcW w:w="1984" w:type="dxa"/>
                </w:tcPr>
                <w:p w:rsidR="002466E1" w:rsidRPr="0098559C" w:rsidRDefault="002466E1" w:rsidP="002466E1">
                  <w:pPr>
                    <w:pStyle w:val="Tabletext"/>
                    <w:rPr>
                      <w:szCs w:val="20"/>
                    </w:rPr>
                  </w:pPr>
                  <w:r w:rsidRPr="0098559C">
                    <w:rPr>
                      <w:szCs w:val="20"/>
                    </w:rPr>
                    <w:t xml:space="preserve">Over 3.1-3.7 years: </w:t>
                  </w:r>
                  <w:r w:rsidR="002329BA" w:rsidRPr="0098559C">
                    <w:rPr>
                      <w:szCs w:val="20"/>
                    </w:rPr>
                    <w:t>71.16</w:t>
                  </w:r>
                </w:p>
                <w:p w:rsidR="002329BA" w:rsidRPr="0098559C" w:rsidRDefault="002466E1" w:rsidP="002466E1">
                  <w:pPr>
                    <w:pStyle w:val="Tabletext"/>
                    <w:rPr>
                      <w:szCs w:val="20"/>
                    </w:rPr>
                  </w:pPr>
                  <w:r w:rsidRPr="0098559C">
                    <w:rPr>
                      <w:szCs w:val="20"/>
                    </w:rPr>
                    <w:t>In Year 1: NR</w:t>
                  </w:r>
                </w:p>
              </w:tc>
              <w:tc>
                <w:tcPr>
                  <w:tcW w:w="807" w:type="dxa"/>
                </w:tcPr>
                <w:p w:rsidR="002329BA" w:rsidRPr="0098559C" w:rsidRDefault="002329BA" w:rsidP="005D2179">
                  <w:pPr>
                    <w:pStyle w:val="Tabletext"/>
                    <w:rPr>
                      <w:szCs w:val="20"/>
                    </w:rPr>
                  </w:pPr>
                  <w:r w:rsidRPr="0098559C">
                    <w:rPr>
                      <w:szCs w:val="20"/>
                    </w:rPr>
                    <w:t>97.8</w:t>
                  </w:r>
                </w:p>
              </w:tc>
            </w:tr>
          </w:tbl>
          <w:p w:rsidR="00837B29" w:rsidRPr="0098559C" w:rsidRDefault="00837B29" w:rsidP="00837B29">
            <w:pPr>
              <w:pStyle w:val="Tabletext"/>
              <w:rPr>
                <w:sz w:val="16"/>
                <w:szCs w:val="20"/>
                <w:lang w:eastAsia="en-AU"/>
              </w:rPr>
            </w:pPr>
            <w:r w:rsidRPr="0098559C">
              <w:rPr>
                <w:sz w:val="16"/>
                <w:szCs w:val="20"/>
                <w:lang w:eastAsia="en-AU"/>
              </w:rPr>
              <w:t>Source: compiled during evaluation</w:t>
            </w:r>
          </w:p>
          <w:p w:rsidR="00837B29" w:rsidRPr="0098559C" w:rsidRDefault="00837B29" w:rsidP="005243BA">
            <w:pPr>
              <w:pStyle w:val="Tabletext"/>
              <w:tabs>
                <w:tab w:val="left" w:pos="924"/>
              </w:tabs>
              <w:rPr>
                <w:szCs w:val="20"/>
              </w:rPr>
            </w:pPr>
          </w:p>
          <w:p w:rsidR="005243BA" w:rsidRPr="0098559C" w:rsidRDefault="005243BA" w:rsidP="005243BA">
            <w:pPr>
              <w:pStyle w:val="Tabletext"/>
              <w:tabs>
                <w:tab w:val="left" w:pos="924"/>
              </w:tabs>
              <w:rPr>
                <w:szCs w:val="20"/>
              </w:rPr>
            </w:pPr>
            <w:r w:rsidRPr="0098559C">
              <w:rPr>
                <w:szCs w:val="20"/>
              </w:rPr>
              <w:t>Waning of VE</w:t>
            </w:r>
            <w:r w:rsidRPr="0098559C">
              <w:rPr>
                <w:szCs w:val="20"/>
                <w:vertAlign w:val="subscript"/>
              </w:rPr>
              <w:t>HZ</w:t>
            </w:r>
            <w:r w:rsidRPr="0098559C">
              <w:rPr>
                <w:szCs w:val="20"/>
              </w:rPr>
              <w:t xml:space="preserve"> for 2 doses of the HZ/</w:t>
            </w:r>
            <w:proofErr w:type="spellStart"/>
            <w:r w:rsidRPr="0098559C">
              <w:rPr>
                <w:szCs w:val="20"/>
              </w:rPr>
              <w:t>su</w:t>
            </w:r>
            <w:proofErr w:type="spellEnd"/>
            <w:r w:rsidRPr="0098559C">
              <w:rPr>
                <w:szCs w:val="20"/>
              </w:rPr>
              <w:t xml:space="preserve"> vaccine over time</w:t>
            </w:r>
          </w:p>
          <w:p w:rsidR="005243BA" w:rsidRPr="0098559C" w:rsidRDefault="005243BA" w:rsidP="005243BA">
            <w:pPr>
              <w:pStyle w:val="Tabletext"/>
              <w:tabs>
                <w:tab w:val="left" w:pos="924"/>
              </w:tabs>
              <w:rPr>
                <w:szCs w:val="20"/>
              </w:rPr>
            </w:pPr>
            <w:r w:rsidRPr="0098559C">
              <w:rPr>
                <w:noProof/>
                <w:lang w:eastAsia="en-AU"/>
              </w:rPr>
              <w:drawing>
                <wp:inline distT="0" distB="0" distL="0" distR="0" wp14:anchorId="6209167E" wp14:editId="35005E7E">
                  <wp:extent cx="2882265" cy="1773279"/>
                  <wp:effectExtent l="19050" t="19050" r="13335" b="177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152" cy="1776286"/>
                          </a:xfrm>
                          <a:prstGeom prst="rect">
                            <a:avLst/>
                          </a:prstGeom>
                          <a:noFill/>
                          <a:ln w="9525" cmpd="sng">
                            <a:solidFill>
                              <a:srgbClr val="4F81BD"/>
                            </a:solidFill>
                            <a:miter lim="800000"/>
                            <a:headEnd/>
                            <a:tailEnd/>
                          </a:ln>
                          <a:effectLst/>
                        </pic:spPr>
                      </pic:pic>
                    </a:graphicData>
                  </a:graphic>
                </wp:inline>
              </w:drawing>
            </w:r>
          </w:p>
          <w:p w:rsidR="00417585" w:rsidRPr="0098559C" w:rsidRDefault="00417585" w:rsidP="00C83E14">
            <w:pPr>
              <w:pStyle w:val="Tabletext"/>
              <w:tabs>
                <w:tab w:val="left" w:pos="924"/>
              </w:tabs>
              <w:rPr>
                <w:szCs w:val="20"/>
              </w:rPr>
            </w:pPr>
            <w:r w:rsidRPr="0098559C">
              <w:rPr>
                <w:szCs w:val="20"/>
              </w:rPr>
              <w:t xml:space="preserve">The ESC noted that the </w:t>
            </w:r>
            <w:r w:rsidR="003302DA" w:rsidRPr="0098559C">
              <w:rPr>
                <w:szCs w:val="20"/>
              </w:rPr>
              <w:t xml:space="preserve">long-term </w:t>
            </w:r>
            <w:r w:rsidRPr="0098559C">
              <w:rPr>
                <w:szCs w:val="20"/>
              </w:rPr>
              <w:t>rate</w:t>
            </w:r>
            <w:r w:rsidR="003302DA" w:rsidRPr="0098559C">
              <w:rPr>
                <w:szCs w:val="20"/>
              </w:rPr>
              <w:t>s</w:t>
            </w:r>
            <w:r w:rsidRPr="0098559C">
              <w:rPr>
                <w:szCs w:val="20"/>
              </w:rPr>
              <w:t xml:space="preserve"> of waning applied in the model w</w:t>
            </w:r>
            <w:r w:rsidR="003302DA" w:rsidRPr="0098559C">
              <w:rPr>
                <w:szCs w:val="20"/>
              </w:rPr>
              <w:t>ere</w:t>
            </w:r>
            <w:r w:rsidRPr="0098559C">
              <w:rPr>
                <w:szCs w:val="20"/>
              </w:rPr>
              <w:t xml:space="preserve"> optimistic</w:t>
            </w:r>
            <w:r w:rsidR="007165D1" w:rsidRPr="0098559C">
              <w:rPr>
                <w:szCs w:val="20"/>
              </w:rPr>
              <w:t xml:space="preserve"> when compared to </w:t>
            </w:r>
            <w:r w:rsidRPr="0098559C">
              <w:rPr>
                <w:szCs w:val="20"/>
              </w:rPr>
              <w:t xml:space="preserve">the </w:t>
            </w:r>
            <w:r w:rsidR="003302DA" w:rsidRPr="0098559C">
              <w:rPr>
                <w:szCs w:val="20"/>
              </w:rPr>
              <w:t xml:space="preserve">short-term </w:t>
            </w:r>
            <w:r w:rsidRPr="0098559C">
              <w:rPr>
                <w:szCs w:val="20"/>
              </w:rPr>
              <w:t>rate</w:t>
            </w:r>
            <w:r w:rsidR="007165D1" w:rsidRPr="0098559C">
              <w:rPr>
                <w:szCs w:val="20"/>
              </w:rPr>
              <w:t>s</w:t>
            </w:r>
            <w:r w:rsidRPr="0098559C">
              <w:rPr>
                <w:szCs w:val="20"/>
              </w:rPr>
              <w:t xml:space="preserve"> </w:t>
            </w:r>
            <w:r w:rsidR="007165D1" w:rsidRPr="0098559C">
              <w:rPr>
                <w:szCs w:val="20"/>
              </w:rPr>
              <w:t xml:space="preserve">seen in the </w:t>
            </w:r>
            <w:r w:rsidRPr="0098559C">
              <w:rPr>
                <w:szCs w:val="20"/>
              </w:rPr>
              <w:t xml:space="preserve">ZOE-50 </w:t>
            </w:r>
            <w:r w:rsidR="003302DA" w:rsidRPr="0098559C">
              <w:rPr>
                <w:szCs w:val="20"/>
              </w:rPr>
              <w:t xml:space="preserve">trial </w:t>
            </w:r>
            <w:r w:rsidR="007165D1" w:rsidRPr="0098559C">
              <w:rPr>
                <w:szCs w:val="20"/>
              </w:rPr>
              <w:t>(</w:t>
            </w:r>
            <w:r w:rsidRPr="0098559C">
              <w:rPr>
                <w:szCs w:val="20"/>
              </w:rPr>
              <w:t>approximately 5</w:t>
            </w:r>
            <w:r w:rsidR="007165D1" w:rsidRPr="0098559C">
              <w:rPr>
                <w:szCs w:val="20"/>
              </w:rPr>
              <w:t>.3</w:t>
            </w:r>
            <w:r w:rsidRPr="0098559C">
              <w:rPr>
                <w:szCs w:val="20"/>
              </w:rPr>
              <w:t xml:space="preserve">% </w:t>
            </w:r>
            <w:r w:rsidR="003302DA" w:rsidRPr="0098559C">
              <w:rPr>
                <w:szCs w:val="20"/>
              </w:rPr>
              <w:t>over 4</w:t>
            </w:r>
            <w:r w:rsidRPr="0098559C">
              <w:rPr>
                <w:szCs w:val="20"/>
              </w:rPr>
              <w:t xml:space="preserve"> years</w:t>
            </w:r>
            <w:r w:rsidR="007165D1" w:rsidRPr="0098559C">
              <w:rPr>
                <w:szCs w:val="20"/>
              </w:rPr>
              <w:t xml:space="preserve">, or </w:t>
            </w:r>
            <w:r w:rsidRPr="0098559C">
              <w:rPr>
                <w:szCs w:val="20"/>
              </w:rPr>
              <w:t>1.</w:t>
            </w:r>
            <w:r w:rsidR="003302DA" w:rsidRPr="0098559C">
              <w:rPr>
                <w:szCs w:val="20"/>
              </w:rPr>
              <w:t>3</w:t>
            </w:r>
            <w:r w:rsidRPr="0098559C">
              <w:rPr>
                <w:szCs w:val="20"/>
              </w:rPr>
              <w:t xml:space="preserve">% per year) and </w:t>
            </w:r>
            <w:r w:rsidR="007165D1" w:rsidRPr="0098559C">
              <w:rPr>
                <w:szCs w:val="20"/>
              </w:rPr>
              <w:t xml:space="preserve">the </w:t>
            </w:r>
            <w:r w:rsidRPr="0098559C">
              <w:rPr>
                <w:szCs w:val="20"/>
              </w:rPr>
              <w:t xml:space="preserve">ZOE-70 </w:t>
            </w:r>
            <w:r w:rsidR="003302DA" w:rsidRPr="0098559C">
              <w:rPr>
                <w:szCs w:val="20"/>
              </w:rPr>
              <w:t xml:space="preserve">trial </w:t>
            </w:r>
            <w:r w:rsidR="007165D1" w:rsidRPr="0098559C">
              <w:rPr>
                <w:szCs w:val="20"/>
              </w:rPr>
              <w:t xml:space="preserve">(approximately </w:t>
            </w:r>
            <w:r w:rsidRPr="0098559C">
              <w:rPr>
                <w:szCs w:val="20"/>
              </w:rPr>
              <w:t xml:space="preserve">12% </w:t>
            </w:r>
            <w:r w:rsidR="003302DA" w:rsidRPr="0098559C">
              <w:rPr>
                <w:szCs w:val="20"/>
              </w:rPr>
              <w:t>over 4</w:t>
            </w:r>
            <w:r w:rsidRPr="0098559C">
              <w:rPr>
                <w:szCs w:val="20"/>
              </w:rPr>
              <w:t xml:space="preserve"> years</w:t>
            </w:r>
            <w:r w:rsidR="007165D1" w:rsidRPr="0098559C">
              <w:rPr>
                <w:szCs w:val="20"/>
              </w:rPr>
              <w:t>, or 3% per year).</w:t>
            </w:r>
            <w:r w:rsidR="005048F5" w:rsidRPr="0098559C">
              <w:t xml:space="preserve"> </w:t>
            </w:r>
            <w:r w:rsidR="00F81403">
              <w:t xml:space="preserve">The pre-PBAC Response considered that the rates calculated by ESC were similar to those used in the </w:t>
            </w:r>
            <w:r w:rsidR="006002FF">
              <w:t>model</w:t>
            </w:r>
            <w:r w:rsidR="0081719B">
              <w:t xml:space="preserve"> </w:t>
            </w:r>
            <w:r w:rsidR="0081719B" w:rsidRPr="0081719B">
              <w:t>(50-69 years: 1% annual waning rate</w:t>
            </w:r>
            <w:r w:rsidR="00C6279F">
              <w:t xml:space="preserve"> for the first four years post-vaccination, followed by </w:t>
            </w:r>
            <w:r w:rsidR="00034E47">
              <w:t xml:space="preserve">2.3% annual </w:t>
            </w:r>
            <w:r w:rsidR="00C6279F">
              <w:t>waning rate until 70;</w:t>
            </w:r>
            <w:r w:rsidR="0081719B" w:rsidRPr="0081719B">
              <w:t xml:space="preserve"> and ≥70 years</w:t>
            </w:r>
            <w:r w:rsidR="00854017">
              <w:t>:</w:t>
            </w:r>
            <w:r w:rsidR="0081719B" w:rsidRPr="0081719B">
              <w:t xml:space="preserve"> 3.6% annual waning rate)</w:t>
            </w:r>
            <w:r w:rsidR="0081719B">
              <w:t xml:space="preserve"> </w:t>
            </w:r>
            <w:r w:rsidR="0081719B" w:rsidRPr="0081719B">
              <w:t>which were also calculated using the four-year time points</w:t>
            </w:r>
            <w:r w:rsidR="00F81403">
              <w:t>.</w:t>
            </w:r>
            <w:r w:rsidR="00752886">
              <w:t xml:space="preserve"> The PBAC considered that the application of these rates in the long-term introduced uncertainty. </w:t>
            </w:r>
          </w:p>
        </w:tc>
      </w:tr>
      <w:tr w:rsidR="002329BA" w:rsidRPr="008B348A" w:rsidTr="00F95041">
        <w:tc>
          <w:tcPr>
            <w:tcW w:w="0" w:type="auto"/>
            <w:vMerge/>
            <w:shd w:val="clear" w:color="auto" w:fill="auto"/>
            <w:vAlign w:val="center"/>
          </w:tcPr>
          <w:p w:rsidR="00726E6F" w:rsidRPr="008B348A" w:rsidRDefault="00726E6F" w:rsidP="00726E6F">
            <w:pPr>
              <w:pStyle w:val="Tabletext"/>
            </w:pPr>
          </w:p>
        </w:tc>
        <w:tc>
          <w:tcPr>
            <w:tcW w:w="0" w:type="auto"/>
            <w:shd w:val="clear" w:color="auto" w:fill="auto"/>
          </w:tcPr>
          <w:p w:rsidR="00726E6F" w:rsidRPr="0098559C" w:rsidRDefault="00726E6F" w:rsidP="00D13043">
            <w:pPr>
              <w:pStyle w:val="Tabletext"/>
            </w:pPr>
            <w:r w:rsidRPr="0098559C">
              <w:t xml:space="preserve">Compliance </w:t>
            </w:r>
            <w:r w:rsidR="00D13043">
              <w:t>was trial based (</w:t>
            </w:r>
            <w:r w:rsidR="004A235F" w:rsidRPr="0098559C">
              <w:rPr>
                <w:szCs w:val="20"/>
              </w:rPr>
              <w:t>ZOE-50 and ZOE-70</w:t>
            </w:r>
            <w:r w:rsidR="00D13043">
              <w:rPr>
                <w:szCs w:val="20"/>
              </w:rPr>
              <w:t>)</w:t>
            </w:r>
            <w:r w:rsidR="004A235F" w:rsidRPr="0098559C">
              <w:rPr>
                <w:szCs w:val="20"/>
              </w:rPr>
              <w:t xml:space="preserve">. </w:t>
            </w:r>
            <w:r w:rsidR="00D13043">
              <w:rPr>
                <w:szCs w:val="20"/>
              </w:rPr>
              <w:t>It was a</w:t>
            </w:r>
            <w:r w:rsidR="004A235F" w:rsidRPr="0098559C">
              <w:rPr>
                <w:szCs w:val="20"/>
              </w:rPr>
              <w:t>ssumed that people who experience</w:t>
            </w:r>
            <w:r w:rsidR="00D13043">
              <w:rPr>
                <w:szCs w:val="20"/>
              </w:rPr>
              <w:t>d</w:t>
            </w:r>
            <w:r w:rsidR="004A235F" w:rsidRPr="0098559C">
              <w:rPr>
                <w:szCs w:val="20"/>
              </w:rPr>
              <w:t xml:space="preserve"> solicited or unsolicited local or general Grade 3 reactions in the 7 days following the 1st dose in the ZOE-50 and ZOE-70 trials d</w:t>
            </w:r>
            <w:r w:rsidR="00D13043">
              <w:rPr>
                <w:szCs w:val="20"/>
              </w:rPr>
              <w:t>id</w:t>
            </w:r>
            <w:r w:rsidR="004A235F" w:rsidRPr="0098559C">
              <w:rPr>
                <w:szCs w:val="20"/>
              </w:rPr>
              <w:t xml:space="preserve"> not receive a second dose. </w:t>
            </w:r>
            <w:r w:rsidR="008479D5">
              <w:rPr>
                <w:szCs w:val="20"/>
              </w:rPr>
              <w:t>T</w:t>
            </w:r>
            <w:r w:rsidR="00200B3C">
              <w:rPr>
                <w:szCs w:val="20"/>
              </w:rPr>
              <w:t xml:space="preserve">his was </w:t>
            </w:r>
            <w:r w:rsidR="004A235F" w:rsidRPr="0098559C">
              <w:rPr>
                <w:szCs w:val="20"/>
              </w:rPr>
              <w:t xml:space="preserve">consistent with ATAGI pre-submission advice. </w:t>
            </w:r>
            <w:r w:rsidR="00A23FC4" w:rsidRPr="0098559C">
              <w:rPr>
                <w:szCs w:val="20"/>
              </w:rPr>
              <w:t>An average of 1.9 doses was assumed in the model.</w:t>
            </w:r>
          </w:p>
        </w:tc>
      </w:tr>
      <w:tr w:rsidR="002329BA" w:rsidRPr="008B348A" w:rsidTr="00007617">
        <w:trPr>
          <w:trHeight w:val="299"/>
        </w:trPr>
        <w:tc>
          <w:tcPr>
            <w:tcW w:w="0" w:type="auto"/>
            <w:shd w:val="clear" w:color="auto" w:fill="auto"/>
            <w:vAlign w:val="center"/>
          </w:tcPr>
          <w:p w:rsidR="00726E6F" w:rsidRPr="008B348A" w:rsidRDefault="00726E6F" w:rsidP="00726E6F">
            <w:pPr>
              <w:pStyle w:val="Tabletext"/>
            </w:pPr>
            <w:r w:rsidRPr="008B348A">
              <w:t>Utilities</w:t>
            </w:r>
          </w:p>
        </w:tc>
        <w:tc>
          <w:tcPr>
            <w:tcW w:w="0" w:type="auto"/>
            <w:shd w:val="clear" w:color="auto" w:fill="auto"/>
          </w:tcPr>
          <w:p w:rsidR="00F83275" w:rsidRPr="0098559C" w:rsidRDefault="00F83275" w:rsidP="00726E6F">
            <w:pPr>
              <w:pStyle w:val="Tabletext"/>
              <w:rPr>
                <w:highlight w:val="yellow"/>
              </w:rPr>
            </w:pPr>
            <w:r w:rsidRPr="0098559C">
              <w:t>No condition – based on age specific baseline utilities from Clemens et al (2014), an A</w:t>
            </w:r>
            <w:r w:rsidR="00D13043">
              <w:t>ustralian study which utilised a</w:t>
            </w:r>
            <w:r w:rsidRPr="0098559C">
              <w:t xml:space="preserve"> EQ-5D-3L data set </w:t>
            </w:r>
            <w:r w:rsidR="00D13043">
              <w:t>in</w:t>
            </w:r>
            <w:r w:rsidRPr="0098559C">
              <w:t xml:space="preserve"> t</w:t>
            </w:r>
            <w:r w:rsidR="00D13043">
              <w:t>he Queensland population. This wa</w:t>
            </w:r>
            <w:r w:rsidRPr="0098559C">
              <w:t>s an appropriate source</w:t>
            </w:r>
            <w:r w:rsidR="00D13043">
              <w:t>;</w:t>
            </w:r>
            <w:r w:rsidRPr="0098559C">
              <w:t xml:space="preserve"> however</w:t>
            </w:r>
            <w:r w:rsidR="00D13043">
              <w:t>,</w:t>
            </w:r>
            <w:r w:rsidRPr="0098559C">
              <w:t xml:space="preserve"> the age groups used in the submission var</w:t>
            </w:r>
            <w:r w:rsidR="00E2457C" w:rsidRPr="0098559C">
              <w:t>ied compared</w:t>
            </w:r>
            <w:r w:rsidRPr="0098559C">
              <w:t xml:space="preserve"> to the age groups used in Clemens et al (2014). The baseline utility values presented in the submission may </w:t>
            </w:r>
            <w:r w:rsidR="00D13043">
              <w:t>have been</w:t>
            </w:r>
            <w:r w:rsidRPr="0098559C">
              <w:t xml:space="preserve"> overestimated</w:t>
            </w:r>
            <w:r w:rsidR="00ED2457" w:rsidRPr="0098559C">
              <w:t>; however, the impact on the ICER was likely to be modest</w:t>
            </w:r>
            <w:r w:rsidRPr="0098559C">
              <w:t>.</w:t>
            </w:r>
          </w:p>
          <w:p w:rsidR="00F83275" w:rsidRPr="0098559C" w:rsidRDefault="00F83275" w:rsidP="00726E6F">
            <w:pPr>
              <w:pStyle w:val="Tabletext"/>
            </w:pPr>
          </w:p>
          <w:p w:rsidR="002228ED" w:rsidRPr="0098559C" w:rsidRDefault="002228ED" w:rsidP="00726E6F">
            <w:pPr>
              <w:pStyle w:val="Tabletext"/>
            </w:pPr>
            <w:r w:rsidRPr="0098559C">
              <w:t xml:space="preserve">The submission estimated utilities with HZ using published data, rather than </w:t>
            </w:r>
            <w:r w:rsidR="00E24CEA">
              <w:t xml:space="preserve">using </w:t>
            </w:r>
            <w:r w:rsidRPr="0098559C">
              <w:t>the utilities estimated in the ZOE-50 and ZOE-70 trials.</w:t>
            </w:r>
          </w:p>
          <w:p w:rsidR="00F83275" w:rsidRPr="0098559C" w:rsidRDefault="00FC707C" w:rsidP="00726E6F">
            <w:pPr>
              <w:pStyle w:val="Tabletext"/>
            </w:pPr>
            <w:r w:rsidRPr="0098559C">
              <w:t xml:space="preserve">QALY loss per HZ case </w:t>
            </w:r>
            <w:r w:rsidR="00F83275" w:rsidRPr="0098559C">
              <w:t>without PHN –</w:t>
            </w:r>
            <w:r w:rsidRPr="0098559C">
              <w:t xml:space="preserve"> </w:t>
            </w:r>
            <w:proofErr w:type="spellStart"/>
            <w:r w:rsidR="00F83275" w:rsidRPr="0098559C">
              <w:t>Gater</w:t>
            </w:r>
            <w:proofErr w:type="spellEnd"/>
            <w:r w:rsidR="00F83275" w:rsidRPr="0098559C">
              <w:t xml:space="preserve"> et al (2014) and </w:t>
            </w:r>
            <w:proofErr w:type="spellStart"/>
            <w:r w:rsidRPr="0098559C">
              <w:t>MacIntyre</w:t>
            </w:r>
            <w:proofErr w:type="spellEnd"/>
            <w:r w:rsidRPr="0098559C">
              <w:t xml:space="preserve"> et al (2015)</w:t>
            </w:r>
            <w:r w:rsidR="00E24CEA">
              <w:t>. This wa</w:t>
            </w:r>
            <w:r w:rsidR="00F83275" w:rsidRPr="0098559C">
              <w:t>s reasonable</w:t>
            </w:r>
          </w:p>
          <w:p w:rsidR="00726E6F" w:rsidRPr="0098559C" w:rsidRDefault="00FC707C" w:rsidP="00F83275">
            <w:pPr>
              <w:pStyle w:val="Tabletext"/>
            </w:pPr>
            <w:r w:rsidRPr="0098559C">
              <w:t>QALY loss per HZ case with PHN –</w:t>
            </w:r>
            <w:proofErr w:type="spellStart"/>
            <w:r w:rsidRPr="0098559C">
              <w:t>Serpell</w:t>
            </w:r>
            <w:proofErr w:type="spellEnd"/>
            <w:r w:rsidRPr="0098559C">
              <w:t xml:space="preserve"> et al (2014) and Moore et al (2010).</w:t>
            </w:r>
            <w:r w:rsidR="00E24CEA">
              <w:t xml:space="preserve"> This wa</w:t>
            </w:r>
            <w:r w:rsidR="00F83275" w:rsidRPr="0098559C">
              <w:t>s reasonable.</w:t>
            </w:r>
          </w:p>
          <w:p w:rsidR="00FC707C" w:rsidRPr="0098559C" w:rsidRDefault="00FC707C" w:rsidP="00F83275">
            <w:pPr>
              <w:pStyle w:val="Tabletext"/>
              <w:rPr>
                <w:szCs w:val="20"/>
              </w:rPr>
            </w:pPr>
            <w:r w:rsidRPr="0098559C">
              <w:rPr>
                <w:szCs w:val="20"/>
              </w:rPr>
              <w:t>QALY loss per local/genera</w:t>
            </w:r>
            <w:r w:rsidR="00E24CEA">
              <w:rPr>
                <w:szCs w:val="20"/>
              </w:rPr>
              <w:t>l AE reactions – assumed. This wa</w:t>
            </w:r>
            <w:r w:rsidRPr="0098559C">
              <w:rPr>
                <w:szCs w:val="20"/>
              </w:rPr>
              <w:t>s uncertain.</w:t>
            </w:r>
          </w:p>
          <w:p w:rsidR="00FC707C" w:rsidRPr="0098559C" w:rsidRDefault="00FC707C" w:rsidP="00F83275">
            <w:pPr>
              <w:pStyle w:val="Tabletext"/>
            </w:pPr>
            <w:r w:rsidRPr="0098559C">
              <w:rPr>
                <w:szCs w:val="20"/>
              </w:rPr>
              <w:t xml:space="preserve">QALY loss per hospitalisation – Le and Rothberg (2015). </w:t>
            </w:r>
            <w:r w:rsidRPr="0098559C">
              <w:t>This was unable to be verified.</w:t>
            </w:r>
          </w:p>
        </w:tc>
      </w:tr>
    </w:tbl>
    <w:p w:rsidR="00E83DC9" w:rsidRDefault="00E83DC9" w:rsidP="00E83DC9">
      <w:pPr>
        <w:pStyle w:val="TableFooter"/>
      </w:pPr>
      <w:r>
        <w:lastRenderedPageBreak/>
        <w:t>ABS: Australian Bureau of Statistics;</w:t>
      </w:r>
      <w:r w:rsidR="00744F50">
        <w:t xml:space="preserve"> ATAGI: Australian Technical Advisory Group on Immunisation; GP: general practitioner; HZ: h</w:t>
      </w:r>
      <w:r>
        <w:t xml:space="preserve">erpes zoster; </w:t>
      </w:r>
      <w:r w:rsidR="00744F50">
        <w:t xml:space="preserve">ICER: incremental cost-effectiveness ratio; NR: not reported; PBAC: Pharmaceutical Benefits Advisory Committee; </w:t>
      </w:r>
      <w:r>
        <w:rPr>
          <w:rFonts w:eastAsia="Calibri"/>
        </w:rPr>
        <w:t xml:space="preserve">PHN: </w:t>
      </w:r>
      <w:r w:rsidR="009042CD">
        <w:rPr>
          <w:rFonts w:eastAsia="Calibri"/>
        </w:rPr>
        <w:t>post-herpetic</w:t>
      </w:r>
      <w:r w:rsidRPr="00E83DC9">
        <w:rPr>
          <w:rFonts w:eastAsia="Calibri"/>
        </w:rPr>
        <w:t xml:space="preserve"> neuralgia</w:t>
      </w:r>
      <w:r>
        <w:t>; QALY: quality adjusted life year; VE: vaccine efficacy.</w:t>
      </w:r>
    </w:p>
    <w:p w:rsidR="003270E4" w:rsidRDefault="003270E4" w:rsidP="003270E4">
      <w:pPr>
        <w:pStyle w:val="TableFooter"/>
      </w:pPr>
      <w:r w:rsidRPr="008B348A">
        <w:t xml:space="preserve">Source: </w:t>
      </w:r>
      <w:r w:rsidR="00726E6F" w:rsidRPr="008B348A">
        <w:t>Table 44 p102 of the submission.</w:t>
      </w:r>
    </w:p>
    <w:p w:rsidR="00E92F71" w:rsidRPr="008B348A" w:rsidRDefault="00E92F71" w:rsidP="003270E4">
      <w:pPr>
        <w:pStyle w:val="TableFooter"/>
      </w:pPr>
    </w:p>
    <w:p w:rsidR="00275C5A" w:rsidRPr="008B348A" w:rsidRDefault="003F15A4" w:rsidP="00ED2457">
      <w:pPr>
        <w:pStyle w:val="ListParagraph"/>
        <w:widowControl/>
        <w:numPr>
          <w:ilvl w:val="1"/>
          <w:numId w:val="2"/>
        </w:numPr>
      </w:pPr>
      <w:r w:rsidRPr="008B348A">
        <w:t>The key drivers of the model and results are provided in the tables below.</w:t>
      </w:r>
    </w:p>
    <w:p w:rsidR="00D110BD" w:rsidRPr="008B348A" w:rsidRDefault="00D110BD" w:rsidP="00E92F71">
      <w:pPr>
        <w:keepNext/>
        <w:rPr>
          <w:rStyle w:val="CommentReference"/>
        </w:rPr>
      </w:pPr>
      <w:r w:rsidRPr="008B348A">
        <w:rPr>
          <w:rStyle w:val="CommentReference"/>
        </w:rPr>
        <w:t xml:space="preserve">Table </w:t>
      </w:r>
      <w:r w:rsidR="002649BD">
        <w:rPr>
          <w:rStyle w:val="CommentReference"/>
        </w:rPr>
        <w:t>1</w:t>
      </w:r>
      <w:r w:rsidR="00DF7A69">
        <w:rPr>
          <w:rStyle w:val="CommentReference"/>
        </w:rPr>
        <w:t>4</w:t>
      </w:r>
      <w:r w:rsidRPr="008B348A">
        <w:rPr>
          <w:rStyle w:val="CommentReference"/>
        </w:rPr>
        <w:t>: Key drivers of the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5"/>
        <w:gridCol w:w="5247"/>
        <w:gridCol w:w="1378"/>
      </w:tblGrid>
      <w:tr w:rsidR="00E24CEA" w:rsidRPr="008B348A" w:rsidTr="006C6E7A">
        <w:trPr>
          <w:cantSplit/>
          <w:tblHeader/>
        </w:trPr>
        <w:tc>
          <w:tcPr>
            <w:tcW w:w="0" w:type="auto"/>
            <w:shd w:val="clear" w:color="auto" w:fill="auto"/>
            <w:vAlign w:val="center"/>
          </w:tcPr>
          <w:p w:rsidR="00D110BD" w:rsidRPr="0098559C" w:rsidRDefault="00D110BD" w:rsidP="00E92F71">
            <w:pPr>
              <w:pStyle w:val="Tabletext"/>
              <w:keepNext/>
              <w:rPr>
                <w:b/>
              </w:rPr>
            </w:pPr>
            <w:r w:rsidRPr="0098559C">
              <w:rPr>
                <w:b/>
              </w:rPr>
              <w:t>Description</w:t>
            </w:r>
          </w:p>
        </w:tc>
        <w:tc>
          <w:tcPr>
            <w:tcW w:w="0" w:type="auto"/>
            <w:shd w:val="clear" w:color="auto" w:fill="auto"/>
            <w:vAlign w:val="center"/>
          </w:tcPr>
          <w:p w:rsidR="00D110BD" w:rsidRPr="0098559C" w:rsidRDefault="00D110BD" w:rsidP="00E92F71">
            <w:pPr>
              <w:pStyle w:val="Tabletext"/>
              <w:keepNext/>
              <w:jc w:val="center"/>
              <w:rPr>
                <w:b/>
              </w:rPr>
            </w:pPr>
            <w:r w:rsidRPr="0098559C">
              <w:rPr>
                <w:b/>
              </w:rPr>
              <w:t>Method/Value</w:t>
            </w:r>
          </w:p>
        </w:tc>
        <w:tc>
          <w:tcPr>
            <w:tcW w:w="0" w:type="auto"/>
            <w:shd w:val="clear" w:color="auto" w:fill="auto"/>
            <w:vAlign w:val="center"/>
          </w:tcPr>
          <w:p w:rsidR="00D110BD" w:rsidRPr="0098559C" w:rsidRDefault="00D110BD" w:rsidP="00E92F71">
            <w:pPr>
              <w:pStyle w:val="Tabletext"/>
              <w:keepNext/>
              <w:jc w:val="center"/>
              <w:rPr>
                <w:b/>
              </w:rPr>
            </w:pPr>
            <w:r w:rsidRPr="0098559C">
              <w:rPr>
                <w:b/>
              </w:rPr>
              <w:t>Impact</w:t>
            </w:r>
          </w:p>
        </w:tc>
      </w:tr>
      <w:tr w:rsidR="00E24CEA" w:rsidRPr="00CC1BC3" w:rsidTr="006C6E7A">
        <w:trPr>
          <w:cantSplit/>
        </w:trPr>
        <w:tc>
          <w:tcPr>
            <w:tcW w:w="0" w:type="auto"/>
            <w:shd w:val="clear" w:color="auto" w:fill="auto"/>
            <w:vAlign w:val="center"/>
          </w:tcPr>
          <w:p w:rsidR="00CC1BC3" w:rsidRPr="0098559C" w:rsidRDefault="00CC1BC3" w:rsidP="00E92F71">
            <w:pPr>
              <w:pStyle w:val="Tabletext"/>
              <w:keepNext/>
            </w:pPr>
            <w:r w:rsidRPr="0098559C">
              <w:t>Time horizon</w:t>
            </w:r>
            <w:r w:rsidR="00F415FF">
              <w:t>/waning</w:t>
            </w:r>
          </w:p>
        </w:tc>
        <w:tc>
          <w:tcPr>
            <w:tcW w:w="0" w:type="auto"/>
            <w:shd w:val="clear" w:color="auto" w:fill="auto"/>
            <w:vAlign w:val="center"/>
          </w:tcPr>
          <w:p w:rsidR="00CC1BC3" w:rsidRPr="0098559C" w:rsidRDefault="00E24CEA" w:rsidP="006002FF">
            <w:pPr>
              <w:pStyle w:val="Tabletext"/>
              <w:keepNext/>
            </w:pPr>
            <w:r>
              <w:t>Lifetime horizon</w:t>
            </w:r>
            <w:r w:rsidR="006002FF">
              <w:t>,</w:t>
            </w:r>
            <w:r>
              <w:t xml:space="preserve"> with</w:t>
            </w:r>
            <w:r w:rsidR="006002FF">
              <w:t xml:space="preserve"> rate of</w:t>
            </w:r>
            <w:r>
              <w:t xml:space="preserve"> w</w:t>
            </w:r>
            <w:r w:rsidR="00CC1BC3" w:rsidRPr="0098559C">
              <w:t>aning of vaccine efficacy</w:t>
            </w:r>
            <w:r w:rsidR="00034E47">
              <w:t xml:space="preserve"> applied</w:t>
            </w:r>
            <w:r w:rsidR="00CC1BC3" w:rsidRPr="0098559C">
              <w:t xml:space="preserve"> </w:t>
            </w:r>
            <w:r w:rsidR="006002FF">
              <w:t>dependent on age</w:t>
            </w:r>
            <w:r w:rsidR="00CC1BC3" w:rsidRPr="0098559C">
              <w:t>, compared to 3.1 to 3.7 years in ZOE-50 and ZOE-70 trials.</w:t>
            </w:r>
            <w:r w:rsidR="003517FF" w:rsidRPr="0098559C">
              <w:t xml:space="preserve"> </w:t>
            </w:r>
          </w:p>
        </w:tc>
        <w:tc>
          <w:tcPr>
            <w:tcW w:w="0" w:type="auto"/>
            <w:shd w:val="clear" w:color="auto" w:fill="auto"/>
            <w:vAlign w:val="center"/>
          </w:tcPr>
          <w:p w:rsidR="00CC1BC3" w:rsidRPr="0098559C" w:rsidRDefault="00CC1BC3" w:rsidP="00E92F71">
            <w:pPr>
              <w:pStyle w:val="Tabletext"/>
              <w:keepNext/>
            </w:pPr>
            <w:r w:rsidRPr="0098559C">
              <w:t>High, favours the HZ/</w:t>
            </w:r>
            <w:proofErr w:type="spellStart"/>
            <w:r w:rsidRPr="0098559C">
              <w:t>su</w:t>
            </w:r>
            <w:proofErr w:type="spellEnd"/>
            <w:r w:rsidRPr="0098559C">
              <w:t xml:space="preserve"> vaccine</w:t>
            </w:r>
          </w:p>
        </w:tc>
      </w:tr>
      <w:tr w:rsidR="00E24CEA" w:rsidRPr="008B348A" w:rsidTr="006C6E7A">
        <w:trPr>
          <w:cantSplit/>
        </w:trPr>
        <w:tc>
          <w:tcPr>
            <w:tcW w:w="0" w:type="auto"/>
            <w:shd w:val="clear" w:color="auto" w:fill="auto"/>
            <w:vAlign w:val="center"/>
          </w:tcPr>
          <w:p w:rsidR="00CC1BC3" w:rsidRPr="0098559C" w:rsidRDefault="00CC1BC3" w:rsidP="00E92F71">
            <w:pPr>
              <w:pStyle w:val="Tabletext"/>
              <w:keepNext/>
            </w:pPr>
            <w:r w:rsidRPr="0098559C">
              <w:t>Incidence of HZ and PHN</w:t>
            </w:r>
            <w:r w:rsidR="00E2457C" w:rsidRPr="0098559C">
              <w:t xml:space="preserve"> in placebo arm</w:t>
            </w:r>
          </w:p>
        </w:tc>
        <w:tc>
          <w:tcPr>
            <w:tcW w:w="0" w:type="auto"/>
            <w:shd w:val="clear" w:color="auto" w:fill="auto"/>
            <w:vAlign w:val="center"/>
          </w:tcPr>
          <w:p w:rsidR="00CC1BC3" w:rsidRPr="0098559C" w:rsidRDefault="00E24CEA" w:rsidP="00E24CEA">
            <w:pPr>
              <w:pStyle w:val="Tabletext"/>
              <w:keepNext/>
            </w:pPr>
            <w:r>
              <w:t>B</w:t>
            </w:r>
            <w:r w:rsidR="00CC1BC3" w:rsidRPr="0098559C">
              <w:t xml:space="preserve">ased on </w:t>
            </w:r>
            <w:proofErr w:type="spellStart"/>
            <w:r w:rsidR="00CC1BC3" w:rsidRPr="0098559C">
              <w:t>MacIntyre</w:t>
            </w:r>
            <w:proofErr w:type="spellEnd"/>
            <w:r w:rsidR="00CC1BC3" w:rsidRPr="0098559C">
              <w:t xml:space="preserve"> (2015)</w:t>
            </w:r>
            <w:r>
              <w:t>/BEACH data rather than</w:t>
            </w:r>
            <w:r w:rsidR="00CC1BC3" w:rsidRPr="0098559C">
              <w:t xml:space="preserve"> incidence </w:t>
            </w:r>
            <w:r>
              <w:t xml:space="preserve">reported </w:t>
            </w:r>
            <w:r w:rsidR="00CC1BC3" w:rsidRPr="0098559C">
              <w:t>in the placebo arms of the trials.</w:t>
            </w:r>
          </w:p>
        </w:tc>
        <w:tc>
          <w:tcPr>
            <w:tcW w:w="0" w:type="auto"/>
            <w:shd w:val="clear" w:color="auto" w:fill="auto"/>
            <w:vAlign w:val="center"/>
          </w:tcPr>
          <w:p w:rsidR="00CC1BC3" w:rsidRPr="0098559C" w:rsidRDefault="00CC1BC3" w:rsidP="00E92F71">
            <w:pPr>
              <w:pStyle w:val="Tabletext"/>
              <w:keepNext/>
            </w:pPr>
            <w:r w:rsidRPr="0098559C">
              <w:t>High, favours the HZ/</w:t>
            </w:r>
            <w:proofErr w:type="spellStart"/>
            <w:r w:rsidRPr="0098559C">
              <w:t>su</w:t>
            </w:r>
            <w:proofErr w:type="spellEnd"/>
            <w:r w:rsidRPr="0098559C">
              <w:t xml:space="preserve"> vaccine</w:t>
            </w:r>
          </w:p>
        </w:tc>
      </w:tr>
      <w:tr w:rsidR="00E24CEA" w:rsidRPr="00CC1BC3" w:rsidTr="006C6E7A">
        <w:trPr>
          <w:cantSplit/>
        </w:trPr>
        <w:tc>
          <w:tcPr>
            <w:tcW w:w="0" w:type="auto"/>
            <w:shd w:val="clear" w:color="auto" w:fill="auto"/>
            <w:vAlign w:val="center"/>
          </w:tcPr>
          <w:p w:rsidR="00C80A45" w:rsidRPr="0098559C" w:rsidRDefault="00C80A45" w:rsidP="00E24CEA">
            <w:pPr>
              <w:pStyle w:val="Tabletext"/>
              <w:keepNext/>
            </w:pPr>
            <w:r w:rsidRPr="0098559C">
              <w:t xml:space="preserve">Revaccination of </w:t>
            </w:r>
            <w:r w:rsidR="00E24CEA">
              <w:t>those who had pre</w:t>
            </w:r>
            <w:r w:rsidRPr="0098559C">
              <w:t xml:space="preserve">viously </w:t>
            </w:r>
            <w:r w:rsidR="00E24CEA">
              <w:t xml:space="preserve">received </w:t>
            </w:r>
            <w:r w:rsidRPr="0098559C">
              <w:t>the live-HZ vaccine</w:t>
            </w:r>
          </w:p>
        </w:tc>
        <w:tc>
          <w:tcPr>
            <w:tcW w:w="0" w:type="auto"/>
            <w:shd w:val="clear" w:color="auto" w:fill="auto"/>
            <w:vAlign w:val="center"/>
          </w:tcPr>
          <w:p w:rsidR="00C80A45" w:rsidRPr="0098559C" w:rsidRDefault="009D5490" w:rsidP="009D5490">
            <w:pPr>
              <w:pStyle w:val="Tabletext"/>
              <w:keepNext/>
            </w:pPr>
            <w:r>
              <w:t>Not addressed in the model. It was a</w:t>
            </w:r>
            <w:r w:rsidR="00C80A45" w:rsidRPr="0098559C">
              <w:t xml:space="preserve">ssumed that the </w:t>
            </w:r>
            <w:r w:rsidR="00E24CEA">
              <w:t xml:space="preserve">live-HZ </w:t>
            </w:r>
            <w:r w:rsidR="00C80A45" w:rsidRPr="0098559C">
              <w:t>vaccin</w:t>
            </w:r>
            <w:r w:rsidR="00E24CEA">
              <w:t>e</w:t>
            </w:r>
            <w:r w:rsidR="00C80A45" w:rsidRPr="0098559C">
              <w:t xml:space="preserve"> </w:t>
            </w:r>
            <w:r w:rsidR="00E24CEA">
              <w:t>was</w:t>
            </w:r>
            <w:r w:rsidR="00C80A45" w:rsidRPr="0098559C">
              <w:t xml:space="preserve"> replaced</w:t>
            </w:r>
            <w:r>
              <w:t xml:space="preserve"> and that individuals had not been previously vaccinated</w:t>
            </w:r>
            <w:r w:rsidR="00C80A45" w:rsidRPr="0098559C">
              <w:t>.</w:t>
            </w:r>
          </w:p>
        </w:tc>
        <w:tc>
          <w:tcPr>
            <w:tcW w:w="0" w:type="auto"/>
            <w:shd w:val="clear" w:color="auto" w:fill="auto"/>
            <w:vAlign w:val="center"/>
          </w:tcPr>
          <w:p w:rsidR="00C80A45" w:rsidRPr="0098559C" w:rsidRDefault="00C80A45" w:rsidP="00E92F71">
            <w:pPr>
              <w:pStyle w:val="Tabletext"/>
              <w:keepNext/>
            </w:pPr>
            <w:r w:rsidRPr="0098559C">
              <w:t>High, favours the HZ/</w:t>
            </w:r>
            <w:proofErr w:type="spellStart"/>
            <w:r w:rsidRPr="0098559C">
              <w:t>su</w:t>
            </w:r>
            <w:proofErr w:type="spellEnd"/>
            <w:r w:rsidRPr="0098559C">
              <w:t xml:space="preserve"> vaccine</w:t>
            </w:r>
          </w:p>
        </w:tc>
      </w:tr>
      <w:tr w:rsidR="00E24CEA" w:rsidRPr="008B348A" w:rsidTr="006C6E7A">
        <w:trPr>
          <w:cantSplit/>
        </w:trPr>
        <w:tc>
          <w:tcPr>
            <w:tcW w:w="0" w:type="auto"/>
            <w:shd w:val="clear" w:color="auto" w:fill="auto"/>
            <w:vAlign w:val="center"/>
          </w:tcPr>
          <w:p w:rsidR="00D110BD" w:rsidRPr="0098559C" w:rsidRDefault="00726E6F" w:rsidP="00E92F71">
            <w:pPr>
              <w:pStyle w:val="Tabletext"/>
              <w:keepNext/>
            </w:pPr>
            <w:r w:rsidRPr="0098559C">
              <w:t>Recurrence</w:t>
            </w:r>
          </w:p>
        </w:tc>
        <w:tc>
          <w:tcPr>
            <w:tcW w:w="0" w:type="auto"/>
            <w:shd w:val="clear" w:color="auto" w:fill="auto"/>
            <w:vAlign w:val="center"/>
          </w:tcPr>
          <w:p w:rsidR="00D110BD" w:rsidRPr="0098559C" w:rsidRDefault="002649BD" w:rsidP="00E24CEA">
            <w:pPr>
              <w:pStyle w:val="Tabletext"/>
              <w:keepNext/>
            </w:pPr>
            <w:r w:rsidRPr="0098559C">
              <w:t>Incidence of recurrent HZ and PHN was a</w:t>
            </w:r>
            <w:r w:rsidRPr="0098559C">
              <w:rPr>
                <w:szCs w:val="20"/>
              </w:rPr>
              <w:t>ssumed</w:t>
            </w:r>
            <w:r w:rsidR="0065077A" w:rsidRPr="0098559C">
              <w:rPr>
                <w:szCs w:val="20"/>
              </w:rPr>
              <w:t xml:space="preserve"> to be the</w:t>
            </w:r>
            <w:r w:rsidRPr="0098559C">
              <w:rPr>
                <w:szCs w:val="20"/>
              </w:rPr>
              <w:t xml:space="preserve"> same as HZ and PHN incidence</w:t>
            </w:r>
            <w:r w:rsidR="00A41BF0" w:rsidRPr="0098559C">
              <w:rPr>
                <w:szCs w:val="20"/>
              </w:rPr>
              <w:t xml:space="preserve"> </w:t>
            </w:r>
            <w:r w:rsidR="00E24CEA">
              <w:t>reported in</w:t>
            </w:r>
            <w:r w:rsidR="00A41BF0" w:rsidRPr="0098559C">
              <w:t xml:space="preserve"> </w:t>
            </w:r>
            <w:proofErr w:type="spellStart"/>
            <w:r w:rsidR="00A41BF0" w:rsidRPr="0098559C">
              <w:t>MacIntyre</w:t>
            </w:r>
            <w:proofErr w:type="spellEnd"/>
            <w:r w:rsidR="00A41BF0" w:rsidRPr="0098559C">
              <w:t xml:space="preserve"> (2015)</w:t>
            </w:r>
            <w:r w:rsidRPr="0098559C">
              <w:rPr>
                <w:szCs w:val="20"/>
              </w:rPr>
              <w:t>.</w:t>
            </w:r>
            <w:r w:rsidR="003517FF" w:rsidRPr="0098559C">
              <w:rPr>
                <w:szCs w:val="20"/>
              </w:rPr>
              <w:t xml:space="preserve"> The ESC noted that other data sources reported lower incidences for recurrence.</w:t>
            </w:r>
          </w:p>
        </w:tc>
        <w:tc>
          <w:tcPr>
            <w:tcW w:w="0" w:type="auto"/>
            <w:shd w:val="clear" w:color="auto" w:fill="auto"/>
            <w:vAlign w:val="center"/>
          </w:tcPr>
          <w:p w:rsidR="00D110BD" w:rsidRPr="0098559C" w:rsidRDefault="00726E6F" w:rsidP="00E92F71">
            <w:pPr>
              <w:pStyle w:val="Tabletext"/>
              <w:keepNext/>
            </w:pPr>
            <w:r w:rsidRPr="0098559C">
              <w:t>Moderate, favours the HZ/</w:t>
            </w:r>
            <w:proofErr w:type="spellStart"/>
            <w:r w:rsidRPr="0098559C">
              <w:t>su</w:t>
            </w:r>
            <w:proofErr w:type="spellEnd"/>
            <w:r w:rsidRPr="0098559C">
              <w:t xml:space="preserve"> vaccine</w:t>
            </w:r>
          </w:p>
        </w:tc>
      </w:tr>
      <w:tr w:rsidR="00E24CEA" w:rsidRPr="008B348A" w:rsidTr="006C6E7A">
        <w:trPr>
          <w:cantSplit/>
        </w:trPr>
        <w:tc>
          <w:tcPr>
            <w:tcW w:w="0" w:type="auto"/>
            <w:shd w:val="clear" w:color="auto" w:fill="auto"/>
            <w:vAlign w:val="center"/>
          </w:tcPr>
          <w:p w:rsidR="00CC1BC3" w:rsidRPr="0098559C" w:rsidRDefault="00CC1BC3" w:rsidP="00E24CEA">
            <w:pPr>
              <w:pStyle w:val="Tabletext"/>
              <w:keepNext/>
            </w:pPr>
            <w:r w:rsidRPr="0098559C">
              <w:t xml:space="preserve">QALY loss per HZ case </w:t>
            </w:r>
            <w:r w:rsidR="00E24CEA">
              <w:t xml:space="preserve">± </w:t>
            </w:r>
            <w:r w:rsidRPr="0098559C">
              <w:t>PHN</w:t>
            </w:r>
          </w:p>
        </w:tc>
        <w:tc>
          <w:tcPr>
            <w:tcW w:w="0" w:type="auto"/>
            <w:shd w:val="clear" w:color="auto" w:fill="auto"/>
            <w:vAlign w:val="center"/>
          </w:tcPr>
          <w:p w:rsidR="00CC1BC3" w:rsidRPr="0098559C" w:rsidRDefault="00CC1BC3" w:rsidP="00E92F71">
            <w:pPr>
              <w:pStyle w:val="Tabletext"/>
              <w:keepNext/>
            </w:pPr>
            <w:proofErr w:type="spellStart"/>
            <w:r w:rsidRPr="0098559C">
              <w:t>Gater</w:t>
            </w:r>
            <w:proofErr w:type="spellEnd"/>
            <w:r w:rsidRPr="0098559C">
              <w:t xml:space="preserve"> et al (2014) and </w:t>
            </w:r>
            <w:proofErr w:type="spellStart"/>
            <w:r w:rsidRPr="0098559C">
              <w:t>Serpell</w:t>
            </w:r>
            <w:proofErr w:type="spellEnd"/>
            <w:r w:rsidRPr="0098559C">
              <w:t xml:space="preserve"> et al (2014)</w:t>
            </w:r>
          </w:p>
        </w:tc>
        <w:tc>
          <w:tcPr>
            <w:tcW w:w="0" w:type="auto"/>
            <w:shd w:val="clear" w:color="auto" w:fill="auto"/>
            <w:vAlign w:val="center"/>
          </w:tcPr>
          <w:p w:rsidR="00CC1BC3" w:rsidRPr="0098559C" w:rsidRDefault="00CC1BC3" w:rsidP="00E24CEA">
            <w:pPr>
              <w:pStyle w:val="Tabletext"/>
              <w:keepNext/>
            </w:pPr>
            <w:r w:rsidRPr="0098559C">
              <w:t>Moderate, unknown direction</w:t>
            </w:r>
          </w:p>
        </w:tc>
      </w:tr>
      <w:tr w:rsidR="00E24CEA" w:rsidRPr="008B348A" w:rsidTr="006C6E7A">
        <w:trPr>
          <w:cantSplit/>
        </w:trPr>
        <w:tc>
          <w:tcPr>
            <w:tcW w:w="0" w:type="auto"/>
            <w:shd w:val="clear" w:color="auto" w:fill="auto"/>
            <w:vAlign w:val="center"/>
          </w:tcPr>
          <w:p w:rsidR="00CC1BC3" w:rsidRPr="0098559C" w:rsidRDefault="00CC1BC3" w:rsidP="00E92F71">
            <w:pPr>
              <w:pStyle w:val="Tabletext"/>
              <w:keepNext/>
            </w:pPr>
            <w:r w:rsidRPr="0098559C">
              <w:t>Efficacy</w:t>
            </w:r>
          </w:p>
        </w:tc>
        <w:tc>
          <w:tcPr>
            <w:tcW w:w="0" w:type="auto"/>
            <w:shd w:val="clear" w:color="auto" w:fill="auto"/>
            <w:vAlign w:val="center"/>
          </w:tcPr>
          <w:p w:rsidR="00CC1BC3" w:rsidRPr="0098559C" w:rsidRDefault="00CC1BC3" w:rsidP="00E24CEA">
            <w:pPr>
              <w:pStyle w:val="Tabletext"/>
              <w:keepNext/>
            </w:pPr>
            <w:r w:rsidRPr="0098559C">
              <w:t>Trial-based VE</w:t>
            </w:r>
            <w:r w:rsidRPr="0098559C">
              <w:rPr>
                <w:vertAlign w:val="subscript"/>
              </w:rPr>
              <w:t>HZ</w:t>
            </w:r>
            <w:r w:rsidR="004E42B1" w:rsidRPr="0098559C">
              <w:t>:</w:t>
            </w:r>
            <w:r w:rsidRPr="0098559C">
              <w:t xml:space="preserve"> HZ/</w:t>
            </w:r>
            <w:proofErr w:type="spellStart"/>
            <w:r w:rsidRPr="0098559C">
              <w:t>su</w:t>
            </w:r>
            <w:proofErr w:type="spellEnd"/>
            <w:r w:rsidRPr="0098559C">
              <w:t xml:space="preserve"> vaccine (ZOE-50 and ZOE-70); live-HZ vaccine (SPS). </w:t>
            </w:r>
            <w:r w:rsidRPr="0098559C">
              <w:rPr>
                <w:szCs w:val="20"/>
              </w:rPr>
              <w:t>Efficacy at Year 0 was based on the intercept after fitting a linear function to trial data. It was assumed that VE</w:t>
            </w:r>
            <w:r w:rsidRPr="0098559C">
              <w:rPr>
                <w:szCs w:val="20"/>
                <w:vertAlign w:val="subscript"/>
              </w:rPr>
              <w:t>PHN</w:t>
            </w:r>
            <w:r w:rsidRPr="0098559C">
              <w:rPr>
                <w:szCs w:val="20"/>
              </w:rPr>
              <w:t xml:space="preserve"> = VE</w:t>
            </w:r>
            <w:r w:rsidRPr="0098559C">
              <w:rPr>
                <w:szCs w:val="20"/>
                <w:vertAlign w:val="subscript"/>
              </w:rPr>
              <w:t>HZ</w:t>
            </w:r>
            <w:r w:rsidRPr="0098559C">
              <w:rPr>
                <w:szCs w:val="20"/>
              </w:rPr>
              <w:t>.</w:t>
            </w:r>
          </w:p>
        </w:tc>
        <w:tc>
          <w:tcPr>
            <w:tcW w:w="0" w:type="auto"/>
            <w:shd w:val="clear" w:color="auto" w:fill="auto"/>
            <w:vAlign w:val="center"/>
          </w:tcPr>
          <w:p w:rsidR="00CC1BC3" w:rsidRPr="0098559C" w:rsidRDefault="00CC1BC3" w:rsidP="00E24CEA">
            <w:pPr>
              <w:pStyle w:val="Tabletext"/>
              <w:keepNext/>
            </w:pPr>
            <w:r w:rsidRPr="0098559C">
              <w:t>Unknown impact</w:t>
            </w:r>
          </w:p>
        </w:tc>
      </w:tr>
    </w:tbl>
    <w:p w:rsidR="00E77743" w:rsidRDefault="00E77743" w:rsidP="009D792E">
      <w:pPr>
        <w:pStyle w:val="TableFooter"/>
      </w:pPr>
      <w:r>
        <w:t xml:space="preserve">HZ: herpes zoster; </w:t>
      </w:r>
      <w:r w:rsidR="00744F50">
        <w:t>HZ/</w:t>
      </w:r>
      <w:proofErr w:type="spellStart"/>
      <w:r w:rsidR="00744F50">
        <w:t>su</w:t>
      </w:r>
      <w:proofErr w:type="spellEnd"/>
      <w:r w:rsidR="00744F50">
        <w:t xml:space="preserve">: recombinant varicella zoster vaccine; </w:t>
      </w:r>
      <w:r>
        <w:t xml:space="preserve">PHN: </w:t>
      </w:r>
      <w:r w:rsidR="009042CD">
        <w:t>post-herpetic</w:t>
      </w:r>
      <w:r>
        <w:t xml:space="preserve"> neuralgia; QALY: quality adjusted life year; VE: vaccine efficacy.</w:t>
      </w:r>
    </w:p>
    <w:p w:rsidR="00D538CB" w:rsidRDefault="009D792E" w:rsidP="009D792E">
      <w:pPr>
        <w:pStyle w:val="TableFooter"/>
      </w:pPr>
      <w:r w:rsidRPr="008B348A">
        <w:t xml:space="preserve">Source: </w:t>
      </w:r>
      <w:r w:rsidR="002649BD">
        <w:t>Compiled during the evaluation</w:t>
      </w:r>
      <w:r w:rsidRPr="008B348A">
        <w:t>.</w:t>
      </w:r>
    </w:p>
    <w:p w:rsidR="00D110BD" w:rsidRPr="00A23FC4" w:rsidRDefault="005A373D" w:rsidP="00A23FC4">
      <w:pPr>
        <w:keepNext/>
        <w:rPr>
          <w:rFonts w:ascii="Arial Narrow" w:hAnsi="Arial Narrow"/>
          <w:b/>
          <w:sz w:val="20"/>
          <w:szCs w:val="16"/>
        </w:rPr>
      </w:pPr>
      <w:r w:rsidRPr="008B348A">
        <w:rPr>
          <w:rStyle w:val="CommentReference"/>
        </w:rPr>
        <w:lastRenderedPageBreak/>
        <w:t xml:space="preserve">Table </w:t>
      </w:r>
      <w:r w:rsidR="002649BD">
        <w:rPr>
          <w:rStyle w:val="CommentReference"/>
        </w:rPr>
        <w:t>1</w:t>
      </w:r>
      <w:r w:rsidR="00DF7A69">
        <w:rPr>
          <w:rStyle w:val="CommentReference"/>
        </w:rPr>
        <w:t>5</w:t>
      </w:r>
      <w:r w:rsidRPr="008B348A">
        <w:rPr>
          <w:rStyle w:val="CommentReference"/>
        </w:rPr>
        <w:t>: Results of the economic evaluation</w:t>
      </w:r>
      <w:r w:rsidR="00A23FC4">
        <w:rPr>
          <w:rStyle w:val="CommentReference"/>
        </w:rPr>
        <w:t xml:space="preserve"> </w:t>
      </w:r>
      <w:r w:rsidR="00A23FC4" w:rsidRPr="0086667F">
        <w:rPr>
          <w:rStyle w:val="CommentReference"/>
        </w:rPr>
        <w:t>(theoretical cohort of one million)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2955"/>
        <w:gridCol w:w="3096"/>
        <w:gridCol w:w="1533"/>
      </w:tblGrid>
      <w:tr w:rsidR="005A373D" w:rsidRPr="008B348A" w:rsidTr="00AB6A1D">
        <w:trPr>
          <w:tblHeader/>
        </w:trPr>
        <w:tc>
          <w:tcPr>
            <w:tcW w:w="796" w:type="pct"/>
            <w:vAlign w:val="center"/>
          </w:tcPr>
          <w:p w:rsidR="005A373D" w:rsidRPr="005048F5" w:rsidRDefault="005E279B" w:rsidP="00E2457C">
            <w:pPr>
              <w:pStyle w:val="Tabletext"/>
              <w:keepNext/>
              <w:rPr>
                <w:b/>
              </w:rPr>
            </w:pPr>
            <w:r w:rsidRPr="005048F5">
              <w:rPr>
                <w:b/>
              </w:rPr>
              <w:t xml:space="preserve">Age group </w:t>
            </w:r>
            <w:r w:rsidR="005A373D" w:rsidRPr="005048F5">
              <w:rPr>
                <w:b/>
              </w:rPr>
              <w:t>and component</w:t>
            </w:r>
          </w:p>
        </w:tc>
        <w:tc>
          <w:tcPr>
            <w:tcW w:w="1638" w:type="pct"/>
            <w:vAlign w:val="center"/>
          </w:tcPr>
          <w:p w:rsidR="005A373D" w:rsidRPr="005048F5" w:rsidRDefault="00310A4D" w:rsidP="00E2457C">
            <w:pPr>
              <w:pStyle w:val="Tabletext"/>
              <w:keepNext/>
              <w:jc w:val="center"/>
              <w:rPr>
                <w:b/>
              </w:rPr>
            </w:pPr>
            <w:r w:rsidRPr="005048F5">
              <w:rPr>
                <w:b/>
              </w:rPr>
              <w:t>HZ/</w:t>
            </w:r>
            <w:proofErr w:type="spellStart"/>
            <w:r w:rsidRPr="005048F5">
              <w:rPr>
                <w:b/>
              </w:rPr>
              <w:t>su</w:t>
            </w:r>
            <w:proofErr w:type="spellEnd"/>
            <w:r w:rsidRPr="005048F5">
              <w:rPr>
                <w:b/>
              </w:rPr>
              <w:t xml:space="preserve"> vaccine</w:t>
            </w:r>
          </w:p>
        </w:tc>
        <w:tc>
          <w:tcPr>
            <w:tcW w:w="1716" w:type="pct"/>
            <w:vAlign w:val="center"/>
          </w:tcPr>
          <w:p w:rsidR="005A373D" w:rsidRPr="005048F5" w:rsidRDefault="00310A4D" w:rsidP="00E2457C">
            <w:pPr>
              <w:pStyle w:val="Tabletext"/>
              <w:keepNext/>
              <w:jc w:val="center"/>
              <w:rPr>
                <w:b/>
              </w:rPr>
            </w:pPr>
            <w:r w:rsidRPr="005048F5">
              <w:rPr>
                <w:b/>
              </w:rPr>
              <w:t>No vaccine or live-HZ vaccine</w:t>
            </w:r>
          </w:p>
        </w:tc>
        <w:tc>
          <w:tcPr>
            <w:tcW w:w="850" w:type="pct"/>
            <w:vAlign w:val="center"/>
          </w:tcPr>
          <w:p w:rsidR="005A373D" w:rsidRPr="005048F5" w:rsidRDefault="005A373D" w:rsidP="00E2457C">
            <w:pPr>
              <w:pStyle w:val="Tabletext"/>
              <w:keepNext/>
              <w:jc w:val="center"/>
              <w:rPr>
                <w:b/>
              </w:rPr>
            </w:pPr>
            <w:r w:rsidRPr="005048F5">
              <w:rPr>
                <w:b/>
              </w:rPr>
              <w:t>Increment</w:t>
            </w:r>
          </w:p>
        </w:tc>
      </w:tr>
      <w:tr w:rsidR="005A373D" w:rsidRPr="008B348A" w:rsidTr="002F5C45">
        <w:tc>
          <w:tcPr>
            <w:tcW w:w="5000" w:type="pct"/>
            <w:gridSpan w:val="4"/>
            <w:vAlign w:val="center"/>
          </w:tcPr>
          <w:p w:rsidR="005A373D" w:rsidRPr="005048F5" w:rsidRDefault="00310A4D" w:rsidP="00E2457C">
            <w:pPr>
              <w:pStyle w:val="Tabletext"/>
              <w:keepNext/>
              <w:rPr>
                <w:b/>
                <w:snapToGrid w:val="0"/>
              </w:rPr>
            </w:pPr>
            <w:r w:rsidRPr="005048F5">
              <w:rPr>
                <w:b/>
                <w:snapToGrid w:val="0"/>
              </w:rPr>
              <w:t>60 year olds</w:t>
            </w:r>
          </w:p>
        </w:tc>
      </w:tr>
      <w:tr w:rsidR="00310A4D" w:rsidRPr="008B348A" w:rsidTr="00AB6A1D">
        <w:tc>
          <w:tcPr>
            <w:tcW w:w="796" w:type="pct"/>
            <w:vAlign w:val="center"/>
          </w:tcPr>
          <w:p w:rsidR="00310A4D" w:rsidRPr="005048F5" w:rsidRDefault="00310A4D" w:rsidP="00E2457C">
            <w:pPr>
              <w:pStyle w:val="Tabletext"/>
              <w:keepNext/>
              <w:rPr>
                <w:rFonts w:ascii="Times" w:hAnsi="Times"/>
              </w:rPr>
            </w:pPr>
            <w:r w:rsidRPr="005048F5">
              <w:t>Costs</w:t>
            </w:r>
          </w:p>
        </w:tc>
        <w:tc>
          <w:tcPr>
            <w:tcW w:w="1638"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1716"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850"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r w:rsidR="00AB6A1D" w:rsidRPr="008B348A" w:rsidTr="00AB6A1D">
        <w:tc>
          <w:tcPr>
            <w:tcW w:w="796" w:type="pct"/>
            <w:vAlign w:val="center"/>
          </w:tcPr>
          <w:p w:rsidR="005E279B" w:rsidRPr="005048F5" w:rsidRDefault="005E279B" w:rsidP="005E279B">
            <w:pPr>
              <w:pStyle w:val="Tabletext"/>
              <w:keepNext/>
            </w:pPr>
            <w:r w:rsidRPr="005048F5">
              <w:t>HZ cases</w:t>
            </w:r>
          </w:p>
        </w:tc>
        <w:tc>
          <w:tcPr>
            <w:tcW w:w="1638" w:type="pct"/>
            <w:vAlign w:val="center"/>
          </w:tcPr>
          <w:p w:rsidR="00AB6A1D" w:rsidRPr="00950CB3" w:rsidRDefault="005E279B" w:rsidP="005E279B">
            <w:pPr>
              <w:pStyle w:val="Tabletext"/>
              <w:keepNext/>
              <w:jc w:val="center"/>
              <w:rPr>
                <w:szCs w:val="20"/>
              </w:rPr>
            </w:pPr>
            <w:r w:rsidRPr="00950CB3">
              <w:rPr>
                <w:szCs w:val="20"/>
              </w:rPr>
              <w:t xml:space="preserve">173,764 </w:t>
            </w:r>
          </w:p>
          <w:p w:rsidR="005E279B" w:rsidRPr="005048F5" w:rsidRDefault="00E24CEA" w:rsidP="005E279B">
            <w:pPr>
              <w:pStyle w:val="Tabletext"/>
              <w:keepNext/>
              <w:jc w:val="center"/>
              <w:rPr>
                <w:rStyle w:val="TableText0"/>
              </w:rPr>
            </w:pPr>
            <w:r>
              <w:rPr>
                <w:szCs w:val="20"/>
              </w:rPr>
              <w:t xml:space="preserve">(of which </w:t>
            </w:r>
            <w:r w:rsidRPr="00950CB3">
              <w:rPr>
                <w:szCs w:val="20"/>
              </w:rPr>
              <w:t>23,950</w:t>
            </w:r>
            <w:r>
              <w:rPr>
                <w:szCs w:val="20"/>
              </w:rPr>
              <w:t xml:space="preserve"> (14%) we</w:t>
            </w:r>
            <w:r w:rsidR="005E279B" w:rsidRPr="005048F5">
              <w:rPr>
                <w:szCs w:val="20"/>
              </w:rPr>
              <w:t>re recurrent)</w:t>
            </w:r>
          </w:p>
        </w:tc>
        <w:tc>
          <w:tcPr>
            <w:tcW w:w="1716" w:type="pct"/>
            <w:vAlign w:val="center"/>
          </w:tcPr>
          <w:p w:rsidR="00AB6A1D" w:rsidRPr="00950CB3" w:rsidRDefault="005E279B" w:rsidP="005E279B">
            <w:pPr>
              <w:pStyle w:val="Tabletext"/>
              <w:keepNext/>
              <w:jc w:val="center"/>
              <w:rPr>
                <w:szCs w:val="20"/>
              </w:rPr>
            </w:pPr>
            <w:r w:rsidRPr="00950CB3">
              <w:rPr>
                <w:szCs w:val="20"/>
              </w:rPr>
              <w:t xml:space="preserve">382,719 </w:t>
            </w:r>
          </w:p>
          <w:p w:rsidR="005E279B" w:rsidRPr="005048F5" w:rsidRDefault="00E24CEA" w:rsidP="005E279B">
            <w:pPr>
              <w:pStyle w:val="Tabletext"/>
              <w:keepNext/>
              <w:jc w:val="center"/>
              <w:rPr>
                <w:rStyle w:val="TableText0"/>
              </w:rPr>
            </w:pPr>
            <w:r>
              <w:rPr>
                <w:szCs w:val="20"/>
              </w:rPr>
              <w:t xml:space="preserve">(of which </w:t>
            </w:r>
            <w:r w:rsidRPr="00950CB3">
              <w:rPr>
                <w:szCs w:val="20"/>
              </w:rPr>
              <w:t>71,450</w:t>
            </w:r>
            <w:r>
              <w:rPr>
                <w:szCs w:val="20"/>
              </w:rPr>
              <w:t xml:space="preserve"> (19%) we</w:t>
            </w:r>
            <w:r w:rsidR="005E279B" w:rsidRPr="005048F5">
              <w:rPr>
                <w:szCs w:val="20"/>
              </w:rPr>
              <w:t>re recurrent)</w:t>
            </w:r>
          </w:p>
        </w:tc>
        <w:tc>
          <w:tcPr>
            <w:tcW w:w="850" w:type="pct"/>
            <w:vAlign w:val="center"/>
          </w:tcPr>
          <w:p w:rsidR="005E279B" w:rsidRPr="005048F5" w:rsidRDefault="005E279B" w:rsidP="005E279B">
            <w:pPr>
              <w:pStyle w:val="Tabletext"/>
              <w:keepNext/>
              <w:jc w:val="center"/>
              <w:rPr>
                <w:rStyle w:val="TableText0"/>
              </w:rPr>
            </w:pPr>
            <w:r w:rsidRPr="005048F5">
              <w:rPr>
                <w:szCs w:val="20"/>
              </w:rPr>
              <w:t>-</w:t>
            </w:r>
            <w:r w:rsidRPr="00950CB3">
              <w:rPr>
                <w:szCs w:val="20"/>
              </w:rPr>
              <w:t>208,955</w:t>
            </w:r>
          </w:p>
        </w:tc>
      </w:tr>
      <w:tr w:rsidR="00AB6A1D" w:rsidRPr="008B348A" w:rsidTr="00AB6A1D">
        <w:tc>
          <w:tcPr>
            <w:tcW w:w="796" w:type="pct"/>
            <w:vAlign w:val="center"/>
          </w:tcPr>
          <w:p w:rsidR="005E279B" w:rsidRPr="005048F5" w:rsidRDefault="005E279B" w:rsidP="005E279B">
            <w:pPr>
              <w:pStyle w:val="Tabletext"/>
              <w:keepNext/>
            </w:pPr>
            <w:r w:rsidRPr="005048F5">
              <w:t>PHN cases</w:t>
            </w:r>
          </w:p>
        </w:tc>
        <w:tc>
          <w:tcPr>
            <w:tcW w:w="1638" w:type="pct"/>
            <w:vAlign w:val="center"/>
          </w:tcPr>
          <w:p w:rsidR="005E279B" w:rsidRPr="00950CB3" w:rsidRDefault="005E279B" w:rsidP="005E279B">
            <w:pPr>
              <w:pStyle w:val="Tabletext"/>
              <w:keepNext/>
              <w:jc w:val="center"/>
              <w:rPr>
                <w:szCs w:val="20"/>
              </w:rPr>
            </w:pPr>
            <w:r w:rsidRPr="00950CB3">
              <w:rPr>
                <w:szCs w:val="20"/>
              </w:rPr>
              <w:t>41,133</w:t>
            </w:r>
          </w:p>
        </w:tc>
        <w:tc>
          <w:tcPr>
            <w:tcW w:w="1716" w:type="pct"/>
            <w:vAlign w:val="center"/>
          </w:tcPr>
          <w:p w:rsidR="005E279B" w:rsidRPr="00950CB3" w:rsidRDefault="005E279B" w:rsidP="005E279B">
            <w:pPr>
              <w:pStyle w:val="Tabletext"/>
              <w:keepNext/>
              <w:jc w:val="center"/>
              <w:rPr>
                <w:szCs w:val="20"/>
              </w:rPr>
            </w:pPr>
            <w:r w:rsidRPr="00950CB3">
              <w:rPr>
                <w:szCs w:val="20"/>
              </w:rPr>
              <w:t>79,957</w:t>
            </w:r>
          </w:p>
        </w:tc>
        <w:tc>
          <w:tcPr>
            <w:tcW w:w="850" w:type="pct"/>
            <w:vAlign w:val="center"/>
          </w:tcPr>
          <w:p w:rsidR="005E279B" w:rsidRPr="00950CB3" w:rsidRDefault="005E279B" w:rsidP="005E279B">
            <w:pPr>
              <w:pStyle w:val="Tabletext"/>
              <w:keepNext/>
              <w:jc w:val="center"/>
              <w:rPr>
                <w:szCs w:val="20"/>
              </w:rPr>
            </w:pPr>
            <w:r w:rsidRPr="00950CB3">
              <w:rPr>
                <w:szCs w:val="20"/>
              </w:rPr>
              <w:t>-38,824</w:t>
            </w:r>
          </w:p>
        </w:tc>
      </w:tr>
      <w:tr w:rsidR="00310A4D" w:rsidRPr="008B348A" w:rsidTr="00AB6A1D">
        <w:tc>
          <w:tcPr>
            <w:tcW w:w="796" w:type="pct"/>
            <w:vAlign w:val="center"/>
          </w:tcPr>
          <w:p w:rsidR="00310A4D" w:rsidRPr="005048F5" w:rsidRDefault="00310A4D" w:rsidP="00E2457C">
            <w:pPr>
              <w:pStyle w:val="Tabletext"/>
              <w:keepNext/>
              <w:rPr>
                <w:rFonts w:ascii="Times" w:hAnsi="Times"/>
              </w:rPr>
            </w:pPr>
            <w:r w:rsidRPr="005048F5">
              <w:t>QALYs</w:t>
            </w:r>
          </w:p>
        </w:tc>
        <w:tc>
          <w:tcPr>
            <w:tcW w:w="1638" w:type="pct"/>
            <w:vAlign w:val="center"/>
          </w:tcPr>
          <w:p w:rsidR="00310A4D" w:rsidRPr="005048F5" w:rsidRDefault="00310A4D" w:rsidP="00E2457C">
            <w:pPr>
              <w:pStyle w:val="Tabletext"/>
              <w:keepNext/>
              <w:jc w:val="center"/>
              <w:rPr>
                <w:rFonts w:ascii="Times" w:hAnsi="Times"/>
              </w:rPr>
            </w:pPr>
            <w:r w:rsidRPr="005048F5">
              <w:rPr>
                <w:rStyle w:val="TableText0"/>
              </w:rPr>
              <w:t>11,668,204</w:t>
            </w:r>
          </w:p>
        </w:tc>
        <w:tc>
          <w:tcPr>
            <w:tcW w:w="1716" w:type="pct"/>
            <w:vAlign w:val="center"/>
          </w:tcPr>
          <w:p w:rsidR="00310A4D" w:rsidRPr="005048F5" w:rsidRDefault="00310A4D" w:rsidP="00E2457C">
            <w:pPr>
              <w:pStyle w:val="Tabletext"/>
              <w:keepNext/>
              <w:jc w:val="center"/>
              <w:rPr>
                <w:rFonts w:ascii="Times" w:hAnsi="Times"/>
              </w:rPr>
            </w:pPr>
            <w:r w:rsidRPr="005048F5">
              <w:rPr>
                <w:rStyle w:val="TableText0"/>
              </w:rPr>
              <w:t>11,660,781</w:t>
            </w:r>
          </w:p>
        </w:tc>
        <w:tc>
          <w:tcPr>
            <w:tcW w:w="850" w:type="pct"/>
            <w:vAlign w:val="center"/>
          </w:tcPr>
          <w:p w:rsidR="00310A4D" w:rsidRPr="005048F5" w:rsidRDefault="00310A4D" w:rsidP="00E2457C">
            <w:pPr>
              <w:pStyle w:val="Tabletext"/>
              <w:keepNext/>
              <w:jc w:val="center"/>
            </w:pPr>
            <w:r w:rsidRPr="005048F5">
              <w:rPr>
                <w:rStyle w:val="TableText0"/>
              </w:rPr>
              <w:t>7,423</w:t>
            </w:r>
          </w:p>
        </w:tc>
      </w:tr>
      <w:tr w:rsidR="00310A4D" w:rsidRPr="008B348A" w:rsidTr="00AB6A1D">
        <w:tc>
          <w:tcPr>
            <w:tcW w:w="4150" w:type="pct"/>
            <w:gridSpan w:val="3"/>
            <w:vAlign w:val="center"/>
          </w:tcPr>
          <w:p w:rsidR="00310A4D" w:rsidRPr="005048F5" w:rsidRDefault="00310A4D" w:rsidP="00E2457C">
            <w:pPr>
              <w:pStyle w:val="Tabletext"/>
              <w:keepNext/>
              <w:rPr>
                <w:rFonts w:ascii="Times" w:hAnsi="Times"/>
                <w:snapToGrid w:val="0"/>
              </w:rPr>
            </w:pPr>
            <w:r w:rsidRPr="005048F5">
              <w:t>Incremental cost/extra QALY gained</w:t>
            </w:r>
          </w:p>
        </w:tc>
        <w:tc>
          <w:tcPr>
            <w:tcW w:w="850"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r w:rsidR="00310A4D" w:rsidRPr="008B348A" w:rsidTr="002F5C45">
        <w:tc>
          <w:tcPr>
            <w:tcW w:w="5000" w:type="pct"/>
            <w:gridSpan w:val="4"/>
            <w:vAlign w:val="center"/>
          </w:tcPr>
          <w:p w:rsidR="00310A4D" w:rsidRPr="005048F5" w:rsidRDefault="00310A4D" w:rsidP="00E2457C">
            <w:pPr>
              <w:pStyle w:val="Tabletext"/>
              <w:keepNext/>
              <w:rPr>
                <w:b/>
                <w:snapToGrid w:val="0"/>
              </w:rPr>
            </w:pPr>
            <w:r w:rsidRPr="005048F5">
              <w:rPr>
                <w:b/>
                <w:snapToGrid w:val="0"/>
              </w:rPr>
              <w:t>70 year olds</w:t>
            </w:r>
          </w:p>
        </w:tc>
      </w:tr>
      <w:tr w:rsidR="00310A4D" w:rsidRPr="008B348A" w:rsidTr="00AB6A1D">
        <w:tc>
          <w:tcPr>
            <w:tcW w:w="796" w:type="pct"/>
            <w:vAlign w:val="center"/>
          </w:tcPr>
          <w:p w:rsidR="00310A4D" w:rsidRPr="005048F5" w:rsidRDefault="00310A4D" w:rsidP="00E2457C">
            <w:pPr>
              <w:pStyle w:val="Tabletext"/>
              <w:keepNext/>
              <w:rPr>
                <w:rFonts w:ascii="Times" w:hAnsi="Times"/>
              </w:rPr>
            </w:pPr>
            <w:r w:rsidRPr="005048F5">
              <w:t>Costs</w:t>
            </w:r>
          </w:p>
        </w:tc>
        <w:tc>
          <w:tcPr>
            <w:tcW w:w="1638"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1716"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850"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r w:rsidR="00AB6A1D" w:rsidRPr="008B348A" w:rsidTr="00AB6A1D">
        <w:tc>
          <w:tcPr>
            <w:tcW w:w="796" w:type="pct"/>
            <w:vAlign w:val="center"/>
          </w:tcPr>
          <w:p w:rsidR="005E279B" w:rsidRPr="005048F5" w:rsidRDefault="005E279B" w:rsidP="005E279B">
            <w:pPr>
              <w:pStyle w:val="Tabletext"/>
              <w:keepNext/>
            </w:pPr>
            <w:r w:rsidRPr="005048F5">
              <w:t>HZ cases</w:t>
            </w:r>
          </w:p>
        </w:tc>
        <w:tc>
          <w:tcPr>
            <w:tcW w:w="1638" w:type="pct"/>
            <w:vAlign w:val="center"/>
          </w:tcPr>
          <w:p w:rsidR="00AB6A1D" w:rsidRPr="00950CB3" w:rsidRDefault="005E279B" w:rsidP="00AB6A1D">
            <w:pPr>
              <w:pStyle w:val="Tabletext"/>
              <w:keepNext/>
              <w:jc w:val="center"/>
              <w:rPr>
                <w:szCs w:val="20"/>
              </w:rPr>
            </w:pPr>
            <w:r w:rsidRPr="00950CB3">
              <w:rPr>
                <w:szCs w:val="20"/>
              </w:rPr>
              <w:t xml:space="preserve">120,073 </w:t>
            </w:r>
          </w:p>
          <w:p w:rsidR="005E279B" w:rsidRPr="005048F5" w:rsidRDefault="00AB6A1D" w:rsidP="00AB6A1D">
            <w:pPr>
              <w:pStyle w:val="Tabletext"/>
              <w:keepNext/>
              <w:jc w:val="center"/>
              <w:rPr>
                <w:rStyle w:val="TableText0"/>
              </w:rPr>
            </w:pPr>
            <w:r w:rsidRPr="005048F5">
              <w:rPr>
                <w:szCs w:val="20"/>
              </w:rPr>
              <w:t>(o</w:t>
            </w:r>
            <w:r w:rsidR="00E24CEA">
              <w:rPr>
                <w:szCs w:val="20"/>
              </w:rPr>
              <w:t xml:space="preserve">f which </w:t>
            </w:r>
            <w:r w:rsidR="00E24CEA" w:rsidRPr="00950CB3">
              <w:rPr>
                <w:szCs w:val="20"/>
              </w:rPr>
              <w:t>13,809</w:t>
            </w:r>
            <w:r w:rsidR="00E24CEA">
              <w:rPr>
                <w:szCs w:val="20"/>
              </w:rPr>
              <w:t xml:space="preserve"> (12%) we</w:t>
            </w:r>
            <w:r w:rsidR="005E279B" w:rsidRPr="005048F5">
              <w:rPr>
                <w:szCs w:val="20"/>
              </w:rPr>
              <w:t>re recurrent)</w:t>
            </w:r>
          </w:p>
        </w:tc>
        <w:tc>
          <w:tcPr>
            <w:tcW w:w="1716" w:type="pct"/>
            <w:vAlign w:val="center"/>
          </w:tcPr>
          <w:p w:rsidR="00AB6A1D" w:rsidRPr="00950CB3" w:rsidRDefault="005E279B" w:rsidP="005E279B">
            <w:pPr>
              <w:pStyle w:val="Tabletext"/>
              <w:keepNext/>
              <w:jc w:val="center"/>
              <w:rPr>
                <w:szCs w:val="20"/>
              </w:rPr>
            </w:pPr>
            <w:r w:rsidRPr="00950CB3">
              <w:rPr>
                <w:szCs w:val="20"/>
              </w:rPr>
              <w:t xml:space="preserve">239,529 </w:t>
            </w:r>
          </w:p>
          <w:p w:rsidR="005E279B" w:rsidRPr="005048F5" w:rsidRDefault="00E24CEA" w:rsidP="005E279B">
            <w:pPr>
              <w:pStyle w:val="Tabletext"/>
              <w:keepNext/>
              <w:jc w:val="center"/>
              <w:rPr>
                <w:rStyle w:val="TableText0"/>
              </w:rPr>
            </w:pPr>
            <w:r>
              <w:rPr>
                <w:szCs w:val="20"/>
              </w:rPr>
              <w:t xml:space="preserve">(of which </w:t>
            </w:r>
            <w:r w:rsidRPr="00950CB3">
              <w:rPr>
                <w:szCs w:val="20"/>
              </w:rPr>
              <w:t>32,580</w:t>
            </w:r>
            <w:r>
              <w:rPr>
                <w:szCs w:val="20"/>
              </w:rPr>
              <w:t xml:space="preserve"> (14%) we</w:t>
            </w:r>
            <w:r w:rsidR="005E279B" w:rsidRPr="005048F5">
              <w:rPr>
                <w:szCs w:val="20"/>
              </w:rPr>
              <w:t>re recurrent)</w:t>
            </w:r>
          </w:p>
        </w:tc>
        <w:tc>
          <w:tcPr>
            <w:tcW w:w="850" w:type="pct"/>
            <w:vAlign w:val="center"/>
          </w:tcPr>
          <w:p w:rsidR="005E279B" w:rsidRPr="005048F5" w:rsidRDefault="005E279B" w:rsidP="005E279B">
            <w:pPr>
              <w:pStyle w:val="Tabletext"/>
              <w:keepNext/>
              <w:jc w:val="center"/>
              <w:rPr>
                <w:rStyle w:val="TableText0"/>
              </w:rPr>
            </w:pPr>
            <w:r w:rsidRPr="005048F5">
              <w:rPr>
                <w:szCs w:val="20"/>
              </w:rPr>
              <w:t>-</w:t>
            </w:r>
            <w:r w:rsidRPr="00950CB3">
              <w:rPr>
                <w:szCs w:val="20"/>
              </w:rPr>
              <w:t>119,456</w:t>
            </w:r>
          </w:p>
        </w:tc>
      </w:tr>
      <w:tr w:rsidR="00AB6A1D" w:rsidRPr="008B348A" w:rsidTr="00AB6A1D">
        <w:tc>
          <w:tcPr>
            <w:tcW w:w="796" w:type="pct"/>
            <w:vAlign w:val="center"/>
          </w:tcPr>
          <w:p w:rsidR="005E279B" w:rsidRPr="005048F5" w:rsidRDefault="005E279B" w:rsidP="005E279B">
            <w:pPr>
              <w:pStyle w:val="Tabletext"/>
              <w:keepNext/>
            </w:pPr>
            <w:r w:rsidRPr="005048F5">
              <w:t>PHN cases</w:t>
            </w:r>
          </w:p>
        </w:tc>
        <w:tc>
          <w:tcPr>
            <w:tcW w:w="1638" w:type="pct"/>
            <w:vAlign w:val="center"/>
          </w:tcPr>
          <w:p w:rsidR="005E279B" w:rsidRPr="00950CB3" w:rsidRDefault="005E279B" w:rsidP="005E279B">
            <w:pPr>
              <w:pStyle w:val="Tabletext"/>
              <w:keepNext/>
              <w:jc w:val="center"/>
              <w:rPr>
                <w:rStyle w:val="TableText0"/>
              </w:rPr>
            </w:pPr>
            <w:r w:rsidRPr="00950CB3">
              <w:rPr>
                <w:szCs w:val="20"/>
              </w:rPr>
              <w:t>29,902</w:t>
            </w:r>
          </w:p>
        </w:tc>
        <w:tc>
          <w:tcPr>
            <w:tcW w:w="1716" w:type="pct"/>
            <w:vAlign w:val="center"/>
          </w:tcPr>
          <w:p w:rsidR="005E279B" w:rsidRPr="00950CB3" w:rsidRDefault="005E279B" w:rsidP="005E279B">
            <w:pPr>
              <w:pStyle w:val="Tabletext"/>
              <w:keepNext/>
              <w:jc w:val="center"/>
              <w:rPr>
                <w:rStyle w:val="TableText0"/>
              </w:rPr>
            </w:pPr>
            <w:r w:rsidRPr="00950CB3">
              <w:rPr>
                <w:szCs w:val="20"/>
              </w:rPr>
              <w:t>46,009</w:t>
            </w:r>
          </w:p>
        </w:tc>
        <w:tc>
          <w:tcPr>
            <w:tcW w:w="850" w:type="pct"/>
            <w:vAlign w:val="center"/>
          </w:tcPr>
          <w:p w:rsidR="005E279B" w:rsidRPr="00950CB3" w:rsidRDefault="005E279B" w:rsidP="005E279B">
            <w:pPr>
              <w:pStyle w:val="Tabletext"/>
              <w:keepNext/>
              <w:jc w:val="center"/>
              <w:rPr>
                <w:rStyle w:val="TableText0"/>
              </w:rPr>
            </w:pPr>
            <w:r w:rsidRPr="00950CB3">
              <w:rPr>
                <w:szCs w:val="20"/>
              </w:rPr>
              <w:t>-16,107</w:t>
            </w:r>
          </w:p>
        </w:tc>
      </w:tr>
      <w:tr w:rsidR="00310A4D" w:rsidRPr="008B348A" w:rsidTr="00AB6A1D">
        <w:tc>
          <w:tcPr>
            <w:tcW w:w="796" w:type="pct"/>
            <w:vAlign w:val="center"/>
          </w:tcPr>
          <w:p w:rsidR="00310A4D" w:rsidRPr="005048F5" w:rsidRDefault="00310A4D" w:rsidP="00E2457C">
            <w:pPr>
              <w:pStyle w:val="Tabletext"/>
              <w:keepNext/>
              <w:rPr>
                <w:rFonts w:ascii="Times" w:hAnsi="Times"/>
              </w:rPr>
            </w:pPr>
            <w:r w:rsidRPr="005048F5">
              <w:t>QALYs</w:t>
            </w:r>
          </w:p>
        </w:tc>
        <w:tc>
          <w:tcPr>
            <w:tcW w:w="1638" w:type="pct"/>
            <w:vAlign w:val="center"/>
          </w:tcPr>
          <w:p w:rsidR="00310A4D" w:rsidRPr="005048F5" w:rsidRDefault="00310A4D" w:rsidP="00E2457C">
            <w:pPr>
              <w:pStyle w:val="Tabletext"/>
              <w:keepNext/>
              <w:jc w:val="center"/>
              <w:rPr>
                <w:rFonts w:ascii="Times" w:hAnsi="Times"/>
              </w:rPr>
            </w:pPr>
            <w:r w:rsidRPr="005048F5">
              <w:rPr>
                <w:rStyle w:val="TableText0"/>
              </w:rPr>
              <w:t>8,935,909</w:t>
            </w:r>
          </w:p>
        </w:tc>
        <w:tc>
          <w:tcPr>
            <w:tcW w:w="1716" w:type="pct"/>
            <w:vAlign w:val="center"/>
          </w:tcPr>
          <w:p w:rsidR="00310A4D" w:rsidRPr="005048F5" w:rsidRDefault="00310A4D" w:rsidP="00E2457C">
            <w:pPr>
              <w:pStyle w:val="Tabletext"/>
              <w:keepNext/>
              <w:jc w:val="center"/>
              <w:rPr>
                <w:rFonts w:ascii="Times" w:hAnsi="Times"/>
              </w:rPr>
            </w:pPr>
            <w:r w:rsidRPr="005048F5">
              <w:rPr>
                <w:rStyle w:val="TableText0"/>
              </w:rPr>
              <w:t>8,931,883</w:t>
            </w:r>
          </w:p>
        </w:tc>
        <w:tc>
          <w:tcPr>
            <w:tcW w:w="850" w:type="pct"/>
            <w:vAlign w:val="center"/>
          </w:tcPr>
          <w:p w:rsidR="00310A4D" w:rsidRPr="005048F5" w:rsidRDefault="00310A4D" w:rsidP="00E2457C">
            <w:pPr>
              <w:pStyle w:val="Tabletext"/>
              <w:keepNext/>
              <w:jc w:val="center"/>
            </w:pPr>
            <w:r w:rsidRPr="005048F5">
              <w:rPr>
                <w:rStyle w:val="TableText0"/>
              </w:rPr>
              <w:t>4,026</w:t>
            </w:r>
          </w:p>
        </w:tc>
      </w:tr>
      <w:tr w:rsidR="00310A4D" w:rsidRPr="008B348A" w:rsidTr="00AB6A1D">
        <w:tc>
          <w:tcPr>
            <w:tcW w:w="4150" w:type="pct"/>
            <w:gridSpan w:val="3"/>
            <w:vAlign w:val="center"/>
          </w:tcPr>
          <w:p w:rsidR="00310A4D" w:rsidRPr="005048F5" w:rsidRDefault="00310A4D" w:rsidP="00E2457C">
            <w:pPr>
              <w:pStyle w:val="Tabletext"/>
              <w:keepNext/>
              <w:rPr>
                <w:rFonts w:ascii="Times" w:hAnsi="Times"/>
              </w:rPr>
            </w:pPr>
            <w:r w:rsidRPr="005048F5">
              <w:t>Incremental cost/extra QALY gained</w:t>
            </w:r>
          </w:p>
        </w:tc>
        <w:tc>
          <w:tcPr>
            <w:tcW w:w="850"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r w:rsidR="00310A4D" w:rsidRPr="008B348A" w:rsidTr="002F5C45">
        <w:tc>
          <w:tcPr>
            <w:tcW w:w="5000" w:type="pct"/>
            <w:gridSpan w:val="4"/>
            <w:vAlign w:val="center"/>
          </w:tcPr>
          <w:p w:rsidR="00310A4D" w:rsidRPr="005048F5" w:rsidRDefault="00310A4D" w:rsidP="00E2457C">
            <w:pPr>
              <w:pStyle w:val="Tabletext"/>
              <w:keepNext/>
              <w:rPr>
                <w:b/>
                <w:snapToGrid w:val="0"/>
              </w:rPr>
            </w:pPr>
            <w:r w:rsidRPr="005048F5">
              <w:rPr>
                <w:b/>
                <w:snapToGrid w:val="0"/>
              </w:rPr>
              <w:t>80 year olds</w:t>
            </w:r>
          </w:p>
        </w:tc>
      </w:tr>
      <w:tr w:rsidR="00310A4D" w:rsidRPr="008B348A" w:rsidTr="00AB6A1D">
        <w:tc>
          <w:tcPr>
            <w:tcW w:w="796" w:type="pct"/>
            <w:vAlign w:val="center"/>
          </w:tcPr>
          <w:p w:rsidR="00310A4D" w:rsidRPr="005048F5" w:rsidRDefault="00310A4D" w:rsidP="00E2457C">
            <w:pPr>
              <w:pStyle w:val="Tabletext"/>
              <w:keepNext/>
              <w:rPr>
                <w:rFonts w:ascii="Times" w:hAnsi="Times"/>
              </w:rPr>
            </w:pPr>
            <w:r w:rsidRPr="005048F5">
              <w:t>Costs</w:t>
            </w:r>
          </w:p>
        </w:tc>
        <w:tc>
          <w:tcPr>
            <w:tcW w:w="1638"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1716"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c>
          <w:tcPr>
            <w:tcW w:w="850" w:type="pct"/>
            <w:vAlign w:val="center"/>
          </w:tcPr>
          <w:p w:rsidR="00310A4D" w:rsidRPr="005048F5" w:rsidRDefault="00310A4D" w:rsidP="00E2457C">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r w:rsidR="00AB6A1D" w:rsidRPr="008B348A" w:rsidTr="00AB6A1D">
        <w:tc>
          <w:tcPr>
            <w:tcW w:w="796" w:type="pct"/>
            <w:vAlign w:val="center"/>
          </w:tcPr>
          <w:p w:rsidR="005E279B" w:rsidRPr="005048F5" w:rsidRDefault="005E279B" w:rsidP="005E279B">
            <w:pPr>
              <w:pStyle w:val="Tabletext"/>
              <w:keepNext/>
            </w:pPr>
            <w:r w:rsidRPr="005048F5">
              <w:t>HZ cases</w:t>
            </w:r>
          </w:p>
        </w:tc>
        <w:tc>
          <w:tcPr>
            <w:tcW w:w="1638" w:type="pct"/>
            <w:vAlign w:val="center"/>
          </w:tcPr>
          <w:p w:rsidR="00AB6A1D" w:rsidRPr="005048F5" w:rsidRDefault="005E279B" w:rsidP="005E279B">
            <w:pPr>
              <w:pStyle w:val="Tabletext"/>
              <w:keepNext/>
              <w:jc w:val="center"/>
              <w:rPr>
                <w:szCs w:val="20"/>
              </w:rPr>
            </w:pPr>
            <w:r w:rsidRPr="00950CB3">
              <w:rPr>
                <w:szCs w:val="20"/>
              </w:rPr>
              <w:t>47,597</w:t>
            </w:r>
            <w:r w:rsidRPr="005048F5">
              <w:rPr>
                <w:szCs w:val="20"/>
              </w:rPr>
              <w:t xml:space="preserve"> </w:t>
            </w:r>
          </w:p>
          <w:p w:rsidR="005E279B" w:rsidRPr="005048F5" w:rsidRDefault="00E24CEA" w:rsidP="005E279B">
            <w:pPr>
              <w:pStyle w:val="Tabletext"/>
              <w:keepNext/>
              <w:jc w:val="center"/>
              <w:rPr>
                <w:rStyle w:val="TableText0"/>
              </w:rPr>
            </w:pPr>
            <w:r>
              <w:rPr>
                <w:szCs w:val="20"/>
              </w:rPr>
              <w:t xml:space="preserve">(of which </w:t>
            </w:r>
            <w:r w:rsidRPr="00950CB3">
              <w:rPr>
                <w:szCs w:val="20"/>
              </w:rPr>
              <w:t>3,834</w:t>
            </w:r>
            <w:r>
              <w:rPr>
                <w:szCs w:val="20"/>
              </w:rPr>
              <w:t xml:space="preserve"> (8%) we</w:t>
            </w:r>
            <w:r w:rsidR="005E279B" w:rsidRPr="005048F5">
              <w:rPr>
                <w:szCs w:val="20"/>
              </w:rPr>
              <w:t>re recurrent)</w:t>
            </w:r>
          </w:p>
        </w:tc>
        <w:tc>
          <w:tcPr>
            <w:tcW w:w="1716" w:type="pct"/>
            <w:vAlign w:val="center"/>
          </w:tcPr>
          <w:p w:rsidR="00AB6A1D" w:rsidRPr="00950CB3" w:rsidRDefault="005E279B" w:rsidP="005E279B">
            <w:pPr>
              <w:pStyle w:val="Tabletext"/>
              <w:keepNext/>
              <w:jc w:val="center"/>
              <w:rPr>
                <w:szCs w:val="20"/>
              </w:rPr>
            </w:pPr>
            <w:r w:rsidRPr="00950CB3">
              <w:rPr>
                <w:szCs w:val="20"/>
              </w:rPr>
              <w:t xml:space="preserve">164,331 </w:t>
            </w:r>
          </w:p>
          <w:p w:rsidR="005E279B" w:rsidRPr="005048F5" w:rsidRDefault="00E24CEA" w:rsidP="005E279B">
            <w:pPr>
              <w:pStyle w:val="Tabletext"/>
              <w:keepNext/>
              <w:jc w:val="center"/>
              <w:rPr>
                <w:rStyle w:val="TableText0"/>
              </w:rPr>
            </w:pPr>
            <w:r>
              <w:rPr>
                <w:szCs w:val="20"/>
              </w:rPr>
              <w:t xml:space="preserve">(of which </w:t>
            </w:r>
            <w:r w:rsidRPr="00950CB3">
              <w:rPr>
                <w:szCs w:val="20"/>
              </w:rPr>
              <w:t>16,231</w:t>
            </w:r>
            <w:r>
              <w:rPr>
                <w:szCs w:val="20"/>
              </w:rPr>
              <w:t xml:space="preserve"> (10%) we</w:t>
            </w:r>
            <w:r w:rsidR="005E279B" w:rsidRPr="005048F5">
              <w:rPr>
                <w:szCs w:val="20"/>
              </w:rPr>
              <w:t>re recurrent)</w:t>
            </w:r>
          </w:p>
        </w:tc>
        <w:tc>
          <w:tcPr>
            <w:tcW w:w="850" w:type="pct"/>
            <w:vAlign w:val="center"/>
          </w:tcPr>
          <w:p w:rsidR="005E279B" w:rsidRPr="005048F5" w:rsidRDefault="005E279B" w:rsidP="005E279B">
            <w:pPr>
              <w:pStyle w:val="Tabletext"/>
              <w:keepNext/>
              <w:jc w:val="center"/>
              <w:rPr>
                <w:rStyle w:val="TableText0"/>
              </w:rPr>
            </w:pPr>
            <w:r w:rsidRPr="00950CB3">
              <w:rPr>
                <w:szCs w:val="20"/>
              </w:rPr>
              <w:t>-116,734</w:t>
            </w:r>
          </w:p>
        </w:tc>
      </w:tr>
      <w:tr w:rsidR="00AB6A1D" w:rsidRPr="008B348A" w:rsidTr="00AB6A1D">
        <w:tc>
          <w:tcPr>
            <w:tcW w:w="796" w:type="pct"/>
            <w:vAlign w:val="center"/>
          </w:tcPr>
          <w:p w:rsidR="005E279B" w:rsidRPr="005048F5" w:rsidRDefault="005E279B" w:rsidP="005E279B">
            <w:pPr>
              <w:pStyle w:val="Tabletext"/>
              <w:keepNext/>
            </w:pPr>
            <w:r w:rsidRPr="005048F5">
              <w:t>PHN cases</w:t>
            </w:r>
          </w:p>
        </w:tc>
        <w:tc>
          <w:tcPr>
            <w:tcW w:w="1638" w:type="pct"/>
            <w:vAlign w:val="center"/>
          </w:tcPr>
          <w:p w:rsidR="005E279B" w:rsidRPr="00950CB3" w:rsidRDefault="005E279B" w:rsidP="005E279B">
            <w:pPr>
              <w:pStyle w:val="Tabletext"/>
              <w:keepNext/>
              <w:jc w:val="center"/>
              <w:rPr>
                <w:rStyle w:val="TableText0"/>
              </w:rPr>
            </w:pPr>
            <w:r w:rsidRPr="00950CB3">
              <w:rPr>
                <w:szCs w:val="20"/>
              </w:rPr>
              <w:t>12,375</w:t>
            </w:r>
          </w:p>
        </w:tc>
        <w:tc>
          <w:tcPr>
            <w:tcW w:w="1716" w:type="pct"/>
            <w:vAlign w:val="center"/>
          </w:tcPr>
          <w:p w:rsidR="005E279B" w:rsidRPr="00950CB3" w:rsidRDefault="005E279B" w:rsidP="005E279B">
            <w:pPr>
              <w:pStyle w:val="Tabletext"/>
              <w:keepNext/>
              <w:jc w:val="center"/>
              <w:rPr>
                <w:rStyle w:val="TableText0"/>
              </w:rPr>
            </w:pPr>
            <w:r w:rsidRPr="00950CB3">
              <w:rPr>
                <w:szCs w:val="20"/>
              </w:rPr>
              <w:t>42,726</w:t>
            </w:r>
          </w:p>
        </w:tc>
        <w:tc>
          <w:tcPr>
            <w:tcW w:w="850" w:type="pct"/>
            <w:vAlign w:val="center"/>
          </w:tcPr>
          <w:p w:rsidR="005E279B" w:rsidRPr="00950CB3" w:rsidRDefault="005E279B" w:rsidP="005E279B">
            <w:pPr>
              <w:pStyle w:val="Tabletext"/>
              <w:keepNext/>
              <w:jc w:val="center"/>
              <w:rPr>
                <w:rStyle w:val="TableText0"/>
              </w:rPr>
            </w:pPr>
            <w:r w:rsidRPr="00950CB3">
              <w:rPr>
                <w:szCs w:val="20"/>
              </w:rPr>
              <w:t>-30,351</w:t>
            </w:r>
          </w:p>
        </w:tc>
      </w:tr>
      <w:tr w:rsidR="005E279B" w:rsidRPr="008B348A" w:rsidTr="00AB6A1D">
        <w:tc>
          <w:tcPr>
            <w:tcW w:w="796" w:type="pct"/>
            <w:vAlign w:val="center"/>
          </w:tcPr>
          <w:p w:rsidR="005E279B" w:rsidRPr="005048F5" w:rsidRDefault="005E279B" w:rsidP="005E279B">
            <w:pPr>
              <w:pStyle w:val="Tabletext"/>
              <w:keepNext/>
              <w:rPr>
                <w:rFonts w:ascii="Times" w:hAnsi="Times"/>
              </w:rPr>
            </w:pPr>
            <w:r w:rsidRPr="005048F5">
              <w:t>QALYs</w:t>
            </w:r>
          </w:p>
        </w:tc>
        <w:tc>
          <w:tcPr>
            <w:tcW w:w="1638" w:type="pct"/>
            <w:vAlign w:val="center"/>
          </w:tcPr>
          <w:p w:rsidR="005E279B" w:rsidRPr="005048F5" w:rsidRDefault="005E279B" w:rsidP="005E279B">
            <w:pPr>
              <w:pStyle w:val="Tabletext"/>
              <w:keepNext/>
              <w:jc w:val="center"/>
              <w:rPr>
                <w:rFonts w:ascii="Times" w:hAnsi="Times"/>
              </w:rPr>
            </w:pPr>
            <w:r w:rsidRPr="005048F5">
              <w:rPr>
                <w:rStyle w:val="TableText0"/>
              </w:rPr>
              <w:t>5,652,413</w:t>
            </w:r>
          </w:p>
        </w:tc>
        <w:tc>
          <w:tcPr>
            <w:tcW w:w="1716" w:type="pct"/>
            <w:vAlign w:val="center"/>
          </w:tcPr>
          <w:p w:rsidR="005E279B" w:rsidRPr="005048F5" w:rsidRDefault="005E279B" w:rsidP="005E279B">
            <w:pPr>
              <w:pStyle w:val="Tabletext"/>
              <w:keepNext/>
              <w:jc w:val="center"/>
              <w:rPr>
                <w:rFonts w:ascii="Times" w:hAnsi="Times"/>
              </w:rPr>
            </w:pPr>
            <w:r w:rsidRPr="005048F5">
              <w:rPr>
                <w:rStyle w:val="TableText0"/>
              </w:rPr>
              <w:t>5,645,029</w:t>
            </w:r>
          </w:p>
        </w:tc>
        <w:tc>
          <w:tcPr>
            <w:tcW w:w="850" w:type="pct"/>
            <w:vAlign w:val="center"/>
          </w:tcPr>
          <w:p w:rsidR="005E279B" w:rsidRPr="005048F5" w:rsidRDefault="005E279B" w:rsidP="005E279B">
            <w:pPr>
              <w:pStyle w:val="Tabletext"/>
              <w:keepNext/>
              <w:jc w:val="center"/>
            </w:pPr>
            <w:r w:rsidRPr="005048F5">
              <w:rPr>
                <w:rStyle w:val="TableText0"/>
              </w:rPr>
              <w:t>7,384</w:t>
            </w:r>
          </w:p>
        </w:tc>
      </w:tr>
      <w:tr w:rsidR="005E279B" w:rsidRPr="008B348A" w:rsidTr="00AB6A1D">
        <w:tc>
          <w:tcPr>
            <w:tcW w:w="4150" w:type="pct"/>
            <w:gridSpan w:val="3"/>
            <w:vAlign w:val="center"/>
          </w:tcPr>
          <w:p w:rsidR="005E279B" w:rsidRPr="005048F5" w:rsidRDefault="005E279B" w:rsidP="005E279B">
            <w:pPr>
              <w:pStyle w:val="Tabletext"/>
              <w:keepNext/>
              <w:rPr>
                <w:rFonts w:ascii="Times" w:hAnsi="Times"/>
              </w:rPr>
            </w:pPr>
            <w:r w:rsidRPr="005048F5">
              <w:t>Incremental cost/extra QALY gained</w:t>
            </w:r>
          </w:p>
        </w:tc>
        <w:tc>
          <w:tcPr>
            <w:tcW w:w="850" w:type="pct"/>
            <w:vAlign w:val="center"/>
          </w:tcPr>
          <w:p w:rsidR="005E279B" w:rsidRPr="005048F5" w:rsidRDefault="005E279B" w:rsidP="005E279B">
            <w:pPr>
              <w:pStyle w:val="Tabletext"/>
              <w:keepNext/>
              <w:jc w:val="center"/>
              <w:rPr>
                <w:rFonts w:ascii="Times" w:hAnsi="Times"/>
              </w:rPr>
            </w:pPr>
            <w:r w:rsidRPr="005048F5">
              <w:rPr>
                <w:rStyle w:val="TableText0"/>
              </w:rPr>
              <w:t>$</w:t>
            </w:r>
            <w:r w:rsidR="0020540A">
              <w:rPr>
                <w:rStyle w:val="TableText0"/>
                <w:noProof/>
                <w:color w:val="000000"/>
                <w:highlight w:val="black"/>
              </w:rPr>
              <w:t>'''''''''''''''</w:t>
            </w:r>
          </w:p>
        </w:tc>
      </w:tr>
    </w:tbl>
    <w:p w:rsidR="00E77743" w:rsidRDefault="00E77743" w:rsidP="005A373D">
      <w:pPr>
        <w:pStyle w:val="TableFooter"/>
      </w:pPr>
      <w:r>
        <w:t>HZ: her</w:t>
      </w:r>
      <w:r w:rsidR="00744F50">
        <w:t>pes zoster; HZ/</w:t>
      </w:r>
      <w:proofErr w:type="spellStart"/>
      <w:r w:rsidR="00744F50">
        <w:t>su</w:t>
      </w:r>
      <w:proofErr w:type="spellEnd"/>
      <w:r w:rsidR="00744F50">
        <w:t>: recombinant varicella zoster vaccine;</w:t>
      </w:r>
      <w:r>
        <w:t xml:space="preserve"> </w:t>
      </w:r>
      <w:r w:rsidR="00744F50">
        <w:t xml:space="preserve">PHN: post-herpetic neuralgia; </w:t>
      </w:r>
      <w:r>
        <w:t>QALY</w:t>
      </w:r>
      <w:r w:rsidR="00744F50">
        <w:t>:</w:t>
      </w:r>
      <w:r>
        <w:t xml:space="preserve"> quality adjusted life year</w:t>
      </w:r>
    </w:p>
    <w:p w:rsidR="005A373D" w:rsidRDefault="005A373D" w:rsidP="005A373D">
      <w:pPr>
        <w:pStyle w:val="TableFooter"/>
      </w:pPr>
      <w:r w:rsidRPr="008B348A">
        <w:t xml:space="preserve">Source: </w:t>
      </w:r>
      <w:r w:rsidR="00310A4D" w:rsidRPr="008B348A">
        <w:t>Table 82 p159, table 86 p159 and table 90 p169 of the submission.</w:t>
      </w:r>
    </w:p>
    <w:p w:rsidR="00C83E14" w:rsidRPr="00970EA5" w:rsidRDefault="00C83E14" w:rsidP="00C83E14">
      <w:pPr>
        <w:pStyle w:val="TableFooter"/>
        <w:spacing w:before="120" w:after="120"/>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The redacted table shows ICERs in the range of $15,000/QALY - $45,000/QALY. </w:t>
      </w:r>
    </w:p>
    <w:p w:rsidR="00310A4D" w:rsidRPr="0098559C" w:rsidRDefault="00310A4D" w:rsidP="00ED2457">
      <w:pPr>
        <w:pStyle w:val="ListParagraph"/>
        <w:widowControl/>
        <w:numPr>
          <w:ilvl w:val="1"/>
          <w:numId w:val="2"/>
        </w:numPr>
      </w:pPr>
      <w:r w:rsidRPr="0098559C">
        <w:t xml:space="preserve">The results </w:t>
      </w:r>
      <w:r w:rsidR="00E24CEA">
        <w:t xml:space="preserve">of the economic evaluation </w:t>
      </w:r>
      <w:r w:rsidRPr="0098559C">
        <w:t>should be considered with caution</w:t>
      </w:r>
      <w:r w:rsidR="00E2457C" w:rsidRPr="0098559C">
        <w:t xml:space="preserve"> as</w:t>
      </w:r>
      <w:r w:rsidRPr="0098559C">
        <w:t>:</w:t>
      </w:r>
    </w:p>
    <w:p w:rsidR="00C80A45" w:rsidRPr="0098559C" w:rsidRDefault="00FA07C5" w:rsidP="00ED2457">
      <w:pPr>
        <w:pStyle w:val="ListParagraph"/>
        <w:widowControl/>
        <w:numPr>
          <w:ilvl w:val="2"/>
          <w:numId w:val="9"/>
        </w:numPr>
        <w:spacing w:before="40" w:after="40"/>
        <w:ind w:left="1077" w:hanging="357"/>
      </w:pPr>
      <w:r w:rsidRPr="0098559C">
        <w:t xml:space="preserve">The time horizon of the model was the </w:t>
      </w:r>
      <w:r w:rsidR="002126E0" w:rsidRPr="0098559C">
        <w:t>individuals</w:t>
      </w:r>
      <w:r w:rsidR="005243BA" w:rsidRPr="0098559C">
        <w:t>’</w:t>
      </w:r>
      <w:r w:rsidRPr="0098559C">
        <w:t xml:space="preserve"> lifetime</w:t>
      </w:r>
      <w:r w:rsidR="00DC26A1" w:rsidRPr="0098559C">
        <w:t xml:space="preserve"> (up to </w:t>
      </w:r>
      <w:r w:rsidR="00F2697A" w:rsidRPr="0098559C">
        <w:t>114</w:t>
      </w:r>
      <w:r w:rsidR="00DC26A1" w:rsidRPr="0098559C">
        <w:t xml:space="preserve"> years old)</w:t>
      </w:r>
      <w:r w:rsidRPr="0098559C">
        <w:t xml:space="preserve">. In comparison, the mean follow-up </w:t>
      </w:r>
      <w:r w:rsidR="00E24CEA">
        <w:t xml:space="preserve">in the ZOE trials </w:t>
      </w:r>
      <w:r w:rsidRPr="0098559C">
        <w:t>was 3.</w:t>
      </w:r>
      <w:r w:rsidR="00CC4714">
        <w:t>2</w:t>
      </w:r>
      <w:r w:rsidRPr="0098559C">
        <w:t xml:space="preserve"> </w:t>
      </w:r>
      <w:r w:rsidR="005048F5" w:rsidRPr="0098559C">
        <w:t xml:space="preserve">and </w:t>
      </w:r>
      <w:r w:rsidR="00FF7A0A" w:rsidRPr="0098559C">
        <w:t>3.7 years</w:t>
      </w:r>
      <w:r w:rsidRPr="0098559C">
        <w:t>. The long time horizon in the model introduce</w:t>
      </w:r>
      <w:r w:rsidR="00E24CEA">
        <w:t>d</w:t>
      </w:r>
      <w:r w:rsidRPr="0098559C">
        <w:t xml:space="preserve"> uncertainty </w:t>
      </w:r>
      <w:r w:rsidR="004A62C3" w:rsidRPr="0098559C">
        <w:t>surrounding</w:t>
      </w:r>
      <w:r w:rsidR="0012405B" w:rsidRPr="0098559C">
        <w:t xml:space="preserve"> </w:t>
      </w:r>
      <w:r w:rsidRPr="0098559C">
        <w:t xml:space="preserve">waning in the longer term. </w:t>
      </w:r>
      <w:r w:rsidR="005243BA" w:rsidRPr="0098559C">
        <w:t xml:space="preserve">The submission applied different rates </w:t>
      </w:r>
      <w:r w:rsidR="00426EDC">
        <w:t>that</w:t>
      </w:r>
      <w:r w:rsidR="00426EDC" w:rsidRPr="0098559C">
        <w:t xml:space="preserve"> </w:t>
      </w:r>
      <w:r w:rsidR="004A62C3" w:rsidRPr="0098559C">
        <w:t>were</w:t>
      </w:r>
      <w:r w:rsidR="005243BA" w:rsidRPr="0098559C">
        <w:t xml:space="preserve"> dependent on th</w:t>
      </w:r>
      <w:r w:rsidR="00900031" w:rsidRPr="0098559C">
        <w:t>e individual’</w:t>
      </w:r>
      <w:r w:rsidR="00CA6440" w:rsidRPr="0098559C">
        <w:t>s age in the model, and after 28</w:t>
      </w:r>
      <w:r w:rsidR="00E24CEA">
        <w:t xml:space="preserve"> to </w:t>
      </w:r>
      <w:r w:rsidR="00900031" w:rsidRPr="0098559C">
        <w:t>33 years</w:t>
      </w:r>
      <w:r w:rsidR="00AB6A1D" w:rsidRPr="0098559C">
        <w:t>,</w:t>
      </w:r>
      <w:r w:rsidR="00900031" w:rsidRPr="0098559C">
        <w:t xml:space="preserve"> vaccine efficacy was nil.</w:t>
      </w:r>
      <w:r w:rsidR="005243BA" w:rsidRPr="0098559C">
        <w:t xml:space="preserve"> </w:t>
      </w:r>
      <w:r w:rsidRPr="0098559C">
        <w:t>The ICER was sensitive to waning, especially</w:t>
      </w:r>
      <w:r w:rsidR="00D7582A" w:rsidRPr="0098559C">
        <w:t xml:space="preserve"> the rate applied when the </w:t>
      </w:r>
      <w:r w:rsidR="00763E84">
        <w:t>individual</w:t>
      </w:r>
      <w:r w:rsidR="00D7582A" w:rsidRPr="0098559C">
        <w:t xml:space="preserve"> reaches</w:t>
      </w:r>
      <w:r w:rsidRPr="0098559C">
        <w:t xml:space="preserve"> 70 years</w:t>
      </w:r>
      <w:r w:rsidR="00E24CEA">
        <w:t xml:space="preserve"> </w:t>
      </w:r>
      <w:r w:rsidR="00E24CEA" w:rsidRPr="0098559C">
        <w:t>(3.6% per year)</w:t>
      </w:r>
      <w:r w:rsidR="005048F5" w:rsidRPr="0098559C">
        <w:t xml:space="preserve"> </w:t>
      </w:r>
      <w:r w:rsidR="00E24CEA">
        <w:t xml:space="preserve">and </w:t>
      </w:r>
      <w:r w:rsidR="005048F5" w:rsidRPr="0098559C">
        <w:t>which remained uniform from this point</w:t>
      </w:r>
      <w:r w:rsidRPr="0098559C">
        <w:t>.</w:t>
      </w:r>
      <w:r w:rsidR="004A62C3" w:rsidRPr="0098559C">
        <w:t xml:space="preserve"> The PSCR conducted a sensitivity analysis in the 60 year old cohort based on the range obtained when the rate of waning once an individual reached 70 years was bootstrapped (base case = 3.6%; range: 1.4%, 6.6%). Applying th</w:t>
      </w:r>
      <w:r w:rsidR="00A53141" w:rsidRPr="0098559C">
        <w:t>is</w:t>
      </w:r>
      <w:r w:rsidR="004A62C3" w:rsidRPr="0098559C">
        <w:t xml:space="preserve"> range varied t</w:t>
      </w:r>
      <w:r w:rsidR="00CC7DB2" w:rsidRPr="0098559C">
        <w:t xml:space="preserve">he ICER from </w:t>
      </w:r>
      <w:r w:rsidR="00773690">
        <w:t xml:space="preserve">$15,000/QALY - $45,000/QALY </w:t>
      </w:r>
      <w:r w:rsidR="00CC7DB2" w:rsidRPr="0098559C">
        <w:t xml:space="preserve">to </w:t>
      </w:r>
      <w:r w:rsidR="00773690">
        <w:t>$15,000/QALY - $45,000/QALY</w:t>
      </w:r>
      <w:r w:rsidR="00773690" w:rsidRPr="0098559C" w:rsidDel="00773690">
        <w:t xml:space="preserve"> </w:t>
      </w:r>
      <w:r w:rsidR="00CC7DB2" w:rsidRPr="0098559C">
        <w:t xml:space="preserve">per </w:t>
      </w:r>
      <w:r w:rsidR="004A62C3" w:rsidRPr="0098559C">
        <w:t>QALY</w:t>
      </w:r>
      <w:r w:rsidR="00CC7DB2" w:rsidRPr="0098559C">
        <w:t xml:space="preserve"> gained</w:t>
      </w:r>
      <w:r w:rsidR="004A62C3" w:rsidRPr="0098559C">
        <w:t xml:space="preserve">, a difference of </w:t>
      </w:r>
      <w:r w:rsidR="004A62C3" w:rsidRPr="0098559C">
        <w:rPr>
          <w:rFonts w:cs="Calibri"/>
        </w:rPr>
        <w:t>±</w:t>
      </w:r>
      <w:r w:rsidR="00E24CEA">
        <w:rPr>
          <w:rFonts w:cs="Calibri"/>
        </w:rPr>
        <w:t xml:space="preserve"> </w:t>
      </w:r>
      <w:r w:rsidR="004A62C3" w:rsidRPr="0098559C">
        <w:t>25%.</w:t>
      </w:r>
      <w:r w:rsidR="00C55317">
        <w:t xml:space="preserve"> The PBAC noted the ICER was sensitive to the assumed rate of waning and considered the rates applied were uncertain.</w:t>
      </w:r>
      <w:r w:rsidR="00034E47">
        <w:t xml:space="preserve"> The PBAC considered that </w:t>
      </w:r>
      <w:r w:rsidR="00CF3A81">
        <w:t xml:space="preserve">the </w:t>
      </w:r>
      <w:r w:rsidR="00AA7431">
        <w:t xml:space="preserve">application of a </w:t>
      </w:r>
      <w:r w:rsidR="00CF3A81">
        <w:t xml:space="preserve">rate of waning for patients once they reached 70 years (3.6%), which was calculated using less than four years follow-up data from patients vaccinated at 70 years of age and over, created uncertainty. The PBAC </w:t>
      </w:r>
      <w:r w:rsidR="00AA7431">
        <w:t xml:space="preserve">were concerned that for patients vaccinated at 60 years of age, the rate of waning once they reach 70 years might differ from the rate </w:t>
      </w:r>
      <w:r w:rsidR="00034E47">
        <w:t>of</w:t>
      </w:r>
      <w:r w:rsidR="00AA7431">
        <w:t xml:space="preserve"> waning for those who</w:t>
      </w:r>
      <w:r w:rsidR="00034E47">
        <w:t xml:space="preserve"> </w:t>
      </w:r>
      <w:r w:rsidR="00AA7431">
        <w:t>were vaccinated at 70 years</w:t>
      </w:r>
      <w:r w:rsidR="00854017">
        <w:t xml:space="preserve">. The PBAC considered </w:t>
      </w:r>
      <w:r w:rsidR="00AA7431">
        <w:t xml:space="preserve">that the uncertainty of </w:t>
      </w:r>
      <w:r w:rsidR="00AA7431">
        <w:lastRenderedPageBreak/>
        <w:t xml:space="preserve">how waning would progress over the longer-term was not adequately addressed by the application of the bootstrapped range. </w:t>
      </w:r>
    </w:p>
    <w:p w:rsidR="005048F5" w:rsidRPr="0098559C" w:rsidRDefault="005048F5" w:rsidP="00ED2457">
      <w:pPr>
        <w:pStyle w:val="ListParagraph"/>
        <w:widowControl/>
        <w:numPr>
          <w:ilvl w:val="2"/>
          <w:numId w:val="9"/>
        </w:numPr>
        <w:spacing w:before="40" w:after="40"/>
        <w:ind w:left="1077" w:hanging="357"/>
      </w:pPr>
      <w:r w:rsidRPr="0098559C">
        <w:rPr>
          <w:szCs w:val="20"/>
        </w:rPr>
        <w:t>The ESC noted that the long-term rates of waning applied in the model were optimistic when compared to the short-term rates seen in the ZOE-50 trial (approximately 5.3% over 4 years, or 1.3% per year) and the ZOE-70 trial (approximately 12% over 4 years, or 3% per year)</w:t>
      </w:r>
      <w:r w:rsidR="004A62C3" w:rsidRPr="0098559C">
        <w:rPr>
          <w:szCs w:val="20"/>
        </w:rPr>
        <w:t xml:space="preserve"> and resulted in considerable uncertainty. The ESC suggested that the use of observed vaccine effica</w:t>
      </w:r>
      <w:r w:rsidR="00FD772C">
        <w:rPr>
          <w:szCs w:val="20"/>
        </w:rPr>
        <w:t>cy by age group and year up to Y</w:t>
      </w:r>
      <w:r w:rsidR="004A62C3" w:rsidRPr="0098559C">
        <w:rPr>
          <w:szCs w:val="20"/>
        </w:rPr>
        <w:t xml:space="preserve">ear 4, </w:t>
      </w:r>
      <w:r w:rsidR="004A235F" w:rsidRPr="0098559C">
        <w:rPr>
          <w:szCs w:val="20"/>
        </w:rPr>
        <w:t xml:space="preserve">with </w:t>
      </w:r>
      <w:r w:rsidR="00034E47">
        <w:rPr>
          <w:szCs w:val="20"/>
        </w:rPr>
        <w:t>assumed</w:t>
      </w:r>
      <w:r w:rsidR="00034E47" w:rsidRPr="0098559C">
        <w:rPr>
          <w:szCs w:val="20"/>
        </w:rPr>
        <w:t xml:space="preserve"> </w:t>
      </w:r>
      <w:r w:rsidR="004A235F" w:rsidRPr="0098559C">
        <w:rPr>
          <w:szCs w:val="20"/>
        </w:rPr>
        <w:t>rate</w:t>
      </w:r>
      <w:r w:rsidR="00034E47">
        <w:rPr>
          <w:szCs w:val="20"/>
        </w:rPr>
        <w:t>s</w:t>
      </w:r>
      <w:r w:rsidR="004A235F" w:rsidRPr="0098559C">
        <w:rPr>
          <w:szCs w:val="20"/>
        </w:rPr>
        <w:t xml:space="preserve"> </w:t>
      </w:r>
      <w:r w:rsidR="00FD772C">
        <w:rPr>
          <w:szCs w:val="20"/>
        </w:rPr>
        <w:t>applied from Y</w:t>
      </w:r>
      <w:r w:rsidR="004A62C3" w:rsidRPr="0098559C">
        <w:rPr>
          <w:szCs w:val="20"/>
        </w:rPr>
        <w:t>ear 5 could be informative.</w:t>
      </w:r>
      <w:r w:rsidRPr="0098559C">
        <w:t xml:space="preserve"> </w:t>
      </w:r>
      <w:r w:rsidR="00F81403">
        <w:t xml:space="preserve">The pre-PBAC Response considered that the rates calculated by ESC were similar to those used in the </w:t>
      </w:r>
      <w:r w:rsidR="00034E47">
        <w:t>model (</w:t>
      </w:r>
      <w:r w:rsidR="00CF3A81">
        <w:t>6</w:t>
      </w:r>
      <w:r w:rsidR="00034E47">
        <w:t>0-69 years: 1% annual waning rate</w:t>
      </w:r>
      <w:r w:rsidR="00C6279F">
        <w:t xml:space="preserve"> for the first four years post-vaccination, followed by a rate of 2.3% per year until 70 years; </w:t>
      </w:r>
      <w:r w:rsidR="00C6279F">
        <w:rPr>
          <w:rFonts w:cs="Calibri"/>
        </w:rPr>
        <w:t>≥</w:t>
      </w:r>
      <w:r w:rsidR="00C6279F">
        <w:t xml:space="preserve"> 70 years: 3.6% annual waning rate). </w:t>
      </w:r>
      <w:r w:rsidR="00A53E52">
        <w:t xml:space="preserve">As discussed in the dot-point above, the </w:t>
      </w:r>
      <w:r w:rsidR="00C6279F">
        <w:t>P</w:t>
      </w:r>
      <w:r w:rsidR="00A53E52">
        <w:t>BAC considered that the application of the short-term rate of waning for those aged 70 years and over in the longer-term was optimistic and did not capture the uncertainties surrounding how waning might progress.</w:t>
      </w:r>
    </w:p>
    <w:p w:rsidR="004E1966" w:rsidRPr="0098559C" w:rsidRDefault="004E1966" w:rsidP="00ED2457">
      <w:pPr>
        <w:pStyle w:val="ListParagraph"/>
        <w:widowControl/>
        <w:numPr>
          <w:ilvl w:val="2"/>
          <w:numId w:val="9"/>
        </w:numPr>
        <w:spacing w:before="40" w:after="40"/>
        <w:ind w:left="1077" w:hanging="357"/>
      </w:pPr>
      <w:r w:rsidRPr="0098559C">
        <w:t>The submission assumed that the cost of the live-HZ vaccine would be replaced</w:t>
      </w:r>
      <w:r w:rsidR="00FD772C">
        <w:t>;</w:t>
      </w:r>
      <w:r w:rsidRPr="0098559C">
        <w:t xml:space="preserve"> however</w:t>
      </w:r>
      <w:r w:rsidR="00FD772C">
        <w:t>,</w:t>
      </w:r>
      <w:r w:rsidRPr="0098559C">
        <w:t xml:space="preserve"> the proposed </w:t>
      </w:r>
      <w:r w:rsidR="00D7582A" w:rsidRPr="0098559C">
        <w:t xml:space="preserve">NIP listing for the </w:t>
      </w:r>
      <w:r w:rsidR="00E2457C" w:rsidRPr="0098559C">
        <w:t>HZ/</w:t>
      </w:r>
      <w:proofErr w:type="spellStart"/>
      <w:r w:rsidR="00E2457C" w:rsidRPr="0098559C">
        <w:t>su</w:t>
      </w:r>
      <w:proofErr w:type="spellEnd"/>
      <w:r w:rsidR="00E2457C" w:rsidRPr="0098559C">
        <w:t xml:space="preserve"> </w:t>
      </w:r>
      <w:r w:rsidR="00D7582A" w:rsidRPr="0098559C">
        <w:t>vaccine</w:t>
      </w:r>
      <w:r w:rsidRPr="0098559C">
        <w:t xml:space="preserve"> allows for re-vaccination of individuals w</w:t>
      </w:r>
      <w:r w:rsidR="00E2457C" w:rsidRPr="0098559C">
        <w:t xml:space="preserve">ho have received </w:t>
      </w:r>
      <w:r w:rsidRPr="0098559C">
        <w:t xml:space="preserve">the live-HZ vaccine. The submission did not </w:t>
      </w:r>
      <w:r w:rsidR="009B29FC" w:rsidRPr="0098559C">
        <w:t>estimate</w:t>
      </w:r>
      <w:r w:rsidR="00FF7A0A" w:rsidRPr="0098559C">
        <w:t xml:space="preserve"> the cost-effectiveness of re</w:t>
      </w:r>
      <w:r w:rsidR="00FF7A0A" w:rsidRPr="0098559C">
        <w:noBreakHyphen/>
      </w:r>
      <w:r w:rsidRPr="0098559C">
        <w:t>vaccinating</w:t>
      </w:r>
      <w:r w:rsidR="00401A9A" w:rsidRPr="0098559C">
        <w:t xml:space="preserve"> 70 year old</w:t>
      </w:r>
      <w:r w:rsidR="009B29FC" w:rsidRPr="0098559C">
        <w:t xml:space="preserve">s </w:t>
      </w:r>
      <w:r w:rsidRPr="0098559C">
        <w:t>with the HZ/</w:t>
      </w:r>
      <w:proofErr w:type="spellStart"/>
      <w:r w:rsidRPr="0098559C">
        <w:t>su</w:t>
      </w:r>
      <w:proofErr w:type="spellEnd"/>
      <w:r w:rsidRPr="0098559C">
        <w:t xml:space="preserve"> vaccine who had </w:t>
      </w:r>
      <w:r w:rsidR="00AB5CA0" w:rsidRPr="0098559C">
        <w:t>recently</w:t>
      </w:r>
      <w:r w:rsidRPr="0098559C">
        <w:t xml:space="preserve"> received the live-HZ vaccine.</w:t>
      </w:r>
      <w:r w:rsidR="005048F5" w:rsidRPr="0098559C">
        <w:t xml:space="preserve"> </w:t>
      </w:r>
      <w:r w:rsidR="005048F5" w:rsidRPr="0098559C">
        <w:rPr>
          <w:rFonts w:cs="Calibri"/>
        </w:rPr>
        <w:t>The PSCR argued that re-vaccination with the HZ/</w:t>
      </w:r>
      <w:proofErr w:type="spellStart"/>
      <w:r w:rsidR="005048F5" w:rsidRPr="0098559C">
        <w:rPr>
          <w:rFonts w:cs="Calibri"/>
        </w:rPr>
        <w:t>su</w:t>
      </w:r>
      <w:proofErr w:type="spellEnd"/>
      <w:r w:rsidR="005048F5" w:rsidRPr="0098559C">
        <w:rPr>
          <w:rFonts w:cs="Calibri"/>
        </w:rPr>
        <w:t xml:space="preserve"> vaccine immediately after </w:t>
      </w:r>
      <w:r w:rsidR="00A53E52">
        <w:rPr>
          <w:rFonts w:cs="Calibri"/>
        </w:rPr>
        <w:t xml:space="preserve">individuals received </w:t>
      </w:r>
      <w:r w:rsidR="005048F5" w:rsidRPr="0098559C">
        <w:rPr>
          <w:rFonts w:cs="Calibri"/>
        </w:rPr>
        <w:t>the live-HZ vaccine (</w:t>
      </w:r>
      <w:proofErr w:type="spellStart"/>
      <w:r w:rsidR="005048F5" w:rsidRPr="0098559C">
        <w:rPr>
          <w:rFonts w:cs="Calibri"/>
        </w:rPr>
        <w:t>Zostavax</w:t>
      </w:r>
      <w:proofErr w:type="spellEnd"/>
      <w:r w:rsidR="005048F5" w:rsidRPr="0098559C">
        <w:rPr>
          <w:rFonts w:cs="Calibri"/>
        </w:rPr>
        <w:t xml:space="preserve">) </w:t>
      </w:r>
      <w:r w:rsidR="00A53E52">
        <w:rPr>
          <w:rFonts w:cs="Calibri"/>
        </w:rPr>
        <w:t xml:space="preserve">would be </w:t>
      </w:r>
      <w:r w:rsidR="005048F5" w:rsidRPr="0098559C">
        <w:rPr>
          <w:rFonts w:cs="Calibri"/>
        </w:rPr>
        <w:t xml:space="preserve">unrealistic </w:t>
      </w:r>
      <w:r w:rsidR="00A53E52">
        <w:rPr>
          <w:rFonts w:cs="Calibri"/>
        </w:rPr>
        <w:t>for</w:t>
      </w:r>
      <w:r w:rsidR="00A53E52" w:rsidRPr="0098559C">
        <w:rPr>
          <w:rFonts w:cs="Calibri"/>
        </w:rPr>
        <w:t xml:space="preserve"> </w:t>
      </w:r>
      <w:r w:rsidR="005048F5" w:rsidRPr="0098559C">
        <w:rPr>
          <w:rFonts w:cs="Calibri"/>
        </w:rPr>
        <w:t>a population immunisation program</w:t>
      </w:r>
      <w:r w:rsidR="00A46CF3">
        <w:rPr>
          <w:rFonts w:cs="Calibri"/>
        </w:rPr>
        <w:t>, and considered</w:t>
      </w:r>
      <w:r w:rsidR="005048F5" w:rsidRPr="0098559C">
        <w:rPr>
          <w:rFonts w:cs="Calibri"/>
        </w:rPr>
        <w:t xml:space="preserve"> </w:t>
      </w:r>
      <w:r w:rsidR="00A46CF3">
        <w:rPr>
          <w:rFonts w:cs="Calibri"/>
        </w:rPr>
        <w:t>a</w:t>
      </w:r>
      <w:r w:rsidR="005048F5" w:rsidRPr="0098559C">
        <w:rPr>
          <w:rFonts w:cs="Calibri"/>
        </w:rPr>
        <w:t xml:space="preserve"> more </w:t>
      </w:r>
      <w:r w:rsidR="00A53E52">
        <w:rPr>
          <w:rFonts w:cs="Calibri"/>
        </w:rPr>
        <w:t xml:space="preserve">appropriate </w:t>
      </w:r>
      <w:r w:rsidR="005048F5" w:rsidRPr="0098559C">
        <w:rPr>
          <w:rFonts w:cs="Calibri"/>
        </w:rPr>
        <w:t xml:space="preserve">analysis would </w:t>
      </w:r>
      <w:r w:rsidR="00A46CF3">
        <w:rPr>
          <w:rFonts w:cs="Calibri"/>
        </w:rPr>
        <w:t>be based on</w:t>
      </w:r>
      <w:r w:rsidR="00A46CF3" w:rsidRPr="0098559C">
        <w:rPr>
          <w:rFonts w:cs="Calibri"/>
        </w:rPr>
        <w:t xml:space="preserve"> </w:t>
      </w:r>
      <w:r w:rsidR="005048F5" w:rsidRPr="0098559C">
        <w:rPr>
          <w:rFonts w:cs="Calibri"/>
        </w:rPr>
        <w:t xml:space="preserve">the waning estimates </w:t>
      </w:r>
      <w:r w:rsidR="00A53E52">
        <w:rPr>
          <w:rFonts w:cs="Calibri"/>
        </w:rPr>
        <w:t>of</w:t>
      </w:r>
      <w:r w:rsidR="00A53E52" w:rsidRPr="0098559C">
        <w:rPr>
          <w:rFonts w:cs="Calibri"/>
        </w:rPr>
        <w:t xml:space="preserve"> </w:t>
      </w:r>
      <w:r w:rsidR="005048F5" w:rsidRPr="0098559C">
        <w:rPr>
          <w:rFonts w:cs="Calibri"/>
        </w:rPr>
        <w:t>the live-HZ vaccine</w:t>
      </w:r>
      <w:r w:rsidR="00A53E52">
        <w:rPr>
          <w:rFonts w:cs="Calibri"/>
        </w:rPr>
        <w:t xml:space="preserve">. The PSCR </w:t>
      </w:r>
      <w:r w:rsidR="00A46CF3">
        <w:rPr>
          <w:rFonts w:cs="Calibri"/>
        </w:rPr>
        <w:t>suggested</w:t>
      </w:r>
      <w:r w:rsidR="00A46CF3" w:rsidRPr="0098559C">
        <w:rPr>
          <w:rFonts w:cs="Calibri"/>
        </w:rPr>
        <w:t xml:space="preserve"> </w:t>
      </w:r>
      <w:r w:rsidR="005048F5" w:rsidRPr="0098559C">
        <w:rPr>
          <w:rFonts w:cs="Calibri"/>
        </w:rPr>
        <w:t>a re-vaccination program five years after the initial vaccination</w:t>
      </w:r>
      <w:r w:rsidR="00A53E52">
        <w:rPr>
          <w:rFonts w:cs="Calibri"/>
        </w:rPr>
        <w:t>, which</w:t>
      </w:r>
      <w:r w:rsidR="004A62C3" w:rsidRPr="0098559C">
        <w:rPr>
          <w:rFonts w:cs="Calibri"/>
        </w:rPr>
        <w:t xml:space="preserve"> resulted in an ICER of </w:t>
      </w:r>
      <w:r w:rsidR="00773690">
        <w:t>$15,000/QALY - $45,000/QALY</w:t>
      </w:r>
      <w:r w:rsidR="00773690" w:rsidRPr="0098559C" w:rsidDel="00773690">
        <w:rPr>
          <w:rFonts w:cs="Calibri"/>
        </w:rPr>
        <w:t xml:space="preserve"> </w:t>
      </w:r>
      <w:r w:rsidR="004A62C3" w:rsidRPr="0098559C">
        <w:rPr>
          <w:rFonts w:cs="Calibri"/>
        </w:rPr>
        <w:t>for those aged 70 years</w:t>
      </w:r>
      <w:r w:rsidR="005048F5" w:rsidRPr="0098559C">
        <w:rPr>
          <w:rFonts w:cs="Calibri"/>
        </w:rPr>
        <w:t>.</w:t>
      </w:r>
      <w:r w:rsidR="000E7B6E">
        <w:rPr>
          <w:rFonts w:cs="Calibri"/>
        </w:rPr>
        <w:t xml:space="preserve"> </w:t>
      </w:r>
      <w:r w:rsidR="00A46CF3">
        <w:rPr>
          <w:rFonts w:cs="Calibri"/>
        </w:rPr>
        <w:t xml:space="preserve">This ICER was unable to be verified. </w:t>
      </w:r>
      <w:r w:rsidR="0011733A">
        <w:rPr>
          <w:rFonts w:cs="Calibri"/>
        </w:rPr>
        <w:t>Given the improved effectiveness of the HZ/</w:t>
      </w:r>
      <w:proofErr w:type="spellStart"/>
      <w:r w:rsidR="0011733A">
        <w:rPr>
          <w:rFonts w:cs="Calibri"/>
        </w:rPr>
        <w:t>su</w:t>
      </w:r>
      <w:proofErr w:type="spellEnd"/>
      <w:r w:rsidR="0011733A">
        <w:rPr>
          <w:rFonts w:cs="Calibri"/>
        </w:rPr>
        <w:t xml:space="preserve"> vaccine, the </w:t>
      </w:r>
      <w:r w:rsidR="000E7B6E" w:rsidRPr="00A53E52">
        <w:rPr>
          <w:rFonts w:cs="Calibri"/>
        </w:rPr>
        <w:t xml:space="preserve">PBAC </w:t>
      </w:r>
      <w:r w:rsidR="0011733A" w:rsidRPr="00A53E52">
        <w:rPr>
          <w:rFonts w:cs="Calibri"/>
        </w:rPr>
        <w:t>considered that re-vaccination was likely</w:t>
      </w:r>
      <w:r w:rsidR="000E7B6E" w:rsidRPr="00A53E52">
        <w:rPr>
          <w:rFonts w:cs="Calibri"/>
        </w:rPr>
        <w:t>.</w:t>
      </w:r>
    </w:p>
    <w:p w:rsidR="0012405B" w:rsidRPr="0098559C" w:rsidRDefault="0012405B" w:rsidP="0012405B">
      <w:pPr>
        <w:pStyle w:val="ListParagraph"/>
        <w:widowControl/>
        <w:numPr>
          <w:ilvl w:val="2"/>
          <w:numId w:val="9"/>
        </w:numPr>
        <w:spacing w:before="40" w:after="40"/>
        <w:ind w:left="1077" w:hanging="357"/>
      </w:pPr>
      <w:r w:rsidRPr="0098559C">
        <w:t>The submission assumed that VE</w:t>
      </w:r>
      <w:r w:rsidRPr="0098559C">
        <w:rPr>
          <w:vertAlign w:val="subscript"/>
        </w:rPr>
        <w:t>PHN</w:t>
      </w:r>
      <w:r w:rsidR="00FD772C">
        <w:t xml:space="preserve"> wa</w:t>
      </w:r>
      <w:r w:rsidRPr="0098559C">
        <w:t>s the same as VE</w:t>
      </w:r>
      <w:r w:rsidRPr="0098559C">
        <w:rPr>
          <w:vertAlign w:val="subscript"/>
        </w:rPr>
        <w:t>HZ.</w:t>
      </w:r>
      <w:r w:rsidRPr="0098559C">
        <w:t xml:space="preserve"> The impact </w:t>
      </w:r>
      <w:r w:rsidR="00FD772C">
        <w:t>of this on the ICER wa</w:t>
      </w:r>
      <w:r w:rsidRPr="0098559C">
        <w:t>s unknown.</w:t>
      </w:r>
      <w:r w:rsidR="00F34194">
        <w:t xml:space="preserve"> The PBAC </w:t>
      </w:r>
      <w:r w:rsidR="00670679">
        <w:t>considered</w:t>
      </w:r>
      <w:r w:rsidR="00854017">
        <w:t>,</w:t>
      </w:r>
      <w:r w:rsidR="00F34194">
        <w:t xml:space="preserve"> </w:t>
      </w:r>
      <w:r w:rsidR="00670679">
        <w:t>as the VE</w:t>
      </w:r>
      <w:r w:rsidR="00670679" w:rsidRPr="00670679">
        <w:rPr>
          <w:vertAlign w:val="subscript"/>
        </w:rPr>
        <w:t>PHN</w:t>
      </w:r>
      <w:r w:rsidR="00670679">
        <w:t xml:space="preserve"> results from the ZOE trials were uncertain due to a lack of powering and a </w:t>
      </w:r>
      <w:r w:rsidR="00F34194">
        <w:t>small number of PHN events</w:t>
      </w:r>
      <w:r w:rsidR="00670679">
        <w:t xml:space="preserve">. </w:t>
      </w:r>
    </w:p>
    <w:p w:rsidR="0012405B" w:rsidRPr="0098559C" w:rsidRDefault="0012405B" w:rsidP="00ED2457">
      <w:pPr>
        <w:pStyle w:val="ListParagraph"/>
        <w:widowControl/>
        <w:numPr>
          <w:ilvl w:val="2"/>
          <w:numId w:val="9"/>
        </w:numPr>
        <w:spacing w:before="40" w:after="40"/>
        <w:ind w:left="1077" w:hanging="357"/>
      </w:pPr>
      <w:r w:rsidRPr="0098559C">
        <w:t xml:space="preserve">The </w:t>
      </w:r>
      <w:r w:rsidR="00FD772C">
        <w:t xml:space="preserve">baseline </w:t>
      </w:r>
      <w:r w:rsidRPr="0098559C">
        <w:t>incidence</w:t>
      </w:r>
      <w:r w:rsidR="00FD772C">
        <w:t>s</w:t>
      </w:r>
      <w:r w:rsidRPr="0098559C">
        <w:t xml:space="preserve"> of HZ and PHN were based on BEACH data</w:t>
      </w:r>
      <w:r w:rsidR="00FD772C">
        <w:t>,</w:t>
      </w:r>
      <w:r w:rsidRPr="0098559C">
        <w:t xml:space="preserve"> rather than the placebo arms of the ZOE trials</w:t>
      </w:r>
      <w:r w:rsidR="000A7F7F">
        <w:t xml:space="preserve"> (see Table 16)</w:t>
      </w:r>
      <w:r w:rsidRPr="0098559C">
        <w:t xml:space="preserve">. Although the ESC agreed that it was reasonable to use BEACH data, the effect on the ICER was significant – using trial rates increased the ICER in the 60 year old cohort </w:t>
      </w:r>
      <w:r w:rsidR="00A46CF3" w:rsidRPr="00670679">
        <w:t xml:space="preserve">from </w:t>
      </w:r>
      <w:r w:rsidR="00773690">
        <w:t xml:space="preserve">$15,000/QALY - $45,000/QALY </w:t>
      </w:r>
      <w:r w:rsidRPr="0098559C">
        <w:t xml:space="preserve">to </w:t>
      </w:r>
      <w:r w:rsidR="00773690">
        <w:t>$75,000/QALY - $105,000/QALY</w:t>
      </w:r>
      <w:r w:rsidR="00CC7DB2" w:rsidRPr="0098559C">
        <w:t>.</w:t>
      </w:r>
      <w:r w:rsidR="00F81403">
        <w:t xml:space="preserve"> The pre-PBAC Response reiterated that the BEACH data was the most valid source as it evaluated the impact of the vaccine on the Australian population.</w:t>
      </w:r>
      <w:r w:rsidR="00C55317">
        <w:t xml:space="preserve"> The PBAC considered the </w:t>
      </w:r>
      <w:r w:rsidR="00670679">
        <w:t xml:space="preserve">use of </w:t>
      </w:r>
      <w:r w:rsidR="00C55317">
        <w:t>baseline incidence</w:t>
      </w:r>
      <w:r w:rsidR="00670679">
        <w:t>s of HZ and PHN</w:t>
      </w:r>
      <w:r w:rsidR="00C55317">
        <w:t xml:space="preserve"> in the model </w:t>
      </w:r>
      <w:r w:rsidR="00670679">
        <w:t xml:space="preserve">that were </w:t>
      </w:r>
      <w:r w:rsidR="00C55317">
        <w:t xml:space="preserve">substantially higher than </w:t>
      </w:r>
      <w:r w:rsidR="00670679">
        <w:t xml:space="preserve">those </w:t>
      </w:r>
      <w:r w:rsidR="00C55317">
        <w:t>in the trial w</w:t>
      </w:r>
      <w:r w:rsidR="00670679">
        <w:t>as</w:t>
      </w:r>
      <w:r w:rsidR="00C55317">
        <w:t xml:space="preserve"> not adequately justified.  </w:t>
      </w:r>
    </w:p>
    <w:p w:rsidR="00426EDC" w:rsidRPr="000A7F7F" w:rsidRDefault="00426EDC" w:rsidP="00426EDC">
      <w:pPr>
        <w:pStyle w:val="TableHeading0"/>
        <w:spacing w:after="0"/>
        <w:rPr>
          <w:b w:val="0"/>
        </w:rPr>
      </w:pPr>
      <w:r w:rsidRPr="000A7F7F">
        <w:rPr>
          <w:rStyle w:val="CommentReference"/>
          <w:b/>
        </w:rPr>
        <w:lastRenderedPageBreak/>
        <w:t>Table 16: Incidence of HZ and PHN comparison from economic model versus clinical trial data</w:t>
      </w:r>
    </w:p>
    <w:tbl>
      <w:tblPr>
        <w:tblStyle w:val="TableGrid"/>
        <w:tblW w:w="5000" w:type="pct"/>
        <w:tblLook w:val="04A0" w:firstRow="1" w:lastRow="0" w:firstColumn="1" w:lastColumn="0" w:noHBand="0" w:noVBand="1"/>
        <w:tblCaption w:val="Incidence of HZ and PHN comparison from economic model versus clinical trial data"/>
      </w:tblPr>
      <w:tblGrid>
        <w:gridCol w:w="2935"/>
        <w:gridCol w:w="3043"/>
        <w:gridCol w:w="3042"/>
      </w:tblGrid>
      <w:tr w:rsidR="00426EDC" w:rsidRPr="0098559C" w:rsidTr="00651FFE">
        <w:tc>
          <w:tcPr>
            <w:tcW w:w="1627" w:type="pct"/>
          </w:tcPr>
          <w:p w:rsidR="00426EDC" w:rsidRPr="0098559C" w:rsidRDefault="00426EDC" w:rsidP="00270C22">
            <w:pPr>
              <w:pStyle w:val="Tabletext"/>
              <w:keepNext/>
              <w:rPr>
                <w:b/>
              </w:rPr>
            </w:pPr>
          </w:p>
        </w:tc>
        <w:tc>
          <w:tcPr>
            <w:tcW w:w="1687" w:type="pct"/>
          </w:tcPr>
          <w:p w:rsidR="00426EDC" w:rsidRPr="0098559C" w:rsidRDefault="00426EDC" w:rsidP="00270C22">
            <w:pPr>
              <w:pStyle w:val="Tabletext"/>
              <w:keepNext/>
              <w:rPr>
                <w:b/>
              </w:rPr>
            </w:pPr>
            <w:r w:rsidRPr="0098559C">
              <w:rPr>
                <w:b/>
              </w:rPr>
              <w:t>Incidence of HZ</w:t>
            </w:r>
          </w:p>
        </w:tc>
        <w:tc>
          <w:tcPr>
            <w:tcW w:w="1686" w:type="pct"/>
          </w:tcPr>
          <w:p w:rsidR="00426EDC" w:rsidRPr="0098559C" w:rsidRDefault="00426EDC" w:rsidP="00270C22">
            <w:pPr>
              <w:pStyle w:val="Tabletext"/>
              <w:keepNext/>
              <w:rPr>
                <w:b/>
              </w:rPr>
            </w:pPr>
            <w:r w:rsidRPr="0098559C">
              <w:rPr>
                <w:b/>
              </w:rPr>
              <w:t>Incidence of PHN given HZ</w:t>
            </w:r>
          </w:p>
        </w:tc>
      </w:tr>
      <w:tr w:rsidR="00426EDC" w:rsidRPr="0098559C" w:rsidTr="00651FFE">
        <w:tc>
          <w:tcPr>
            <w:tcW w:w="1627" w:type="pct"/>
          </w:tcPr>
          <w:p w:rsidR="00426EDC" w:rsidRPr="0098559C" w:rsidRDefault="00426EDC" w:rsidP="00270C22">
            <w:pPr>
              <w:pStyle w:val="Tabletext"/>
              <w:keepNext/>
            </w:pPr>
            <w:proofErr w:type="spellStart"/>
            <w:r w:rsidRPr="0098559C">
              <w:t>MacIntyre</w:t>
            </w:r>
            <w:proofErr w:type="spellEnd"/>
            <w:r w:rsidRPr="0098559C">
              <w:t xml:space="preserve"> et al 2015, BEACH data</w:t>
            </w:r>
          </w:p>
          <w:p w:rsidR="00426EDC" w:rsidRPr="0098559C" w:rsidRDefault="00426EDC" w:rsidP="00270C22">
            <w:pPr>
              <w:pStyle w:val="Tabletext"/>
              <w:keepNext/>
            </w:pPr>
            <w:r w:rsidRPr="0098559C">
              <w:t>(Economic model)</w:t>
            </w:r>
          </w:p>
        </w:tc>
        <w:tc>
          <w:tcPr>
            <w:tcW w:w="1687" w:type="pct"/>
          </w:tcPr>
          <w:p w:rsidR="00426EDC" w:rsidRPr="0098559C" w:rsidRDefault="00426EDC" w:rsidP="00270C22">
            <w:pPr>
              <w:pStyle w:val="Tabletext"/>
              <w:keepNext/>
            </w:pPr>
            <w:r w:rsidRPr="0098559C">
              <w:t>60</w:t>
            </w:r>
            <w:r w:rsidRPr="0098559C">
              <w:rPr>
                <w:rFonts w:ascii="Arial" w:hAnsi="Arial" w:cs="Arial"/>
              </w:rPr>
              <w:t>‒</w:t>
            </w:r>
            <w:r w:rsidRPr="0098559C">
              <w:t>64</w:t>
            </w:r>
            <w:r w:rsidRPr="0098559C">
              <w:tab/>
              <w:t>1.3600%</w:t>
            </w:r>
          </w:p>
          <w:p w:rsidR="00426EDC" w:rsidRPr="0098559C" w:rsidRDefault="00426EDC" w:rsidP="00270C22">
            <w:pPr>
              <w:pStyle w:val="Tabletext"/>
              <w:keepNext/>
            </w:pPr>
            <w:r w:rsidRPr="0098559C">
              <w:t>65</w:t>
            </w:r>
            <w:r w:rsidRPr="0098559C">
              <w:rPr>
                <w:rFonts w:ascii="Arial" w:hAnsi="Arial" w:cs="Arial"/>
              </w:rPr>
              <w:t>‒</w:t>
            </w:r>
            <w:r w:rsidRPr="0098559C">
              <w:t>69</w:t>
            </w:r>
            <w:r w:rsidRPr="0098559C">
              <w:tab/>
              <w:t>1.3600%</w:t>
            </w:r>
          </w:p>
          <w:p w:rsidR="00426EDC" w:rsidRPr="0098559C" w:rsidRDefault="00426EDC" w:rsidP="00270C22">
            <w:pPr>
              <w:pStyle w:val="Tabletext"/>
              <w:keepNext/>
            </w:pPr>
            <w:r w:rsidRPr="0098559C">
              <w:t>70</w:t>
            </w:r>
            <w:r w:rsidRPr="0098559C">
              <w:rPr>
                <w:rFonts w:ascii="Arial" w:hAnsi="Arial" w:cs="Arial"/>
              </w:rPr>
              <w:t>‒</w:t>
            </w:r>
            <w:r w:rsidRPr="0098559C">
              <w:t>79</w:t>
            </w:r>
            <w:r w:rsidRPr="0098559C">
              <w:tab/>
              <w:t>1.5300%</w:t>
            </w:r>
          </w:p>
          <w:p w:rsidR="00426EDC" w:rsidRPr="0098559C" w:rsidRDefault="00426EDC" w:rsidP="00270C22">
            <w:pPr>
              <w:pStyle w:val="Tabletext"/>
              <w:keepNext/>
            </w:pPr>
            <w:r w:rsidRPr="0098559C">
              <w:t>≥80</w:t>
            </w:r>
            <w:r w:rsidRPr="0098559C">
              <w:tab/>
              <w:t>1.9000%</w:t>
            </w:r>
          </w:p>
        </w:tc>
        <w:tc>
          <w:tcPr>
            <w:tcW w:w="1686" w:type="pct"/>
          </w:tcPr>
          <w:p w:rsidR="00426EDC" w:rsidRPr="0098559C" w:rsidRDefault="00426EDC" w:rsidP="00270C22">
            <w:pPr>
              <w:pStyle w:val="Tabletext"/>
              <w:keepNext/>
            </w:pPr>
            <w:r w:rsidRPr="0098559C">
              <w:t>60</w:t>
            </w:r>
            <w:r w:rsidRPr="0098559C">
              <w:rPr>
                <w:rFonts w:ascii="Arial" w:hAnsi="Arial" w:cs="Arial"/>
              </w:rPr>
              <w:t>‒</w:t>
            </w:r>
            <w:r w:rsidRPr="0098559C">
              <w:t>64</w:t>
            </w:r>
            <w:r w:rsidRPr="0098559C">
              <w:tab/>
              <w:t>15%</w:t>
            </w:r>
          </w:p>
          <w:p w:rsidR="00426EDC" w:rsidRPr="0098559C" w:rsidRDefault="00426EDC" w:rsidP="00270C22">
            <w:pPr>
              <w:pStyle w:val="Tabletext"/>
              <w:keepNext/>
            </w:pPr>
            <w:r w:rsidRPr="0098559C">
              <w:t>65</w:t>
            </w:r>
            <w:r w:rsidRPr="0098559C">
              <w:rPr>
                <w:rFonts w:ascii="Arial" w:hAnsi="Arial" w:cs="Arial"/>
              </w:rPr>
              <w:t>‒</w:t>
            </w:r>
            <w:r w:rsidRPr="0098559C">
              <w:t>69</w:t>
            </w:r>
            <w:r w:rsidRPr="0098559C">
              <w:tab/>
              <w:t>15%</w:t>
            </w:r>
          </w:p>
          <w:p w:rsidR="00426EDC" w:rsidRPr="0098559C" w:rsidRDefault="00426EDC" w:rsidP="00270C22">
            <w:pPr>
              <w:pStyle w:val="Tabletext"/>
              <w:keepNext/>
            </w:pPr>
            <w:r w:rsidRPr="0098559C">
              <w:t>70</w:t>
            </w:r>
            <w:r w:rsidRPr="0098559C">
              <w:rPr>
                <w:rFonts w:ascii="Arial" w:hAnsi="Arial" w:cs="Arial"/>
              </w:rPr>
              <w:t>‒</w:t>
            </w:r>
            <w:r w:rsidRPr="0098559C">
              <w:t>79</w:t>
            </w:r>
            <w:r w:rsidRPr="0098559C">
              <w:tab/>
              <w:t>22%</w:t>
            </w:r>
          </w:p>
          <w:p w:rsidR="00426EDC" w:rsidRPr="0098559C" w:rsidRDefault="00426EDC" w:rsidP="00270C22">
            <w:pPr>
              <w:pStyle w:val="Tabletext"/>
              <w:keepNext/>
            </w:pPr>
            <w:r w:rsidRPr="0098559C">
              <w:t>≥80</w:t>
            </w:r>
            <w:r w:rsidRPr="0098559C">
              <w:tab/>
              <w:t>26%</w:t>
            </w:r>
          </w:p>
        </w:tc>
      </w:tr>
      <w:tr w:rsidR="00426EDC" w:rsidRPr="0098559C" w:rsidTr="00651FFE">
        <w:tc>
          <w:tcPr>
            <w:tcW w:w="1627" w:type="pct"/>
          </w:tcPr>
          <w:p w:rsidR="00426EDC" w:rsidRPr="0098559C" w:rsidRDefault="00426EDC" w:rsidP="00270C22">
            <w:pPr>
              <w:pStyle w:val="Tabletext"/>
              <w:keepNext/>
            </w:pPr>
            <w:r w:rsidRPr="0098559C">
              <w:t>ZOE trials</w:t>
            </w:r>
          </w:p>
          <w:p w:rsidR="00426EDC" w:rsidRPr="0098559C" w:rsidRDefault="00426EDC" w:rsidP="00270C22">
            <w:pPr>
              <w:pStyle w:val="Tabletext"/>
              <w:keepNext/>
            </w:pPr>
            <w:r w:rsidRPr="0098559C">
              <w:t>(Clinical trial data)</w:t>
            </w:r>
          </w:p>
        </w:tc>
        <w:tc>
          <w:tcPr>
            <w:tcW w:w="1687" w:type="pct"/>
          </w:tcPr>
          <w:p w:rsidR="00426EDC" w:rsidRPr="0098559C" w:rsidRDefault="00426EDC" w:rsidP="00270C22">
            <w:pPr>
              <w:pStyle w:val="Tabletext"/>
              <w:keepNext/>
            </w:pPr>
            <w:r w:rsidRPr="0098559C">
              <w:t>60</w:t>
            </w:r>
            <w:r w:rsidRPr="0098559C">
              <w:rPr>
                <w:rFonts w:ascii="Arial" w:hAnsi="Arial" w:cs="Arial"/>
              </w:rPr>
              <w:t>‒</w:t>
            </w:r>
            <w:r w:rsidRPr="0098559C">
              <w:t>64</w:t>
            </w:r>
            <w:r w:rsidRPr="0098559C">
              <w:tab/>
              <w:t>1.080%</w:t>
            </w:r>
          </w:p>
          <w:p w:rsidR="00426EDC" w:rsidRPr="0098559C" w:rsidRDefault="00426EDC" w:rsidP="00270C22">
            <w:pPr>
              <w:pStyle w:val="Tabletext"/>
              <w:keepNext/>
            </w:pPr>
            <w:r w:rsidRPr="0098559C">
              <w:t>65</w:t>
            </w:r>
            <w:r w:rsidRPr="0098559C">
              <w:rPr>
                <w:rFonts w:ascii="Arial" w:hAnsi="Arial" w:cs="Arial"/>
              </w:rPr>
              <w:t>‒</w:t>
            </w:r>
            <w:r w:rsidRPr="0098559C">
              <w:t>69</w:t>
            </w:r>
            <w:r w:rsidRPr="0098559C">
              <w:tab/>
              <w:t>1.080%</w:t>
            </w:r>
          </w:p>
          <w:p w:rsidR="00426EDC" w:rsidRPr="0098559C" w:rsidRDefault="00426EDC" w:rsidP="00270C22">
            <w:pPr>
              <w:pStyle w:val="Tabletext"/>
              <w:keepNext/>
            </w:pPr>
            <w:r w:rsidRPr="0098559C">
              <w:t>70</w:t>
            </w:r>
            <w:r w:rsidRPr="0098559C">
              <w:rPr>
                <w:rFonts w:ascii="Arial" w:hAnsi="Arial" w:cs="Arial"/>
              </w:rPr>
              <w:t>‒</w:t>
            </w:r>
            <w:r w:rsidRPr="0098559C">
              <w:t>79</w:t>
            </w:r>
            <w:r w:rsidRPr="0098559C">
              <w:tab/>
              <w:t>0.890%</w:t>
            </w:r>
          </w:p>
          <w:p w:rsidR="00426EDC" w:rsidRPr="0098559C" w:rsidRDefault="00426EDC" w:rsidP="00270C22">
            <w:pPr>
              <w:pStyle w:val="Tabletext"/>
              <w:keepNext/>
            </w:pPr>
            <w:r w:rsidRPr="0098559C">
              <w:t>≥80</w:t>
            </w:r>
            <w:r w:rsidRPr="0098559C">
              <w:tab/>
              <w:t>1.110%</w:t>
            </w:r>
          </w:p>
        </w:tc>
        <w:tc>
          <w:tcPr>
            <w:tcW w:w="1686" w:type="pct"/>
          </w:tcPr>
          <w:p w:rsidR="00426EDC" w:rsidRPr="0098559C" w:rsidRDefault="00426EDC" w:rsidP="00270C22">
            <w:pPr>
              <w:pStyle w:val="Tabletext"/>
              <w:keepNext/>
            </w:pPr>
            <w:r w:rsidRPr="0098559C">
              <w:t>60</w:t>
            </w:r>
            <w:r w:rsidRPr="0098559C">
              <w:rPr>
                <w:rFonts w:ascii="Arial" w:hAnsi="Arial" w:cs="Arial"/>
              </w:rPr>
              <w:t>‒</w:t>
            </w:r>
            <w:r w:rsidRPr="0098559C">
              <w:t>64</w:t>
            </w:r>
            <w:r w:rsidRPr="0098559C">
              <w:tab/>
              <w:t>2.667%</w:t>
            </w:r>
          </w:p>
          <w:p w:rsidR="00426EDC" w:rsidRPr="0098559C" w:rsidRDefault="00426EDC" w:rsidP="00270C22">
            <w:pPr>
              <w:pStyle w:val="Tabletext"/>
              <w:keepNext/>
            </w:pPr>
            <w:r w:rsidRPr="0098559C">
              <w:t>65</w:t>
            </w:r>
            <w:r w:rsidRPr="0098559C">
              <w:rPr>
                <w:rFonts w:ascii="Arial" w:hAnsi="Arial" w:cs="Arial"/>
              </w:rPr>
              <w:t>‒</w:t>
            </w:r>
            <w:r w:rsidRPr="0098559C">
              <w:t>69</w:t>
            </w:r>
            <w:r w:rsidRPr="0098559C">
              <w:tab/>
              <w:t>2.667%</w:t>
            </w:r>
          </w:p>
          <w:p w:rsidR="00426EDC" w:rsidRPr="0098559C" w:rsidRDefault="00426EDC" w:rsidP="00270C22">
            <w:pPr>
              <w:pStyle w:val="Tabletext"/>
              <w:keepNext/>
            </w:pPr>
            <w:r w:rsidRPr="0098559C">
              <w:t>70</w:t>
            </w:r>
            <w:r w:rsidRPr="0098559C">
              <w:rPr>
                <w:rFonts w:ascii="Arial" w:hAnsi="Arial" w:cs="Arial"/>
              </w:rPr>
              <w:t>‒</w:t>
            </w:r>
            <w:r w:rsidRPr="0098559C">
              <w:t>79</w:t>
            </w:r>
            <w:r w:rsidRPr="0098559C">
              <w:tab/>
              <w:t>13.426%</w:t>
            </w:r>
          </w:p>
          <w:p w:rsidR="00426EDC" w:rsidRPr="0098559C" w:rsidRDefault="00426EDC" w:rsidP="00270C22">
            <w:pPr>
              <w:pStyle w:val="Tabletext"/>
              <w:keepNext/>
            </w:pPr>
            <w:r w:rsidRPr="0098559C">
              <w:t>≥80</w:t>
            </w:r>
            <w:r w:rsidRPr="0098559C">
              <w:tab/>
              <w:t>10.294%</w:t>
            </w:r>
          </w:p>
        </w:tc>
      </w:tr>
    </w:tbl>
    <w:p w:rsidR="00426EDC" w:rsidRPr="000A7F7F" w:rsidRDefault="00426EDC" w:rsidP="00426EDC">
      <w:pPr>
        <w:pStyle w:val="NormalBeforeBullet"/>
        <w:spacing w:after="0"/>
        <w:rPr>
          <w:rFonts w:ascii="Arial Narrow" w:hAnsi="Arial Narrow"/>
          <w:sz w:val="18"/>
          <w:szCs w:val="18"/>
        </w:rPr>
      </w:pPr>
      <w:r w:rsidRPr="000A7F7F">
        <w:rPr>
          <w:rFonts w:ascii="Arial Narrow" w:hAnsi="Arial Narrow"/>
          <w:sz w:val="18"/>
          <w:szCs w:val="18"/>
        </w:rPr>
        <w:t>HZ: Herpes zoster; PHN: post-herpetic neuralgia</w:t>
      </w:r>
    </w:p>
    <w:p w:rsidR="00426EDC" w:rsidRPr="000A7F7F" w:rsidRDefault="00426EDC" w:rsidP="00426EDC">
      <w:pPr>
        <w:pStyle w:val="NormalBeforeBullet"/>
        <w:spacing w:after="0"/>
        <w:rPr>
          <w:rFonts w:ascii="Arial Narrow" w:hAnsi="Arial Narrow"/>
          <w:sz w:val="18"/>
          <w:szCs w:val="18"/>
        </w:rPr>
      </w:pPr>
      <w:r w:rsidRPr="000A7F7F">
        <w:rPr>
          <w:rFonts w:ascii="Arial Narrow" w:hAnsi="Arial Narrow"/>
          <w:sz w:val="18"/>
          <w:szCs w:val="18"/>
        </w:rPr>
        <w:t xml:space="preserve">Source: Section 3_Shingrix CE </w:t>
      </w:r>
      <w:proofErr w:type="spellStart"/>
      <w:r w:rsidRPr="000A7F7F">
        <w:rPr>
          <w:rFonts w:ascii="Arial Narrow" w:hAnsi="Arial Narrow"/>
          <w:sz w:val="18"/>
          <w:szCs w:val="18"/>
        </w:rPr>
        <w:t>Model_JULY</w:t>
      </w:r>
      <w:proofErr w:type="spellEnd"/>
      <w:r w:rsidRPr="000A7F7F">
        <w:rPr>
          <w:rFonts w:ascii="Arial Narrow" w:hAnsi="Arial Narrow"/>
          <w:sz w:val="18"/>
          <w:szCs w:val="18"/>
        </w:rPr>
        <w:t xml:space="preserve"> 2018.xlsx</w:t>
      </w:r>
    </w:p>
    <w:p w:rsidR="00426EDC" w:rsidRDefault="00426EDC" w:rsidP="00651FFE">
      <w:pPr>
        <w:pStyle w:val="TableFooter"/>
      </w:pPr>
    </w:p>
    <w:p w:rsidR="00310A4D" w:rsidRPr="0098559C" w:rsidRDefault="004E1966" w:rsidP="00ED2457">
      <w:pPr>
        <w:pStyle w:val="ListParagraph"/>
        <w:widowControl/>
        <w:numPr>
          <w:ilvl w:val="2"/>
          <w:numId w:val="9"/>
        </w:numPr>
        <w:spacing w:before="40" w:after="40"/>
        <w:ind w:left="1077" w:hanging="357"/>
      </w:pPr>
      <w:r w:rsidRPr="0098559C">
        <w:t>The recurrence rate</w:t>
      </w:r>
      <w:r w:rsidR="007F5A9C" w:rsidRPr="0098559C">
        <w:t>s for</w:t>
      </w:r>
      <w:r w:rsidRPr="0098559C">
        <w:t xml:space="preserve"> HZ </w:t>
      </w:r>
      <w:r w:rsidR="001010BA" w:rsidRPr="0098559C">
        <w:t>and PHN</w:t>
      </w:r>
      <w:r w:rsidR="001D7C34" w:rsidRPr="0098559C">
        <w:t xml:space="preserve"> with no vaccine</w:t>
      </w:r>
      <w:r w:rsidRPr="0098559C">
        <w:t xml:space="preserve"> applied in the model w</w:t>
      </w:r>
      <w:r w:rsidR="007F5A9C" w:rsidRPr="0098559C">
        <w:t>ere</w:t>
      </w:r>
      <w:r w:rsidRPr="0098559C">
        <w:t xml:space="preserve"> assumed to be equal to the</w:t>
      </w:r>
      <w:r w:rsidR="001010BA" w:rsidRPr="0098559C">
        <w:t xml:space="preserve"> initial</w:t>
      </w:r>
      <w:r w:rsidRPr="0098559C">
        <w:t xml:space="preserve"> incidence rate HZ </w:t>
      </w:r>
      <w:r w:rsidR="001D7C34" w:rsidRPr="0098559C">
        <w:t xml:space="preserve">with no vaccine </w:t>
      </w:r>
      <w:r w:rsidR="0030717E" w:rsidRPr="0098559C">
        <w:t>(1.36% to 1.90%, depending on the age of the individual)</w:t>
      </w:r>
      <w:r w:rsidRPr="0098559C">
        <w:t xml:space="preserve">. </w:t>
      </w:r>
      <w:r w:rsidR="0055584E" w:rsidRPr="0098559C">
        <w:t>Published studies suggest</w:t>
      </w:r>
      <w:r w:rsidRPr="0098559C">
        <w:t xml:space="preserve"> that the recurrence rate of HZ </w:t>
      </w:r>
      <w:r w:rsidR="001010BA" w:rsidRPr="0098559C">
        <w:t xml:space="preserve">may be </w:t>
      </w:r>
      <w:r w:rsidR="0030717E" w:rsidRPr="0098559C">
        <w:t>0.683%</w:t>
      </w:r>
      <w:r w:rsidR="007F5A9C" w:rsidRPr="0098559C">
        <w:t>;</w:t>
      </w:r>
      <w:r w:rsidR="001010BA" w:rsidRPr="0098559C">
        <w:t xml:space="preserve"> hence</w:t>
      </w:r>
      <w:r w:rsidR="007F5A9C" w:rsidRPr="0098559C">
        <w:t>,</w:t>
      </w:r>
      <w:r w:rsidR="001010BA" w:rsidRPr="0098559C">
        <w:t xml:space="preserve"> the rate in the model</w:t>
      </w:r>
      <w:r w:rsidR="0030717E" w:rsidRPr="0098559C">
        <w:t xml:space="preserve"> </w:t>
      </w:r>
      <w:r w:rsidRPr="0098559C">
        <w:t xml:space="preserve">may </w:t>
      </w:r>
      <w:r w:rsidR="00FD772C">
        <w:t>have been</w:t>
      </w:r>
      <w:r w:rsidRPr="0098559C">
        <w:t xml:space="preserve"> overestimated</w:t>
      </w:r>
      <w:r w:rsidR="001010BA" w:rsidRPr="0098559C">
        <w:t>, which favoured the intervention</w:t>
      </w:r>
      <w:r w:rsidRPr="0098559C">
        <w:t>.</w:t>
      </w:r>
      <w:r w:rsidR="001010BA" w:rsidRPr="0098559C">
        <w:t xml:space="preserve"> The PSCR acknowledged that there was variation in the recurrence rate of HZ in the literature.</w:t>
      </w:r>
    </w:p>
    <w:p w:rsidR="004A235F" w:rsidRPr="0098559C" w:rsidRDefault="004A235F" w:rsidP="00426EDC">
      <w:pPr>
        <w:pStyle w:val="ListParagraph"/>
        <w:widowControl/>
        <w:numPr>
          <w:ilvl w:val="2"/>
          <w:numId w:val="9"/>
        </w:numPr>
        <w:spacing w:before="40" w:after="120"/>
        <w:ind w:left="1077" w:hanging="357"/>
      </w:pPr>
      <w:r w:rsidRPr="0098559C">
        <w:t>The modelled numb</w:t>
      </w:r>
      <w:r w:rsidR="00A53141" w:rsidRPr="0098559C">
        <w:t xml:space="preserve">er of HZ </w:t>
      </w:r>
      <w:r w:rsidR="006B4F98" w:rsidRPr="0098559C">
        <w:t>(</w:t>
      </w:r>
      <w:r w:rsidR="00A53141" w:rsidRPr="0098559C">
        <w:t>and PHN</w:t>
      </w:r>
      <w:r w:rsidR="006B4F98" w:rsidRPr="0098559C">
        <w:t>)</w:t>
      </w:r>
      <w:r w:rsidR="00A53141" w:rsidRPr="0098559C">
        <w:t xml:space="preserve"> cases avoided w</w:t>
      </w:r>
      <w:r w:rsidR="00C25C07" w:rsidRPr="0098559C">
        <w:t>as</w:t>
      </w:r>
      <w:r w:rsidRPr="0098559C">
        <w:t xml:space="preserve"> substantially higher than the number avoided in the trial. </w:t>
      </w:r>
      <w:r w:rsidR="006B4F98" w:rsidRPr="0098559C">
        <w:t>B</w:t>
      </w:r>
      <w:r w:rsidRPr="0098559C">
        <w:t>ased on the trial results</w:t>
      </w:r>
      <w:r w:rsidR="001528D7" w:rsidRPr="0098559C">
        <w:t xml:space="preserve">, </w:t>
      </w:r>
      <w:r w:rsidRPr="0098559C">
        <w:t>vaccinating 1,000,000 individuals</w:t>
      </w:r>
      <w:r w:rsidR="001528D7" w:rsidRPr="0098559C">
        <w:t xml:space="preserve"> aged over 50 years would result in</w:t>
      </w:r>
      <w:r w:rsidRPr="0098559C">
        <w:t xml:space="preserve"> </w:t>
      </w:r>
      <w:r w:rsidR="008C2314" w:rsidRPr="0098559C">
        <w:t>approximately 32</w:t>
      </w:r>
      <w:r w:rsidRPr="0098559C">
        <w:t>,000</w:t>
      </w:r>
      <w:r w:rsidR="001528D7" w:rsidRPr="0098559C">
        <w:t xml:space="preserve"> to </w:t>
      </w:r>
      <w:r w:rsidR="008C2314" w:rsidRPr="0098559C">
        <w:t>36</w:t>
      </w:r>
      <w:r w:rsidRPr="0098559C">
        <w:t xml:space="preserve">,000 cases of HZ avoided over </w:t>
      </w:r>
      <w:r w:rsidR="008C2314" w:rsidRPr="0098559C">
        <w:t>4</w:t>
      </w:r>
      <w:r w:rsidRPr="0098559C">
        <w:t xml:space="preserve"> years (see paragraph 6.3</w:t>
      </w:r>
      <w:r w:rsidR="000C6A7A" w:rsidRPr="0098559C">
        <w:t>3</w:t>
      </w:r>
      <w:r w:rsidRPr="0098559C">
        <w:t xml:space="preserve">). </w:t>
      </w:r>
      <w:r w:rsidR="008C2314" w:rsidRPr="0098559C">
        <w:t xml:space="preserve">This </w:t>
      </w:r>
      <w:r w:rsidR="00C25C07" w:rsidRPr="0098559C">
        <w:t>wa</w:t>
      </w:r>
      <w:r w:rsidR="008C2314" w:rsidRPr="0098559C">
        <w:t xml:space="preserve">s consistent with Step 1 of the economic model </w:t>
      </w:r>
      <w:r w:rsidR="006B4F98" w:rsidRPr="0098559C">
        <w:t>(trial based analysis)</w:t>
      </w:r>
      <w:r w:rsidR="00C25C07" w:rsidRPr="0098559C">
        <w:t>, which estimated</w:t>
      </w:r>
      <w:r w:rsidR="008C2314" w:rsidRPr="0098559C">
        <w:t xml:space="preserve"> 34,160</w:t>
      </w:r>
      <w:r w:rsidRPr="0098559C">
        <w:t xml:space="preserve"> HZ cases avoided over the </w:t>
      </w:r>
      <w:r w:rsidR="001528D7" w:rsidRPr="0098559C">
        <w:t xml:space="preserve">first four years </w:t>
      </w:r>
      <w:r w:rsidRPr="0098559C">
        <w:t xml:space="preserve">if </w:t>
      </w:r>
      <w:r w:rsidR="00C25C07" w:rsidRPr="0098559C">
        <w:t xml:space="preserve">individuals were </w:t>
      </w:r>
      <w:r w:rsidRPr="0098559C">
        <w:t>vaccinated at age 60 years</w:t>
      </w:r>
      <w:r w:rsidR="008C2314" w:rsidRPr="0098559C">
        <w:t xml:space="preserve">. However, the base case model predicts 209,000 HZ cases avoided over the </w:t>
      </w:r>
      <w:r w:rsidR="00763E84">
        <w:t>time horizon of the model</w:t>
      </w:r>
      <w:r w:rsidRPr="0098559C">
        <w:t>. The magnitude of th</w:t>
      </w:r>
      <w:r w:rsidR="001528D7" w:rsidRPr="0098559C">
        <w:t>is</w:t>
      </w:r>
      <w:r w:rsidRPr="0098559C">
        <w:t xml:space="preserve"> difference highlights the uncertainty with the model results.</w:t>
      </w:r>
    </w:p>
    <w:p w:rsidR="00CC7DB2" w:rsidRDefault="002E6632" w:rsidP="00CC7DB2">
      <w:pPr>
        <w:pStyle w:val="ListParagraph"/>
        <w:widowControl/>
        <w:numPr>
          <w:ilvl w:val="1"/>
          <w:numId w:val="2"/>
        </w:numPr>
        <w:spacing w:before="40"/>
      </w:pPr>
      <w:r w:rsidRPr="0098559C">
        <w:t>In the submission, t</w:t>
      </w:r>
      <w:r w:rsidR="00FA07C5" w:rsidRPr="0098559C">
        <w:t xml:space="preserve">he cost of </w:t>
      </w:r>
      <w:r w:rsidR="00CC4714">
        <w:t xml:space="preserve">each dose of </w:t>
      </w:r>
      <w:r w:rsidR="00B75FE8">
        <w:t xml:space="preserve">the </w:t>
      </w:r>
      <w:r w:rsidR="0012405B" w:rsidRPr="0098559C">
        <w:t>HZ/</w:t>
      </w:r>
      <w:proofErr w:type="spellStart"/>
      <w:r w:rsidR="0012405B" w:rsidRPr="0098559C">
        <w:t>su</w:t>
      </w:r>
      <w:proofErr w:type="spellEnd"/>
      <w:r w:rsidR="0012405B" w:rsidRPr="0098559C">
        <w:t xml:space="preserve"> </w:t>
      </w:r>
      <w:r w:rsidR="00B75FE8">
        <w:t>was</w:t>
      </w:r>
      <w:r w:rsidR="00FA07C5" w:rsidRPr="0098559C">
        <w:t xml:space="preserve"> </w:t>
      </w:r>
      <w:r w:rsidR="0020540A">
        <w:rPr>
          <w:noProof/>
          <w:color w:val="000000"/>
          <w:highlight w:val="black"/>
        </w:rPr>
        <w:t>'''''' '''''''''' ''''' '''''' ''''''''''''''''''''' '''''''' ''''' '''''' '''''''''''' '''''''''''''''</w:t>
      </w:r>
      <w:r w:rsidR="00B75FE8">
        <w:t xml:space="preserve"> (each dose of HZ/</w:t>
      </w:r>
      <w:proofErr w:type="spellStart"/>
      <w:r w:rsidR="00B75FE8">
        <w:t>su</w:t>
      </w:r>
      <w:proofErr w:type="spellEnd"/>
      <w:r w:rsidR="00B75FE8">
        <w:t xml:space="preserve"> cost $</w:t>
      </w:r>
      <w:r w:rsidR="0020540A">
        <w:rPr>
          <w:noProof/>
          <w:color w:val="000000"/>
          <w:highlight w:val="black"/>
        </w:rPr>
        <w:t>'''''''</w:t>
      </w:r>
      <w:r w:rsidR="00B75FE8">
        <w:t xml:space="preserve"> (total cost for two doses = $</w:t>
      </w:r>
      <w:r w:rsidR="0020540A">
        <w:rPr>
          <w:noProof/>
          <w:color w:val="000000"/>
          <w:highlight w:val="black"/>
        </w:rPr>
        <w:t>'''''''</w:t>
      </w:r>
      <w:r w:rsidR="00B75FE8">
        <w:t>)</w:t>
      </w:r>
      <w:r w:rsidR="00CC7DB2" w:rsidRPr="0098559C">
        <w:t>.</w:t>
      </w:r>
      <w:r w:rsidR="00FA07C5" w:rsidRPr="0098559C">
        <w:t xml:space="preserve"> </w:t>
      </w:r>
      <w:r w:rsidR="009A657A" w:rsidRPr="0098559C">
        <w:t xml:space="preserve">The cost-effectiveness of vaccinating individuals aged 70 years was sensitive to </w:t>
      </w:r>
      <w:r w:rsidRPr="0098559C">
        <w:t>the cost of the live-HZ vaccine used</w:t>
      </w:r>
      <w:r w:rsidR="00B75FE8">
        <w:t xml:space="preserve"> (the actual NIP cost of the live-HZ vaccine was lower than the commercial cost)</w:t>
      </w:r>
      <w:r w:rsidR="009A657A" w:rsidRPr="0098559C">
        <w:t>.</w:t>
      </w:r>
      <w:r w:rsidR="00CC7DB2" w:rsidRPr="0098559C">
        <w:t xml:space="preserve"> All </w:t>
      </w:r>
      <w:r w:rsidR="00B75FE8">
        <w:t>ICERs we</w:t>
      </w:r>
      <w:r w:rsidR="00CC7DB2" w:rsidRPr="0098559C">
        <w:t xml:space="preserve">re sensitive to </w:t>
      </w:r>
      <w:r w:rsidR="00B75FE8">
        <w:t>variations in the costs of the HZ/</w:t>
      </w:r>
      <w:proofErr w:type="spellStart"/>
      <w:r w:rsidR="00B75FE8">
        <w:t>su</w:t>
      </w:r>
      <w:proofErr w:type="spellEnd"/>
      <w:r w:rsidR="00B75FE8">
        <w:t xml:space="preserve"> and live-HZ vaccines</w:t>
      </w:r>
      <w:r w:rsidR="00CC7DB2" w:rsidRPr="0098559C">
        <w:t xml:space="preserve">. </w:t>
      </w:r>
    </w:p>
    <w:p w:rsidR="00FA07C5" w:rsidRPr="00C11D3F" w:rsidRDefault="00FA07C5" w:rsidP="005E5C1B">
      <w:pPr>
        <w:pStyle w:val="ListParagraph"/>
        <w:widowControl/>
        <w:numPr>
          <w:ilvl w:val="1"/>
          <w:numId w:val="2"/>
        </w:numPr>
        <w:spacing w:before="120"/>
      </w:pPr>
      <w:r w:rsidRPr="00C11D3F">
        <w:t xml:space="preserve">Table </w:t>
      </w:r>
      <w:r w:rsidR="00DF7A69">
        <w:t>17</w:t>
      </w:r>
      <w:r w:rsidRPr="00C11D3F">
        <w:t xml:space="preserve"> presents the key sensitivity analyses.</w:t>
      </w:r>
    </w:p>
    <w:p w:rsidR="00FA07C5" w:rsidRPr="0098559C" w:rsidRDefault="00FA07C5" w:rsidP="00E92F71">
      <w:pPr>
        <w:keepNext/>
        <w:rPr>
          <w:rStyle w:val="CommentReference"/>
        </w:rPr>
      </w:pPr>
      <w:r w:rsidRPr="0098559C">
        <w:rPr>
          <w:rStyle w:val="CommentReference"/>
        </w:rPr>
        <w:lastRenderedPageBreak/>
        <w:t xml:space="preserve">Table </w:t>
      </w:r>
      <w:r w:rsidR="00DF7A69" w:rsidRPr="0098559C">
        <w:rPr>
          <w:rStyle w:val="CommentReference"/>
        </w:rPr>
        <w:t>17</w:t>
      </w:r>
      <w:r w:rsidRPr="0098559C">
        <w:rPr>
          <w:rStyle w:val="CommentReference"/>
        </w:rPr>
        <w:t>: Summary of key scenario and sensitivity analysis results</w:t>
      </w:r>
    </w:p>
    <w:tbl>
      <w:tblPr>
        <w:tblStyle w:val="Submissionstandard3"/>
        <w:tblW w:w="9129" w:type="dxa"/>
        <w:tblCellMar>
          <w:left w:w="57" w:type="dxa"/>
          <w:right w:w="57" w:type="dxa"/>
        </w:tblCellMar>
        <w:tblLook w:val="04A0" w:firstRow="1" w:lastRow="0" w:firstColumn="1" w:lastColumn="0" w:noHBand="0" w:noVBand="1"/>
        <w:tblCaption w:val="Summary of key scenario and sensitivity analysis results"/>
      </w:tblPr>
      <w:tblGrid>
        <w:gridCol w:w="4877"/>
        <w:gridCol w:w="1417"/>
        <w:gridCol w:w="1134"/>
        <w:gridCol w:w="1701"/>
      </w:tblGrid>
      <w:tr w:rsidR="00B55A50" w:rsidRPr="0098559C" w:rsidTr="000A7F7F">
        <w:trPr>
          <w:cnfStyle w:val="100000000000" w:firstRow="1" w:lastRow="0" w:firstColumn="0" w:lastColumn="0" w:oddVBand="0" w:evenVBand="0" w:oddHBand="0" w:evenHBand="0" w:firstRowFirstColumn="0" w:firstRowLastColumn="0" w:lastRowFirstColumn="0" w:lastRowLastColumn="0"/>
          <w:tblHeader/>
        </w:trPr>
        <w:tc>
          <w:tcPr>
            <w:tcW w:w="4877" w:type="dxa"/>
            <w:shd w:val="clear" w:color="auto" w:fill="auto"/>
          </w:tcPr>
          <w:p w:rsidR="00B55A50" w:rsidRPr="0098559C" w:rsidRDefault="00B55A50" w:rsidP="000A7F7F">
            <w:pPr>
              <w:keepNext/>
              <w:jc w:val="center"/>
              <w:rPr>
                <w:rFonts w:ascii="Arial Narrow" w:hAnsi="Arial Narrow"/>
                <w:sz w:val="20"/>
                <w:szCs w:val="20"/>
              </w:rPr>
            </w:pPr>
            <w:r w:rsidRPr="0098559C">
              <w:rPr>
                <w:rFonts w:ascii="Arial Narrow" w:hAnsi="Arial Narrow"/>
                <w:sz w:val="20"/>
                <w:szCs w:val="20"/>
              </w:rPr>
              <w:t>Analysis</w:t>
            </w:r>
          </w:p>
        </w:tc>
        <w:tc>
          <w:tcPr>
            <w:tcW w:w="1417" w:type="dxa"/>
            <w:shd w:val="clear" w:color="auto" w:fill="FFFFFF" w:themeFill="background1"/>
          </w:tcPr>
          <w:p w:rsidR="00B55A50" w:rsidRPr="0098559C" w:rsidRDefault="00B55A50" w:rsidP="00B55A50">
            <w:pPr>
              <w:keepNext/>
              <w:jc w:val="center"/>
              <w:rPr>
                <w:rFonts w:ascii="Arial Narrow" w:hAnsi="Arial Narrow"/>
                <w:sz w:val="20"/>
                <w:szCs w:val="20"/>
              </w:rPr>
            </w:pPr>
            <w:r w:rsidRPr="0098559C">
              <w:rPr>
                <w:rFonts w:ascii="Arial Narrow" w:hAnsi="Arial Narrow"/>
                <w:sz w:val="20"/>
                <w:szCs w:val="20"/>
              </w:rPr>
              <w:t>Incremental costs</w:t>
            </w:r>
          </w:p>
        </w:tc>
        <w:tc>
          <w:tcPr>
            <w:tcW w:w="1134" w:type="dxa"/>
            <w:shd w:val="clear" w:color="auto" w:fill="FFFFFF" w:themeFill="background1"/>
          </w:tcPr>
          <w:p w:rsidR="00B55A50" w:rsidRPr="0098559C" w:rsidRDefault="00B55A50" w:rsidP="00B55A50">
            <w:pPr>
              <w:keepNext/>
              <w:jc w:val="center"/>
              <w:rPr>
                <w:rFonts w:ascii="Arial Narrow" w:hAnsi="Arial Narrow"/>
                <w:sz w:val="20"/>
                <w:szCs w:val="20"/>
              </w:rPr>
            </w:pPr>
            <w:r w:rsidRPr="0098559C">
              <w:rPr>
                <w:rFonts w:ascii="Arial Narrow" w:hAnsi="Arial Narrow"/>
                <w:sz w:val="20"/>
                <w:szCs w:val="20"/>
              </w:rPr>
              <w:t>QALYs gained</w:t>
            </w:r>
          </w:p>
        </w:tc>
        <w:tc>
          <w:tcPr>
            <w:tcW w:w="1701" w:type="dxa"/>
            <w:shd w:val="clear" w:color="auto" w:fill="auto"/>
          </w:tcPr>
          <w:p w:rsidR="00B55A50" w:rsidRPr="0098559C" w:rsidRDefault="00B55A50" w:rsidP="00B55A50">
            <w:pPr>
              <w:keepNext/>
              <w:jc w:val="center"/>
              <w:rPr>
                <w:rFonts w:ascii="Arial Narrow" w:hAnsi="Arial Narrow"/>
                <w:sz w:val="20"/>
                <w:szCs w:val="20"/>
              </w:rPr>
            </w:pPr>
            <w:r w:rsidRPr="0098559C">
              <w:rPr>
                <w:rFonts w:ascii="Arial Narrow" w:hAnsi="Arial Narrow"/>
                <w:sz w:val="20"/>
                <w:szCs w:val="20"/>
              </w:rPr>
              <w:t xml:space="preserve">Discounted ICER </w:t>
            </w:r>
            <w:r w:rsidR="000A7F7F">
              <w:rPr>
                <w:rFonts w:ascii="Arial Narrow" w:hAnsi="Arial Narrow"/>
                <w:sz w:val="20"/>
                <w:szCs w:val="20"/>
              </w:rPr>
              <w:br/>
            </w:r>
            <w:r w:rsidRPr="0098559C">
              <w:rPr>
                <w:rFonts w:ascii="Arial Narrow" w:hAnsi="Arial Narrow"/>
                <w:sz w:val="20"/>
                <w:szCs w:val="20"/>
              </w:rPr>
              <w:t>($/QALY gained)</w:t>
            </w:r>
          </w:p>
        </w:tc>
      </w:tr>
      <w:tr w:rsidR="00B55A50" w:rsidRPr="0098559C" w:rsidTr="000A7F7F">
        <w:tc>
          <w:tcPr>
            <w:tcW w:w="4877" w:type="dxa"/>
          </w:tcPr>
          <w:p w:rsidR="00B55A50" w:rsidRPr="0098559C" w:rsidRDefault="00B55A50" w:rsidP="000A7F7F">
            <w:pPr>
              <w:keepNext/>
              <w:jc w:val="left"/>
              <w:rPr>
                <w:rFonts w:ascii="Arial Narrow" w:hAnsi="Arial Narrow"/>
                <w:b/>
                <w:sz w:val="20"/>
                <w:szCs w:val="20"/>
              </w:rPr>
            </w:pPr>
            <w:r w:rsidRPr="0098559C">
              <w:rPr>
                <w:rFonts w:ascii="Arial Narrow" w:hAnsi="Arial Narrow"/>
                <w:b/>
                <w:sz w:val="20"/>
                <w:szCs w:val="20"/>
              </w:rPr>
              <w:t xml:space="preserve">Base case 60 YOA </w:t>
            </w:r>
          </w:p>
        </w:tc>
        <w:tc>
          <w:tcPr>
            <w:tcW w:w="1417"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w:t>
            </w:r>
            <w:r w:rsidR="0020540A">
              <w:rPr>
                <w:rFonts w:ascii="Arial Narrow" w:hAnsi="Arial Narrow"/>
                <w:b/>
                <w:noProof/>
                <w:color w:val="000000"/>
                <w:sz w:val="20"/>
                <w:highlight w:val="black"/>
              </w:rPr>
              <w:t>''''''''''''''''''''''''''</w:t>
            </w:r>
          </w:p>
        </w:tc>
        <w:tc>
          <w:tcPr>
            <w:tcW w:w="1134"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7,423</w:t>
            </w:r>
          </w:p>
        </w:tc>
        <w:tc>
          <w:tcPr>
            <w:tcW w:w="1701" w:type="dxa"/>
          </w:tcPr>
          <w:p w:rsidR="00B55A50" w:rsidRPr="0020540A" w:rsidRDefault="0020540A" w:rsidP="00B55A50">
            <w:pPr>
              <w:keepNext/>
              <w:jc w:val="center"/>
              <w:rPr>
                <w:rFonts w:ascii="Arial Narrow" w:hAnsi="Arial Narrow"/>
                <w:b/>
                <w:sz w:val="20"/>
                <w:highlight w:val="black"/>
              </w:rPr>
            </w:pPr>
            <w:r>
              <w:rPr>
                <w:rFonts w:ascii="Arial Narrow" w:hAnsi="Arial Narrow"/>
                <w:b/>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HZ recurrence rate with no vaccine = 0.683% of individuals (base case = 1.36 % to 1.90%)</w:t>
            </w:r>
          </w:p>
        </w:tc>
        <w:tc>
          <w:tcPr>
            <w:tcW w:w="1417" w:type="dxa"/>
          </w:tcPr>
          <w:p w:rsidR="00B55A50" w:rsidRPr="0098559C" w:rsidRDefault="00B55A50" w:rsidP="004D29BF">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443F85" w:rsidP="00B55A50">
            <w:pPr>
              <w:keepNext/>
              <w:jc w:val="center"/>
              <w:rPr>
                <w:rFonts w:ascii="Arial Narrow" w:hAnsi="Arial Narrow"/>
                <w:sz w:val="20"/>
              </w:rPr>
            </w:pPr>
            <w:r>
              <w:rPr>
                <w:rFonts w:ascii="Arial Narrow" w:hAnsi="Arial Narrow"/>
                <w:sz w:val="20"/>
              </w:rPr>
              <w:t>6,689</w:t>
            </w:r>
          </w:p>
        </w:tc>
        <w:tc>
          <w:tcPr>
            <w:tcW w:w="1701" w:type="dxa"/>
          </w:tcPr>
          <w:p w:rsidR="00B55A50" w:rsidRPr="0020540A" w:rsidRDefault="0020540A" w:rsidP="00443F85">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 xml:space="preserve">HZ and PHN incidence with no vaccine reported in ZOE placebo arms (base case = </w:t>
            </w:r>
            <w:proofErr w:type="spellStart"/>
            <w:r w:rsidRPr="0098559C">
              <w:rPr>
                <w:rFonts w:ascii="Arial Narrow" w:hAnsi="Arial Narrow"/>
                <w:sz w:val="20"/>
                <w:szCs w:val="20"/>
              </w:rPr>
              <w:t>MacIntyre</w:t>
            </w:r>
            <w:proofErr w:type="spellEnd"/>
            <w:r w:rsidRPr="0098559C">
              <w:rPr>
                <w:rFonts w:ascii="Arial Narrow" w:hAnsi="Arial Narrow"/>
                <w:sz w:val="20"/>
                <w:szCs w:val="20"/>
              </w:rPr>
              <w:t xml:space="preserve"> 2015)</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3,246</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QALY loss per unvaccinated HZ case without PHN = 0.</w:t>
            </w:r>
            <w:r w:rsidR="004D29BF" w:rsidRPr="0098559C">
              <w:rPr>
                <w:rFonts w:ascii="Arial Narrow" w:hAnsi="Arial Narrow"/>
                <w:sz w:val="20"/>
                <w:szCs w:val="20"/>
              </w:rPr>
              <w:t>01</w:t>
            </w:r>
            <w:r w:rsidR="004D29BF">
              <w:rPr>
                <w:rFonts w:ascii="Arial Narrow" w:hAnsi="Arial Narrow"/>
                <w:sz w:val="20"/>
                <w:szCs w:val="20"/>
              </w:rPr>
              <w:t xml:space="preserve"> for individuals ≤ 69 years and 0.012 for &gt; 70 years </w:t>
            </w:r>
            <w:r w:rsidRPr="0098559C">
              <w:rPr>
                <w:rFonts w:ascii="Arial Narrow" w:hAnsi="Arial Narrow"/>
                <w:sz w:val="20"/>
                <w:szCs w:val="20"/>
              </w:rPr>
              <w:t>(base case = 0.0231 to 0.0247)</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6E788A">
            <w:pPr>
              <w:keepNext/>
              <w:jc w:val="center"/>
              <w:rPr>
                <w:rFonts w:ascii="Arial Narrow" w:hAnsi="Arial Narrow"/>
                <w:sz w:val="20"/>
              </w:rPr>
            </w:pPr>
            <w:r w:rsidRPr="0098559C">
              <w:rPr>
                <w:rFonts w:ascii="Arial Narrow" w:hAnsi="Arial Narrow"/>
                <w:sz w:val="20"/>
              </w:rPr>
              <w:t>5,666</w:t>
            </w:r>
          </w:p>
        </w:tc>
        <w:tc>
          <w:tcPr>
            <w:tcW w:w="1701" w:type="dxa"/>
          </w:tcPr>
          <w:p w:rsidR="00B55A50" w:rsidRPr="0020540A" w:rsidRDefault="0020540A" w:rsidP="006E788A">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 xml:space="preserve">QALY loss per unvaccinated HZ case with PHN = 0.106 </w:t>
            </w:r>
            <w:r w:rsidR="004D29BF">
              <w:rPr>
                <w:rFonts w:ascii="Arial Narrow" w:hAnsi="Arial Narrow"/>
                <w:sz w:val="20"/>
                <w:szCs w:val="20"/>
              </w:rPr>
              <w:t xml:space="preserve">for individuals ≤ 69 years and 0.156 for &gt; 70 years </w:t>
            </w:r>
            <w:r w:rsidRPr="0098559C">
              <w:rPr>
                <w:rFonts w:ascii="Arial Narrow" w:hAnsi="Arial Narrow"/>
                <w:sz w:val="20"/>
                <w:szCs w:val="20"/>
              </w:rPr>
              <w:t>(base case = 0.181 to 0.2268)</w:t>
            </w:r>
          </w:p>
        </w:tc>
        <w:tc>
          <w:tcPr>
            <w:tcW w:w="1417" w:type="dxa"/>
          </w:tcPr>
          <w:p w:rsidR="00B55A50" w:rsidRPr="0098559C" w:rsidRDefault="00B55A50" w:rsidP="00B55A50">
            <w:pPr>
              <w:keepNext/>
              <w:jc w:val="center"/>
              <w:rPr>
                <w:rFonts w:ascii="Arial Narrow" w:hAnsi="Arial Narrow"/>
                <w:sz w:val="20"/>
                <w:highlight w:val="yellow"/>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5,728</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Annual waning of HZ/</w:t>
            </w:r>
            <w:proofErr w:type="spellStart"/>
            <w:r w:rsidRPr="0098559C">
              <w:rPr>
                <w:rFonts w:ascii="Arial Narrow" w:hAnsi="Arial Narrow"/>
                <w:sz w:val="20"/>
                <w:szCs w:val="20"/>
              </w:rPr>
              <w:t>su</w:t>
            </w:r>
            <w:proofErr w:type="spellEnd"/>
            <w:r w:rsidRPr="0098559C">
              <w:rPr>
                <w:rFonts w:ascii="Arial Narrow" w:hAnsi="Arial Narrow"/>
                <w:sz w:val="20"/>
                <w:szCs w:val="20"/>
              </w:rPr>
              <w:t xml:space="preserve"> vaccine (two dose) HZ efficacy for 70 YOA and older = 6.6% (base case = 3.6%)</w:t>
            </w:r>
          </w:p>
        </w:tc>
        <w:tc>
          <w:tcPr>
            <w:tcW w:w="1417" w:type="dxa"/>
          </w:tcPr>
          <w:p w:rsidR="00B55A50" w:rsidRPr="0098559C" w:rsidRDefault="00B55A50" w:rsidP="006E788A">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6,379</w:t>
            </w:r>
          </w:p>
        </w:tc>
        <w:tc>
          <w:tcPr>
            <w:tcW w:w="1701" w:type="dxa"/>
          </w:tcPr>
          <w:p w:rsidR="00B55A50" w:rsidRPr="0020540A" w:rsidRDefault="0020540A" w:rsidP="006E788A">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b/>
                <w:sz w:val="20"/>
                <w:szCs w:val="20"/>
              </w:rPr>
            </w:pPr>
            <w:r w:rsidRPr="0098559C">
              <w:rPr>
                <w:rFonts w:ascii="Arial Narrow" w:hAnsi="Arial Narrow"/>
                <w:b/>
                <w:sz w:val="20"/>
                <w:szCs w:val="20"/>
              </w:rPr>
              <w:t xml:space="preserve">Base case 70 YOA </w:t>
            </w:r>
            <w:r w:rsidR="006E788A">
              <w:rPr>
                <w:rFonts w:ascii="Arial Narrow" w:hAnsi="Arial Narrow"/>
                <w:b/>
                <w:sz w:val="20"/>
                <w:szCs w:val="20"/>
              </w:rPr>
              <w:t>(versus live Hz vaccine)</w:t>
            </w:r>
          </w:p>
        </w:tc>
        <w:tc>
          <w:tcPr>
            <w:tcW w:w="1417"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w:t>
            </w:r>
            <w:r w:rsidR="0020540A">
              <w:rPr>
                <w:rFonts w:ascii="Arial Narrow" w:hAnsi="Arial Narrow"/>
                <w:b/>
                <w:noProof/>
                <w:color w:val="000000"/>
                <w:sz w:val="20"/>
                <w:highlight w:val="black"/>
              </w:rPr>
              <w:t>'''''''''''''''''''</w:t>
            </w:r>
          </w:p>
        </w:tc>
        <w:tc>
          <w:tcPr>
            <w:tcW w:w="1134"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4,026</w:t>
            </w:r>
          </w:p>
        </w:tc>
        <w:tc>
          <w:tcPr>
            <w:tcW w:w="1701" w:type="dxa"/>
          </w:tcPr>
          <w:p w:rsidR="00B55A50" w:rsidRPr="0020540A" w:rsidRDefault="0020540A" w:rsidP="00B55A50">
            <w:pPr>
              <w:keepNext/>
              <w:jc w:val="center"/>
              <w:rPr>
                <w:rFonts w:ascii="Arial Narrow" w:hAnsi="Arial Narrow"/>
                <w:b/>
                <w:sz w:val="20"/>
                <w:highlight w:val="black"/>
              </w:rPr>
            </w:pPr>
            <w:r>
              <w:rPr>
                <w:rFonts w:ascii="Arial Narrow" w:hAnsi="Arial Narrow"/>
                <w:b/>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HZ recurrence rate with no vaccine = 0.683% of individuals (base case = 1.53 % to 1.90%)</w:t>
            </w:r>
          </w:p>
        </w:tc>
        <w:tc>
          <w:tcPr>
            <w:tcW w:w="1417" w:type="dxa"/>
          </w:tcPr>
          <w:p w:rsidR="00B55A50" w:rsidRPr="0098559C" w:rsidRDefault="00B55A50" w:rsidP="004D29BF">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6E788A" w:rsidP="004D29BF">
            <w:pPr>
              <w:keepNext/>
              <w:jc w:val="center"/>
              <w:rPr>
                <w:rFonts w:ascii="Arial Narrow" w:hAnsi="Arial Narrow"/>
                <w:sz w:val="20"/>
              </w:rPr>
            </w:pPr>
            <w:r>
              <w:rPr>
                <w:rFonts w:ascii="Arial Narrow" w:hAnsi="Arial Narrow"/>
                <w:sz w:val="20"/>
              </w:rPr>
              <w:t>3,</w:t>
            </w:r>
            <w:r w:rsidR="004D29BF">
              <w:rPr>
                <w:rFonts w:ascii="Arial Narrow" w:hAnsi="Arial Narrow"/>
                <w:sz w:val="20"/>
              </w:rPr>
              <w:t>379</w:t>
            </w:r>
          </w:p>
        </w:tc>
        <w:tc>
          <w:tcPr>
            <w:tcW w:w="1701" w:type="dxa"/>
          </w:tcPr>
          <w:p w:rsidR="00B55A50" w:rsidRPr="0020540A" w:rsidRDefault="0020540A" w:rsidP="004D29BF">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 xml:space="preserve">HZ and PHN incidence with no vaccine reported in ZOE placebo arms (base case = </w:t>
            </w:r>
            <w:proofErr w:type="spellStart"/>
            <w:r w:rsidRPr="0098559C">
              <w:rPr>
                <w:rFonts w:ascii="Arial Narrow" w:hAnsi="Arial Narrow"/>
                <w:sz w:val="20"/>
                <w:szCs w:val="20"/>
              </w:rPr>
              <w:t>MacIntyre</w:t>
            </w:r>
            <w:proofErr w:type="spellEnd"/>
            <w:r w:rsidRPr="0098559C">
              <w:rPr>
                <w:rFonts w:ascii="Arial Narrow" w:hAnsi="Arial Narrow"/>
                <w:sz w:val="20"/>
                <w:szCs w:val="20"/>
              </w:rPr>
              <w:t xml:space="preserve"> 2015)</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1,727</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Removing the cost of the live-HZ vaccine as a cost-offset (i.e. live-HZ vaccine cost = $0)</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4,026</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Annual waning of HZ/</w:t>
            </w:r>
            <w:proofErr w:type="spellStart"/>
            <w:r w:rsidRPr="0098559C">
              <w:rPr>
                <w:rFonts w:ascii="Arial Narrow" w:hAnsi="Arial Narrow"/>
                <w:sz w:val="20"/>
                <w:szCs w:val="20"/>
              </w:rPr>
              <w:t>su</w:t>
            </w:r>
            <w:proofErr w:type="spellEnd"/>
            <w:r w:rsidRPr="0098559C">
              <w:rPr>
                <w:rFonts w:ascii="Arial Narrow" w:hAnsi="Arial Narrow"/>
                <w:sz w:val="20"/>
                <w:szCs w:val="20"/>
              </w:rPr>
              <w:t xml:space="preserve"> vaccine (two dose) HZ efficacy for 70 YOA and older = 6.6% (base case = 3.6%)</w:t>
            </w:r>
          </w:p>
        </w:tc>
        <w:tc>
          <w:tcPr>
            <w:tcW w:w="1417" w:type="dxa"/>
          </w:tcPr>
          <w:p w:rsidR="00B55A50" w:rsidRPr="0098559C" w:rsidRDefault="00B55A50" w:rsidP="006E788A">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5,724</w:t>
            </w:r>
          </w:p>
        </w:tc>
        <w:tc>
          <w:tcPr>
            <w:tcW w:w="1701" w:type="dxa"/>
          </w:tcPr>
          <w:p w:rsidR="00B55A50" w:rsidRPr="0020540A" w:rsidRDefault="0020540A" w:rsidP="006E788A">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b/>
                <w:sz w:val="20"/>
                <w:szCs w:val="20"/>
              </w:rPr>
            </w:pPr>
            <w:r w:rsidRPr="0098559C">
              <w:rPr>
                <w:rFonts w:ascii="Arial Narrow" w:hAnsi="Arial Narrow"/>
                <w:b/>
                <w:sz w:val="20"/>
                <w:szCs w:val="20"/>
              </w:rPr>
              <w:t xml:space="preserve">Base case 80 YOA </w:t>
            </w:r>
          </w:p>
        </w:tc>
        <w:tc>
          <w:tcPr>
            <w:tcW w:w="1417"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w:t>
            </w:r>
            <w:r w:rsidR="0020540A">
              <w:rPr>
                <w:rFonts w:ascii="Arial Narrow" w:hAnsi="Arial Narrow"/>
                <w:b/>
                <w:noProof/>
                <w:color w:val="000000"/>
                <w:sz w:val="20"/>
                <w:highlight w:val="black"/>
              </w:rPr>
              <w:t>''''''''''''''''''''''</w:t>
            </w:r>
          </w:p>
        </w:tc>
        <w:tc>
          <w:tcPr>
            <w:tcW w:w="1134" w:type="dxa"/>
          </w:tcPr>
          <w:p w:rsidR="00B55A50" w:rsidRPr="0098559C" w:rsidRDefault="00B55A50" w:rsidP="00B55A50">
            <w:pPr>
              <w:keepNext/>
              <w:jc w:val="center"/>
              <w:rPr>
                <w:rFonts w:ascii="Arial Narrow" w:hAnsi="Arial Narrow"/>
                <w:b/>
                <w:sz w:val="20"/>
              </w:rPr>
            </w:pPr>
            <w:r w:rsidRPr="0098559C">
              <w:rPr>
                <w:rFonts w:ascii="Arial Narrow" w:hAnsi="Arial Narrow"/>
                <w:b/>
                <w:sz w:val="20"/>
              </w:rPr>
              <w:t>7,384</w:t>
            </w:r>
          </w:p>
        </w:tc>
        <w:tc>
          <w:tcPr>
            <w:tcW w:w="1701" w:type="dxa"/>
          </w:tcPr>
          <w:p w:rsidR="00B55A50" w:rsidRPr="0020540A" w:rsidRDefault="0020540A" w:rsidP="00B55A50">
            <w:pPr>
              <w:keepNext/>
              <w:jc w:val="center"/>
              <w:rPr>
                <w:rFonts w:ascii="Arial Narrow" w:hAnsi="Arial Narrow"/>
                <w:b/>
                <w:sz w:val="20"/>
                <w:highlight w:val="black"/>
              </w:rPr>
            </w:pPr>
            <w:r>
              <w:rPr>
                <w:rFonts w:ascii="Arial Narrow" w:hAnsi="Arial Narrow"/>
                <w:b/>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HZ recurrence rate with no vaccine = 0.683% of individuals (base case = 1.90%)</w:t>
            </w:r>
          </w:p>
        </w:tc>
        <w:tc>
          <w:tcPr>
            <w:tcW w:w="1417" w:type="dxa"/>
          </w:tcPr>
          <w:p w:rsidR="00B55A50" w:rsidRPr="0098559C" w:rsidRDefault="00B55A50" w:rsidP="004D29BF">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443F85" w:rsidP="00B55A50">
            <w:pPr>
              <w:keepNext/>
              <w:jc w:val="center"/>
              <w:rPr>
                <w:rFonts w:ascii="Arial Narrow" w:hAnsi="Arial Narrow"/>
                <w:sz w:val="20"/>
              </w:rPr>
            </w:pPr>
            <w:r>
              <w:rPr>
                <w:rFonts w:ascii="Arial Narrow" w:hAnsi="Arial Narrow"/>
                <w:sz w:val="20"/>
              </w:rPr>
              <w:t>7,029</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 xml:space="preserve">HZ and PHN incidence with no vaccine reported in ZOE placebo arms (base case = </w:t>
            </w:r>
            <w:proofErr w:type="spellStart"/>
            <w:r w:rsidRPr="0098559C">
              <w:rPr>
                <w:rFonts w:ascii="Arial Narrow" w:hAnsi="Arial Narrow"/>
                <w:sz w:val="20"/>
                <w:szCs w:val="20"/>
              </w:rPr>
              <w:t>MacIntyre</w:t>
            </w:r>
            <w:proofErr w:type="spellEnd"/>
            <w:r w:rsidRPr="0098559C">
              <w:rPr>
                <w:rFonts w:ascii="Arial Narrow" w:hAnsi="Arial Narrow"/>
                <w:sz w:val="20"/>
                <w:szCs w:val="20"/>
              </w:rPr>
              <w:t xml:space="preserve"> 2015)</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2,506</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QALY loss per unvaccinated HZ case with PHN for 80+ YOA = 0.156 (base case = 0.2268)</w:t>
            </w:r>
          </w:p>
        </w:tc>
        <w:tc>
          <w:tcPr>
            <w:tcW w:w="1417" w:type="dxa"/>
          </w:tcPr>
          <w:p w:rsidR="00B55A50" w:rsidRPr="0098559C" w:rsidRDefault="00B55A50" w:rsidP="00B55A50">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5,251</w:t>
            </w:r>
          </w:p>
        </w:tc>
        <w:tc>
          <w:tcPr>
            <w:tcW w:w="1701" w:type="dxa"/>
          </w:tcPr>
          <w:p w:rsidR="00B55A50" w:rsidRPr="0020540A" w:rsidRDefault="0020540A" w:rsidP="00B55A50">
            <w:pPr>
              <w:keepNext/>
              <w:jc w:val="center"/>
              <w:rPr>
                <w:rFonts w:ascii="Arial Narrow" w:hAnsi="Arial Narrow"/>
                <w:sz w:val="20"/>
                <w:highlight w:val="black"/>
              </w:rPr>
            </w:pPr>
            <w:r>
              <w:rPr>
                <w:rFonts w:ascii="Arial Narrow" w:hAnsi="Arial Narrow"/>
                <w:noProof/>
                <w:color w:val="000000"/>
                <w:sz w:val="20"/>
                <w:highlight w:val="black"/>
              </w:rPr>
              <w:t>'''''''''''''''''</w:t>
            </w:r>
          </w:p>
        </w:tc>
      </w:tr>
      <w:tr w:rsidR="00B55A50" w:rsidRPr="0098559C" w:rsidTr="000A7F7F">
        <w:tc>
          <w:tcPr>
            <w:tcW w:w="4877" w:type="dxa"/>
          </w:tcPr>
          <w:p w:rsidR="00B55A50" w:rsidRPr="0098559C" w:rsidRDefault="00B55A50" w:rsidP="000A7F7F">
            <w:pPr>
              <w:keepNext/>
              <w:jc w:val="left"/>
              <w:rPr>
                <w:rFonts w:ascii="Arial Narrow" w:hAnsi="Arial Narrow"/>
                <w:sz w:val="20"/>
                <w:szCs w:val="20"/>
              </w:rPr>
            </w:pPr>
            <w:r w:rsidRPr="0098559C">
              <w:rPr>
                <w:rFonts w:ascii="Arial Narrow" w:hAnsi="Arial Narrow"/>
                <w:sz w:val="20"/>
                <w:szCs w:val="20"/>
              </w:rPr>
              <w:t>Annual waning of HZ/</w:t>
            </w:r>
            <w:proofErr w:type="spellStart"/>
            <w:r w:rsidRPr="0098559C">
              <w:rPr>
                <w:rFonts w:ascii="Arial Narrow" w:hAnsi="Arial Narrow"/>
                <w:sz w:val="20"/>
                <w:szCs w:val="20"/>
              </w:rPr>
              <w:t>su</w:t>
            </w:r>
            <w:proofErr w:type="spellEnd"/>
            <w:r w:rsidRPr="0098559C">
              <w:rPr>
                <w:rFonts w:ascii="Arial Narrow" w:hAnsi="Arial Narrow"/>
                <w:sz w:val="20"/>
                <w:szCs w:val="20"/>
              </w:rPr>
              <w:t xml:space="preserve"> vaccine (two dose) HZ efficacy for 70 YOA and older = 6.6% (base case = 3.6%)</w:t>
            </w:r>
          </w:p>
        </w:tc>
        <w:tc>
          <w:tcPr>
            <w:tcW w:w="1417" w:type="dxa"/>
          </w:tcPr>
          <w:p w:rsidR="00B55A50" w:rsidRPr="0098559C" w:rsidRDefault="00B55A50" w:rsidP="00443F85">
            <w:pPr>
              <w:keepNext/>
              <w:jc w:val="center"/>
              <w:rPr>
                <w:rFonts w:ascii="Arial Narrow" w:hAnsi="Arial Narrow"/>
                <w:sz w:val="20"/>
              </w:rPr>
            </w:pPr>
            <w:r w:rsidRPr="0098559C">
              <w:rPr>
                <w:rFonts w:ascii="Arial Narrow" w:hAnsi="Arial Narrow"/>
                <w:sz w:val="20"/>
              </w:rPr>
              <w:t>$</w:t>
            </w:r>
            <w:r w:rsidR="0020540A">
              <w:rPr>
                <w:rFonts w:ascii="Arial Narrow" w:hAnsi="Arial Narrow"/>
                <w:noProof/>
                <w:color w:val="000000"/>
                <w:sz w:val="20"/>
                <w:highlight w:val="black"/>
              </w:rPr>
              <w:t>''''''''''''''''''''''''''''''''</w:t>
            </w:r>
          </w:p>
        </w:tc>
        <w:tc>
          <w:tcPr>
            <w:tcW w:w="1134" w:type="dxa"/>
          </w:tcPr>
          <w:p w:rsidR="00B55A50" w:rsidRPr="0098559C" w:rsidRDefault="00B55A50" w:rsidP="00B55A50">
            <w:pPr>
              <w:keepNext/>
              <w:jc w:val="center"/>
              <w:rPr>
                <w:rFonts w:ascii="Arial Narrow" w:hAnsi="Arial Narrow"/>
                <w:sz w:val="20"/>
              </w:rPr>
            </w:pPr>
            <w:r w:rsidRPr="0098559C">
              <w:rPr>
                <w:rFonts w:ascii="Arial Narrow" w:hAnsi="Arial Narrow"/>
                <w:sz w:val="20"/>
              </w:rPr>
              <w:t>6,283</w:t>
            </w:r>
          </w:p>
        </w:tc>
        <w:tc>
          <w:tcPr>
            <w:tcW w:w="1701" w:type="dxa"/>
          </w:tcPr>
          <w:p w:rsidR="00B55A50" w:rsidRPr="0020540A" w:rsidRDefault="0020540A" w:rsidP="00443F85">
            <w:pPr>
              <w:keepNext/>
              <w:jc w:val="center"/>
              <w:rPr>
                <w:rFonts w:ascii="Arial Narrow" w:hAnsi="Arial Narrow"/>
                <w:sz w:val="20"/>
                <w:highlight w:val="black"/>
              </w:rPr>
            </w:pPr>
            <w:r>
              <w:rPr>
                <w:rFonts w:ascii="Arial Narrow" w:hAnsi="Arial Narrow"/>
                <w:noProof/>
                <w:color w:val="000000"/>
                <w:sz w:val="20"/>
                <w:highlight w:val="black"/>
              </w:rPr>
              <w:t>''''''''''''''''''''</w:t>
            </w:r>
          </w:p>
        </w:tc>
      </w:tr>
    </w:tbl>
    <w:p w:rsidR="00E77743" w:rsidRPr="0098559C" w:rsidRDefault="00E77743" w:rsidP="00E77743">
      <w:pPr>
        <w:pStyle w:val="TableFooter"/>
      </w:pPr>
      <w:r w:rsidRPr="0098559C">
        <w:t>HZ: herpes zoster</w:t>
      </w:r>
      <w:r w:rsidR="00DC7F44" w:rsidRPr="0098559C">
        <w:t>; HZ/</w:t>
      </w:r>
      <w:proofErr w:type="spellStart"/>
      <w:r w:rsidR="00DC7F44" w:rsidRPr="0098559C">
        <w:t>su</w:t>
      </w:r>
      <w:proofErr w:type="spellEnd"/>
      <w:r w:rsidR="00DC7F44" w:rsidRPr="0098559C">
        <w:t>: recombinant varicella zoster vaccine;</w:t>
      </w:r>
      <w:r w:rsidRPr="0098559C">
        <w:t xml:space="preserve"> ICER: </w:t>
      </w:r>
      <w:r w:rsidR="00DC7F44" w:rsidRPr="0098559C">
        <w:t>i</w:t>
      </w:r>
      <w:r w:rsidRPr="0098559C">
        <w:t xml:space="preserve">ncremental cost-effectiveness ratio; PHN: </w:t>
      </w:r>
      <w:r w:rsidR="009042CD" w:rsidRPr="0098559C">
        <w:t>post-herpetic</w:t>
      </w:r>
      <w:r w:rsidRPr="0098559C">
        <w:t xml:space="preserve"> neuralgia; QALY</w:t>
      </w:r>
      <w:r w:rsidR="00DC7F44" w:rsidRPr="0098559C">
        <w:t>:</w:t>
      </w:r>
      <w:r w:rsidRPr="0098559C">
        <w:t xml:space="preserve"> quality adjusted life year; YOA: years of age.</w:t>
      </w:r>
    </w:p>
    <w:p w:rsidR="00FA07C5" w:rsidRPr="0098559C" w:rsidRDefault="00FA07C5" w:rsidP="00FA07C5">
      <w:pPr>
        <w:rPr>
          <w:rFonts w:ascii="Arial Narrow" w:hAnsi="Arial Narrow"/>
          <w:sz w:val="18"/>
        </w:rPr>
      </w:pPr>
      <w:r w:rsidRPr="0098559C">
        <w:rPr>
          <w:rFonts w:ascii="Arial Narrow" w:hAnsi="Arial Narrow"/>
          <w:sz w:val="18"/>
        </w:rPr>
        <w:t>Source: Table 95, p174 of the submission and calculated during the evaluation in brackets.</w:t>
      </w:r>
    </w:p>
    <w:p w:rsidR="00C27A63" w:rsidRPr="000D350C" w:rsidRDefault="00773690" w:rsidP="000D350C">
      <w:pPr>
        <w:pStyle w:val="TableFooter"/>
        <w:spacing w:before="120" w:after="120"/>
        <w:rPr>
          <w:rFonts w:asciiTheme="minorHAnsi" w:hAnsiTheme="minorHAnsi" w:cstheme="minorHAnsi"/>
          <w:sz w:val="24"/>
          <w:szCs w:val="24"/>
        </w:rPr>
      </w:pPr>
      <w:r>
        <w:rPr>
          <w:rFonts w:asciiTheme="minorHAnsi" w:hAnsiTheme="minorHAnsi" w:cstheme="minorHAnsi"/>
          <w:sz w:val="24"/>
          <w:szCs w:val="24"/>
        </w:rPr>
        <w:t xml:space="preserve">The redacted table shows ICERs in the range of $15,000/QALY - $45,000/QALY to $105,000/QALY - $200,000/QALY. </w:t>
      </w:r>
    </w:p>
    <w:p w:rsidR="00C25D9C" w:rsidRPr="00651FFE" w:rsidRDefault="00C25D9C" w:rsidP="00651FFE">
      <w:pPr>
        <w:pStyle w:val="Heading2"/>
      </w:pPr>
      <w:bookmarkStart w:id="13" w:name="_Toc524340215"/>
      <w:r w:rsidRPr="00651FFE">
        <w:t>Drug cost/course</w:t>
      </w:r>
      <w:bookmarkEnd w:id="13"/>
    </w:p>
    <w:p w:rsidR="00426EDC" w:rsidRPr="0098559C" w:rsidRDefault="00310A4D" w:rsidP="00426EDC">
      <w:pPr>
        <w:pStyle w:val="ListParagraph"/>
        <w:keepNext/>
        <w:widowControl/>
        <w:numPr>
          <w:ilvl w:val="1"/>
          <w:numId w:val="2"/>
        </w:numPr>
      </w:pPr>
      <w:r w:rsidRPr="0098559C">
        <w:t>The submission estimated that the expected cost of the HZ/</w:t>
      </w:r>
      <w:proofErr w:type="spellStart"/>
      <w:r w:rsidRPr="0098559C">
        <w:t>su</w:t>
      </w:r>
      <w:proofErr w:type="spellEnd"/>
      <w:r w:rsidRPr="0098559C">
        <w:t xml:space="preserve"> vaccine was $</w:t>
      </w:r>
      <w:r w:rsidR="0020540A">
        <w:rPr>
          <w:noProof/>
          <w:color w:val="000000"/>
          <w:highlight w:val="black"/>
        </w:rPr>
        <w:t>'''''''</w:t>
      </w:r>
      <w:r w:rsidRPr="0098559C">
        <w:t xml:space="preserve"> per </w:t>
      </w:r>
      <w:r w:rsidR="00763E84">
        <w:t>individual</w:t>
      </w:r>
      <w:r w:rsidRPr="0098559C">
        <w:t>. This was based on two doses and a cost of $</w:t>
      </w:r>
      <w:r w:rsidR="0020540A">
        <w:rPr>
          <w:noProof/>
          <w:color w:val="000000"/>
          <w:highlight w:val="black"/>
        </w:rPr>
        <w:t>'''''''</w:t>
      </w:r>
      <w:r w:rsidRPr="0098559C">
        <w:t xml:space="preserve"> per dose</w:t>
      </w:r>
      <w:r w:rsidR="00426EDC">
        <w:t xml:space="preserve">, </w:t>
      </w:r>
      <w:r w:rsidR="0020540A">
        <w:rPr>
          <w:noProof/>
          <w:color w:val="000000"/>
          <w:highlight w:val="black"/>
        </w:rPr>
        <w:t>'''''''''''' '''''''' ''''''' ''''''''''' '''' ''''''' ''''''''''''''''''''' '''''''' ''''' '''''' '''''''''''''' ''''''''''''''</w:t>
      </w:r>
    </w:p>
    <w:p w:rsidR="00B60939" w:rsidRPr="009B5D55" w:rsidRDefault="00B60939" w:rsidP="00E92F71">
      <w:pPr>
        <w:pStyle w:val="Heading2"/>
      </w:pPr>
      <w:bookmarkStart w:id="14" w:name="_Toc524340216"/>
      <w:r w:rsidRPr="009B5D55">
        <w:t xml:space="preserve">Estimated </w:t>
      </w:r>
      <w:r w:rsidR="009D36EF">
        <w:t>NIP</w:t>
      </w:r>
      <w:r w:rsidR="009D36EF" w:rsidRPr="009B5D55">
        <w:t xml:space="preserve"> </w:t>
      </w:r>
      <w:r w:rsidRPr="009B5D55">
        <w:t>usage &amp; financial implications</w:t>
      </w:r>
      <w:bookmarkEnd w:id="14"/>
    </w:p>
    <w:p w:rsidR="00B13381" w:rsidRPr="009B5D55" w:rsidRDefault="00C25D9C" w:rsidP="00ED2457">
      <w:pPr>
        <w:pStyle w:val="ListParagraph"/>
        <w:widowControl/>
        <w:numPr>
          <w:ilvl w:val="1"/>
          <w:numId w:val="2"/>
        </w:numPr>
      </w:pPr>
      <w:r w:rsidRPr="009B5D55">
        <w:t xml:space="preserve">This submission </w:t>
      </w:r>
      <w:r w:rsidR="00B52101">
        <w:t>was</w:t>
      </w:r>
      <w:r w:rsidR="007D5FEB">
        <w:t xml:space="preserve"> </w:t>
      </w:r>
      <w:r w:rsidRPr="009B5D55">
        <w:t>not</w:t>
      </w:r>
      <w:r w:rsidR="007D5FEB">
        <w:t xml:space="preserve"> </w:t>
      </w:r>
      <w:r w:rsidRPr="009B5D55">
        <w:t>considered by DUSC</w:t>
      </w:r>
      <w:r w:rsidRPr="009B5D55">
        <w:rPr>
          <w:color w:val="0070C0"/>
        </w:rPr>
        <w:t>.</w:t>
      </w:r>
    </w:p>
    <w:p w:rsidR="0072416F" w:rsidRDefault="00B13381" w:rsidP="00ED2457">
      <w:pPr>
        <w:pStyle w:val="ListParagraph"/>
        <w:widowControl/>
        <w:numPr>
          <w:ilvl w:val="1"/>
          <w:numId w:val="2"/>
        </w:numPr>
      </w:pPr>
      <w:r w:rsidRPr="009B5D55">
        <w:t xml:space="preserve">The submission used an epidemiological approach to estimate the financial impact </w:t>
      </w:r>
      <w:r w:rsidR="000A7F7F">
        <w:t>of</w:t>
      </w:r>
      <w:r w:rsidRPr="009B5D55">
        <w:t xml:space="preserve"> listing the HZ/</w:t>
      </w:r>
      <w:proofErr w:type="spellStart"/>
      <w:r w:rsidRPr="009B5D55">
        <w:t>su</w:t>
      </w:r>
      <w:proofErr w:type="spellEnd"/>
      <w:r w:rsidRPr="009B5D55">
        <w:t xml:space="preserve"> vaccine </w:t>
      </w:r>
      <w:r w:rsidR="000A7F7F">
        <w:t xml:space="preserve">to the NIP </w:t>
      </w:r>
      <w:r w:rsidRPr="009B5D55">
        <w:t>and Australian</w:t>
      </w:r>
      <w:r w:rsidRPr="008B348A">
        <w:t xml:space="preserve"> Government health budget. The key </w:t>
      </w:r>
      <w:r w:rsidR="000A7F7F">
        <w:lastRenderedPageBreak/>
        <w:t xml:space="preserve">data </w:t>
      </w:r>
      <w:r w:rsidRPr="008B348A">
        <w:t>sources include</w:t>
      </w:r>
      <w:r w:rsidR="000A7F7F">
        <w:t>d</w:t>
      </w:r>
      <w:r w:rsidRPr="008B348A">
        <w:t xml:space="preserve"> the ABS, the Chemist Warehouse (for the price of the live-HZ vaccine</w:t>
      </w:r>
      <w:r w:rsidR="002E6632">
        <w:t xml:space="preserve">, </w:t>
      </w:r>
      <w:r w:rsidR="00CF76F6">
        <w:t>$</w:t>
      </w:r>
      <w:r w:rsidR="0020540A">
        <w:rPr>
          <w:noProof/>
          <w:color w:val="000000"/>
          <w:highlight w:val="black"/>
        </w:rPr>
        <w:t>''''''''</w:t>
      </w:r>
      <w:r w:rsidRPr="008B348A">
        <w:t>) and the ATAGI pre-submission advice.</w:t>
      </w:r>
    </w:p>
    <w:p w:rsidR="00A55A2B" w:rsidRPr="0098559C" w:rsidRDefault="006E30E5" w:rsidP="00ED2457">
      <w:pPr>
        <w:pStyle w:val="ListParagraph"/>
        <w:widowControl/>
        <w:numPr>
          <w:ilvl w:val="1"/>
          <w:numId w:val="2"/>
        </w:numPr>
      </w:pPr>
      <w:r w:rsidRPr="0098559C">
        <w:t>The ESC not</w:t>
      </w:r>
      <w:r w:rsidR="000A7F7F">
        <w:t>ed that the ongoing NIP cohort wa</w:t>
      </w:r>
      <w:r w:rsidRPr="0098559C">
        <w:t xml:space="preserve">s 60-year olds only and </w:t>
      </w:r>
      <w:r w:rsidR="000A7F7F">
        <w:t>that there wa</w:t>
      </w:r>
      <w:r w:rsidRPr="0098559C">
        <w:t xml:space="preserve">s no separate ongoing 70-year old or 80-year old program. </w:t>
      </w:r>
      <w:r w:rsidR="000A7F7F">
        <w:t>The utilisation in the five</w:t>
      </w:r>
      <w:r w:rsidR="00A55A2B" w:rsidRPr="0098559C">
        <w:t>-year catch-up program cohort</w:t>
      </w:r>
      <w:r w:rsidRPr="0098559C">
        <w:t>s</w:t>
      </w:r>
      <w:r w:rsidR="00A55A2B" w:rsidRPr="0098559C">
        <w:t xml:space="preserve"> was assumed to be 30% in Year 1, 20% in Year 2 and 10% in Years 3 to 5.</w:t>
      </w:r>
    </w:p>
    <w:p w:rsidR="00DE61AA" w:rsidRPr="0086667F" w:rsidRDefault="002E6632" w:rsidP="00ED2457">
      <w:pPr>
        <w:pStyle w:val="ListParagraph"/>
        <w:widowControl/>
        <w:numPr>
          <w:ilvl w:val="1"/>
          <w:numId w:val="2"/>
        </w:numPr>
      </w:pPr>
      <w:r>
        <w:t>As presented in the table below, t</w:t>
      </w:r>
      <w:r w:rsidR="00902B0F">
        <w:t xml:space="preserve">he overall cost to the NIP for </w:t>
      </w:r>
      <w:r w:rsidR="000A7F7F">
        <w:t>both</w:t>
      </w:r>
      <w:r w:rsidR="00902B0F">
        <w:t xml:space="preserve"> programs was </w:t>
      </w:r>
      <w:r>
        <w:t>estimated</w:t>
      </w:r>
      <w:r w:rsidR="00622DC5">
        <w:t>,</w:t>
      </w:r>
      <w:r>
        <w:t xml:space="preserve"> by the submission</w:t>
      </w:r>
      <w:r w:rsidR="00622DC5">
        <w:t>,</w:t>
      </w:r>
      <w:r>
        <w:t xml:space="preserve"> to be </w:t>
      </w:r>
      <w:r w:rsidR="00773690">
        <w:t xml:space="preserve">more than $100 million </w:t>
      </w:r>
      <w:r>
        <w:t>over the first six years of listing</w:t>
      </w:r>
      <w:r w:rsidR="00902B0F">
        <w:t>.</w:t>
      </w:r>
      <w:r w:rsidR="00C42920">
        <w:t xml:space="preserve"> </w:t>
      </w:r>
      <w:r w:rsidR="00622DC5">
        <w:t xml:space="preserve">The Pre-PBAC Response stated that the potential cost was based on the assumptions that 30% of individuals turning 60 years of age each year and 80% of patients aged over 60 years would be vaccinated over the six years. </w:t>
      </w:r>
    </w:p>
    <w:p w:rsidR="00C25D9C" w:rsidRPr="0098559C" w:rsidRDefault="002A2F50" w:rsidP="00DC22E0">
      <w:pPr>
        <w:keepNext/>
      </w:pPr>
      <w:r w:rsidRPr="0098559C">
        <w:rPr>
          <w:rStyle w:val="CommentReference"/>
        </w:rPr>
        <w:t xml:space="preserve">Table </w:t>
      </w:r>
      <w:r w:rsidR="009A657A" w:rsidRPr="0098559C">
        <w:rPr>
          <w:rStyle w:val="CommentReference"/>
        </w:rPr>
        <w:t>1</w:t>
      </w:r>
      <w:r w:rsidR="00DF7A69" w:rsidRPr="0098559C">
        <w:rPr>
          <w:rStyle w:val="CommentReference"/>
        </w:rPr>
        <w:t>8</w:t>
      </w:r>
      <w:r w:rsidRPr="0098559C">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1160"/>
        <w:gridCol w:w="1160"/>
        <w:gridCol w:w="1126"/>
        <w:gridCol w:w="1131"/>
        <w:gridCol w:w="1133"/>
        <w:gridCol w:w="1130"/>
      </w:tblGrid>
      <w:tr w:rsidR="00385A9D" w:rsidRPr="0098559C" w:rsidTr="00EB272C">
        <w:trPr>
          <w:cantSplit/>
          <w:tblHeader/>
        </w:trPr>
        <w:tc>
          <w:tcPr>
            <w:tcW w:w="1176" w:type="pct"/>
            <w:shd w:val="clear" w:color="auto" w:fill="auto"/>
            <w:vAlign w:val="center"/>
          </w:tcPr>
          <w:p w:rsidR="00385A9D" w:rsidRPr="0098559C" w:rsidRDefault="00385A9D" w:rsidP="00DC22E0">
            <w:pPr>
              <w:pStyle w:val="Tabletext"/>
              <w:keepNext/>
            </w:pPr>
          </w:p>
        </w:tc>
        <w:tc>
          <w:tcPr>
            <w:tcW w:w="649" w:type="pct"/>
            <w:shd w:val="clear" w:color="auto" w:fill="auto"/>
            <w:vAlign w:val="center"/>
          </w:tcPr>
          <w:p w:rsidR="00385A9D" w:rsidRPr="0098559C" w:rsidRDefault="00385A9D" w:rsidP="00DC22E0">
            <w:pPr>
              <w:pStyle w:val="Tabletext"/>
              <w:keepNext/>
              <w:jc w:val="center"/>
              <w:rPr>
                <w:b/>
              </w:rPr>
            </w:pPr>
            <w:r w:rsidRPr="0098559C">
              <w:rPr>
                <w:b/>
              </w:rPr>
              <w:t>Year 1</w:t>
            </w:r>
          </w:p>
        </w:tc>
        <w:tc>
          <w:tcPr>
            <w:tcW w:w="649" w:type="pct"/>
            <w:shd w:val="clear" w:color="auto" w:fill="auto"/>
            <w:vAlign w:val="center"/>
          </w:tcPr>
          <w:p w:rsidR="00385A9D" w:rsidRPr="0098559C" w:rsidRDefault="00385A9D" w:rsidP="00DC22E0">
            <w:pPr>
              <w:pStyle w:val="Tabletext"/>
              <w:keepNext/>
              <w:jc w:val="center"/>
              <w:rPr>
                <w:b/>
              </w:rPr>
            </w:pPr>
            <w:r w:rsidRPr="0098559C">
              <w:rPr>
                <w:b/>
              </w:rPr>
              <w:t>Year 2</w:t>
            </w:r>
          </w:p>
        </w:tc>
        <w:tc>
          <w:tcPr>
            <w:tcW w:w="627" w:type="pct"/>
            <w:shd w:val="clear" w:color="auto" w:fill="auto"/>
            <w:vAlign w:val="center"/>
          </w:tcPr>
          <w:p w:rsidR="00385A9D" w:rsidRPr="0098559C" w:rsidRDefault="00385A9D" w:rsidP="00DC22E0">
            <w:pPr>
              <w:pStyle w:val="Tabletext"/>
              <w:keepNext/>
              <w:jc w:val="center"/>
              <w:rPr>
                <w:b/>
              </w:rPr>
            </w:pPr>
            <w:r w:rsidRPr="0098559C">
              <w:rPr>
                <w:b/>
              </w:rPr>
              <w:t>Year 3</w:t>
            </w:r>
          </w:p>
        </w:tc>
        <w:tc>
          <w:tcPr>
            <w:tcW w:w="633" w:type="pct"/>
            <w:shd w:val="clear" w:color="auto" w:fill="auto"/>
            <w:vAlign w:val="center"/>
          </w:tcPr>
          <w:p w:rsidR="00385A9D" w:rsidRPr="0098559C" w:rsidRDefault="00385A9D" w:rsidP="00DC22E0">
            <w:pPr>
              <w:pStyle w:val="Tabletext"/>
              <w:keepNext/>
              <w:jc w:val="center"/>
              <w:rPr>
                <w:b/>
              </w:rPr>
            </w:pPr>
            <w:r w:rsidRPr="0098559C">
              <w:rPr>
                <w:b/>
              </w:rPr>
              <w:t>Year 4</w:t>
            </w:r>
          </w:p>
        </w:tc>
        <w:tc>
          <w:tcPr>
            <w:tcW w:w="634" w:type="pct"/>
            <w:shd w:val="clear" w:color="auto" w:fill="auto"/>
            <w:vAlign w:val="center"/>
          </w:tcPr>
          <w:p w:rsidR="00385A9D" w:rsidRPr="0098559C" w:rsidRDefault="00385A9D" w:rsidP="00DC22E0">
            <w:pPr>
              <w:pStyle w:val="Tabletext"/>
              <w:keepNext/>
              <w:jc w:val="center"/>
              <w:rPr>
                <w:b/>
              </w:rPr>
            </w:pPr>
            <w:r w:rsidRPr="0098559C">
              <w:rPr>
                <w:b/>
              </w:rPr>
              <w:t>Year 5</w:t>
            </w:r>
          </w:p>
        </w:tc>
        <w:tc>
          <w:tcPr>
            <w:tcW w:w="632" w:type="pct"/>
          </w:tcPr>
          <w:p w:rsidR="00385A9D" w:rsidRPr="0098559C" w:rsidRDefault="00385A9D" w:rsidP="00DC22E0">
            <w:pPr>
              <w:pStyle w:val="Tabletext"/>
              <w:keepNext/>
              <w:jc w:val="center"/>
              <w:rPr>
                <w:b/>
              </w:rPr>
            </w:pPr>
            <w:r w:rsidRPr="0098559C">
              <w:rPr>
                <w:b/>
              </w:rPr>
              <w:t>Year 6</w:t>
            </w:r>
          </w:p>
        </w:tc>
      </w:tr>
      <w:tr w:rsidR="00385A9D" w:rsidRPr="0098559C" w:rsidTr="006C6E7A">
        <w:trPr>
          <w:cantSplit/>
        </w:trPr>
        <w:tc>
          <w:tcPr>
            <w:tcW w:w="5000" w:type="pct"/>
            <w:gridSpan w:val="7"/>
            <w:shd w:val="clear" w:color="auto" w:fill="auto"/>
            <w:vAlign w:val="center"/>
          </w:tcPr>
          <w:p w:rsidR="00385A9D" w:rsidRPr="0098559C" w:rsidRDefault="00385A9D" w:rsidP="00DC22E0">
            <w:pPr>
              <w:pStyle w:val="Tabletext"/>
              <w:keepNext/>
              <w:rPr>
                <w:b/>
                <w:bCs/>
                <w:color w:val="000000"/>
              </w:rPr>
            </w:pPr>
            <w:r w:rsidRPr="0098559C">
              <w:rPr>
                <w:b/>
                <w:bCs/>
                <w:color w:val="000000"/>
              </w:rPr>
              <w:t>Estimated extent of use</w:t>
            </w:r>
          </w:p>
        </w:tc>
      </w:tr>
      <w:tr w:rsidR="00DB45CA" w:rsidRPr="0098559C" w:rsidTr="006C6E7A">
        <w:trPr>
          <w:cantSplit/>
        </w:trPr>
        <w:tc>
          <w:tcPr>
            <w:tcW w:w="5000" w:type="pct"/>
            <w:gridSpan w:val="7"/>
            <w:shd w:val="clear" w:color="auto" w:fill="auto"/>
            <w:vAlign w:val="center"/>
          </w:tcPr>
          <w:p w:rsidR="00DB45CA" w:rsidRPr="0098559C" w:rsidRDefault="00DB45CA" w:rsidP="00DC22E0">
            <w:pPr>
              <w:pStyle w:val="Tabletext"/>
              <w:keepNext/>
              <w:rPr>
                <w:bCs/>
                <w:color w:val="000000"/>
              </w:rPr>
            </w:pPr>
            <w:r w:rsidRPr="0098559C">
              <w:t>Number of individuals vaccinated</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60 year old program</w:t>
            </w:r>
            <w:r w:rsidR="00353A69" w:rsidRPr="0098559C">
              <w:t xml:space="preserve"> (31%)</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70 year old program</w:t>
            </w:r>
            <w:r w:rsidR="00353A69" w:rsidRPr="0098559C">
              <w:t xml:space="preserve"> (49%)</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80 year old program</w:t>
            </w:r>
            <w:r w:rsidR="00353A69" w:rsidRPr="0098559C">
              <w:t xml:space="preserve"> (59%)</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60-69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70-79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6B2234" w:rsidRPr="0020540A" w:rsidRDefault="0020540A" w:rsidP="00DC22E0">
            <w:pPr>
              <w:pStyle w:val="Tabletext"/>
              <w:keepNext/>
              <w:jc w:val="center"/>
              <w:rPr>
                <w:bCs/>
                <w:color w:val="000000"/>
                <w:highlight w:val="black"/>
              </w:rPr>
            </w:pPr>
            <w:r>
              <w:rPr>
                <w:bCs/>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80+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6B2234" w:rsidRPr="0020540A" w:rsidRDefault="0020540A" w:rsidP="00DC22E0">
            <w:pPr>
              <w:pStyle w:val="Tabletext"/>
              <w:keepNext/>
              <w:jc w:val="center"/>
              <w:rPr>
                <w:bCs/>
                <w:color w:val="000000"/>
                <w:highlight w:val="black"/>
              </w:rPr>
            </w:pPr>
            <w:r>
              <w:rPr>
                <w:bCs/>
                <w:noProof/>
                <w:color w:val="000000"/>
                <w:highlight w:val="black"/>
              </w:rPr>
              <w:t>'''</w:t>
            </w:r>
          </w:p>
        </w:tc>
      </w:tr>
      <w:tr w:rsidR="00DB45CA" w:rsidRPr="0098559C" w:rsidTr="006C6E7A">
        <w:trPr>
          <w:cantSplit/>
        </w:trPr>
        <w:tc>
          <w:tcPr>
            <w:tcW w:w="5000" w:type="pct"/>
            <w:gridSpan w:val="7"/>
            <w:shd w:val="clear" w:color="auto" w:fill="auto"/>
            <w:vAlign w:val="center"/>
          </w:tcPr>
          <w:p w:rsidR="00DB45CA" w:rsidRPr="0098559C" w:rsidRDefault="00DB45CA" w:rsidP="00B0239D">
            <w:pPr>
              <w:pStyle w:val="Tabletext"/>
              <w:keepNext/>
              <w:rPr>
                <w:bCs/>
                <w:color w:val="000000"/>
              </w:rPr>
            </w:pPr>
            <w:r w:rsidRPr="0098559C">
              <w:t xml:space="preserve">Number of </w:t>
            </w:r>
            <w:r w:rsidR="00B0239D" w:rsidRPr="0098559C">
              <w:t>dose</w:t>
            </w:r>
            <w:r w:rsidRPr="0098559C">
              <w:t xml:space="preserve">s </w:t>
            </w:r>
            <w:proofErr w:type="spellStart"/>
            <w:r w:rsidRPr="0098559C">
              <w:t>dispensed</w:t>
            </w:r>
            <w:r w:rsidRPr="0098559C">
              <w:rPr>
                <w:vertAlign w:val="superscript"/>
              </w:rPr>
              <w:t>a</w:t>
            </w:r>
            <w:proofErr w:type="spellEnd"/>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60 year old program</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70 year old program</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80 year old program</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60-69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6B2234" w:rsidRPr="0020540A" w:rsidRDefault="0020540A" w:rsidP="00DC22E0">
            <w:pPr>
              <w:pStyle w:val="Tabletext"/>
              <w:keepNext/>
              <w:jc w:val="center"/>
              <w:rPr>
                <w:bCs/>
                <w:color w:val="000000"/>
                <w:highlight w:val="black"/>
              </w:rPr>
            </w:pPr>
            <w:r>
              <w:rPr>
                <w:bCs/>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70-79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6B2234" w:rsidRPr="0020540A" w:rsidRDefault="0020540A" w:rsidP="00DC22E0">
            <w:pPr>
              <w:pStyle w:val="Tabletext"/>
              <w:keepNext/>
              <w:jc w:val="center"/>
              <w:rPr>
                <w:bCs/>
                <w:color w:val="000000"/>
                <w:highlight w:val="black"/>
              </w:rPr>
            </w:pPr>
            <w:r>
              <w:rPr>
                <w:bCs/>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pPr>
            <w:r w:rsidRPr="0098559C">
              <w:t>80+ year catch-up</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6B2234" w:rsidRPr="0020540A" w:rsidRDefault="0020540A" w:rsidP="00DC22E0">
            <w:pPr>
              <w:pStyle w:val="Tabletext"/>
              <w:keepNext/>
              <w:jc w:val="center"/>
              <w:rPr>
                <w:bCs/>
                <w:color w:val="000000"/>
                <w:highlight w:val="black"/>
              </w:rPr>
            </w:pPr>
            <w:r>
              <w:rPr>
                <w:bCs/>
                <w:noProof/>
                <w:color w:val="000000"/>
                <w:highlight w:val="black"/>
              </w:rPr>
              <w:t>'''</w:t>
            </w:r>
          </w:p>
        </w:tc>
      </w:tr>
      <w:tr w:rsidR="006B2234" w:rsidRPr="0098559C" w:rsidTr="006C6E7A">
        <w:trPr>
          <w:cantSplit/>
        </w:trPr>
        <w:tc>
          <w:tcPr>
            <w:tcW w:w="5000" w:type="pct"/>
            <w:gridSpan w:val="7"/>
            <w:shd w:val="clear" w:color="auto" w:fill="auto"/>
            <w:vAlign w:val="center"/>
          </w:tcPr>
          <w:p w:rsidR="006B2234" w:rsidRPr="0098559C" w:rsidRDefault="006B2234" w:rsidP="00DC22E0">
            <w:pPr>
              <w:pStyle w:val="Tabletext"/>
              <w:keepNext/>
              <w:rPr>
                <w:b/>
                <w:bCs/>
                <w:color w:val="000000"/>
              </w:rPr>
            </w:pPr>
            <w:r w:rsidRPr="0098559C">
              <w:rPr>
                <w:b/>
                <w:bCs/>
                <w:color w:val="000000"/>
              </w:rPr>
              <w:t>Estimated financial implications of the HZ/</w:t>
            </w:r>
            <w:proofErr w:type="spellStart"/>
            <w:r w:rsidRPr="0098559C">
              <w:rPr>
                <w:b/>
                <w:bCs/>
                <w:color w:val="000000"/>
              </w:rPr>
              <w:t>su</w:t>
            </w:r>
            <w:proofErr w:type="spellEnd"/>
            <w:r w:rsidRPr="0098559C">
              <w:rPr>
                <w:b/>
                <w:bCs/>
                <w:color w:val="000000"/>
              </w:rPr>
              <w:t xml:space="preserve"> vaccine to NIP</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rPr>
                <w:rFonts w:ascii="Times" w:hAnsi="Times"/>
              </w:rPr>
            </w:pPr>
            <w:r w:rsidRPr="0098559C">
              <w:t>60 year old program</w:t>
            </w:r>
          </w:p>
        </w:tc>
        <w:tc>
          <w:tcPr>
            <w:tcW w:w="649" w:type="pct"/>
            <w:shd w:val="clear" w:color="auto" w:fill="auto"/>
            <w:vAlign w:val="center"/>
          </w:tcPr>
          <w:p w:rsidR="006B2234" w:rsidRPr="0020540A" w:rsidRDefault="0020540A" w:rsidP="00DC22E0">
            <w:pPr>
              <w:pStyle w:val="Tabletext"/>
              <w:keepNext/>
              <w:jc w:val="center"/>
              <w:rPr>
                <w:highlight w:val="black"/>
              </w:rPr>
            </w:pPr>
            <w:r>
              <w:rPr>
                <w:noProof/>
                <w:color w:val="000000"/>
                <w:highlight w:val="black"/>
              </w:rPr>
              <w:t>''''''''''''''''''''''''''''''''</w:t>
            </w:r>
          </w:p>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6B2234" w:rsidRPr="0098559C" w:rsidTr="00EB272C">
        <w:trPr>
          <w:cantSplit/>
        </w:trPr>
        <w:tc>
          <w:tcPr>
            <w:tcW w:w="1176" w:type="pct"/>
            <w:shd w:val="clear" w:color="auto" w:fill="auto"/>
            <w:vAlign w:val="center"/>
          </w:tcPr>
          <w:p w:rsidR="006B2234" w:rsidRPr="0098559C" w:rsidRDefault="006B2234" w:rsidP="00DC22E0">
            <w:pPr>
              <w:pStyle w:val="Tabletext"/>
              <w:keepNext/>
              <w:rPr>
                <w:sz w:val="19"/>
                <w:szCs w:val="19"/>
              </w:rPr>
            </w:pPr>
            <w:r w:rsidRPr="0098559C">
              <w:t>70 year old program</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6B2234" w:rsidRPr="0020540A" w:rsidRDefault="0020540A" w:rsidP="00DC22E0">
            <w:pPr>
              <w:pStyle w:val="Tabletext"/>
              <w:keepNext/>
              <w:jc w:val="center"/>
              <w:rPr>
                <w:bCs/>
                <w:color w:val="000000"/>
                <w:highlight w:val="black"/>
              </w:rPr>
            </w:pPr>
            <w:r>
              <w:rPr>
                <w:noProof/>
                <w:color w:val="000000"/>
                <w:highlight w:val="black"/>
              </w:rPr>
              <w:t>''''''''''''''''''''''''''''''''</w:t>
            </w:r>
          </w:p>
        </w:tc>
      </w:tr>
      <w:tr w:rsidR="000936ED" w:rsidRPr="0098559C" w:rsidTr="00EB272C">
        <w:trPr>
          <w:cantSplit/>
        </w:trPr>
        <w:tc>
          <w:tcPr>
            <w:tcW w:w="1176" w:type="pct"/>
            <w:shd w:val="clear" w:color="auto" w:fill="auto"/>
            <w:vAlign w:val="center"/>
          </w:tcPr>
          <w:p w:rsidR="000936ED" w:rsidRPr="0098559C" w:rsidRDefault="000936ED" w:rsidP="00DC22E0">
            <w:pPr>
              <w:pStyle w:val="Tabletext"/>
              <w:keepNext/>
              <w:rPr>
                <w:sz w:val="19"/>
                <w:szCs w:val="19"/>
              </w:rPr>
            </w:pPr>
            <w:r w:rsidRPr="0098559C">
              <w:t>80 year old program</w:t>
            </w:r>
          </w:p>
        </w:tc>
        <w:tc>
          <w:tcPr>
            <w:tcW w:w="649"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2" w:type="pct"/>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r>
      <w:tr w:rsidR="000936ED" w:rsidRPr="0098559C" w:rsidTr="00EB272C">
        <w:trPr>
          <w:cantSplit/>
        </w:trPr>
        <w:tc>
          <w:tcPr>
            <w:tcW w:w="1176" w:type="pct"/>
            <w:shd w:val="clear" w:color="auto" w:fill="auto"/>
            <w:vAlign w:val="center"/>
          </w:tcPr>
          <w:p w:rsidR="000936ED" w:rsidRPr="0098559C" w:rsidRDefault="000936ED" w:rsidP="00DC22E0">
            <w:pPr>
              <w:pStyle w:val="Tabletext"/>
              <w:keepNext/>
              <w:rPr>
                <w:sz w:val="19"/>
                <w:szCs w:val="19"/>
              </w:rPr>
            </w:pPr>
            <w:r w:rsidRPr="0098559C">
              <w:t>60-69 year catch-up</w:t>
            </w:r>
          </w:p>
        </w:tc>
        <w:tc>
          <w:tcPr>
            <w:tcW w:w="649"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49"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27"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3"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4"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highlight w:val="black"/>
              </w:rPr>
            </w:pPr>
            <w:r>
              <w:rPr>
                <w:noProof/>
                <w:color w:val="000000"/>
                <w:highlight w:val="black"/>
              </w:rPr>
              <w:t>'''''''''''''''''''''''''''''</w:t>
            </w:r>
          </w:p>
        </w:tc>
        <w:tc>
          <w:tcPr>
            <w:tcW w:w="632" w:type="pct"/>
          </w:tcPr>
          <w:p w:rsidR="000936ED" w:rsidRPr="0020540A" w:rsidRDefault="0020540A" w:rsidP="00DC22E0">
            <w:pPr>
              <w:pStyle w:val="Tabletext"/>
              <w:keepNext/>
              <w:jc w:val="center"/>
              <w:rPr>
                <w:bCs/>
                <w:color w:val="000000"/>
                <w:highlight w:val="black"/>
              </w:rPr>
            </w:pPr>
            <w:r>
              <w:rPr>
                <w:bCs/>
                <w:noProof/>
                <w:color w:val="000000"/>
                <w:highlight w:val="black"/>
              </w:rPr>
              <w:t>'''</w:t>
            </w:r>
          </w:p>
        </w:tc>
      </w:tr>
      <w:tr w:rsidR="000936ED" w:rsidRPr="0098559C" w:rsidTr="00EB272C">
        <w:trPr>
          <w:cantSplit/>
        </w:trPr>
        <w:tc>
          <w:tcPr>
            <w:tcW w:w="1176" w:type="pct"/>
            <w:shd w:val="clear" w:color="auto" w:fill="auto"/>
            <w:vAlign w:val="center"/>
          </w:tcPr>
          <w:p w:rsidR="000936ED" w:rsidRPr="0098559C" w:rsidRDefault="000936ED" w:rsidP="00DC22E0">
            <w:pPr>
              <w:pStyle w:val="Tabletext"/>
              <w:keepNext/>
              <w:rPr>
                <w:sz w:val="19"/>
                <w:szCs w:val="19"/>
              </w:rPr>
            </w:pPr>
            <w:r w:rsidRPr="0098559C">
              <w:t>70-79 year catch-up</w:t>
            </w:r>
          </w:p>
        </w:tc>
        <w:tc>
          <w:tcPr>
            <w:tcW w:w="649" w:type="pct"/>
            <w:shd w:val="clear" w:color="auto" w:fill="auto"/>
            <w:vAlign w:val="center"/>
          </w:tcPr>
          <w:p w:rsidR="000936ED" w:rsidRPr="0020540A" w:rsidRDefault="0020540A" w:rsidP="00DC22E0">
            <w:pPr>
              <w:pStyle w:val="Tabletext"/>
              <w:keepNext/>
              <w:jc w:val="center"/>
              <w:rPr>
                <w:szCs w:val="20"/>
                <w:highlight w:val="black"/>
              </w:rPr>
            </w:pPr>
            <w:r>
              <w:rPr>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noProof/>
                <w:color w:val="000000"/>
                <w:szCs w:val="20"/>
                <w:highlight w:val="black"/>
              </w:rPr>
              <w:t>'''''''''''''''''''''''''''''''''''</w:t>
            </w:r>
          </w:p>
        </w:tc>
        <w:tc>
          <w:tcPr>
            <w:tcW w:w="649" w:type="pct"/>
            <w:shd w:val="clear" w:color="auto" w:fill="auto"/>
            <w:vAlign w:val="center"/>
          </w:tcPr>
          <w:p w:rsidR="000936ED" w:rsidRPr="0020540A" w:rsidRDefault="0020540A" w:rsidP="00DC22E0">
            <w:pPr>
              <w:pStyle w:val="Tabletext"/>
              <w:keepNext/>
              <w:rPr>
                <w:szCs w:val="20"/>
                <w:highlight w:val="black"/>
              </w:rPr>
            </w:pPr>
            <w:r>
              <w:rPr>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noProof/>
                <w:color w:val="000000"/>
                <w:szCs w:val="20"/>
                <w:highlight w:val="black"/>
              </w:rPr>
              <w:t>''''''''''''''''''''''''''''''</w:t>
            </w:r>
          </w:p>
        </w:tc>
        <w:tc>
          <w:tcPr>
            <w:tcW w:w="627" w:type="pct"/>
            <w:shd w:val="clear" w:color="auto" w:fill="auto"/>
            <w:vAlign w:val="center"/>
          </w:tcPr>
          <w:p w:rsidR="000936ED" w:rsidRPr="0020540A" w:rsidRDefault="0020540A" w:rsidP="00DC22E0">
            <w:pPr>
              <w:pStyle w:val="Tabletext"/>
              <w:keepNext/>
              <w:rPr>
                <w:szCs w:val="20"/>
                <w:highlight w:val="black"/>
              </w:rPr>
            </w:pPr>
            <w:r>
              <w:rPr>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noProof/>
                <w:color w:val="000000"/>
                <w:szCs w:val="20"/>
                <w:highlight w:val="black"/>
              </w:rPr>
              <w:t>''''''''''''''''''''''''''''''''</w:t>
            </w:r>
          </w:p>
        </w:tc>
        <w:tc>
          <w:tcPr>
            <w:tcW w:w="633" w:type="pct"/>
            <w:shd w:val="clear" w:color="auto" w:fill="auto"/>
            <w:vAlign w:val="center"/>
          </w:tcPr>
          <w:p w:rsidR="000936ED" w:rsidRPr="0020540A" w:rsidRDefault="0020540A" w:rsidP="00DC22E0">
            <w:pPr>
              <w:pStyle w:val="Tabletext"/>
              <w:keepNext/>
              <w:rPr>
                <w:szCs w:val="20"/>
                <w:highlight w:val="black"/>
              </w:rPr>
            </w:pPr>
            <w:r>
              <w:rPr>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noProof/>
                <w:color w:val="000000"/>
                <w:szCs w:val="20"/>
                <w:highlight w:val="black"/>
              </w:rPr>
              <w:t>'''''''''''''''''''''''''''</w:t>
            </w:r>
          </w:p>
        </w:tc>
        <w:tc>
          <w:tcPr>
            <w:tcW w:w="634" w:type="pct"/>
            <w:shd w:val="clear" w:color="auto" w:fill="auto"/>
            <w:vAlign w:val="center"/>
          </w:tcPr>
          <w:p w:rsidR="000936ED" w:rsidRPr="0020540A" w:rsidRDefault="0020540A" w:rsidP="00DC22E0">
            <w:pPr>
              <w:pStyle w:val="Tabletext"/>
              <w:keepNext/>
              <w:rPr>
                <w:szCs w:val="20"/>
                <w:highlight w:val="black"/>
              </w:rPr>
            </w:pPr>
            <w:r>
              <w:rPr>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noProof/>
                <w:color w:val="000000"/>
                <w:szCs w:val="20"/>
                <w:highlight w:val="black"/>
              </w:rPr>
              <w:t>''''''''''''''''''''''''''''</w:t>
            </w:r>
          </w:p>
        </w:tc>
        <w:tc>
          <w:tcPr>
            <w:tcW w:w="632" w:type="pct"/>
          </w:tcPr>
          <w:p w:rsidR="000936ED" w:rsidRPr="0020540A" w:rsidRDefault="0020540A" w:rsidP="00DC22E0">
            <w:pPr>
              <w:pStyle w:val="Tabletext"/>
              <w:keepNext/>
              <w:jc w:val="center"/>
              <w:rPr>
                <w:bCs/>
                <w:color w:val="000000"/>
                <w:highlight w:val="black"/>
              </w:rPr>
            </w:pPr>
            <w:r>
              <w:rPr>
                <w:bCs/>
                <w:noProof/>
                <w:color w:val="000000"/>
                <w:highlight w:val="black"/>
              </w:rPr>
              <w:t>'''</w:t>
            </w:r>
          </w:p>
        </w:tc>
      </w:tr>
      <w:tr w:rsidR="000936ED" w:rsidRPr="0098559C" w:rsidTr="00EB272C">
        <w:trPr>
          <w:cantSplit/>
        </w:trPr>
        <w:tc>
          <w:tcPr>
            <w:tcW w:w="1176" w:type="pct"/>
            <w:shd w:val="clear" w:color="auto" w:fill="auto"/>
            <w:vAlign w:val="center"/>
          </w:tcPr>
          <w:p w:rsidR="000936ED" w:rsidRPr="0098559C" w:rsidRDefault="000936ED" w:rsidP="00DC22E0">
            <w:pPr>
              <w:pStyle w:val="Tabletext"/>
              <w:keepNext/>
              <w:rPr>
                <w:szCs w:val="20"/>
              </w:rPr>
            </w:pPr>
            <w:r w:rsidRPr="0098559C">
              <w:rPr>
                <w:szCs w:val="20"/>
              </w:rPr>
              <w:t>80+ year catch-up</w:t>
            </w:r>
          </w:p>
        </w:tc>
        <w:tc>
          <w:tcPr>
            <w:tcW w:w="649" w:type="pct"/>
            <w:shd w:val="clear" w:color="auto" w:fill="auto"/>
            <w:vAlign w:val="center"/>
          </w:tcPr>
          <w:p w:rsidR="000936ED" w:rsidRPr="0020540A" w:rsidRDefault="0020540A" w:rsidP="00DC22E0">
            <w:pPr>
              <w:pStyle w:val="Tabletext"/>
              <w:keepNext/>
              <w:jc w:val="center"/>
              <w:rPr>
                <w:rFonts w:cs="Calibri"/>
                <w:iCs/>
                <w:color w:val="000000"/>
                <w:szCs w:val="20"/>
                <w:highlight w:val="black"/>
              </w:rPr>
            </w:pPr>
            <w:r>
              <w:rPr>
                <w:noProof/>
                <w:color w:val="000000"/>
                <w:highlight w:val="black"/>
              </w:rPr>
              <w:t>'''''''''''''''''''''''''''''</w:t>
            </w:r>
          </w:p>
          <w:p w:rsidR="000936ED"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49" w:type="pct"/>
            <w:shd w:val="clear" w:color="auto" w:fill="auto"/>
            <w:vAlign w:val="center"/>
          </w:tcPr>
          <w:p w:rsidR="000936ED" w:rsidRPr="0020540A" w:rsidRDefault="0020540A" w:rsidP="00DC22E0">
            <w:pPr>
              <w:pStyle w:val="Tabletext"/>
              <w:keepNext/>
              <w:jc w:val="center"/>
              <w:rPr>
                <w:highlight w:val="black"/>
              </w:rPr>
            </w:pPr>
            <w:r>
              <w:rPr>
                <w:noProof/>
                <w:color w:val="000000"/>
                <w:highlight w:val="black"/>
              </w:rPr>
              <w:t>'''''''''''''''''''''''''''''</w:t>
            </w:r>
          </w:p>
          <w:p w:rsidR="000936ED"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27" w:type="pct"/>
            <w:shd w:val="clear" w:color="auto" w:fill="auto"/>
            <w:vAlign w:val="center"/>
          </w:tcPr>
          <w:p w:rsidR="000936ED" w:rsidRPr="0020540A" w:rsidRDefault="0020540A" w:rsidP="00DC22E0">
            <w:pPr>
              <w:pStyle w:val="Tabletext"/>
              <w:keepNext/>
              <w:jc w:val="center"/>
              <w:rPr>
                <w:rFonts w:cs="Calibri"/>
                <w:color w:val="000000"/>
                <w:szCs w:val="20"/>
                <w:highlight w:val="black"/>
              </w:rPr>
            </w:pPr>
            <w:r>
              <w:rPr>
                <w:rFonts w:cs="Calibri"/>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3" w:type="pct"/>
            <w:shd w:val="clear" w:color="auto" w:fill="auto"/>
            <w:vAlign w:val="center"/>
          </w:tcPr>
          <w:p w:rsidR="000936ED" w:rsidRPr="0020540A" w:rsidRDefault="0020540A" w:rsidP="00DC22E0">
            <w:pPr>
              <w:pStyle w:val="Tabletext"/>
              <w:keepNext/>
              <w:jc w:val="center"/>
              <w:rPr>
                <w:rFonts w:cs="Calibri"/>
                <w:color w:val="000000"/>
                <w:szCs w:val="20"/>
                <w:highlight w:val="black"/>
              </w:rPr>
            </w:pPr>
            <w:r>
              <w:rPr>
                <w:rFonts w:cs="Calibri"/>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4" w:type="pct"/>
            <w:shd w:val="clear" w:color="auto" w:fill="auto"/>
            <w:vAlign w:val="center"/>
          </w:tcPr>
          <w:p w:rsidR="000936ED" w:rsidRPr="0020540A" w:rsidRDefault="0020540A" w:rsidP="00DC22E0">
            <w:pPr>
              <w:pStyle w:val="Tabletext"/>
              <w:keepNext/>
              <w:jc w:val="center"/>
              <w:rPr>
                <w:rFonts w:cs="Calibri"/>
                <w:color w:val="000000"/>
                <w:szCs w:val="20"/>
                <w:highlight w:val="black"/>
              </w:rPr>
            </w:pPr>
            <w:r>
              <w:rPr>
                <w:rFonts w:cs="Calibri"/>
                <w:noProof/>
                <w:color w:val="000000"/>
                <w:szCs w:val="20"/>
                <w:highlight w:val="black"/>
              </w:rPr>
              <w:t>'''''''''''''''''''''''''''''''</w:t>
            </w:r>
          </w:p>
          <w:p w:rsidR="000936ED"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2" w:type="pct"/>
          </w:tcPr>
          <w:p w:rsidR="000936ED" w:rsidRPr="0020540A" w:rsidRDefault="0020540A" w:rsidP="00DC22E0">
            <w:pPr>
              <w:pStyle w:val="Tabletext"/>
              <w:keepNext/>
              <w:jc w:val="center"/>
              <w:rPr>
                <w:bCs/>
                <w:color w:val="000000"/>
                <w:szCs w:val="20"/>
                <w:highlight w:val="black"/>
              </w:rPr>
            </w:pPr>
            <w:r>
              <w:rPr>
                <w:bCs/>
                <w:noProof/>
                <w:color w:val="000000"/>
                <w:szCs w:val="20"/>
                <w:highlight w:val="black"/>
              </w:rPr>
              <w:t>''</w:t>
            </w:r>
          </w:p>
        </w:tc>
      </w:tr>
      <w:tr w:rsidR="006B2234" w:rsidRPr="0098559C" w:rsidTr="006C6E7A">
        <w:trPr>
          <w:cantSplit/>
        </w:trPr>
        <w:tc>
          <w:tcPr>
            <w:tcW w:w="5000" w:type="pct"/>
            <w:gridSpan w:val="7"/>
            <w:shd w:val="clear" w:color="auto" w:fill="auto"/>
            <w:vAlign w:val="center"/>
          </w:tcPr>
          <w:p w:rsidR="006B2234" w:rsidRPr="0098559C" w:rsidRDefault="006B2234" w:rsidP="00A90AF9">
            <w:pPr>
              <w:pStyle w:val="Tabletext"/>
              <w:keepNext/>
              <w:rPr>
                <w:bCs/>
                <w:color w:val="000000"/>
                <w:szCs w:val="20"/>
              </w:rPr>
            </w:pPr>
            <w:r w:rsidRPr="0098559C">
              <w:rPr>
                <w:b/>
                <w:bCs/>
                <w:color w:val="000000"/>
                <w:szCs w:val="20"/>
              </w:rPr>
              <w:t xml:space="preserve">Estimated </w:t>
            </w:r>
            <w:r w:rsidR="000936ED" w:rsidRPr="0098559C">
              <w:rPr>
                <w:b/>
                <w:bCs/>
                <w:color w:val="000000"/>
                <w:szCs w:val="20"/>
              </w:rPr>
              <w:t>cost-savings from replacing the</w:t>
            </w:r>
            <w:r w:rsidRPr="0098559C">
              <w:rPr>
                <w:b/>
                <w:bCs/>
                <w:color w:val="000000"/>
                <w:szCs w:val="20"/>
              </w:rPr>
              <w:t xml:space="preserve"> l</w:t>
            </w:r>
            <w:r w:rsidR="00FF7A0A" w:rsidRPr="0098559C">
              <w:rPr>
                <w:b/>
                <w:bCs/>
                <w:color w:val="000000"/>
                <w:szCs w:val="20"/>
              </w:rPr>
              <w:t xml:space="preserve">ive-HZ vaccine to the NIP </w:t>
            </w:r>
          </w:p>
        </w:tc>
      </w:tr>
      <w:tr w:rsidR="00E8645D" w:rsidRPr="0098559C" w:rsidTr="00EB272C">
        <w:trPr>
          <w:cantSplit/>
        </w:trPr>
        <w:tc>
          <w:tcPr>
            <w:tcW w:w="1176" w:type="pct"/>
            <w:shd w:val="clear" w:color="auto" w:fill="auto"/>
            <w:vAlign w:val="center"/>
          </w:tcPr>
          <w:p w:rsidR="00E8645D" w:rsidRPr="0098559C" w:rsidRDefault="00E8645D" w:rsidP="00DC22E0">
            <w:pPr>
              <w:pStyle w:val="Tabletext"/>
              <w:keepNext/>
              <w:rPr>
                <w:szCs w:val="20"/>
              </w:rPr>
            </w:pPr>
            <w:r w:rsidRPr="0098559C">
              <w:rPr>
                <w:szCs w:val="20"/>
              </w:rPr>
              <w:t>70 year old program</w:t>
            </w:r>
          </w:p>
        </w:tc>
        <w:tc>
          <w:tcPr>
            <w:tcW w:w="649" w:type="pct"/>
            <w:shd w:val="clear" w:color="auto" w:fill="auto"/>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c>
          <w:tcPr>
            <w:tcW w:w="649" w:type="pct"/>
            <w:shd w:val="clear" w:color="auto" w:fill="auto"/>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c>
          <w:tcPr>
            <w:tcW w:w="627" w:type="pct"/>
            <w:shd w:val="clear" w:color="auto" w:fill="auto"/>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c>
          <w:tcPr>
            <w:tcW w:w="633" w:type="pct"/>
            <w:shd w:val="clear" w:color="auto" w:fill="auto"/>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c>
          <w:tcPr>
            <w:tcW w:w="634" w:type="pct"/>
            <w:shd w:val="clear" w:color="auto" w:fill="auto"/>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c>
          <w:tcPr>
            <w:tcW w:w="632" w:type="pct"/>
            <w:vAlign w:val="center"/>
          </w:tcPr>
          <w:p w:rsidR="00E8645D" w:rsidRPr="0020540A" w:rsidRDefault="0020540A" w:rsidP="00DC22E0">
            <w:pPr>
              <w:pStyle w:val="Tabletext"/>
              <w:keepNext/>
              <w:jc w:val="center"/>
              <w:rPr>
                <w:szCs w:val="20"/>
                <w:highlight w:val="black"/>
              </w:rPr>
            </w:pPr>
            <w:r>
              <w:rPr>
                <w:rFonts w:cs="Calibri"/>
                <w:noProof/>
                <w:color w:val="000000"/>
                <w:szCs w:val="20"/>
                <w:highlight w:val="black"/>
              </w:rPr>
              <w:t>'''''''''''''''''''''''''''''''</w:t>
            </w:r>
          </w:p>
        </w:tc>
      </w:tr>
      <w:tr w:rsidR="00902B0F" w:rsidRPr="0098559C" w:rsidTr="00EB272C">
        <w:trPr>
          <w:cantSplit/>
        </w:trPr>
        <w:tc>
          <w:tcPr>
            <w:tcW w:w="1176" w:type="pct"/>
            <w:shd w:val="clear" w:color="auto" w:fill="auto"/>
            <w:vAlign w:val="center"/>
          </w:tcPr>
          <w:p w:rsidR="00902B0F" w:rsidRPr="0098559C" w:rsidRDefault="00902B0F" w:rsidP="00DC22E0">
            <w:pPr>
              <w:pStyle w:val="Tabletext"/>
              <w:keepNext/>
              <w:rPr>
                <w:szCs w:val="20"/>
              </w:rPr>
            </w:pPr>
            <w:r w:rsidRPr="0098559C">
              <w:rPr>
                <w:szCs w:val="20"/>
              </w:rPr>
              <w:t>70-79 year catch-up</w:t>
            </w:r>
          </w:p>
        </w:tc>
        <w:tc>
          <w:tcPr>
            <w:tcW w:w="649" w:type="pct"/>
            <w:shd w:val="clear" w:color="auto" w:fill="auto"/>
            <w:vAlign w:val="center"/>
          </w:tcPr>
          <w:p w:rsidR="00902B0F" w:rsidRPr="0020540A" w:rsidRDefault="0020540A" w:rsidP="00DC22E0">
            <w:pPr>
              <w:pStyle w:val="Tabletext"/>
              <w:keepNext/>
              <w:jc w:val="center"/>
              <w:rPr>
                <w:szCs w:val="20"/>
                <w:highlight w:val="black"/>
              </w:rPr>
            </w:pPr>
            <w:r>
              <w:rPr>
                <w:noProof/>
                <w:color w:val="000000"/>
                <w:szCs w:val="20"/>
                <w:highlight w:val="black"/>
              </w:rPr>
              <w:t>''''''''''''''''''''''''''''''''''</w:t>
            </w:r>
          </w:p>
        </w:tc>
        <w:tc>
          <w:tcPr>
            <w:tcW w:w="649" w:type="pct"/>
            <w:shd w:val="clear" w:color="auto" w:fill="auto"/>
            <w:vAlign w:val="center"/>
          </w:tcPr>
          <w:p w:rsidR="00902B0F" w:rsidRPr="0020540A" w:rsidRDefault="0020540A" w:rsidP="00DC22E0">
            <w:pPr>
              <w:pStyle w:val="Tabletext"/>
              <w:keepNext/>
              <w:jc w:val="center"/>
              <w:rPr>
                <w:szCs w:val="20"/>
                <w:highlight w:val="black"/>
              </w:rPr>
            </w:pPr>
            <w:r>
              <w:rPr>
                <w:noProof/>
                <w:color w:val="000000"/>
                <w:szCs w:val="20"/>
                <w:highlight w:val="black"/>
              </w:rPr>
              <w:t>'''''''''''''''''''''''''''''</w:t>
            </w:r>
          </w:p>
        </w:tc>
        <w:tc>
          <w:tcPr>
            <w:tcW w:w="627" w:type="pct"/>
            <w:shd w:val="clear" w:color="auto" w:fill="auto"/>
            <w:vAlign w:val="center"/>
          </w:tcPr>
          <w:p w:rsidR="00902B0F" w:rsidRPr="0020540A" w:rsidRDefault="0020540A" w:rsidP="00DC22E0">
            <w:pPr>
              <w:pStyle w:val="Tabletext"/>
              <w:keepNext/>
              <w:jc w:val="center"/>
              <w:rPr>
                <w:szCs w:val="20"/>
                <w:highlight w:val="black"/>
              </w:rPr>
            </w:pPr>
            <w:r>
              <w:rPr>
                <w:noProof/>
                <w:color w:val="000000"/>
                <w:szCs w:val="20"/>
                <w:highlight w:val="black"/>
              </w:rPr>
              <w:t>'''''''''''''''''''''''''''''</w:t>
            </w:r>
          </w:p>
        </w:tc>
        <w:tc>
          <w:tcPr>
            <w:tcW w:w="633" w:type="pct"/>
            <w:shd w:val="clear" w:color="auto" w:fill="auto"/>
            <w:vAlign w:val="center"/>
          </w:tcPr>
          <w:p w:rsidR="00902B0F" w:rsidRPr="0020540A" w:rsidRDefault="0020540A" w:rsidP="00DC22E0">
            <w:pPr>
              <w:pStyle w:val="Tabletext"/>
              <w:keepNext/>
              <w:jc w:val="center"/>
              <w:rPr>
                <w:szCs w:val="20"/>
                <w:highlight w:val="black"/>
              </w:rPr>
            </w:pPr>
            <w:r>
              <w:rPr>
                <w:noProof/>
                <w:color w:val="000000"/>
                <w:szCs w:val="20"/>
                <w:highlight w:val="black"/>
              </w:rPr>
              <w:t>'''''''''''''''''''''''''''''</w:t>
            </w:r>
          </w:p>
        </w:tc>
        <w:tc>
          <w:tcPr>
            <w:tcW w:w="634" w:type="pct"/>
            <w:shd w:val="clear" w:color="auto" w:fill="auto"/>
            <w:vAlign w:val="center"/>
          </w:tcPr>
          <w:p w:rsidR="00902B0F" w:rsidRPr="0020540A" w:rsidRDefault="0020540A" w:rsidP="00DC22E0">
            <w:pPr>
              <w:pStyle w:val="Tabletext"/>
              <w:keepNext/>
              <w:jc w:val="center"/>
              <w:rPr>
                <w:szCs w:val="20"/>
                <w:highlight w:val="black"/>
              </w:rPr>
            </w:pPr>
            <w:r>
              <w:rPr>
                <w:noProof/>
                <w:color w:val="000000"/>
                <w:szCs w:val="20"/>
                <w:highlight w:val="black"/>
              </w:rPr>
              <w:t>''''''''''''''''''''''''''</w:t>
            </w:r>
          </w:p>
        </w:tc>
        <w:tc>
          <w:tcPr>
            <w:tcW w:w="632" w:type="pct"/>
          </w:tcPr>
          <w:p w:rsidR="00902B0F" w:rsidRPr="0020540A" w:rsidRDefault="0020540A" w:rsidP="00DC22E0">
            <w:pPr>
              <w:pStyle w:val="Tabletext"/>
              <w:keepNext/>
              <w:jc w:val="center"/>
              <w:rPr>
                <w:szCs w:val="20"/>
                <w:highlight w:val="black"/>
              </w:rPr>
            </w:pPr>
            <w:r>
              <w:rPr>
                <w:noProof/>
                <w:color w:val="000000"/>
                <w:szCs w:val="20"/>
                <w:highlight w:val="black"/>
              </w:rPr>
              <w:t>''</w:t>
            </w:r>
          </w:p>
        </w:tc>
      </w:tr>
      <w:tr w:rsidR="006B2234" w:rsidRPr="0098559C" w:rsidTr="006C6E7A">
        <w:trPr>
          <w:cantSplit/>
        </w:trPr>
        <w:tc>
          <w:tcPr>
            <w:tcW w:w="5000" w:type="pct"/>
            <w:gridSpan w:val="7"/>
            <w:shd w:val="clear" w:color="auto" w:fill="auto"/>
            <w:vAlign w:val="center"/>
          </w:tcPr>
          <w:p w:rsidR="006B2234" w:rsidRPr="0098559C" w:rsidRDefault="006B2234" w:rsidP="00DC22E0">
            <w:pPr>
              <w:pStyle w:val="Tabletext"/>
              <w:keepNext/>
              <w:rPr>
                <w:b/>
                <w:bCs/>
                <w:color w:val="000000"/>
                <w:szCs w:val="20"/>
              </w:rPr>
            </w:pPr>
            <w:r w:rsidRPr="0098559C">
              <w:rPr>
                <w:b/>
                <w:bCs/>
                <w:color w:val="000000"/>
                <w:szCs w:val="20"/>
              </w:rPr>
              <w:t>Net financial implications</w:t>
            </w:r>
          </w:p>
        </w:tc>
      </w:tr>
      <w:tr w:rsidR="00902B0F" w:rsidRPr="0098559C" w:rsidTr="00EB272C">
        <w:trPr>
          <w:cantSplit/>
        </w:trPr>
        <w:tc>
          <w:tcPr>
            <w:tcW w:w="1176" w:type="pct"/>
            <w:shd w:val="clear" w:color="auto" w:fill="auto"/>
            <w:vAlign w:val="center"/>
          </w:tcPr>
          <w:p w:rsidR="00902B0F" w:rsidRPr="0098559C" w:rsidRDefault="00902B0F" w:rsidP="00DC22E0">
            <w:pPr>
              <w:pStyle w:val="Tabletext"/>
              <w:keepNext/>
              <w:rPr>
                <w:szCs w:val="20"/>
              </w:rPr>
            </w:pPr>
            <w:r w:rsidRPr="0098559C">
              <w:rPr>
                <w:szCs w:val="20"/>
              </w:rPr>
              <w:t>Net cost to NIP</w:t>
            </w:r>
          </w:p>
        </w:tc>
        <w:tc>
          <w:tcPr>
            <w:tcW w:w="649" w:type="pct"/>
            <w:shd w:val="clear" w:color="auto" w:fill="auto"/>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49" w:type="pct"/>
            <w:shd w:val="clear" w:color="auto" w:fill="auto"/>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27" w:type="pct"/>
            <w:shd w:val="clear" w:color="auto" w:fill="auto"/>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3" w:type="pct"/>
            <w:shd w:val="clear" w:color="auto" w:fill="auto"/>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4" w:type="pct"/>
            <w:shd w:val="clear" w:color="auto" w:fill="auto"/>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c>
          <w:tcPr>
            <w:tcW w:w="632" w:type="pct"/>
            <w:vAlign w:val="center"/>
          </w:tcPr>
          <w:p w:rsidR="00902B0F" w:rsidRPr="0020540A" w:rsidRDefault="0020540A" w:rsidP="00DC22E0">
            <w:pPr>
              <w:pStyle w:val="Tabletext"/>
              <w:keepNext/>
              <w:jc w:val="center"/>
              <w:rPr>
                <w:bCs/>
                <w:color w:val="000000"/>
                <w:szCs w:val="20"/>
                <w:highlight w:val="black"/>
              </w:rPr>
            </w:pPr>
            <w:r>
              <w:rPr>
                <w:rFonts w:cs="Calibri"/>
                <w:iCs/>
                <w:noProof/>
                <w:color w:val="000000"/>
                <w:szCs w:val="20"/>
                <w:highlight w:val="black"/>
              </w:rPr>
              <w:t>'''''''''''''''''''''''''''''</w:t>
            </w:r>
          </w:p>
        </w:tc>
      </w:tr>
      <w:tr w:rsidR="00A65197" w:rsidRPr="0098559C" w:rsidTr="00EB272C">
        <w:trPr>
          <w:cantSplit/>
        </w:trPr>
        <w:tc>
          <w:tcPr>
            <w:tcW w:w="1176" w:type="pct"/>
            <w:shd w:val="clear" w:color="auto" w:fill="auto"/>
            <w:vAlign w:val="center"/>
          </w:tcPr>
          <w:p w:rsidR="00A65197" w:rsidRPr="0098559C" w:rsidRDefault="00A65197" w:rsidP="00DC22E0">
            <w:pPr>
              <w:pStyle w:val="Tabletext"/>
              <w:keepNext/>
              <w:rPr>
                <w:szCs w:val="20"/>
              </w:rPr>
            </w:pPr>
            <w:r w:rsidRPr="0098559C">
              <w:rPr>
                <w:szCs w:val="20"/>
              </w:rPr>
              <w:t>Net cost to PBS/RPBS</w:t>
            </w:r>
          </w:p>
        </w:tc>
        <w:tc>
          <w:tcPr>
            <w:tcW w:w="649"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49"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27"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3"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4"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2" w:type="pct"/>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r>
      <w:tr w:rsidR="00A65197" w:rsidRPr="0098559C" w:rsidTr="00EB272C">
        <w:trPr>
          <w:cantSplit/>
        </w:trPr>
        <w:tc>
          <w:tcPr>
            <w:tcW w:w="1176" w:type="pct"/>
            <w:shd w:val="clear" w:color="auto" w:fill="auto"/>
            <w:vAlign w:val="center"/>
          </w:tcPr>
          <w:p w:rsidR="00A65197" w:rsidRPr="0098559C" w:rsidRDefault="00A65197" w:rsidP="00DC22E0">
            <w:pPr>
              <w:pStyle w:val="Tabletext"/>
              <w:keepNext/>
              <w:rPr>
                <w:rFonts w:ascii="Times" w:hAnsi="Times"/>
                <w:szCs w:val="20"/>
              </w:rPr>
            </w:pPr>
            <w:r w:rsidRPr="0098559C">
              <w:rPr>
                <w:szCs w:val="20"/>
              </w:rPr>
              <w:t>Net cost to MBS</w:t>
            </w:r>
          </w:p>
        </w:tc>
        <w:tc>
          <w:tcPr>
            <w:tcW w:w="649"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49"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27"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3"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4" w:type="pct"/>
            <w:shd w:val="clear" w:color="auto" w:fill="auto"/>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c>
          <w:tcPr>
            <w:tcW w:w="632" w:type="pct"/>
            <w:vAlign w:val="bottom"/>
          </w:tcPr>
          <w:p w:rsidR="00A65197" w:rsidRPr="0020540A" w:rsidRDefault="0020540A" w:rsidP="00DC22E0">
            <w:pPr>
              <w:pStyle w:val="Tabletext"/>
              <w:keepNext/>
              <w:jc w:val="center"/>
              <w:rPr>
                <w:rFonts w:cs="Calibri"/>
                <w:iCs/>
                <w:color w:val="000000"/>
                <w:szCs w:val="20"/>
                <w:highlight w:val="black"/>
              </w:rPr>
            </w:pPr>
            <w:r>
              <w:rPr>
                <w:rFonts w:cs="Calibri"/>
                <w:iCs/>
                <w:noProof/>
                <w:color w:val="000000"/>
                <w:szCs w:val="20"/>
                <w:highlight w:val="black"/>
              </w:rPr>
              <w:t>''''''''''''''''''''''</w:t>
            </w:r>
          </w:p>
        </w:tc>
      </w:tr>
    </w:tbl>
    <w:p w:rsidR="00DC7F44" w:rsidRPr="00DC7F44" w:rsidRDefault="00DC7F44" w:rsidP="00E466F3">
      <w:pPr>
        <w:pStyle w:val="TableFooter"/>
        <w:tabs>
          <w:tab w:val="left" w:pos="142"/>
        </w:tabs>
      </w:pPr>
      <w:r w:rsidRPr="0098559C">
        <w:t>HZ: herpes zoster; HZ/</w:t>
      </w:r>
      <w:proofErr w:type="spellStart"/>
      <w:r w:rsidRPr="0098559C">
        <w:t>su</w:t>
      </w:r>
      <w:proofErr w:type="spellEnd"/>
      <w:r w:rsidRPr="0098559C">
        <w:t>: recombinant varicella zoster vaccine; MBS</w:t>
      </w:r>
      <w:r>
        <w:t>: Medical Benefits Scheme; NIP: National Immunisation Program; PBS: Pharmaceutical Benefits Schedule; RPBS: R</w:t>
      </w:r>
      <w:r w:rsidR="003840AC">
        <w:t>epatriation Pharmaceutical Bene</w:t>
      </w:r>
      <w:r>
        <w:t>fits Schedule</w:t>
      </w:r>
    </w:p>
    <w:p w:rsidR="00E466F3" w:rsidRPr="00902B0F" w:rsidRDefault="00E466F3" w:rsidP="00E466F3">
      <w:pPr>
        <w:pStyle w:val="TableFooter"/>
        <w:tabs>
          <w:tab w:val="left" w:pos="142"/>
        </w:tabs>
      </w:pPr>
      <w:proofErr w:type="spellStart"/>
      <w:proofErr w:type="gramStart"/>
      <w:r w:rsidRPr="00902B0F">
        <w:rPr>
          <w:vertAlign w:val="superscript"/>
        </w:rPr>
        <w:lastRenderedPageBreak/>
        <w:t>a</w:t>
      </w:r>
      <w:proofErr w:type="spellEnd"/>
      <w:proofErr w:type="gramEnd"/>
      <w:r w:rsidRPr="00902B0F">
        <w:tab/>
        <w:t xml:space="preserve">Assuming </w:t>
      </w:r>
      <w:r w:rsidR="00902B0F" w:rsidRPr="00902B0F">
        <w:t>1.9 doses per pers</w:t>
      </w:r>
      <w:r w:rsidR="00BC710F">
        <w:t>on</w:t>
      </w:r>
      <w:r w:rsidR="0055584E">
        <w:t>,</w:t>
      </w:r>
      <w:r w:rsidRPr="00902B0F">
        <w:t xml:space="preserve"> as estimated by the submission.</w:t>
      </w:r>
    </w:p>
    <w:p w:rsidR="00BC710F" w:rsidRPr="0098559C" w:rsidRDefault="00BC710F" w:rsidP="00BC710F">
      <w:pPr>
        <w:rPr>
          <w:rFonts w:ascii="Arial Narrow" w:hAnsi="Arial Narrow"/>
          <w:sz w:val="18"/>
          <w:szCs w:val="20"/>
        </w:rPr>
      </w:pPr>
      <w:r w:rsidRPr="0098559C">
        <w:rPr>
          <w:rFonts w:ascii="Arial Narrow" w:hAnsi="Arial Narrow"/>
          <w:sz w:val="18"/>
          <w:szCs w:val="20"/>
        </w:rPr>
        <w:t>Italicised values calculated or corrected during evaluation.</w:t>
      </w:r>
    </w:p>
    <w:p w:rsidR="00385A9D" w:rsidRDefault="00385A9D" w:rsidP="00385A9D">
      <w:pPr>
        <w:pStyle w:val="TableFooter"/>
      </w:pPr>
      <w:r w:rsidRPr="00BC710F">
        <w:t xml:space="preserve">Source: </w:t>
      </w:r>
      <w:r w:rsidR="00BC710F" w:rsidRPr="00BC710F">
        <w:t>Table 102-7 p193-6</w:t>
      </w:r>
      <w:r w:rsidRPr="00BC710F">
        <w:t>.</w:t>
      </w:r>
    </w:p>
    <w:p w:rsidR="00DC22E0" w:rsidRPr="00950CB3" w:rsidRDefault="00773690" w:rsidP="00E52AE0">
      <w:pPr>
        <w:pStyle w:val="TableFooter"/>
        <w:spacing w:before="120" w:after="120"/>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The redacted table shows that at Year 5, the estimated number of doses dispensed for each age group ranged from 100,000 – 200,000 per year to over 200,000 per year, and the net financial implication to the NIP would be more than $100 million per year. </w:t>
      </w:r>
    </w:p>
    <w:p w:rsidR="00EA58C9" w:rsidRPr="0098559C" w:rsidRDefault="00EA58C9" w:rsidP="00ED2457">
      <w:pPr>
        <w:pStyle w:val="ListParagraph"/>
        <w:widowControl/>
        <w:numPr>
          <w:ilvl w:val="1"/>
          <w:numId w:val="2"/>
        </w:numPr>
      </w:pPr>
      <w:r w:rsidRPr="0098559C">
        <w:t>The submission excluded individuals aged 70-79 years who were recently vaccinated</w:t>
      </w:r>
      <w:r w:rsidR="00C87E3B">
        <w:t xml:space="preserve"> (i.e. within five years)</w:t>
      </w:r>
      <w:r w:rsidRPr="0098559C">
        <w:t xml:space="preserve"> with the live-HZ vaccine from the calculations. </w:t>
      </w:r>
      <w:r w:rsidR="0022671E" w:rsidRPr="0098559C">
        <w:t>The PSCR stated that it was unrealistic to assume that individuals would be re-vaccinated immediately.</w:t>
      </w:r>
    </w:p>
    <w:p w:rsidR="003E40C7" w:rsidRPr="0098559C" w:rsidRDefault="00105847" w:rsidP="003E40C7">
      <w:pPr>
        <w:pStyle w:val="ListParagraph"/>
        <w:widowControl/>
        <w:numPr>
          <w:ilvl w:val="1"/>
          <w:numId w:val="2"/>
        </w:numPr>
      </w:pPr>
      <w:r w:rsidRPr="0098559C">
        <w:t>The ESC considered that the cost</w:t>
      </w:r>
      <w:r w:rsidR="000A7F7F">
        <w:t xml:space="preserve"> to the NIP</w:t>
      </w:r>
      <w:r w:rsidR="00EB272C" w:rsidRPr="0098559C">
        <w:t xml:space="preserve"> in Year 6</w:t>
      </w:r>
      <w:r w:rsidRPr="0098559C">
        <w:t xml:space="preserve"> may have been overestimated as </w:t>
      </w:r>
      <w:r w:rsidR="000A7F7F">
        <w:t>it</w:t>
      </w:r>
      <w:r w:rsidRPr="0098559C">
        <w:t xml:space="preserve"> </w:t>
      </w:r>
      <w:r w:rsidR="00434153">
        <w:t>included individuals in the ‘70 year old program’ and ‘</w:t>
      </w:r>
      <w:r w:rsidR="0094100D" w:rsidRPr="0098559C">
        <w:t>80 year old program’</w:t>
      </w:r>
      <w:r w:rsidR="000A7F7F">
        <w:t>,</w:t>
      </w:r>
      <w:r w:rsidR="0094100D" w:rsidRPr="0098559C">
        <w:t xml:space="preserve"> which was inconsistent with </w:t>
      </w:r>
      <w:r w:rsidR="00EB272C" w:rsidRPr="0098559C">
        <w:t>the proposed five</w:t>
      </w:r>
      <w:r w:rsidR="000A7F7F">
        <w:t>-</w:t>
      </w:r>
      <w:r w:rsidR="00EB272C" w:rsidRPr="0098559C">
        <w:t xml:space="preserve">year catch-up program. The ESC considered that the corrected </w:t>
      </w:r>
      <w:r w:rsidR="00434153">
        <w:t xml:space="preserve">estimated </w:t>
      </w:r>
      <w:r w:rsidR="00EB272C" w:rsidRPr="0098559C">
        <w:t xml:space="preserve">net cost to the NIP in Year 6 </w:t>
      </w:r>
      <w:r w:rsidR="00434153">
        <w:t xml:space="preserve">(see Table 19 below) </w:t>
      </w:r>
      <w:r w:rsidR="00EB272C" w:rsidRPr="0098559C">
        <w:t>would be closest to the steady state cost of the listing</w:t>
      </w:r>
      <w:r w:rsidR="00973729">
        <w:t xml:space="preserve"> (i.e. approximately </w:t>
      </w:r>
      <w:r w:rsidR="00773690">
        <w:t>$30 - $60</w:t>
      </w:r>
      <w:r w:rsidR="00973729">
        <w:t xml:space="preserve"> million</w:t>
      </w:r>
      <w:r w:rsidR="00434153">
        <w:t xml:space="preserve"> per year</w:t>
      </w:r>
      <w:r w:rsidR="00973729">
        <w:t>)</w:t>
      </w:r>
      <w:r w:rsidR="00EB272C" w:rsidRPr="0098559C">
        <w:t>.</w:t>
      </w:r>
      <w:r w:rsidR="00C872D7" w:rsidRPr="0098559C">
        <w:t xml:space="preserve"> The E</w:t>
      </w:r>
      <w:r w:rsidR="00434153">
        <w:t>SC also noted the costs of the ‘60 year old program’, ‘70 year old program’ and ‘</w:t>
      </w:r>
      <w:r w:rsidR="00C872D7" w:rsidRPr="0098559C">
        <w:t>80 year old program’ were inconsistent wit</w:t>
      </w:r>
      <w:r w:rsidR="00434153">
        <w:t xml:space="preserve">h the proposed NIP listing for </w:t>
      </w:r>
      <w:r w:rsidR="00C872D7" w:rsidRPr="0098559C">
        <w:t xml:space="preserve">60 year old </w:t>
      </w:r>
      <w:r w:rsidR="00434153">
        <w:t xml:space="preserve">patients </w:t>
      </w:r>
      <w:r w:rsidR="00C872D7" w:rsidRPr="0098559C">
        <w:t>only</w:t>
      </w:r>
      <w:r w:rsidR="00434153">
        <w:t>, as</w:t>
      </w:r>
      <w:r w:rsidR="00C872D7" w:rsidRPr="0098559C">
        <w:t xml:space="preserve"> the catch up programs </w:t>
      </w:r>
      <w:r w:rsidR="00434153">
        <w:t>across</w:t>
      </w:r>
      <w:r w:rsidR="00C872D7" w:rsidRPr="0098559C">
        <w:t xml:space="preserve"> all age groups were accounted for separately.</w:t>
      </w:r>
      <w:r w:rsidR="003E40C7" w:rsidRPr="0098559C">
        <w:t xml:space="preserve"> </w:t>
      </w:r>
      <w:r w:rsidR="00434153">
        <w:t>Removing the costs of the ‘70 year old program’ and ‘</w:t>
      </w:r>
      <w:r w:rsidR="003E40C7" w:rsidRPr="0098559C">
        <w:t>80 year old program’, adjusting the 60-69 year old catch</w:t>
      </w:r>
      <w:r w:rsidR="00622DC5">
        <w:t>-</w:t>
      </w:r>
      <w:r w:rsidR="003E40C7" w:rsidRPr="0098559C">
        <w:t xml:space="preserve">up to not double count uptake in the </w:t>
      </w:r>
      <w:r w:rsidR="00434153">
        <w:t>‘</w:t>
      </w:r>
      <w:r w:rsidR="003E40C7" w:rsidRPr="0098559C">
        <w:t>60 year olds</w:t>
      </w:r>
      <w:r w:rsidR="00CA0333" w:rsidRPr="0098559C">
        <w:t xml:space="preserve"> program</w:t>
      </w:r>
      <w:r w:rsidR="00434153">
        <w:t>’</w:t>
      </w:r>
      <w:r w:rsidR="003E40C7" w:rsidRPr="0098559C">
        <w:t xml:space="preserve"> </w:t>
      </w:r>
      <w:r w:rsidR="00434153">
        <w:t xml:space="preserve">resulted in an </w:t>
      </w:r>
      <w:r w:rsidR="003E40C7" w:rsidRPr="0098559C">
        <w:t xml:space="preserve">overall net cost to the NIP, </w:t>
      </w:r>
      <w:r w:rsidR="00434153">
        <w:t xml:space="preserve">which </w:t>
      </w:r>
      <w:r w:rsidR="003E40C7" w:rsidRPr="0098559C">
        <w:t>includ</w:t>
      </w:r>
      <w:r w:rsidR="00434153">
        <w:t>ed</w:t>
      </w:r>
      <w:r w:rsidR="003E40C7" w:rsidRPr="0098559C">
        <w:t xml:space="preserve"> the savings from the live-HZ vaccine, </w:t>
      </w:r>
      <w:r w:rsidR="00434153">
        <w:t xml:space="preserve">of </w:t>
      </w:r>
      <w:r w:rsidR="00773690">
        <w:t>more than $100 million</w:t>
      </w:r>
      <w:r w:rsidR="00773690" w:rsidRPr="0098559C" w:rsidDel="00773690">
        <w:t xml:space="preserve"> </w:t>
      </w:r>
      <w:r w:rsidR="003E40C7" w:rsidRPr="0098559C">
        <w:t xml:space="preserve">over </w:t>
      </w:r>
      <w:r w:rsidR="00434153">
        <w:t xml:space="preserve">the first </w:t>
      </w:r>
      <w:r w:rsidR="003E40C7" w:rsidRPr="0098559C">
        <w:t>six years</w:t>
      </w:r>
      <w:r w:rsidR="00C27A63" w:rsidRPr="0098559C">
        <w:t xml:space="preserve"> (see table below)</w:t>
      </w:r>
      <w:r w:rsidR="003E40C7" w:rsidRPr="0098559C">
        <w:t>.</w:t>
      </w:r>
    </w:p>
    <w:p w:rsidR="003E40C7" w:rsidRPr="0098559C" w:rsidRDefault="00DF7A69" w:rsidP="00950CB3">
      <w:pPr>
        <w:keepNext/>
        <w:keepLines/>
        <w:rPr>
          <w:rStyle w:val="CommentReference"/>
        </w:rPr>
      </w:pPr>
      <w:r w:rsidRPr="0098559C">
        <w:rPr>
          <w:rStyle w:val="CommentReference"/>
        </w:rPr>
        <w:lastRenderedPageBreak/>
        <w:t>Table 19</w:t>
      </w:r>
      <w:r w:rsidR="003E40C7" w:rsidRPr="0098559C">
        <w:rPr>
          <w:rStyle w:val="CommentReference"/>
        </w:rPr>
        <w:t>: Overall cost to the NIP for the HZ/</w:t>
      </w:r>
      <w:proofErr w:type="spellStart"/>
      <w:r w:rsidR="003E40C7" w:rsidRPr="0098559C">
        <w:rPr>
          <w:rStyle w:val="CommentReference"/>
        </w:rPr>
        <w:t>su</w:t>
      </w:r>
      <w:proofErr w:type="spellEnd"/>
      <w:r w:rsidR="003E40C7" w:rsidRPr="0098559C">
        <w:rPr>
          <w:rStyle w:val="CommentReference"/>
        </w:rPr>
        <w:t xml:space="preserve"> vaccine program and catch-up program (excluding the MBS fee) with HZ/</w:t>
      </w:r>
      <w:proofErr w:type="spellStart"/>
      <w:r w:rsidR="003E40C7" w:rsidRPr="0098559C">
        <w:rPr>
          <w:rStyle w:val="CommentReference"/>
        </w:rPr>
        <w:t>su</w:t>
      </w:r>
      <w:proofErr w:type="spellEnd"/>
      <w:r w:rsidR="003E40C7" w:rsidRPr="0098559C">
        <w:rPr>
          <w:rStyle w:val="CommentReference"/>
        </w:rPr>
        <w:t xml:space="preserve"> vaccine and live-HZ vaccine = $185 per dose</w:t>
      </w:r>
    </w:p>
    <w:tbl>
      <w:tblPr>
        <w:tblStyle w:val="TableGrid14"/>
        <w:tblW w:w="0" w:type="auto"/>
        <w:tblCellMar>
          <w:left w:w="28" w:type="dxa"/>
          <w:right w:w="28" w:type="dxa"/>
        </w:tblCellMar>
        <w:tblLook w:val="01E0" w:firstRow="1" w:lastRow="1" w:firstColumn="1" w:lastColumn="1" w:noHBand="0" w:noVBand="0"/>
        <w:tblCaption w:val="Overall cost to the NIP for the HZ/su vaccine program and catch-up program (excluding the MBS fee) with HZ/su vaccine and live-HZ vaccine = $185 per dose"/>
      </w:tblPr>
      <w:tblGrid>
        <w:gridCol w:w="1109"/>
        <w:gridCol w:w="1157"/>
        <w:gridCol w:w="1157"/>
        <w:gridCol w:w="1157"/>
        <w:gridCol w:w="1063"/>
        <w:gridCol w:w="1094"/>
        <w:gridCol w:w="1094"/>
        <w:gridCol w:w="1189"/>
      </w:tblGrid>
      <w:tr w:rsidR="003E40C7" w:rsidRPr="0098559C" w:rsidTr="003705C1">
        <w:trPr>
          <w:trHeight w:val="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b/>
                <w:szCs w:val="20"/>
              </w:rPr>
            </w:pPr>
            <w:r w:rsidRPr="0098559C">
              <w:rPr>
                <w:b/>
                <w:szCs w:val="20"/>
              </w:rPr>
              <w:t>Item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0C7" w:rsidRPr="0098559C" w:rsidRDefault="003E40C7" w:rsidP="00FF7A0A">
            <w:pPr>
              <w:pStyle w:val="Tabletext"/>
              <w:keepNext/>
              <w:jc w:val="center"/>
              <w:rPr>
                <w:b/>
                <w:szCs w:val="20"/>
              </w:rPr>
            </w:pPr>
            <w:r w:rsidRPr="0098559C">
              <w:rPr>
                <w:b/>
                <w:szCs w:val="20"/>
              </w:rPr>
              <w:t>Year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0C7" w:rsidRPr="0098559C" w:rsidRDefault="003E40C7" w:rsidP="00FF7A0A">
            <w:pPr>
              <w:pStyle w:val="Tabletext"/>
              <w:keepNext/>
              <w:jc w:val="center"/>
              <w:rPr>
                <w:b/>
                <w:szCs w:val="20"/>
              </w:rPr>
            </w:pPr>
            <w:r w:rsidRPr="0098559C">
              <w:rPr>
                <w:b/>
                <w:szCs w:val="20"/>
              </w:rPr>
              <w:t>Year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0C7" w:rsidRPr="0098559C" w:rsidRDefault="003E40C7" w:rsidP="00FF7A0A">
            <w:pPr>
              <w:pStyle w:val="Tabletext"/>
              <w:keepNext/>
              <w:jc w:val="center"/>
              <w:rPr>
                <w:b/>
                <w:szCs w:val="20"/>
              </w:rPr>
            </w:pPr>
            <w:r w:rsidRPr="0098559C">
              <w:rPr>
                <w:b/>
                <w:szCs w:val="20"/>
              </w:rPr>
              <w:t>Year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0C7" w:rsidRPr="0098559C" w:rsidRDefault="003E40C7" w:rsidP="00FF7A0A">
            <w:pPr>
              <w:pStyle w:val="Tabletext"/>
              <w:keepNext/>
              <w:jc w:val="center"/>
              <w:rPr>
                <w:b/>
                <w:szCs w:val="20"/>
              </w:rPr>
            </w:pPr>
            <w:r w:rsidRPr="0098559C">
              <w:rPr>
                <w:b/>
                <w:szCs w:val="20"/>
              </w:rPr>
              <w:t>Year 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0C7" w:rsidRPr="0098559C" w:rsidRDefault="003E40C7" w:rsidP="00FF7A0A">
            <w:pPr>
              <w:pStyle w:val="Tabletext"/>
              <w:keepNext/>
              <w:jc w:val="center"/>
              <w:rPr>
                <w:b/>
                <w:szCs w:val="20"/>
              </w:rPr>
            </w:pPr>
            <w:r w:rsidRPr="0098559C">
              <w:rPr>
                <w:b/>
                <w:szCs w:val="20"/>
              </w:rPr>
              <w:t>Year 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jc w:val="center"/>
              <w:rPr>
                <w:b/>
                <w:szCs w:val="20"/>
              </w:rPr>
            </w:pPr>
            <w:r w:rsidRPr="0098559C">
              <w:rPr>
                <w:b/>
                <w:szCs w:val="20"/>
              </w:rPr>
              <w:t>Year 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jc w:val="center"/>
              <w:rPr>
                <w:b/>
                <w:szCs w:val="20"/>
              </w:rPr>
            </w:pPr>
            <w:r w:rsidRPr="0098559C">
              <w:rPr>
                <w:b/>
                <w:szCs w:val="20"/>
              </w:rPr>
              <w:t>Total</w:t>
            </w:r>
          </w:p>
        </w:tc>
      </w:tr>
      <w:tr w:rsidR="003E40C7" w:rsidRPr="0098559C" w:rsidTr="003705C1">
        <w:trPr>
          <w:trHeight w:val="58"/>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bCs/>
                <w:color w:val="000000"/>
              </w:rPr>
              <w:t>Estimated extent of use</w:t>
            </w:r>
          </w:p>
        </w:tc>
      </w:tr>
      <w:tr w:rsidR="003E40C7" w:rsidRPr="0098559C" w:rsidTr="003705C1">
        <w:trPr>
          <w:trHeight w:val="58"/>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Number of individuals vaccinated</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60 year old program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61-69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70-79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b/>
                <w:szCs w:val="20"/>
                <w:highlight w:val="black"/>
              </w:rPr>
            </w:pPr>
            <w:r>
              <w:rPr>
                <w:bCs/>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80+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b/>
                <w:szCs w:val="20"/>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b/>
                <w:szCs w:val="20"/>
                <w:highlight w:val="black"/>
              </w:rPr>
            </w:pPr>
            <w:r>
              <w:rPr>
                <w:bCs/>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58"/>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 xml:space="preserve">Number of scripts </w:t>
            </w:r>
            <w:proofErr w:type="spellStart"/>
            <w:r w:rsidRPr="0098559C">
              <w:t>dispensed</w:t>
            </w:r>
            <w:r w:rsidRPr="0098559C">
              <w:rPr>
                <w:vertAlign w:val="superscript"/>
              </w:rPr>
              <w:t>a</w:t>
            </w:r>
            <w:proofErr w:type="spellEnd"/>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60 year old program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61-69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70-79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58"/>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t>80+ year 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 cost of HZ/</w:t>
            </w:r>
            <w:proofErr w:type="spellStart"/>
            <w:r w:rsidRPr="0098559C">
              <w:rPr>
                <w:b/>
                <w:szCs w:val="20"/>
              </w:rPr>
              <w:t>su</w:t>
            </w:r>
            <w:proofErr w:type="spellEnd"/>
            <w:r w:rsidRPr="0098559C">
              <w:rPr>
                <w:b/>
                <w:szCs w:val="20"/>
              </w:rPr>
              <w:t xml:space="preserve"> vaccine to NIP for 60+ years old population group</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Base case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3E40C7" w:rsidRPr="0020540A" w:rsidRDefault="003E40C7" w:rsidP="00FF7A0A">
            <w:pPr>
              <w:pStyle w:val="Tabletext"/>
              <w:keepNext/>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 cost of HZ/</w:t>
            </w:r>
            <w:proofErr w:type="spellStart"/>
            <w:r w:rsidRPr="0098559C">
              <w:rPr>
                <w:b/>
                <w:szCs w:val="20"/>
              </w:rPr>
              <w:t>su</w:t>
            </w:r>
            <w:proofErr w:type="spellEnd"/>
            <w:r w:rsidRPr="0098559C">
              <w:rPr>
                <w:b/>
                <w:szCs w:val="20"/>
              </w:rPr>
              <w:t xml:space="preserve"> vaccine to NIP for 70+ years old population group</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nil"/>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E40C7" w:rsidRPr="0020540A" w:rsidRDefault="003E40C7" w:rsidP="00FF7A0A">
            <w:pPr>
              <w:pStyle w:val="Tabletext"/>
              <w:keepNext/>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 cost of HZ/</w:t>
            </w:r>
            <w:proofErr w:type="spellStart"/>
            <w:r w:rsidRPr="0098559C">
              <w:rPr>
                <w:b/>
                <w:szCs w:val="20"/>
              </w:rPr>
              <w:t>su</w:t>
            </w:r>
            <w:proofErr w:type="spellEnd"/>
            <w:r w:rsidRPr="0098559C">
              <w:rPr>
                <w:b/>
                <w:szCs w:val="20"/>
              </w:rPr>
              <w:t xml:space="preserve"> vaccine to NIP for 80+ years old population group</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E40C7" w:rsidRPr="0020540A" w:rsidRDefault="003E40C7" w:rsidP="00FF7A0A">
            <w:pPr>
              <w:pStyle w:val="Tabletext"/>
              <w:keepNext/>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 cost of HZ/</w:t>
            </w:r>
            <w:proofErr w:type="spellStart"/>
            <w:r w:rsidRPr="0098559C">
              <w:rPr>
                <w:b/>
                <w:szCs w:val="20"/>
              </w:rPr>
              <w:t>su</w:t>
            </w:r>
            <w:proofErr w:type="spellEnd"/>
            <w:r w:rsidRPr="0098559C">
              <w:rPr>
                <w:b/>
                <w:szCs w:val="20"/>
              </w:rPr>
              <w:t xml:space="preserve"> vaccine to for all age groups</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rPr>
            </w:pPr>
            <w:r>
              <w:rPr>
                <w:noProof/>
                <w:color w:val="00000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Net cost of HZ/</w:t>
            </w:r>
            <w:proofErr w:type="spellStart"/>
            <w:r w:rsidRPr="0098559C">
              <w:rPr>
                <w:b/>
                <w:szCs w:val="20"/>
              </w:rPr>
              <w:t>su</w:t>
            </w:r>
            <w:proofErr w:type="spellEnd"/>
            <w:r w:rsidRPr="0098559C">
              <w:rPr>
                <w:b/>
                <w:szCs w:val="20"/>
              </w:rPr>
              <w:t xml:space="preserve"> vaccine to NIP for 60+ years old population group</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Base case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lang w:val="en-AU" w:bidi="ar-SA"/>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3E40C7" w:rsidRPr="0020540A" w:rsidRDefault="003E40C7" w:rsidP="00FF7A0A">
            <w:pPr>
              <w:pStyle w:val="Tabletext"/>
              <w:keepNext/>
              <w:jc w:val="center"/>
              <w:rPr>
                <w:highlight w:val="lightGray"/>
                <w:lang w:val="en-AU"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snapToGrid w:val="0"/>
                <w:color w:val="000000"/>
                <w:highlight w:val="black"/>
              </w:rPr>
              <w:t>'''''''''''''''''''''''''''''''''''</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E40C7" w:rsidRPr="0098559C" w:rsidRDefault="003E40C7" w:rsidP="00FF7A0A">
            <w:pPr>
              <w:pStyle w:val="Tabletext"/>
              <w:keepNext/>
              <w:rPr>
                <w:szCs w:val="20"/>
              </w:rPr>
            </w:pPr>
            <w:r w:rsidRPr="0098559C">
              <w:rPr>
                <w:szCs w:val="2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Net cost of HZ/</w:t>
            </w:r>
            <w:proofErr w:type="spellStart"/>
            <w:r w:rsidRPr="0098559C">
              <w:rPr>
                <w:b/>
                <w:szCs w:val="20"/>
              </w:rPr>
              <w:t>su</w:t>
            </w:r>
            <w:proofErr w:type="spellEnd"/>
            <w:r w:rsidRPr="0098559C">
              <w:rPr>
                <w:b/>
                <w:szCs w:val="20"/>
              </w:rPr>
              <w:t xml:space="preserve"> vaccine to NIP for 70+ years old population group (net of live-HZ vaccine costs)</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E40C7" w:rsidRPr="0020540A" w:rsidRDefault="003E40C7" w:rsidP="00FF7A0A">
            <w:pPr>
              <w:pStyle w:val="Tabletext"/>
              <w:keepNext/>
              <w:jc w:val="cente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keepNext/>
              <w:widowControl/>
              <w:jc w:val="center"/>
              <w:rPr>
                <w:rFonts w:ascii="Arial Narrow" w:hAnsi="Arial Narrow" w:cs="Times New Roman"/>
                <w:snapToGrid/>
                <w:sz w:val="20"/>
                <w:highlight w:val="black"/>
              </w:rPr>
            </w:pPr>
            <w:r>
              <w:rPr>
                <w:rFonts w:ascii="Arial Narrow" w:hAnsi="Arial Narrow" w:cs="Times New Roman"/>
                <w:noProof/>
                <w:snapToGrid/>
                <w:color w:val="000000"/>
                <w:sz w:val="2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Net cost of HZ/</w:t>
            </w:r>
            <w:proofErr w:type="spellStart"/>
            <w:r w:rsidRPr="0098559C">
              <w:rPr>
                <w:b/>
                <w:szCs w:val="20"/>
              </w:rPr>
              <w:t>su</w:t>
            </w:r>
            <w:proofErr w:type="spellEnd"/>
            <w:r w:rsidRPr="0098559C">
              <w:rPr>
                <w:b/>
                <w:szCs w:val="20"/>
              </w:rPr>
              <w:t xml:space="preserve"> vaccine to NIP for 80+ years old population group</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szCs w:val="20"/>
              </w:rPr>
            </w:pPr>
            <w:r w:rsidRPr="0098559C">
              <w:rPr>
                <w:szCs w:val="20"/>
              </w:rPr>
              <w:t>Catch-up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3E40C7" w:rsidRPr="0020540A" w:rsidRDefault="0020540A" w:rsidP="00FF7A0A">
            <w:pPr>
              <w:pStyle w:val="Tabletext"/>
              <w:keepNext/>
              <w:jc w:val="center"/>
              <w:rPr>
                <w:highlight w:val="black"/>
                <w:lang w:val="en-AU" w:bidi="ar-SA"/>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E40C7" w:rsidRPr="0020540A" w:rsidRDefault="003E40C7" w:rsidP="00FF7A0A">
            <w:pPr>
              <w:pStyle w:val="Tabletext"/>
              <w:keepNext/>
              <w:jc w:val="center"/>
              <w:rPr>
                <w:highlight w:val="lightGray"/>
                <w:lang w:val="en-AU"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20540A" w:rsidRDefault="0020540A" w:rsidP="00FF7A0A">
            <w:pPr>
              <w:pStyle w:val="Tabletext"/>
              <w:keepNext/>
              <w:jc w:val="center"/>
              <w:rPr>
                <w:highlight w:val="black"/>
                <w:lang w:val="en-AU" w:bidi="ar-SA"/>
              </w:rPr>
            </w:pPr>
            <w:r>
              <w:rPr>
                <w:noProof/>
                <w:snapToGrid w:val="0"/>
                <w:color w:val="000000"/>
                <w:highlight w:val="black"/>
              </w:rPr>
              <w:t>''''''''''''''''''''''''''''''</w:t>
            </w:r>
          </w:p>
        </w:tc>
      </w:tr>
      <w:tr w:rsidR="003E40C7" w:rsidRPr="0098559C" w:rsidTr="003705C1">
        <w:trPr>
          <w:trHeight w:val="255"/>
          <w:tblHeader w:val="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Net cost of HZ/</w:t>
            </w:r>
            <w:proofErr w:type="spellStart"/>
            <w:r w:rsidRPr="0098559C">
              <w:rPr>
                <w:b/>
                <w:szCs w:val="20"/>
              </w:rPr>
              <w:t>su</w:t>
            </w:r>
            <w:proofErr w:type="spellEnd"/>
            <w:r w:rsidRPr="0098559C">
              <w:rPr>
                <w:b/>
                <w:szCs w:val="20"/>
              </w:rPr>
              <w:t xml:space="preserve"> vaccine to for all age groups</w:t>
            </w:r>
          </w:p>
        </w:tc>
      </w:tr>
      <w:tr w:rsidR="003E40C7" w:rsidRPr="0098559C" w:rsidTr="003705C1">
        <w:trPr>
          <w:trHeight w:val="255"/>
          <w:tblHeader w:val="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E40C7" w:rsidRPr="0098559C" w:rsidRDefault="003E40C7" w:rsidP="00FF7A0A">
            <w:pPr>
              <w:pStyle w:val="Tabletext"/>
              <w:keepNext/>
              <w:rPr>
                <w:b/>
                <w:szCs w:val="20"/>
              </w:rPr>
            </w:pPr>
            <w:r w:rsidRPr="0098559C">
              <w:rPr>
                <w:b/>
                <w:szCs w:val="20"/>
              </w:rPr>
              <w:t>TOTAL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E40C7" w:rsidRPr="0020540A" w:rsidRDefault="0020540A" w:rsidP="00FF7A0A">
            <w:pPr>
              <w:pStyle w:val="Tabletext"/>
              <w:keepNext/>
              <w:jc w:val="center"/>
              <w:rPr>
                <w:highlight w:val="black"/>
              </w:rPr>
            </w:pPr>
            <w:r>
              <w:rPr>
                <w:noProof/>
                <w:color w:val="000000"/>
                <w:highlight w:val="black"/>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3E40C7" w:rsidRPr="0020540A" w:rsidRDefault="0020540A" w:rsidP="00FF7A0A">
            <w:pPr>
              <w:pStyle w:val="Tabletext"/>
              <w:keepNext/>
              <w:jc w:val="center"/>
              <w:rPr>
                <w:highlight w:val="black"/>
              </w:rPr>
            </w:pPr>
            <w:r>
              <w:rPr>
                <w:noProof/>
                <w:color w:val="000000"/>
                <w:highlight w:val="black"/>
              </w:rPr>
              <w:t>''''''''''''''''''''''''''''''''''''</w:t>
            </w:r>
          </w:p>
        </w:tc>
      </w:tr>
    </w:tbl>
    <w:p w:rsidR="003E40C7" w:rsidRPr="0098559C" w:rsidRDefault="003E40C7" w:rsidP="003E40C7">
      <w:pPr>
        <w:rPr>
          <w:rFonts w:ascii="Arial Narrow" w:hAnsi="Arial Narrow"/>
          <w:sz w:val="18"/>
          <w:szCs w:val="20"/>
        </w:rPr>
      </w:pPr>
      <w:r w:rsidRPr="0098559C">
        <w:rPr>
          <w:rFonts w:ascii="Arial Narrow" w:hAnsi="Arial Narrow"/>
          <w:sz w:val="18"/>
          <w:szCs w:val="20"/>
        </w:rPr>
        <w:t>HZ/</w:t>
      </w:r>
      <w:proofErr w:type="spellStart"/>
      <w:r w:rsidRPr="0098559C">
        <w:rPr>
          <w:rFonts w:ascii="Arial Narrow" w:hAnsi="Arial Narrow"/>
          <w:sz w:val="18"/>
          <w:szCs w:val="20"/>
        </w:rPr>
        <w:t>su</w:t>
      </w:r>
      <w:proofErr w:type="spellEnd"/>
      <w:r w:rsidRPr="0098559C">
        <w:rPr>
          <w:rFonts w:ascii="Arial Narrow" w:hAnsi="Arial Narrow"/>
          <w:sz w:val="18"/>
          <w:szCs w:val="20"/>
        </w:rPr>
        <w:t>: recombinant varicella zoster vaccine; MBS: Medicare Benefits Scheme; NIP: National Immunisation Program</w:t>
      </w:r>
    </w:p>
    <w:p w:rsidR="00131CFB" w:rsidRDefault="003E40C7" w:rsidP="00131CFB">
      <w:pPr>
        <w:spacing w:after="160"/>
        <w:rPr>
          <w:rFonts w:ascii="Arial Narrow" w:hAnsi="Arial Narrow"/>
          <w:sz w:val="18"/>
          <w:szCs w:val="20"/>
        </w:rPr>
      </w:pPr>
      <w:r w:rsidRPr="0098559C">
        <w:rPr>
          <w:rFonts w:ascii="Arial Narrow" w:hAnsi="Arial Narrow"/>
          <w:sz w:val="18"/>
          <w:szCs w:val="20"/>
        </w:rPr>
        <w:t>Source: Section 4_Shingrix BIM_workbook.xlsx from sheet “BIM Results”. On Sheet “Vaccine Price” Admin Costs = $0. On Sheet “Vaccine Uptake” uptake in year 6 for 70 and 80 year olds = 0%. On Sheet “</w:t>
      </w:r>
      <w:proofErr w:type="spellStart"/>
      <w:r w:rsidRPr="0098559C">
        <w:rPr>
          <w:rFonts w:ascii="Arial Narrow" w:hAnsi="Arial Narrow"/>
          <w:sz w:val="18"/>
          <w:szCs w:val="20"/>
        </w:rPr>
        <w:t>Catchup</w:t>
      </w:r>
      <w:proofErr w:type="spellEnd"/>
      <w:r w:rsidRPr="0098559C">
        <w:rPr>
          <w:rFonts w:ascii="Arial Narrow" w:hAnsi="Arial Narrow"/>
          <w:sz w:val="18"/>
          <w:szCs w:val="20"/>
        </w:rPr>
        <w:t>” uptake in year 6 for 70 and 80 year olds = 0%. The cost of the catch-up program for 61-69 year olds was estimated by subtracting the cost of the program if only 60 year olds were vaccinated from the cost of the base case + catch-up program for 60-69 year olds from the “BIM Results sheet”.</w:t>
      </w:r>
    </w:p>
    <w:p w:rsidR="00773690" w:rsidRPr="00131CFB" w:rsidRDefault="00773690" w:rsidP="00131CFB">
      <w:pPr>
        <w:spacing w:after="160"/>
        <w:rPr>
          <w:rFonts w:asciiTheme="minorHAnsi" w:hAnsiTheme="minorHAnsi" w:cstheme="minorHAnsi"/>
          <w:szCs w:val="24"/>
        </w:rPr>
      </w:pPr>
      <w:r>
        <w:rPr>
          <w:rFonts w:asciiTheme="minorHAnsi" w:hAnsiTheme="minorHAnsi" w:cstheme="minorHAnsi"/>
          <w:szCs w:val="24"/>
        </w:rPr>
        <w:t xml:space="preserve">The redacted table shows that at Year 5, the </w:t>
      </w:r>
      <w:r>
        <w:rPr>
          <w:rStyle w:val="CommentReference"/>
          <w:rFonts w:asciiTheme="minorHAnsi" w:hAnsiTheme="minorHAnsi" w:cstheme="minorHAnsi"/>
          <w:b w:val="0"/>
          <w:sz w:val="24"/>
          <w:szCs w:val="24"/>
        </w:rPr>
        <w:t xml:space="preserve">estimated number of scripts dispensed for each age cohort ranged from 100,000 – 200,000 per year to over 200,000 per year, and the net financial implication to the NIP across all age groups would be more than $100 million per </w:t>
      </w:r>
      <w:r>
        <w:rPr>
          <w:rStyle w:val="CommentReference"/>
          <w:rFonts w:asciiTheme="minorHAnsi" w:hAnsiTheme="minorHAnsi" w:cstheme="minorHAnsi"/>
          <w:b w:val="0"/>
          <w:sz w:val="24"/>
          <w:szCs w:val="24"/>
        </w:rPr>
        <w:lastRenderedPageBreak/>
        <w:t>year.</w:t>
      </w:r>
    </w:p>
    <w:p w:rsidR="00513E89" w:rsidRPr="0098559C" w:rsidRDefault="00434153" w:rsidP="00426EDC">
      <w:pPr>
        <w:pStyle w:val="ListParagraph"/>
        <w:widowControl/>
        <w:numPr>
          <w:ilvl w:val="1"/>
          <w:numId w:val="2"/>
        </w:numPr>
      </w:pPr>
      <w:r>
        <w:t>A comparison of t</w:t>
      </w:r>
      <w:r w:rsidR="00513E89" w:rsidRPr="0098559C">
        <w:t>he numbers of individuals treated and the cases of HZ and PHN predicted to be avoided</w:t>
      </w:r>
      <w:r>
        <w:t xml:space="preserve"> using incidence rates from </w:t>
      </w:r>
      <w:proofErr w:type="spellStart"/>
      <w:r>
        <w:t>MacIntyre</w:t>
      </w:r>
      <w:proofErr w:type="spellEnd"/>
      <w:r w:rsidR="004710EC">
        <w:t xml:space="preserve"> 2015/BEACH and the ZOE trials</w:t>
      </w:r>
      <w:r>
        <w:t>,</w:t>
      </w:r>
      <w:r w:rsidR="00513E89" w:rsidRPr="0098559C">
        <w:t xml:space="preserve"> based on the financial estimates provided in the submission</w:t>
      </w:r>
      <w:r>
        <w:t>,</w:t>
      </w:r>
      <w:r w:rsidR="00513E89" w:rsidRPr="0098559C">
        <w:t xml:space="preserve"> are presented in the table below.</w:t>
      </w:r>
      <w:r w:rsidR="00426EDC">
        <w:t xml:space="preserve"> </w:t>
      </w:r>
      <w:r w:rsidR="00426EDC" w:rsidRPr="0098559C">
        <w:rPr>
          <w:rStyle w:val="CommentReference"/>
          <w:rFonts w:asciiTheme="minorHAnsi" w:hAnsiTheme="minorHAnsi" w:cstheme="minorHAnsi"/>
          <w:b w:val="0"/>
          <w:sz w:val="24"/>
          <w:szCs w:val="24"/>
        </w:rPr>
        <w:t>The ESC noted the variation in the incidence of HZ and PHN</w:t>
      </w:r>
      <w:r w:rsidR="00426EDC">
        <w:rPr>
          <w:rStyle w:val="CommentReference"/>
          <w:rFonts w:asciiTheme="minorHAnsi" w:hAnsiTheme="minorHAnsi" w:cstheme="minorHAnsi"/>
          <w:b w:val="0"/>
          <w:sz w:val="24"/>
          <w:szCs w:val="24"/>
        </w:rPr>
        <w:t>,</w:t>
      </w:r>
      <w:r w:rsidR="00426EDC" w:rsidRPr="0098559C">
        <w:rPr>
          <w:rStyle w:val="CommentReference"/>
          <w:rFonts w:asciiTheme="minorHAnsi" w:hAnsiTheme="minorHAnsi" w:cstheme="minorHAnsi"/>
          <w:b w:val="0"/>
          <w:sz w:val="24"/>
          <w:szCs w:val="24"/>
        </w:rPr>
        <w:t xml:space="preserve"> depending on the data source used.</w:t>
      </w:r>
    </w:p>
    <w:p w:rsidR="00513E89" w:rsidRPr="0098559C" w:rsidRDefault="00513E89" w:rsidP="00513E89">
      <w:pPr>
        <w:keepNext/>
        <w:rPr>
          <w:rFonts w:ascii="Arial Narrow" w:hAnsi="Arial Narrow"/>
          <w:b/>
          <w:sz w:val="20"/>
          <w:szCs w:val="16"/>
        </w:rPr>
      </w:pPr>
      <w:r w:rsidRPr="0098559C">
        <w:rPr>
          <w:rStyle w:val="CommentReference"/>
        </w:rPr>
        <w:t xml:space="preserve">Table 20: </w:t>
      </w:r>
      <w:r w:rsidRPr="0098559C">
        <w:rPr>
          <w:rFonts w:ascii="Arial Narrow" w:hAnsi="Arial Narrow"/>
          <w:b/>
          <w:sz w:val="20"/>
          <w:szCs w:val="16"/>
        </w:rPr>
        <w:t xml:space="preserve">Expected number of cases of HZ and PHN expected to be avoided, using </w:t>
      </w:r>
      <w:proofErr w:type="spellStart"/>
      <w:r w:rsidRPr="0098559C">
        <w:rPr>
          <w:rFonts w:ascii="Arial Narrow" w:hAnsi="Arial Narrow"/>
          <w:b/>
          <w:sz w:val="20"/>
          <w:szCs w:val="16"/>
        </w:rPr>
        <w:t>MacIntyre</w:t>
      </w:r>
      <w:proofErr w:type="spellEnd"/>
      <w:r w:rsidRPr="0098559C">
        <w:rPr>
          <w:rFonts w:ascii="Arial Narrow" w:hAnsi="Arial Narrow"/>
          <w:b/>
          <w:sz w:val="20"/>
          <w:szCs w:val="16"/>
        </w:rPr>
        <w:t xml:space="preserve"> and ZOE trial</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044"/>
        <w:gridCol w:w="1170"/>
        <w:gridCol w:w="1152"/>
        <w:gridCol w:w="1152"/>
        <w:gridCol w:w="1154"/>
        <w:gridCol w:w="1148"/>
      </w:tblGrid>
      <w:tr w:rsidR="008F3DDB" w:rsidRPr="0098559C" w:rsidTr="003705C1">
        <w:trPr>
          <w:cantSplit/>
          <w:tblHeader/>
        </w:trPr>
        <w:tc>
          <w:tcPr>
            <w:tcW w:w="1187" w:type="pct"/>
            <w:shd w:val="clear" w:color="auto" w:fill="auto"/>
            <w:vAlign w:val="center"/>
          </w:tcPr>
          <w:p w:rsidR="008F3DDB" w:rsidRPr="0098559C" w:rsidRDefault="008F3DDB" w:rsidP="003705C1">
            <w:pPr>
              <w:pStyle w:val="Tabletext"/>
              <w:keepNext/>
            </w:pPr>
          </w:p>
        </w:tc>
        <w:tc>
          <w:tcPr>
            <w:tcW w:w="584" w:type="pct"/>
            <w:shd w:val="clear" w:color="auto" w:fill="auto"/>
            <w:vAlign w:val="center"/>
          </w:tcPr>
          <w:p w:rsidR="008F3DDB" w:rsidRPr="0098559C" w:rsidRDefault="008F3DDB" w:rsidP="003705C1">
            <w:pPr>
              <w:pStyle w:val="Tabletext"/>
              <w:keepNext/>
              <w:jc w:val="center"/>
              <w:rPr>
                <w:b/>
              </w:rPr>
            </w:pPr>
            <w:r w:rsidRPr="0098559C">
              <w:rPr>
                <w:b/>
              </w:rPr>
              <w:t>Year 1</w:t>
            </w:r>
          </w:p>
        </w:tc>
        <w:tc>
          <w:tcPr>
            <w:tcW w:w="654" w:type="pct"/>
            <w:shd w:val="clear" w:color="auto" w:fill="auto"/>
            <w:vAlign w:val="center"/>
          </w:tcPr>
          <w:p w:rsidR="008F3DDB" w:rsidRPr="0098559C" w:rsidRDefault="008F3DDB" w:rsidP="003705C1">
            <w:pPr>
              <w:pStyle w:val="Tabletext"/>
              <w:keepNext/>
              <w:jc w:val="center"/>
              <w:rPr>
                <w:b/>
              </w:rPr>
            </w:pPr>
            <w:r w:rsidRPr="0098559C">
              <w:rPr>
                <w:b/>
              </w:rPr>
              <w:t>Year 2</w:t>
            </w:r>
          </w:p>
        </w:tc>
        <w:tc>
          <w:tcPr>
            <w:tcW w:w="644" w:type="pct"/>
            <w:shd w:val="clear" w:color="auto" w:fill="auto"/>
            <w:vAlign w:val="center"/>
          </w:tcPr>
          <w:p w:rsidR="008F3DDB" w:rsidRPr="0098559C" w:rsidRDefault="008F3DDB" w:rsidP="003705C1">
            <w:pPr>
              <w:pStyle w:val="Tabletext"/>
              <w:keepNext/>
              <w:jc w:val="center"/>
              <w:rPr>
                <w:b/>
              </w:rPr>
            </w:pPr>
            <w:r w:rsidRPr="0098559C">
              <w:rPr>
                <w:b/>
              </w:rPr>
              <w:t>Year 3</w:t>
            </w:r>
          </w:p>
        </w:tc>
        <w:tc>
          <w:tcPr>
            <w:tcW w:w="644" w:type="pct"/>
            <w:shd w:val="clear" w:color="auto" w:fill="auto"/>
            <w:vAlign w:val="center"/>
          </w:tcPr>
          <w:p w:rsidR="008F3DDB" w:rsidRPr="0098559C" w:rsidRDefault="008F3DDB" w:rsidP="003705C1">
            <w:pPr>
              <w:pStyle w:val="Tabletext"/>
              <w:keepNext/>
              <w:jc w:val="center"/>
              <w:rPr>
                <w:b/>
              </w:rPr>
            </w:pPr>
            <w:r w:rsidRPr="0098559C">
              <w:rPr>
                <w:b/>
              </w:rPr>
              <w:t>Year 4</w:t>
            </w:r>
          </w:p>
        </w:tc>
        <w:tc>
          <w:tcPr>
            <w:tcW w:w="645" w:type="pct"/>
            <w:shd w:val="clear" w:color="auto" w:fill="auto"/>
            <w:vAlign w:val="center"/>
          </w:tcPr>
          <w:p w:rsidR="008F3DDB" w:rsidRPr="0098559C" w:rsidRDefault="008F3DDB" w:rsidP="003705C1">
            <w:pPr>
              <w:pStyle w:val="Tabletext"/>
              <w:keepNext/>
              <w:jc w:val="center"/>
              <w:rPr>
                <w:b/>
              </w:rPr>
            </w:pPr>
            <w:r w:rsidRPr="0098559C">
              <w:rPr>
                <w:b/>
              </w:rPr>
              <w:t>Year 5</w:t>
            </w:r>
          </w:p>
        </w:tc>
        <w:tc>
          <w:tcPr>
            <w:tcW w:w="642" w:type="pct"/>
          </w:tcPr>
          <w:p w:rsidR="008F3DDB" w:rsidRPr="0098559C" w:rsidRDefault="008F3DDB" w:rsidP="003705C1">
            <w:pPr>
              <w:pStyle w:val="Tabletext"/>
              <w:keepNext/>
              <w:jc w:val="center"/>
              <w:rPr>
                <w:b/>
              </w:rPr>
            </w:pPr>
            <w:r w:rsidRPr="0098559C">
              <w:rPr>
                <w:b/>
              </w:rPr>
              <w:t>Year 6</w:t>
            </w:r>
          </w:p>
        </w:tc>
      </w:tr>
      <w:tr w:rsidR="008F3DDB" w:rsidRPr="0098559C" w:rsidTr="003705C1">
        <w:trPr>
          <w:cantSplit/>
        </w:trPr>
        <w:tc>
          <w:tcPr>
            <w:tcW w:w="5000" w:type="pct"/>
            <w:gridSpan w:val="7"/>
            <w:shd w:val="clear" w:color="auto" w:fill="auto"/>
            <w:vAlign w:val="center"/>
          </w:tcPr>
          <w:p w:rsidR="008F3DDB" w:rsidRPr="0098559C" w:rsidRDefault="008F3DDB" w:rsidP="003705C1">
            <w:pPr>
              <w:pStyle w:val="Tabletext"/>
              <w:keepNext/>
              <w:rPr>
                <w:b/>
                <w:bCs/>
                <w:color w:val="000000"/>
              </w:rPr>
            </w:pPr>
            <w:r w:rsidRPr="0098559C">
              <w:rPr>
                <w:b/>
                <w:bCs/>
                <w:color w:val="000000"/>
              </w:rPr>
              <w:t>Estimated extent of use</w:t>
            </w:r>
          </w:p>
        </w:tc>
      </w:tr>
      <w:tr w:rsidR="008F3DDB" w:rsidRPr="0098559C" w:rsidTr="003705C1">
        <w:trPr>
          <w:cantSplit/>
        </w:trPr>
        <w:tc>
          <w:tcPr>
            <w:tcW w:w="5000" w:type="pct"/>
            <w:gridSpan w:val="7"/>
            <w:shd w:val="clear" w:color="auto" w:fill="auto"/>
            <w:vAlign w:val="center"/>
          </w:tcPr>
          <w:p w:rsidR="008F3DDB" w:rsidRPr="0098559C" w:rsidRDefault="008F3DDB" w:rsidP="003705C1">
            <w:pPr>
              <w:pStyle w:val="Tabletext"/>
              <w:keepNext/>
              <w:rPr>
                <w:bCs/>
                <w:color w:val="000000"/>
              </w:rPr>
            </w:pPr>
            <w:r w:rsidRPr="0098559C">
              <w:t>Number of individuals vaccinated with the HZ/</w:t>
            </w:r>
            <w:proofErr w:type="spellStart"/>
            <w:r w:rsidRPr="0098559C">
              <w:t>su</w:t>
            </w:r>
            <w:proofErr w:type="spellEnd"/>
            <w:r w:rsidRPr="0098559C">
              <w:t xml:space="preserve"> vaccine</w:t>
            </w:r>
          </w:p>
        </w:tc>
      </w:tr>
      <w:tr w:rsidR="008F3DDB" w:rsidRPr="0098559C" w:rsidTr="003705C1">
        <w:trPr>
          <w:cantSplit/>
        </w:trPr>
        <w:tc>
          <w:tcPr>
            <w:tcW w:w="1187" w:type="pct"/>
            <w:shd w:val="clear" w:color="auto" w:fill="auto"/>
            <w:vAlign w:val="center"/>
          </w:tcPr>
          <w:p w:rsidR="008F3DDB" w:rsidRPr="0098559C" w:rsidRDefault="008F3DDB" w:rsidP="003705C1">
            <w:pPr>
              <w:pStyle w:val="Tabletext"/>
              <w:keepNext/>
            </w:pPr>
            <w:r w:rsidRPr="0098559C">
              <w:t>60 year old program</w:t>
            </w:r>
          </w:p>
        </w:tc>
        <w:tc>
          <w:tcPr>
            <w:tcW w:w="584" w:type="pct"/>
            <w:shd w:val="clear" w:color="auto" w:fill="auto"/>
            <w:vAlign w:val="center"/>
          </w:tcPr>
          <w:p w:rsidR="008F3DDB" w:rsidRPr="00131CFB" w:rsidRDefault="008F3DDB" w:rsidP="003705C1">
            <w:pPr>
              <w:pStyle w:val="Tabletext"/>
              <w:keepNext/>
              <w:jc w:val="center"/>
              <w:rPr>
                <w:bCs/>
                <w:color w:val="000000"/>
              </w:rPr>
            </w:pPr>
            <w:r w:rsidRPr="00131CFB">
              <w:t>91,904</w:t>
            </w:r>
          </w:p>
        </w:tc>
        <w:tc>
          <w:tcPr>
            <w:tcW w:w="654" w:type="pct"/>
            <w:shd w:val="clear" w:color="auto" w:fill="auto"/>
            <w:vAlign w:val="center"/>
          </w:tcPr>
          <w:p w:rsidR="008F3DDB" w:rsidRPr="00131CFB" w:rsidRDefault="008F3DDB" w:rsidP="003705C1">
            <w:pPr>
              <w:pStyle w:val="Tabletext"/>
              <w:keepNext/>
              <w:jc w:val="center"/>
              <w:rPr>
                <w:bCs/>
                <w:color w:val="000000"/>
              </w:rPr>
            </w:pPr>
            <w:r w:rsidRPr="00131CFB">
              <w:t>93,327</w:t>
            </w:r>
          </w:p>
        </w:tc>
        <w:tc>
          <w:tcPr>
            <w:tcW w:w="644" w:type="pct"/>
            <w:shd w:val="clear" w:color="auto" w:fill="auto"/>
            <w:vAlign w:val="center"/>
          </w:tcPr>
          <w:p w:rsidR="008F3DDB" w:rsidRPr="00131CFB" w:rsidRDefault="008F3DDB" w:rsidP="003705C1">
            <w:pPr>
              <w:pStyle w:val="Tabletext"/>
              <w:keepNext/>
              <w:jc w:val="center"/>
              <w:rPr>
                <w:bCs/>
                <w:color w:val="000000"/>
              </w:rPr>
            </w:pPr>
            <w:r w:rsidRPr="00131CFB">
              <w:t>96,646</w:t>
            </w:r>
          </w:p>
        </w:tc>
        <w:tc>
          <w:tcPr>
            <w:tcW w:w="644" w:type="pct"/>
            <w:shd w:val="clear" w:color="auto" w:fill="auto"/>
            <w:vAlign w:val="center"/>
          </w:tcPr>
          <w:p w:rsidR="008F3DDB" w:rsidRPr="00131CFB" w:rsidRDefault="008F3DDB" w:rsidP="003705C1">
            <w:pPr>
              <w:pStyle w:val="Tabletext"/>
              <w:keepNext/>
              <w:jc w:val="center"/>
              <w:rPr>
                <w:bCs/>
                <w:color w:val="000000"/>
              </w:rPr>
            </w:pPr>
            <w:r w:rsidRPr="00131CFB">
              <w:t>97,091</w:t>
            </w:r>
          </w:p>
        </w:tc>
        <w:tc>
          <w:tcPr>
            <w:tcW w:w="645" w:type="pct"/>
            <w:shd w:val="clear" w:color="auto" w:fill="auto"/>
            <w:vAlign w:val="center"/>
          </w:tcPr>
          <w:p w:rsidR="008F3DDB" w:rsidRPr="00131CFB" w:rsidRDefault="008F3DDB" w:rsidP="003705C1">
            <w:pPr>
              <w:pStyle w:val="Tabletext"/>
              <w:keepNext/>
              <w:jc w:val="center"/>
              <w:rPr>
                <w:bCs/>
                <w:color w:val="000000"/>
              </w:rPr>
            </w:pPr>
            <w:r w:rsidRPr="00131CFB">
              <w:t>97,301</w:t>
            </w:r>
          </w:p>
        </w:tc>
        <w:tc>
          <w:tcPr>
            <w:tcW w:w="642" w:type="pct"/>
            <w:vAlign w:val="center"/>
          </w:tcPr>
          <w:p w:rsidR="008F3DDB" w:rsidRPr="00131CFB" w:rsidRDefault="008F3DDB" w:rsidP="003705C1">
            <w:pPr>
              <w:pStyle w:val="Tabletext"/>
              <w:keepNext/>
              <w:jc w:val="center"/>
              <w:rPr>
                <w:bCs/>
                <w:color w:val="000000"/>
              </w:rPr>
            </w:pPr>
            <w:r w:rsidRPr="00131CFB">
              <w:t>96,527</w:t>
            </w:r>
          </w:p>
        </w:tc>
      </w:tr>
      <w:tr w:rsidR="008F3DDB" w:rsidRPr="0098559C" w:rsidTr="003705C1">
        <w:trPr>
          <w:cantSplit/>
        </w:trPr>
        <w:tc>
          <w:tcPr>
            <w:tcW w:w="1187" w:type="pct"/>
            <w:shd w:val="clear" w:color="auto" w:fill="auto"/>
            <w:vAlign w:val="center"/>
          </w:tcPr>
          <w:p w:rsidR="008F3DDB" w:rsidRPr="0098559C" w:rsidRDefault="008F3DDB" w:rsidP="003705C1">
            <w:pPr>
              <w:pStyle w:val="Tabletext"/>
              <w:keepNext/>
            </w:pPr>
            <w:r w:rsidRPr="0098559C">
              <w:t>61-69 year catch-up</w:t>
            </w:r>
          </w:p>
        </w:tc>
        <w:tc>
          <w:tcPr>
            <w:tcW w:w="584" w:type="pct"/>
            <w:shd w:val="clear" w:color="auto" w:fill="auto"/>
            <w:vAlign w:val="bottom"/>
          </w:tcPr>
          <w:p w:rsidR="008F3DDB" w:rsidRPr="00131CFB" w:rsidRDefault="008F3DDB" w:rsidP="003705C1">
            <w:pPr>
              <w:pStyle w:val="Tabletext"/>
              <w:keepNext/>
              <w:jc w:val="center"/>
            </w:pPr>
            <w:r w:rsidRPr="00131CFB">
              <w:t>701,954</w:t>
            </w:r>
          </w:p>
        </w:tc>
        <w:tc>
          <w:tcPr>
            <w:tcW w:w="654" w:type="pct"/>
            <w:shd w:val="clear" w:color="auto" w:fill="auto"/>
            <w:vAlign w:val="bottom"/>
          </w:tcPr>
          <w:p w:rsidR="008F3DDB" w:rsidRPr="00131CFB" w:rsidRDefault="008F3DDB" w:rsidP="003705C1">
            <w:pPr>
              <w:pStyle w:val="Tabletext"/>
              <w:keepNext/>
              <w:jc w:val="center"/>
            </w:pPr>
            <w:r w:rsidRPr="00131CFB">
              <w:t>293,259</w:t>
            </w:r>
          </w:p>
        </w:tc>
        <w:tc>
          <w:tcPr>
            <w:tcW w:w="644" w:type="pct"/>
            <w:shd w:val="clear" w:color="auto" w:fill="auto"/>
            <w:vAlign w:val="bottom"/>
          </w:tcPr>
          <w:p w:rsidR="008F3DDB" w:rsidRPr="00131CFB" w:rsidRDefault="008F3DDB" w:rsidP="003705C1">
            <w:pPr>
              <w:pStyle w:val="Tabletext"/>
              <w:keepNext/>
              <w:jc w:val="center"/>
            </w:pPr>
            <w:r w:rsidRPr="00131CFB">
              <w:t>103,415</w:t>
            </w:r>
          </w:p>
        </w:tc>
        <w:tc>
          <w:tcPr>
            <w:tcW w:w="644" w:type="pct"/>
            <w:shd w:val="clear" w:color="auto" w:fill="auto"/>
            <w:vAlign w:val="bottom"/>
          </w:tcPr>
          <w:p w:rsidR="008F3DDB" w:rsidRPr="00131CFB" w:rsidRDefault="008F3DDB" w:rsidP="003705C1">
            <w:pPr>
              <w:pStyle w:val="Tabletext"/>
              <w:keepNext/>
              <w:jc w:val="center"/>
            </w:pPr>
            <w:r w:rsidRPr="00131CFB">
              <w:t>80,488</w:t>
            </w:r>
          </w:p>
        </w:tc>
        <w:tc>
          <w:tcPr>
            <w:tcW w:w="645" w:type="pct"/>
            <w:shd w:val="clear" w:color="auto" w:fill="auto"/>
            <w:vAlign w:val="bottom"/>
          </w:tcPr>
          <w:p w:rsidR="008F3DDB" w:rsidRPr="00131CFB" w:rsidRDefault="008F3DDB" w:rsidP="003705C1">
            <w:pPr>
              <w:pStyle w:val="Tabletext"/>
              <w:keepNext/>
              <w:jc w:val="center"/>
            </w:pPr>
            <w:r w:rsidRPr="00131CFB">
              <w:t>60,795</w:t>
            </w:r>
          </w:p>
        </w:tc>
        <w:tc>
          <w:tcPr>
            <w:tcW w:w="642" w:type="pct"/>
            <w:vAlign w:val="center"/>
          </w:tcPr>
          <w:p w:rsidR="008F3DDB" w:rsidRPr="00131CFB" w:rsidRDefault="008F3DDB" w:rsidP="003705C1">
            <w:pPr>
              <w:pStyle w:val="Tabletext"/>
              <w:keepNext/>
              <w:jc w:val="center"/>
              <w:rPr>
                <w:bCs/>
                <w:color w:val="000000"/>
              </w:rPr>
            </w:pPr>
            <w:r w:rsidRPr="00131CFB">
              <w:t>-</w:t>
            </w:r>
          </w:p>
        </w:tc>
      </w:tr>
      <w:tr w:rsidR="008F3DDB" w:rsidRPr="0098559C" w:rsidTr="003705C1">
        <w:trPr>
          <w:cantSplit/>
        </w:trPr>
        <w:tc>
          <w:tcPr>
            <w:tcW w:w="1187" w:type="pct"/>
            <w:shd w:val="clear" w:color="auto" w:fill="auto"/>
            <w:vAlign w:val="center"/>
          </w:tcPr>
          <w:p w:rsidR="008F3DDB" w:rsidRPr="0098559C" w:rsidRDefault="008F3DDB" w:rsidP="003705C1">
            <w:pPr>
              <w:pStyle w:val="Tabletext"/>
              <w:keepNext/>
            </w:pPr>
            <w:r w:rsidRPr="0098559C">
              <w:t>70-79 year catch-up</w:t>
            </w:r>
          </w:p>
        </w:tc>
        <w:tc>
          <w:tcPr>
            <w:tcW w:w="584" w:type="pct"/>
            <w:shd w:val="clear" w:color="auto" w:fill="auto"/>
            <w:vAlign w:val="bottom"/>
          </w:tcPr>
          <w:p w:rsidR="008F3DDB" w:rsidRPr="00131CFB" w:rsidRDefault="008F3DDB" w:rsidP="003705C1">
            <w:pPr>
              <w:pStyle w:val="Tabletext"/>
              <w:keepNext/>
              <w:jc w:val="center"/>
            </w:pPr>
            <w:r w:rsidRPr="00131CFB">
              <w:t>351,288</w:t>
            </w:r>
          </w:p>
        </w:tc>
        <w:tc>
          <w:tcPr>
            <w:tcW w:w="654" w:type="pct"/>
            <w:shd w:val="clear" w:color="auto" w:fill="auto"/>
            <w:vAlign w:val="bottom"/>
          </w:tcPr>
          <w:p w:rsidR="008F3DDB" w:rsidRPr="00131CFB" w:rsidRDefault="008F3DDB" w:rsidP="003705C1">
            <w:pPr>
              <w:pStyle w:val="Tabletext"/>
              <w:keepNext/>
              <w:jc w:val="center"/>
            </w:pPr>
            <w:r w:rsidRPr="00131CFB">
              <w:t>214,430</w:t>
            </w:r>
          </w:p>
        </w:tc>
        <w:tc>
          <w:tcPr>
            <w:tcW w:w="644" w:type="pct"/>
            <w:shd w:val="clear" w:color="auto" w:fill="auto"/>
            <w:vAlign w:val="bottom"/>
          </w:tcPr>
          <w:p w:rsidR="008F3DDB" w:rsidRPr="00131CFB" w:rsidRDefault="008F3DDB" w:rsidP="003705C1">
            <w:pPr>
              <w:pStyle w:val="Tabletext"/>
              <w:keepNext/>
              <w:jc w:val="center"/>
            </w:pPr>
            <w:r w:rsidRPr="00131CFB">
              <w:t>151,019</w:t>
            </w:r>
          </w:p>
        </w:tc>
        <w:tc>
          <w:tcPr>
            <w:tcW w:w="644" w:type="pct"/>
            <w:shd w:val="clear" w:color="auto" w:fill="auto"/>
            <w:vAlign w:val="bottom"/>
          </w:tcPr>
          <w:p w:rsidR="008F3DDB" w:rsidRPr="00131CFB" w:rsidRDefault="008F3DDB" w:rsidP="003705C1">
            <w:pPr>
              <w:pStyle w:val="Tabletext"/>
              <w:keepNext/>
              <w:jc w:val="center"/>
            </w:pPr>
            <w:r w:rsidRPr="00131CFB">
              <w:t>144,556</w:t>
            </w:r>
          </w:p>
        </w:tc>
        <w:tc>
          <w:tcPr>
            <w:tcW w:w="645" w:type="pct"/>
            <w:shd w:val="clear" w:color="auto" w:fill="auto"/>
            <w:vAlign w:val="bottom"/>
          </w:tcPr>
          <w:p w:rsidR="008F3DDB" w:rsidRPr="00131CFB" w:rsidRDefault="008F3DDB" w:rsidP="003705C1">
            <w:pPr>
              <w:pStyle w:val="Tabletext"/>
              <w:keepNext/>
              <w:jc w:val="center"/>
            </w:pPr>
            <w:r w:rsidRPr="00131CFB">
              <w:t>141,971</w:t>
            </w:r>
          </w:p>
        </w:tc>
        <w:tc>
          <w:tcPr>
            <w:tcW w:w="642" w:type="pct"/>
          </w:tcPr>
          <w:p w:rsidR="008F3DDB" w:rsidRPr="00131CFB" w:rsidRDefault="008F3DDB" w:rsidP="003705C1">
            <w:pPr>
              <w:pStyle w:val="Tabletext"/>
              <w:keepNext/>
              <w:jc w:val="center"/>
              <w:rPr>
                <w:bCs/>
                <w:color w:val="000000"/>
              </w:rPr>
            </w:pPr>
            <w:r w:rsidRPr="00131CFB">
              <w:rPr>
                <w:bCs/>
                <w:color w:val="000000"/>
              </w:rPr>
              <w:t>-</w:t>
            </w:r>
          </w:p>
        </w:tc>
      </w:tr>
      <w:tr w:rsidR="008F3DDB" w:rsidRPr="0098559C" w:rsidTr="003705C1">
        <w:trPr>
          <w:cantSplit/>
        </w:trPr>
        <w:tc>
          <w:tcPr>
            <w:tcW w:w="1187" w:type="pct"/>
            <w:shd w:val="clear" w:color="auto" w:fill="auto"/>
            <w:vAlign w:val="center"/>
          </w:tcPr>
          <w:p w:rsidR="008F3DDB" w:rsidRPr="0098559C" w:rsidRDefault="008F3DDB" w:rsidP="003705C1">
            <w:pPr>
              <w:pStyle w:val="Tabletext"/>
              <w:keepNext/>
            </w:pPr>
            <w:r w:rsidRPr="0098559C">
              <w:t>80+ year catch-up</w:t>
            </w:r>
          </w:p>
        </w:tc>
        <w:tc>
          <w:tcPr>
            <w:tcW w:w="584" w:type="pct"/>
            <w:shd w:val="clear" w:color="auto" w:fill="auto"/>
            <w:vAlign w:val="bottom"/>
          </w:tcPr>
          <w:p w:rsidR="008F3DDB" w:rsidRPr="00131CFB" w:rsidRDefault="008F3DDB" w:rsidP="003705C1">
            <w:pPr>
              <w:pStyle w:val="Tabletext"/>
              <w:keepNext/>
              <w:jc w:val="center"/>
            </w:pPr>
            <w:r w:rsidRPr="00131CFB">
              <w:t>342,537</w:t>
            </w:r>
          </w:p>
        </w:tc>
        <w:tc>
          <w:tcPr>
            <w:tcW w:w="654" w:type="pct"/>
            <w:shd w:val="clear" w:color="auto" w:fill="auto"/>
            <w:vAlign w:val="bottom"/>
          </w:tcPr>
          <w:p w:rsidR="008F3DDB" w:rsidRPr="00131CFB" w:rsidRDefault="008F3DDB" w:rsidP="003705C1">
            <w:pPr>
              <w:pStyle w:val="Tabletext"/>
              <w:keepNext/>
              <w:jc w:val="center"/>
            </w:pPr>
            <w:r w:rsidRPr="00131CFB">
              <w:t>187,939</w:t>
            </w:r>
          </w:p>
        </w:tc>
        <w:tc>
          <w:tcPr>
            <w:tcW w:w="644" w:type="pct"/>
            <w:shd w:val="clear" w:color="auto" w:fill="auto"/>
            <w:vAlign w:val="bottom"/>
          </w:tcPr>
          <w:p w:rsidR="008F3DDB" w:rsidRPr="00131CFB" w:rsidRDefault="008F3DDB" w:rsidP="003705C1">
            <w:pPr>
              <w:pStyle w:val="Tabletext"/>
              <w:keepNext/>
              <w:jc w:val="center"/>
            </w:pPr>
            <w:r w:rsidRPr="00131CFB">
              <w:t>116,655</w:t>
            </w:r>
          </w:p>
        </w:tc>
        <w:tc>
          <w:tcPr>
            <w:tcW w:w="644" w:type="pct"/>
            <w:shd w:val="clear" w:color="auto" w:fill="auto"/>
            <w:vAlign w:val="bottom"/>
          </w:tcPr>
          <w:p w:rsidR="008F3DDB" w:rsidRPr="00131CFB" w:rsidRDefault="008F3DDB" w:rsidP="003705C1">
            <w:pPr>
              <w:pStyle w:val="Tabletext"/>
              <w:keepNext/>
              <w:jc w:val="center"/>
            </w:pPr>
            <w:r w:rsidRPr="00131CFB">
              <w:t>113,516</w:t>
            </w:r>
          </w:p>
        </w:tc>
        <w:tc>
          <w:tcPr>
            <w:tcW w:w="645" w:type="pct"/>
            <w:shd w:val="clear" w:color="auto" w:fill="auto"/>
            <w:vAlign w:val="bottom"/>
          </w:tcPr>
          <w:p w:rsidR="008F3DDB" w:rsidRPr="00131CFB" w:rsidRDefault="008F3DDB" w:rsidP="003705C1">
            <w:pPr>
              <w:pStyle w:val="Tabletext"/>
              <w:keepNext/>
              <w:jc w:val="center"/>
            </w:pPr>
            <w:r w:rsidRPr="00131CFB">
              <w:t>107,888</w:t>
            </w:r>
          </w:p>
        </w:tc>
        <w:tc>
          <w:tcPr>
            <w:tcW w:w="642" w:type="pct"/>
          </w:tcPr>
          <w:p w:rsidR="008F3DDB" w:rsidRPr="00131CFB" w:rsidRDefault="008F3DDB" w:rsidP="003705C1">
            <w:pPr>
              <w:pStyle w:val="Tabletext"/>
              <w:keepNext/>
              <w:jc w:val="center"/>
              <w:rPr>
                <w:bCs/>
                <w:color w:val="000000"/>
              </w:rPr>
            </w:pPr>
            <w:r w:rsidRPr="00131CFB">
              <w:rPr>
                <w:bCs/>
                <w:color w:val="000000"/>
              </w:rPr>
              <w:t>-</w:t>
            </w:r>
          </w:p>
        </w:tc>
      </w:tr>
      <w:tr w:rsidR="008F3DDB" w:rsidRPr="0098559C" w:rsidTr="003705C1">
        <w:trPr>
          <w:cantSplit/>
        </w:trPr>
        <w:tc>
          <w:tcPr>
            <w:tcW w:w="5000" w:type="pct"/>
            <w:gridSpan w:val="7"/>
            <w:shd w:val="clear" w:color="auto" w:fill="auto"/>
            <w:vAlign w:val="center"/>
          </w:tcPr>
          <w:p w:rsidR="008F3DDB" w:rsidRPr="0098559C" w:rsidRDefault="008F3DDB" w:rsidP="003705C1">
            <w:pPr>
              <w:pStyle w:val="Tabletext"/>
              <w:keepNext/>
              <w:rPr>
                <w:bCs/>
                <w:color w:val="000000"/>
              </w:rPr>
            </w:pPr>
            <w:r w:rsidRPr="0098559C">
              <w:rPr>
                <w:b/>
              </w:rPr>
              <w:t>Difference in HZ cases (</w:t>
            </w:r>
            <w:proofErr w:type="spellStart"/>
            <w:r w:rsidRPr="0098559C">
              <w:rPr>
                <w:b/>
              </w:rPr>
              <w:t>MacIntyre</w:t>
            </w:r>
            <w:proofErr w:type="spellEnd"/>
            <w:r w:rsidRPr="0098559C">
              <w:rPr>
                <w:b/>
              </w:rPr>
              <w:t>), 60 year old program only</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-1,010</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-2,013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-3,018</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-3,992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-4,920</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-5,791</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HZ+PHN cases (</w:t>
            </w:r>
            <w:proofErr w:type="spellStart"/>
            <w:r w:rsidRPr="0098559C">
              <w:rPr>
                <w:b/>
              </w:rPr>
              <w:t>MacIntyre</w:t>
            </w:r>
            <w:proofErr w:type="spellEnd"/>
            <w:r w:rsidRPr="0098559C">
              <w:rPr>
                <w:b/>
              </w:rPr>
              <w:t>), 60 year old program only</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8F3DDB" w:rsidRPr="0098559C" w:rsidRDefault="008F3DDB" w:rsidP="003705C1">
            <w:pPr>
              <w:pStyle w:val="Tabletext"/>
            </w:pPr>
            <w:r w:rsidRPr="0098559C">
              <w:t>60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-178</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-355</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-533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-704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-868</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-1,022</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 cases (</w:t>
            </w:r>
            <w:proofErr w:type="spellStart"/>
            <w:r w:rsidRPr="0098559C">
              <w:rPr>
                <w:b/>
              </w:rPr>
              <w:t>MacIntyre</w:t>
            </w:r>
            <w:proofErr w:type="spellEnd"/>
            <w:r w:rsidRPr="0098559C">
              <w:rPr>
                <w:b/>
              </w:rPr>
              <w:t>), with catch-up programs</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60- 69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-8,722</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-20,000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-30,993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-41,223</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-50,214</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-57,195</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70-79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-2,491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-4,189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-5,359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-6,440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-7,476</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-6,983</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80+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-4,069</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-9,287</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-14,145</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-18,549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-22,392</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-24,341</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HZ+PHN cases (</w:t>
            </w:r>
            <w:proofErr w:type="spellStart"/>
            <w:r w:rsidRPr="0098559C">
              <w:rPr>
                <w:b/>
              </w:rPr>
              <w:t>MacIntyre</w:t>
            </w:r>
            <w:proofErr w:type="spellEnd"/>
            <w:r w:rsidRPr="0098559C">
              <w:rPr>
                <w:b/>
              </w:rPr>
              <w:t>), with catch-up programs</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60- 69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-1,539</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-3,529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-5,469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-7,275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-8,861</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-10,093</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70-79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-217</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-411</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-551</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-681</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-806</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-516</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80+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-1,430</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-3,263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-4,970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-6,517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-7,868</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-8,552</w:t>
            </w:r>
          </w:p>
        </w:tc>
      </w:tr>
      <w:tr w:rsidR="008F3DDB" w:rsidRPr="0098559C" w:rsidTr="003705C1">
        <w:trPr>
          <w:cantSplit/>
        </w:trPr>
        <w:tc>
          <w:tcPr>
            <w:tcW w:w="5000" w:type="pct"/>
            <w:gridSpan w:val="7"/>
            <w:shd w:val="clear" w:color="auto" w:fill="auto"/>
            <w:vAlign w:val="center"/>
          </w:tcPr>
          <w:p w:rsidR="008F3DDB" w:rsidRPr="0098559C" w:rsidRDefault="008F3DDB" w:rsidP="003705C1">
            <w:pPr>
              <w:pStyle w:val="Tabletext"/>
              <w:keepNext/>
              <w:rPr>
                <w:bCs/>
                <w:color w:val="000000"/>
              </w:rPr>
            </w:pPr>
            <w:r w:rsidRPr="0098559C">
              <w:rPr>
                <w:b/>
              </w:rPr>
              <w:t>Difference in HZ cases (ZOE), 60 year old program only</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-918</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-1,834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-2,752</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-3,646</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-4,500</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-5,305</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HZ+PHN cases (ZOE), 60 year old program only</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8F3DDB" w:rsidRPr="0098559C" w:rsidRDefault="008F3DDB" w:rsidP="003705C1">
            <w:pPr>
              <w:pStyle w:val="Tabletext"/>
            </w:pPr>
            <w:r w:rsidRPr="0098559C">
              <w:t>60- 69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-50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-75</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-100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-123</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-145</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 cases (ZOE), with catch-up programs</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60- 69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-7,931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-18,210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-28,258</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-37,639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-45,919</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-52,393</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70-79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-1,498</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-2,537</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-3,263</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-3,939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-4,593</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-4,269</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80+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-2,882</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-6,601</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-10,092</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-13,286</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-16,102</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-17,589</w:t>
            </w:r>
          </w:p>
        </w:tc>
      </w:tr>
      <w:tr w:rsidR="008F3DDB" w:rsidRPr="0098559C" w:rsidTr="003705C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keepNext/>
              <w:rPr>
                <w:bCs/>
                <w:color w:val="000000"/>
              </w:rPr>
            </w:pPr>
            <w:r w:rsidRPr="0098559C">
              <w:rPr>
                <w:b/>
              </w:rPr>
              <w:t>Difference in HZ+PHN cases (ZOE), with catch-up programs</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60- 69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-217</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-499</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-774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-1,031</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-1,258</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-1,435</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70-79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-77</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-146</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-197</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-245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-291</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-191</w:t>
            </w:r>
          </w:p>
        </w:tc>
      </w:tr>
      <w:tr w:rsidR="008F3DDB" w:rsidRPr="0098559C" w:rsidTr="003705C1">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8F3DDB" w:rsidRPr="0098559C" w:rsidRDefault="008F3DDB" w:rsidP="003705C1">
            <w:pPr>
              <w:pStyle w:val="Tabletext"/>
            </w:pPr>
            <w:r w:rsidRPr="0098559C">
              <w:t>80+ years old</w:t>
            </w:r>
          </w:p>
        </w:tc>
        <w:tc>
          <w:tcPr>
            <w:tcW w:w="58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-331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-757</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-1,158</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-1,525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rsidR="008F3DDB" w:rsidRPr="0098559C" w:rsidRDefault="008F3DDB" w:rsidP="003705C1">
            <w:pPr>
              <w:pStyle w:val="Tabletext"/>
              <w:keepNext/>
              <w:jc w:val="center"/>
            </w:pPr>
            <w:r w:rsidRPr="0098559C">
              <w:t>-1,848</w:t>
            </w:r>
          </w:p>
        </w:tc>
        <w:tc>
          <w:tcPr>
            <w:tcW w:w="642" w:type="pct"/>
            <w:tcBorders>
              <w:top w:val="single" w:sz="4" w:space="0" w:color="auto"/>
              <w:left w:val="single" w:sz="4" w:space="0" w:color="auto"/>
              <w:bottom w:val="single" w:sz="4" w:space="0" w:color="auto"/>
              <w:right w:val="single" w:sz="4" w:space="0" w:color="auto"/>
            </w:tcBorders>
            <w:vAlign w:val="bottom"/>
          </w:tcPr>
          <w:p w:rsidR="008F3DDB" w:rsidRPr="0098559C" w:rsidRDefault="008F3DDB" w:rsidP="003705C1">
            <w:pPr>
              <w:pStyle w:val="Tabletext"/>
              <w:keepNext/>
              <w:jc w:val="center"/>
            </w:pPr>
            <w:r w:rsidRPr="0098559C">
              <w:t>-2,018</w:t>
            </w:r>
          </w:p>
        </w:tc>
      </w:tr>
    </w:tbl>
    <w:p w:rsidR="008F3DDB" w:rsidRPr="0098559C" w:rsidRDefault="008F3DDB" w:rsidP="008F3DDB">
      <w:pPr>
        <w:rPr>
          <w:rFonts w:ascii="Arial Narrow" w:hAnsi="Arial Narrow"/>
          <w:sz w:val="18"/>
          <w:szCs w:val="20"/>
        </w:rPr>
      </w:pPr>
      <w:r w:rsidRPr="0098559C">
        <w:rPr>
          <w:rFonts w:ascii="Arial Narrow" w:hAnsi="Arial Narrow"/>
          <w:sz w:val="18"/>
          <w:szCs w:val="20"/>
        </w:rPr>
        <w:t>Source: Section 4_Shingrix BIM_workbook.xlsx from sheet “Summary”. On Sheet “Vaccine Uptake” uptake in year 6 for 70 and 80 year olds = 0%. Disease Incidence on the “Model Inputs” sheet was changed as per Table 1.</w:t>
      </w:r>
    </w:p>
    <w:p w:rsidR="00513E89" w:rsidRPr="00513E89" w:rsidRDefault="00513E89" w:rsidP="00513E89">
      <w:pPr>
        <w:rPr>
          <w:rFonts w:ascii="Arial Narrow" w:hAnsi="Arial Narrow"/>
          <w:i/>
          <w:sz w:val="18"/>
          <w:szCs w:val="20"/>
        </w:rPr>
      </w:pPr>
    </w:p>
    <w:p w:rsidR="00576972" w:rsidRPr="008B348A" w:rsidRDefault="00576972" w:rsidP="00E92F71">
      <w:pPr>
        <w:pStyle w:val="Heading2"/>
      </w:pPr>
      <w:bookmarkStart w:id="15" w:name="_Toc524340217"/>
      <w:r w:rsidRPr="008B348A">
        <w:t>Quality Use of Medicines</w:t>
      </w:r>
      <w:bookmarkEnd w:id="15"/>
    </w:p>
    <w:p w:rsidR="00B13381" w:rsidRPr="008B348A" w:rsidRDefault="00B13381" w:rsidP="00ED2457">
      <w:pPr>
        <w:pStyle w:val="ListParagraph"/>
        <w:widowControl/>
        <w:numPr>
          <w:ilvl w:val="1"/>
          <w:numId w:val="2"/>
        </w:numPr>
      </w:pPr>
      <w:r w:rsidRPr="008B348A">
        <w:t xml:space="preserve">The submission stated that comprehensive educational activities supporting the quality use of vaccines </w:t>
      </w:r>
      <w:r w:rsidR="00F0399B">
        <w:t>to</w:t>
      </w:r>
      <w:r w:rsidR="00EB2FD6" w:rsidRPr="008B348A">
        <w:t xml:space="preserve"> </w:t>
      </w:r>
      <w:r w:rsidRPr="008B348A">
        <w:t>ensur</w:t>
      </w:r>
      <w:r w:rsidR="00EB2FD6">
        <w:t>e</w:t>
      </w:r>
      <w:r w:rsidRPr="008B348A">
        <w:t xml:space="preserve"> healthcare professionals and HZ/</w:t>
      </w:r>
      <w:proofErr w:type="spellStart"/>
      <w:r w:rsidRPr="008B348A">
        <w:t>su</w:t>
      </w:r>
      <w:proofErr w:type="spellEnd"/>
      <w:r w:rsidRPr="008B348A">
        <w:t xml:space="preserve"> vaccine recipients were educated on the importance of completing the two-dose course were planned.</w:t>
      </w:r>
    </w:p>
    <w:p w:rsidR="00576972" w:rsidRDefault="00B13381" w:rsidP="00ED2457">
      <w:pPr>
        <w:pStyle w:val="ListParagraph"/>
        <w:widowControl/>
        <w:numPr>
          <w:ilvl w:val="1"/>
          <w:numId w:val="2"/>
        </w:numPr>
      </w:pPr>
      <w:r w:rsidRPr="0086667F">
        <w:t>The submission did not indicate whether any post-market surveillance would be carried out. Given the expected extensive use of the HZ/</w:t>
      </w:r>
      <w:proofErr w:type="spellStart"/>
      <w:r w:rsidRPr="0086667F">
        <w:t>su</w:t>
      </w:r>
      <w:proofErr w:type="spellEnd"/>
      <w:r w:rsidRPr="0086667F">
        <w:t xml:space="preserve"> vaccine in the routine and </w:t>
      </w:r>
      <w:r w:rsidRPr="0086667F">
        <w:lastRenderedPageBreak/>
        <w:t>catch-up programs this may be informative, particularly the reporting of adverse events as this is a new vaccine and with a previously un-used adjuvant in Australia.</w:t>
      </w:r>
    </w:p>
    <w:p w:rsidR="00BD5534" w:rsidRDefault="00BD5534" w:rsidP="00BD5534">
      <w:pPr>
        <w:pStyle w:val="ListParagraph"/>
        <w:widowControl/>
        <w:tabs>
          <w:tab w:val="left" w:pos="7296"/>
        </w:tabs>
        <w:rPr>
          <w:i/>
        </w:rPr>
      </w:pPr>
      <w:r w:rsidRPr="00BD5534">
        <w:rPr>
          <w:i/>
        </w:rPr>
        <w:t>For more detail on PBAC’s view, see Section 7 PBAC outcome.</w:t>
      </w:r>
      <w:r w:rsidRPr="00BD5534">
        <w:rPr>
          <w:i/>
        </w:rPr>
        <w:tab/>
      </w:r>
    </w:p>
    <w:p w:rsidR="00BD5534" w:rsidRPr="002D1A95" w:rsidRDefault="00BD5534" w:rsidP="002D1A95">
      <w:pPr>
        <w:pStyle w:val="Heading1"/>
      </w:pPr>
      <w:r w:rsidRPr="002D1A95">
        <w:t>PBAC Outcome</w:t>
      </w:r>
    </w:p>
    <w:p w:rsidR="00BD5534" w:rsidRPr="006C57CC" w:rsidRDefault="009D36EF" w:rsidP="00BD5534">
      <w:pPr>
        <w:numPr>
          <w:ilvl w:val="1"/>
          <w:numId w:val="2"/>
        </w:numPr>
        <w:spacing w:after="120"/>
        <w:rPr>
          <w:rFonts w:asciiTheme="minorHAnsi" w:hAnsiTheme="minorHAnsi"/>
          <w:bCs/>
          <w:lang w:val="en-GB"/>
        </w:rPr>
      </w:pPr>
      <w:r w:rsidRPr="006C57CC">
        <w:rPr>
          <w:rFonts w:asciiTheme="minorHAnsi" w:hAnsiTheme="minorHAnsi"/>
          <w:bCs/>
          <w:lang w:val="en-GB"/>
        </w:rPr>
        <w:t>The PBAC did not recommend the listing of the varicella zoster virus vaccine (HZ/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on the National Immunisation Program </w:t>
      </w:r>
      <w:r w:rsidR="00835A8E" w:rsidRPr="006C57CC">
        <w:rPr>
          <w:rFonts w:asciiTheme="minorHAnsi" w:hAnsiTheme="minorHAnsi"/>
          <w:bCs/>
          <w:lang w:val="en-GB"/>
        </w:rPr>
        <w:t xml:space="preserve">(NIP) </w:t>
      </w:r>
      <w:r w:rsidRPr="006C57CC">
        <w:rPr>
          <w:rFonts w:asciiTheme="minorHAnsi" w:hAnsiTheme="minorHAnsi"/>
          <w:bCs/>
          <w:lang w:val="en-GB"/>
        </w:rPr>
        <w:t>for the prevention of herpes zoster in adults aged 60 years</w:t>
      </w:r>
      <w:r w:rsidR="00835A8E" w:rsidRPr="006C57CC">
        <w:rPr>
          <w:rFonts w:asciiTheme="minorHAnsi" w:hAnsiTheme="minorHAnsi"/>
          <w:bCs/>
          <w:lang w:val="en-GB"/>
        </w:rPr>
        <w:t>, with a five</w:t>
      </w:r>
      <w:r w:rsidR="004710EC">
        <w:rPr>
          <w:rFonts w:asciiTheme="minorHAnsi" w:hAnsiTheme="minorHAnsi"/>
          <w:bCs/>
          <w:lang w:val="en-GB"/>
        </w:rPr>
        <w:t>-</w:t>
      </w:r>
      <w:r w:rsidR="00835A8E" w:rsidRPr="006C57CC">
        <w:rPr>
          <w:rFonts w:asciiTheme="minorHAnsi" w:hAnsiTheme="minorHAnsi"/>
          <w:bCs/>
          <w:lang w:val="en-GB"/>
        </w:rPr>
        <w:t>year catch-up program</w:t>
      </w:r>
      <w:r w:rsidRPr="006C57CC">
        <w:rPr>
          <w:rFonts w:asciiTheme="minorHAnsi" w:hAnsiTheme="minorHAnsi"/>
          <w:bCs/>
          <w:lang w:val="en-GB"/>
        </w:rPr>
        <w:t xml:space="preserve">. The </w:t>
      </w:r>
      <w:r w:rsidR="00AE2722" w:rsidRPr="006C57CC">
        <w:rPr>
          <w:rFonts w:asciiTheme="minorHAnsi" w:hAnsiTheme="minorHAnsi"/>
          <w:bCs/>
          <w:lang w:val="en-GB"/>
        </w:rPr>
        <w:t xml:space="preserve">PBAC considered that there was some </w:t>
      </w:r>
      <w:r w:rsidRPr="006C57CC">
        <w:rPr>
          <w:rFonts w:asciiTheme="minorHAnsi" w:hAnsiTheme="minorHAnsi"/>
          <w:bCs/>
          <w:lang w:val="en-GB"/>
        </w:rPr>
        <w:t>uncertainty in the magnitude of the clinical benefit</w:t>
      </w:r>
      <w:r w:rsidR="00AE2722" w:rsidRPr="006C57CC">
        <w:rPr>
          <w:rFonts w:asciiTheme="minorHAnsi" w:hAnsiTheme="minorHAnsi"/>
          <w:bCs/>
          <w:lang w:val="en-GB"/>
        </w:rPr>
        <w:t xml:space="preserve">, that the </w:t>
      </w:r>
      <w:r w:rsidRPr="006C57CC">
        <w:rPr>
          <w:rFonts w:asciiTheme="minorHAnsi" w:hAnsiTheme="minorHAnsi"/>
          <w:bCs/>
          <w:lang w:val="en-GB"/>
        </w:rPr>
        <w:t>incremental cost-effectiveness ratio</w:t>
      </w:r>
      <w:r w:rsidR="00AE2722" w:rsidRPr="006C57CC">
        <w:rPr>
          <w:rFonts w:asciiTheme="minorHAnsi" w:hAnsiTheme="minorHAnsi"/>
          <w:bCs/>
          <w:lang w:val="en-GB"/>
        </w:rPr>
        <w:t>s</w:t>
      </w:r>
      <w:r w:rsidRPr="006C57CC">
        <w:rPr>
          <w:rFonts w:asciiTheme="minorHAnsi" w:hAnsiTheme="minorHAnsi"/>
          <w:bCs/>
          <w:lang w:val="en-GB"/>
        </w:rPr>
        <w:t xml:space="preserve"> (ICER) </w:t>
      </w:r>
      <w:r w:rsidR="00AE2722" w:rsidRPr="006C57CC">
        <w:rPr>
          <w:rFonts w:asciiTheme="minorHAnsi" w:hAnsiTheme="minorHAnsi"/>
          <w:bCs/>
          <w:lang w:val="en-GB"/>
        </w:rPr>
        <w:t>were high</w:t>
      </w:r>
      <w:r w:rsidR="00280D16">
        <w:rPr>
          <w:rFonts w:asciiTheme="minorHAnsi" w:hAnsiTheme="minorHAnsi"/>
          <w:bCs/>
          <w:lang w:val="en-GB"/>
        </w:rPr>
        <w:t xml:space="preserve">ly </w:t>
      </w:r>
      <w:r w:rsidR="00AE2722" w:rsidRPr="006C57CC">
        <w:rPr>
          <w:rFonts w:asciiTheme="minorHAnsi" w:hAnsiTheme="minorHAnsi"/>
          <w:bCs/>
          <w:lang w:val="en-GB"/>
        </w:rPr>
        <w:t>uncertain and that the estimated financial impact was high</w:t>
      </w:r>
      <w:r w:rsidR="00576E08">
        <w:rPr>
          <w:rFonts w:asciiTheme="minorHAnsi" w:hAnsiTheme="minorHAnsi"/>
          <w:bCs/>
          <w:lang w:val="en-GB"/>
        </w:rPr>
        <w:t xml:space="preserve"> and uncertain</w:t>
      </w:r>
      <w:r w:rsidR="00AE2722" w:rsidRPr="006C57CC">
        <w:rPr>
          <w:rFonts w:asciiTheme="minorHAnsi" w:hAnsiTheme="minorHAnsi"/>
          <w:bCs/>
          <w:lang w:val="en-GB"/>
        </w:rPr>
        <w:t>. Given the large opportunity cost, the PBAC considered more conservative cost-effectiveness analyses w</w:t>
      </w:r>
      <w:r w:rsidR="006C57CC" w:rsidRPr="006C57CC">
        <w:rPr>
          <w:rFonts w:asciiTheme="minorHAnsi" w:hAnsiTheme="minorHAnsi"/>
          <w:bCs/>
          <w:lang w:val="en-GB"/>
        </w:rPr>
        <w:t>ere</w:t>
      </w:r>
      <w:r w:rsidR="00AE2722" w:rsidRPr="006C57CC">
        <w:rPr>
          <w:rFonts w:asciiTheme="minorHAnsi" w:hAnsiTheme="minorHAnsi"/>
          <w:bCs/>
          <w:lang w:val="en-GB"/>
        </w:rPr>
        <w:t xml:space="preserve"> required.</w:t>
      </w:r>
      <w:r w:rsidRPr="006C57CC">
        <w:rPr>
          <w:rFonts w:asciiTheme="minorHAnsi" w:hAnsiTheme="minorHAnsi"/>
          <w:bCs/>
          <w:lang w:val="en-GB"/>
        </w:rPr>
        <w:t xml:space="preserve"> </w:t>
      </w:r>
    </w:p>
    <w:p w:rsidR="00835A8E" w:rsidRDefault="00835A8E" w:rsidP="00BD5534">
      <w:pPr>
        <w:numPr>
          <w:ilvl w:val="1"/>
          <w:numId w:val="2"/>
        </w:numPr>
        <w:spacing w:after="120"/>
        <w:rPr>
          <w:rFonts w:asciiTheme="minorHAnsi" w:hAnsiTheme="minorHAnsi"/>
          <w:bCs/>
          <w:lang w:val="en-GB"/>
        </w:rPr>
      </w:pPr>
      <w:r w:rsidRPr="006C57CC">
        <w:rPr>
          <w:rFonts w:asciiTheme="minorHAnsi" w:hAnsiTheme="minorHAnsi"/>
          <w:bCs/>
          <w:lang w:val="en-GB"/>
        </w:rPr>
        <w:t xml:space="preserve">The PBAC noted that </w:t>
      </w:r>
      <w:r w:rsidR="00F6383A">
        <w:rPr>
          <w:rFonts w:asciiTheme="minorHAnsi" w:hAnsiTheme="minorHAnsi"/>
          <w:bCs/>
          <w:lang w:val="en-GB"/>
        </w:rPr>
        <w:t xml:space="preserve">the </w:t>
      </w:r>
      <w:r w:rsidRPr="006C57CC">
        <w:rPr>
          <w:rFonts w:asciiTheme="minorHAnsi" w:hAnsiTheme="minorHAnsi"/>
          <w:bCs/>
          <w:lang w:val="en-GB"/>
        </w:rPr>
        <w:t>submission did not include an evaluation of NIP-funded 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vaccine at a lower age threshold of </w:t>
      </w:r>
      <w:r w:rsidR="004406BB" w:rsidRPr="006C57CC">
        <w:rPr>
          <w:rFonts w:asciiTheme="minorHAnsi" w:hAnsiTheme="minorHAnsi"/>
          <w:bCs/>
          <w:lang w:val="en-GB"/>
        </w:rPr>
        <w:t>at least 50 years</w:t>
      </w:r>
      <w:r w:rsidR="00C87E3B">
        <w:rPr>
          <w:rFonts w:asciiTheme="minorHAnsi" w:hAnsiTheme="minorHAnsi"/>
          <w:bCs/>
          <w:lang w:val="en-GB"/>
        </w:rPr>
        <w:t>,</w:t>
      </w:r>
      <w:r w:rsidR="00C87E3B" w:rsidRPr="00C87E3B">
        <w:rPr>
          <w:rFonts w:asciiTheme="minorHAnsi" w:hAnsiTheme="minorHAnsi"/>
          <w:bCs/>
          <w:lang w:val="en-GB"/>
        </w:rPr>
        <w:t xml:space="preserve"> </w:t>
      </w:r>
      <w:r w:rsidR="00C87E3B">
        <w:rPr>
          <w:rFonts w:asciiTheme="minorHAnsi" w:hAnsiTheme="minorHAnsi"/>
          <w:bCs/>
          <w:lang w:val="en-GB"/>
        </w:rPr>
        <w:t>as was recommended in the ATAGI pre-submission advice,</w:t>
      </w:r>
      <w:r w:rsidR="004406BB" w:rsidRPr="006C57CC">
        <w:rPr>
          <w:rFonts w:asciiTheme="minorHAnsi" w:hAnsiTheme="minorHAnsi"/>
          <w:bCs/>
          <w:lang w:val="en-GB"/>
        </w:rPr>
        <w:t xml:space="preserve"> for</w:t>
      </w:r>
      <w:r w:rsidR="00C87E3B">
        <w:rPr>
          <w:rFonts w:asciiTheme="minorHAnsi" w:hAnsiTheme="minorHAnsi"/>
          <w:bCs/>
          <w:lang w:val="en-GB"/>
        </w:rPr>
        <w:t>: (</w:t>
      </w:r>
      <w:proofErr w:type="spellStart"/>
      <w:r w:rsidR="00C87E3B">
        <w:rPr>
          <w:rFonts w:asciiTheme="minorHAnsi" w:hAnsiTheme="minorHAnsi"/>
          <w:bCs/>
          <w:lang w:val="en-GB"/>
        </w:rPr>
        <w:t>i</w:t>
      </w:r>
      <w:proofErr w:type="spellEnd"/>
      <w:r w:rsidR="00C87E3B">
        <w:rPr>
          <w:rFonts w:asciiTheme="minorHAnsi" w:hAnsiTheme="minorHAnsi"/>
          <w:bCs/>
          <w:lang w:val="en-GB"/>
        </w:rPr>
        <w:t>)</w:t>
      </w:r>
      <w:r w:rsidR="004406BB" w:rsidRPr="006C57CC">
        <w:rPr>
          <w:rFonts w:asciiTheme="minorHAnsi" w:hAnsiTheme="minorHAnsi"/>
          <w:bCs/>
          <w:lang w:val="en-GB"/>
        </w:rPr>
        <w:t xml:space="preserve"> Indigenous individuals</w:t>
      </w:r>
      <w:r w:rsidR="009E7C10">
        <w:rPr>
          <w:rFonts w:asciiTheme="minorHAnsi" w:hAnsiTheme="minorHAnsi"/>
          <w:bCs/>
          <w:lang w:val="en-GB"/>
        </w:rPr>
        <w:t xml:space="preserve"> (</w:t>
      </w:r>
      <w:r w:rsidR="00576E08">
        <w:rPr>
          <w:rFonts w:asciiTheme="minorHAnsi" w:hAnsiTheme="minorHAnsi"/>
          <w:bCs/>
          <w:lang w:val="en-GB"/>
        </w:rPr>
        <w:t xml:space="preserve">who have a </w:t>
      </w:r>
      <w:r w:rsidR="009E7C10">
        <w:rPr>
          <w:rFonts w:asciiTheme="minorHAnsi" w:hAnsiTheme="minorHAnsi"/>
          <w:bCs/>
          <w:lang w:val="en-GB"/>
        </w:rPr>
        <w:t>greater burden of disease)</w:t>
      </w:r>
      <w:r w:rsidR="00C87E3B">
        <w:rPr>
          <w:rFonts w:asciiTheme="minorHAnsi" w:hAnsiTheme="minorHAnsi"/>
          <w:bCs/>
          <w:lang w:val="en-GB"/>
        </w:rPr>
        <w:t>;</w:t>
      </w:r>
      <w:r w:rsidR="00DF2707" w:rsidRPr="006C57CC">
        <w:rPr>
          <w:rFonts w:asciiTheme="minorHAnsi" w:hAnsiTheme="minorHAnsi"/>
          <w:bCs/>
          <w:lang w:val="en-GB"/>
        </w:rPr>
        <w:t xml:space="preserve"> or </w:t>
      </w:r>
      <w:r w:rsidR="00C87E3B">
        <w:rPr>
          <w:rFonts w:asciiTheme="minorHAnsi" w:hAnsiTheme="minorHAnsi"/>
          <w:bCs/>
          <w:lang w:val="en-GB"/>
        </w:rPr>
        <w:t xml:space="preserve">(ii) </w:t>
      </w:r>
      <w:r w:rsidR="004406BB" w:rsidRPr="006C57CC">
        <w:rPr>
          <w:rFonts w:asciiTheme="minorHAnsi" w:hAnsiTheme="minorHAnsi"/>
          <w:bCs/>
          <w:lang w:val="en-GB"/>
        </w:rPr>
        <w:t>people who are immunocompromised as a result of underlying medical conditions or treatment</w:t>
      </w:r>
      <w:r w:rsidR="00C87E3B">
        <w:rPr>
          <w:rFonts w:asciiTheme="minorHAnsi" w:hAnsiTheme="minorHAnsi"/>
          <w:bCs/>
          <w:lang w:val="en-GB"/>
        </w:rPr>
        <w:t xml:space="preserve"> </w:t>
      </w:r>
      <w:r w:rsidR="00B34832">
        <w:rPr>
          <w:rFonts w:asciiTheme="minorHAnsi" w:hAnsiTheme="minorHAnsi"/>
          <w:bCs/>
          <w:lang w:val="en-GB"/>
        </w:rPr>
        <w:t>who</w:t>
      </w:r>
      <w:r w:rsidR="00C87E3B">
        <w:rPr>
          <w:rFonts w:asciiTheme="minorHAnsi" w:hAnsiTheme="minorHAnsi"/>
          <w:bCs/>
          <w:lang w:val="en-GB"/>
        </w:rPr>
        <w:t xml:space="preserve"> cannot receive the live-HZ vaccine</w:t>
      </w:r>
      <w:r w:rsidR="009E7C10">
        <w:rPr>
          <w:rFonts w:asciiTheme="minorHAnsi" w:hAnsiTheme="minorHAnsi"/>
          <w:bCs/>
          <w:lang w:val="en-GB"/>
        </w:rPr>
        <w:t xml:space="preserve"> (unmet need)</w:t>
      </w:r>
      <w:r w:rsidR="00DF2707" w:rsidRPr="006C57CC">
        <w:rPr>
          <w:rFonts w:asciiTheme="minorHAnsi" w:hAnsiTheme="minorHAnsi"/>
          <w:bCs/>
          <w:lang w:val="en-GB"/>
        </w:rPr>
        <w:t xml:space="preserve">. The PBAC </w:t>
      </w:r>
      <w:r w:rsidR="00E562E3">
        <w:rPr>
          <w:rFonts w:asciiTheme="minorHAnsi" w:hAnsiTheme="minorHAnsi"/>
          <w:bCs/>
          <w:lang w:val="en-GB"/>
        </w:rPr>
        <w:t>also noted</w:t>
      </w:r>
      <w:r w:rsidR="00DF2707" w:rsidRPr="006C57CC">
        <w:rPr>
          <w:rFonts w:asciiTheme="minorHAnsi" w:hAnsiTheme="minorHAnsi"/>
          <w:bCs/>
          <w:lang w:val="en-GB"/>
        </w:rPr>
        <w:t xml:space="preserve"> </w:t>
      </w:r>
      <w:r w:rsidR="00C87E3B">
        <w:rPr>
          <w:rFonts w:asciiTheme="minorHAnsi" w:hAnsiTheme="minorHAnsi"/>
          <w:bCs/>
          <w:lang w:val="en-GB"/>
        </w:rPr>
        <w:t xml:space="preserve">that </w:t>
      </w:r>
      <w:r w:rsidR="00DF2707" w:rsidRPr="006C57CC">
        <w:rPr>
          <w:rFonts w:asciiTheme="minorHAnsi" w:hAnsiTheme="minorHAnsi"/>
          <w:bCs/>
          <w:lang w:val="en-GB"/>
        </w:rPr>
        <w:t>HZ/</w:t>
      </w:r>
      <w:proofErr w:type="spellStart"/>
      <w:r w:rsidR="00DF2707" w:rsidRPr="006C57CC">
        <w:rPr>
          <w:rFonts w:asciiTheme="minorHAnsi" w:hAnsiTheme="minorHAnsi"/>
          <w:bCs/>
          <w:lang w:val="en-GB"/>
        </w:rPr>
        <w:t>su</w:t>
      </w:r>
      <w:proofErr w:type="spellEnd"/>
      <w:r w:rsidR="00DF2707" w:rsidRPr="006C57CC">
        <w:rPr>
          <w:rFonts w:asciiTheme="minorHAnsi" w:hAnsiTheme="minorHAnsi"/>
          <w:bCs/>
          <w:lang w:val="en-GB"/>
        </w:rPr>
        <w:t xml:space="preserve"> </w:t>
      </w:r>
      <w:r w:rsidR="00C87E3B">
        <w:rPr>
          <w:rFonts w:asciiTheme="minorHAnsi" w:hAnsiTheme="minorHAnsi"/>
          <w:bCs/>
          <w:lang w:val="en-GB"/>
        </w:rPr>
        <w:t xml:space="preserve">vaccination </w:t>
      </w:r>
      <w:r w:rsidR="00DF2707" w:rsidRPr="006C57CC">
        <w:rPr>
          <w:rFonts w:asciiTheme="minorHAnsi" w:hAnsiTheme="minorHAnsi"/>
          <w:bCs/>
          <w:lang w:val="en-GB"/>
        </w:rPr>
        <w:t xml:space="preserve">in immunocompromised individuals was identified </w:t>
      </w:r>
      <w:r w:rsidR="00E562E3">
        <w:rPr>
          <w:rFonts w:asciiTheme="minorHAnsi" w:hAnsiTheme="minorHAnsi"/>
          <w:bCs/>
          <w:lang w:val="en-GB"/>
        </w:rPr>
        <w:t xml:space="preserve">by the sponsor </w:t>
      </w:r>
      <w:r w:rsidR="00DF2707" w:rsidRPr="006C57CC">
        <w:rPr>
          <w:rFonts w:asciiTheme="minorHAnsi" w:hAnsiTheme="minorHAnsi"/>
          <w:bCs/>
          <w:lang w:val="en-GB"/>
        </w:rPr>
        <w:t xml:space="preserve">as the subject of future </w:t>
      </w:r>
      <w:r w:rsidR="00E562E3">
        <w:rPr>
          <w:rFonts w:asciiTheme="minorHAnsi" w:hAnsiTheme="minorHAnsi"/>
          <w:bCs/>
          <w:lang w:val="en-GB"/>
        </w:rPr>
        <w:t xml:space="preserve">regulatory </w:t>
      </w:r>
      <w:r w:rsidR="00DF2707" w:rsidRPr="006C57CC">
        <w:rPr>
          <w:rFonts w:asciiTheme="minorHAnsi" w:hAnsiTheme="minorHAnsi"/>
          <w:bCs/>
          <w:lang w:val="en-GB"/>
        </w:rPr>
        <w:t>submission</w:t>
      </w:r>
      <w:r w:rsidR="00E562E3">
        <w:rPr>
          <w:rFonts w:asciiTheme="minorHAnsi" w:hAnsiTheme="minorHAnsi"/>
          <w:bCs/>
          <w:lang w:val="en-GB"/>
        </w:rPr>
        <w:t>s</w:t>
      </w:r>
      <w:r w:rsidR="00DF2707" w:rsidRPr="006C57CC">
        <w:rPr>
          <w:rFonts w:asciiTheme="minorHAnsi" w:hAnsiTheme="minorHAnsi"/>
          <w:bCs/>
          <w:lang w:val="en-GB"/>
        </w:rPr>
        <w:t xml:space="preserve"> (pre-Sub-Committee Response).</w:t>
      </w:r>
    </w:p>
    <w:p w:rsidR="00055FE9" w:rsidRPr="006C57CC" w:rsidRDefault="00AE2722" w:rsidP="00307940">
      <w:pPr>
        <w:numPr>
          <w:ilvl w:val="1"/>
          <w:numId w:val="2"/>
        </w:numPr>
        <w:spacing w:after="120"/>
        <w:rPr>
          <w:rFonts w:asciiTheme="minorHAnsi" w:hAnsiTheme="minorHAnsi"/>
          <w:bCs/>
          <w:lang w:val="en-GB"/>
        </w:rPr>
      </w:pPr>
      <w:r w:rsidRPr="00307940">
        <w:rPr>
          <w:rFonts w:asciiTheme="minorHAnsi" w:hAnsiTheme="minorHAnsi"/>
          <w:bCs/>
          <w:lang w:val="en-GB"/>
        </w:rPr>
        <w:t xml:space="preserve">The PBAC </w:t>
      </w:r>
      <w:r w:rsidR="001816F6" w:rsidRPr="00307940">
        <w:rPr>
          <w:rFonts w:asciiTheme="minorHAnsi" w:hAnsiTheme="minorHAnsi"/>
          <w:bCs/>
          <w:lang w:val="en-GB"/>
        </w:rPr>
        <w:t xml:space="preserve">noted the submission proposed </w:t>
      </w:r>
      <w:r w:rsidR="00307940" w:rsidRPr="00307940">
        <w:rPr>
          <w:rFonts w:asciiTheme="minorHAnsi" w:hAnsiTheme="minorHAnsi"/>
          <w:bCs/>
          <w:lang w:val="en-GB"/>
        </w:rPr>
        <w:t xml:space="preserve">no vaccine as the comparator for individuals aged 60-69 years and 80+ years, and the live-HZ vaccine for </w:t>
      </w:r>
      <w:r w:rsidR="00307940">
        <w:rPr>
          <w:rFonts w:asciiTheme="minorHAnsi" w:hAnsiTheme="minorHAnsi"/>
          <w:bCs/>
          <w:lang w:val="en-GB"/>
        </w:rPr>
        <w:t>i</w:t>
      </w:r>
      <w:r w:rsidR="00307940" w:rsidRPr="00307940">
        <w:rPr>
          <w:rFonts w:asciiTheme="minorHAnsi" w:hAnsiTheme="minorHAnsi"/>
          <w:bCs/>
          <w:lang w:val="en-GB"/>
        </w:rPr>
        <w:t xml:space="preserve">ndividuals aged </w:t>
      </w:r>
      <w:r w:rsidR="00307940">
        <w:rPr>
          <w:rFonts w:asciiTheme="minorHAnsi" w:hAnsiTheme="minorHAnsi"/>
          <w:bCs/>
          <w:lang w:val="en-GB"/>
        </w:rPr>
        <w:t xml:space="preserve">70-79 years. </w:t>
      </w:r>
      <w:r w:rsidR="009624D7">
        <w:rPr>
          <w:rFonts w:asciiTheme="minorHAnsi" w:hAnsiTheme="minorHAnsi"/>
          <w:bCs/>
          <w:lang w:val="en-GB"/>
        </w:rPr>
        <w:t>The comparisons presented in the submission did not enable the PBAC to consider the most appropriate age for HZ/</w:t>
      </w:r>
      <w:proofErr w:type="spellStart"/>
      <w:r w:rsidR="009624D7">
        <w:rPr>
          <w:rFonts w:asciiTheme="minorHAnsi" w:hAnsiTheme="minorHAnsi"/>
          <w:bCs/>
          <w:lang w:val="en-GB"/>
        </w:rPr>
        <w:t>su</w:t>
      </w:r>
      <w:proofErr w:type="spellEnd"/>
      <w:r w:rsidR="009624D7">
        <w:rPr>
          <w:rFonts w:asciiTheme="minorHAnsi" w:hAnsiTheme="minorHAnsi"/>
          <w:bCs/>
          <w:lang w:val="en-GB"/>
        </w:rPr>
        <w:t xml:space="preserve"> vaccination. </w:t>
      </w:r>
      <w:r w:rsidR="006722DD">
        <w:rPr>
          <w:rFonts w:asciiTheme="minorHAnsi" w:hAnsiTheme="minorHAnsi"/>
          <w:bCs/>
          <w:lang w:val="en-GB"/>
        </w:rPr>
        <w:t xml:space="preserve">To assess the cost-effectiveness of the proposed program, the </w:t>
      </w:r>
      <w:r w:rsidR="006722DD" w:rsidRPr="006C57CC">
        <w:rPr>
          <w:rFonts w:asciiTheme="minorHAnsi" w:hAnsiTheme="minorHAnsi"/>
          <w:bCs/>
          <w:lang w:val="en-GB"/>
        </w:rPr>
        <w:t xml:space="preserve">PBAC considered </w:t>
      </w:r>
      <w:r w:rsidR="006722DD">
        <w:rPr>
          <w:rFonts w:asciiTheme="minorHAnsi" w:hAnsiTheme="minorHAnsi"/>
          <w:bCs/>
          <w:lang w:val="en-GB"/>
        </w:rPr>
        <w:t xml:space="preserve">that an analysis </w:t>
      </w:r>
      <w:r w:rsidR="00307940">
        <w:rPr>
          <w:rFonts w:asciiTheme="minorHAnsi" w:hAnsiTheme="minorHAnsi"/>
          <w:bCs/>
          <w:lang w:val="en-GB"/>
        </w:rPr>
        <w:t xml:space="preserve">comparing </w:t>
      </w:r>
      <w:r w:rsidR="006722DD">
        <w:rPr>
          <w:rFonts w:asciiTheme="minorHAnsi" w:hAnsiTheme="minorHAnsi"/>
          <w:bCs/>
          <w:lang w:val="en-GB"/>
        </w:rPr>
        <w:t xml:space="preserve">the </w:t>
      </w:r>
      <w:r w:rsidR="006722DD" w:rsidRPr="006C57CC">
        <w:rPr>
          <w:rFonts w:asciiTheme="minorHAnsi" w:hAnsiTheme="minorHAnsi"/>
          <w:bCs/>
          <w:lang w:val="en-GB"/>
        </w:rPr>
        <w:t>HZ/</w:t>
      </w:r>
      <w:proofErr w:type="spellStart"/>
      <w:r w:rsidR="006722DD" w:rsidRPr="006C57CC">
        <w:rPr>
          <w:rFonts w:asciiTheme="minorHAnsi" w:hAnsiTheme="minorHAnsi"/>
          <w:bCs/>
          <w:lang w:val="en-GB"/>
        </w:rPr>
        <w:t>su</w:t>
      </w:r>
      <w:proofErr w:type="spellEnd"/>
      <w:r w:rsidR="006722DD" w:rsidRPr="006C57CC">
        <w:rPr>
          <w:rFonts w:asciiTheme="minorHAnsi" w:hAnsiTheme="minorHAnsi"/>
          <w:bCs/>
          <w:lang w:val="en-GB"/>
        </w:rPr>
        <w:t xml:space="preserve"> vaccine in 60 year old individuals </w:t>
      </w:r>
      <w:r w:rsidR="00C87E3B">
        <w:rPr>
          <w:rFonts w:asciiTheme="minorHAnsi" w:hAnsiTheme="minorHAnsi"/>
          <w:bCs/>
          <w:lang w:val="en-GB"/>
        </w:rPr>
        <w:t>with</w:t>
      </w:r>
      <w:r w:rsidR="00C87E3B" w:rsidRPr="006C57CC">
        <w:rPr>
          <w:rFonts w:asciiTheme="minorHAnsi" w:hAnsiTheme="minorHAnsi"/>
          <w:bCs/>
          <w:lang w:val="en-GB"/>
        </w:rPr>
        <w:t xml:space="preserve"> </w:t>
      </w:r>
      <w:r w:rsidR="006722DD" w:rsidRPr="006C57CC">
        <w:rPr>
          <w:rFonts w:asciiTheme="minorHAnsi" w:hAnsiTheme="minorHAnsi"/>
          <w:bCs/>
          <w:lang w:val="en-GB"/>
        </w:rPr>
        <w:t xml:space="preserve">the live-HZ vaccine in 70 year old individuals would be </w:t>
      </w:r>
      <w:r w:rsidR="00681C95">
        <w:rPr>
          <w:rFonts w:asciiTheme="minorHAnsi" w:hAnsiTheme="minorHAnsi"/>
          <w:bCs/>
          <w:lang w:val="en-GB"/>
        </w:rPr>
        <w:t>required</w:t>
      </w:r>
      <w:r w:rsidR="006722DD" w:rsidRPr="006C57CC">
        <w:rPr>
          <w:rFonts w:asciiTheme="minorHAnsi" w:hAnsiTheme="minorHAnsi"/>
          <w:bCs/>
          <w:lang w:val="en-GB"/>
        </w:rPr>
        <w:t>.</w:t>
      </w:r>
      <w:r w:rsidR="009624D7">
        <w:rPr>
          <w:rFonts w:asciiTheme="minorHAnsi" w:hAnsiTheme="minorHAnsi"/>
          <w:bCs/>
          <w:lang w:val="en-GB"/>
        </w:rPr>
        <w:t xml:space="preserve"> </w:t>
      </w:r>
      <w:r w:rsidR="000A2881">
        <w:rPr>
          <w:rFonts w:asciiTheme="minorHAnsi" w:hAnsiTheme="minorHAnsi"/>
          <w:bCs/>
          <w:lang w:val="en-GB"/>
        </w:rPr>
        <w:t>Further, the vaccination age is likely to impact uptake. Based on the estimates presented in the submission, uptake in 60 year olds was substantially lower than in 70 year olds (31% versus 49%). The PBAC noted vaccination at age 65 years, which would align with the age for influenza vaccination, may increase uptake rates.</w:t>
      </w:r>
      <w:r w:rsidR="00681C95">
        <w:rPr>
          <w:rFonts w:asciiTheme="minorHAnsi" w:hAnsiTheme="minorHAnsi"/>
          <w:bCs/>
          <w:lang w:val="en-GB"/>
        </w:rPr>
        <w:t xml:space="preserve"> </w:t>
      </w:r>
      <w:r w:rsidR="000A2881">
        <w:rPr>
          <w:rFonts w:asciiTheme="minorHAnsi" w:hAnsiTheme="minorHAnsi"/>
          <w:bCs/>
          <w:lang w:val="en-GB"/>
        </w:rPr>
        <w:t>In addition, a</w:t>
      </w:r>
      <w:r w:rsidR="00681C95">
        <w:rPr>
          <w:rFonts w:asciiTheme="minorHAnsi" w:hAnsiTheme="minorHAnsi"/>
          <w:bCs/>
          <w:lang w:val="en-GB"/>
        </w:rPr>
        <w:t xml:space="preserve"> separate</w:t>
      </w:r>
      <w:r w:rsidR="00307940">
        <w:rPr>
          <w:rFonts w:asciiTheme="minorHAnsi" w:hAnsiTheme="minorHAnsi"/>
          <w:bCs/>
          <w:lang w:val="en-GB"/>
        </w:rPr>
        <w:t xml:space="preserve"> </w:t>
      </w:r>
      <w:r w:rsidR="000A2881">
        <w:rPr>
          <w:rFonts w:asciiTheme="minorHAnsi" w:hAnsiTheme="minorHAnsi"/>
          <w:bCs/>
          <w:lang w:val="en-GB"/>
        </w:rPr>
        <w:t xml:space="preserve">cost-effectiveness </w:t>
      </w:r>
      <w:r w:rsidR="00307940">
        <w:rPr>
          <w:rFonts w:asciiTheme="minorHAnsi" w:hAnsiTheme="minorHAnsi"/>
          <w:bCs/>
          <w:lang w:val="en-GB"/>
        </w:rPr>
        <w:t xml:space="preserve">analysis </w:t>
      </w:r>
      <w:r w:rsidR="000A2881">
        <w:rPr>
          <w:rFonts w:asciiTheme="minorHAnsi" w:hAnsiTheme="minorHAnsi"/>
          <w:bCs/>
          <w:lang w:val="en-GB"/>
        </w:rPr>
        <w:t>for</w:t>
      </w:r>
      <w:r w:rsidR="00307940">
        <w:rPr>
          <w:rFonts w:asciiTheme="minorHAnsi" w:hAnsiTheme="minorHAnsi"/>
          <w:bCs/>
          <w:lang w:val="en-GB"/>
        </w:rPr>
        <w:t xml:space="preserve"> the proposed </w:t>
      </w:r>
      <w:r w:rsidR="00C87E3B">
        <w:rPr>
          <w:rFonts w:asciiTheme="minorHAnsi" w:hAnsiTheme="minorHAnsi"/>
          <w:bCs/>
          <w:lang w:val="en-GB"/>
        </w:rPr>
        <w:t>five-</w:t>
      </w:r>
      <w:r w:rsidR="00307940">
        <w:rPr>
          <w:rFonts w:asciiTheme="minorHAnsi" w:hAnsiTheme="minorHAnsi"/>
          <w:bCs/>
          <w:lang w:val="en-GB"/>
        </w:rPr>
        <w:t>year catch-up program</w:t>
      </w:r>
      <w:r w:rsidR="00681C95">
        <w:rPr>
          <w:rFonts w:asciiTheme="minorHAnsi" w:hAnsiTheme="minorHAnsi"/>
          <w:bCs/>
          <w:lang w:val="en-GB"/>
        </w:rPr>
        <w:t xml:space="preserve"> would be required.</w:t>
      </w:r>
    </w:p>
    <w:p w:rsidR="00AE2722" w:rsidRPr="006C57CC" w:rsidRDefault="00055FE9" w:rsidP="00BD5534">
      <w:pPr>
        <w:numPr>
          <w:ilvl w:val="1"/>
          <w:numId w:val="2"/>
        </w:numPr>
        <w:spacing w:after="120"/>
        <w:rPr>
          <w:rFonts w:asciiTheme="minorHAnsi" w:hAnsiTheme="minorHAnsi"/>
          <w:bCs/>
          <w:lang w:val="en-GB"/>
        </w:rPr>
      </w:pPr>
      <w:r w:rsidRPr="006C57CC">
        <w:rPr>
          <w:rFonts w:asciiTheme="minorHAnsi" w:hAnsiTheme="minorHAnsi"/>
          <w:bCs/>
          <w:lang w:val="en-GB"/>
        </w:rPr>
        <w:t xml:space="preserve">The PBAC noted that the submission was based on two </w:t>
      </w:r>
      <w:r w:rsidR="00523788">
        <w:rPr>
          <w:rFonts w:asciiTheme="minorHAnsi" w:hAnsiTheme="minorHAnsi"/>
          <w:bCs/>
          <w:lang w:val="en-GB"/>
        </w:rPr>
        <w:t>large</w:t>
      </w:r>
      <w:r w:rsidR="006722DD">
        <w:rPr>
          <w:rFonts w:asciiTheme="minorHAnsi" w:hAnsiTheme="minorHAnsi"/>
          <w:bCs/>
          <w:lang w:val="en-GB"/>
        </w:rPr>
        <w:t>,</w:t>
      </w:r>
      <w:r w:rsidR="00523788">
        <w:rPr>
          <w:rFonts w:asciiTheme="minorHAnsi" w:hAnsiTheme="minorHAnsi"/>
          <w:bCs/>
          <w:lang w:val="en-GB"/>
        </w:rPr>
        <w:t xml:space="preserve"> multicentre</w:t>
      </w:r>
      <w:r w:rsidR="006722DD">
        <w:rPr>
          <w:rFonts w:asciiTheme="minorHAnsi" w:hAnsiTheme="minorHAnsi"/>
          <w:bCs/>
          <w:lang w:val="en-GB"/>
        </w:rPr>
        <w:t>,</w:t>
      </w:r>
      <w:r w:rsidR="00523788">
        <w:rPr>
          <w:rFonts w:asciiTheme="minorHAnsi" w:hAnsiTheme="minorHAnsi"/>
          <w:bCs/>
          <w:lang w:val="en-GB"/>
        </w:rPr>
        <w:t xml:space="preserve"> </w:t>
      </w:r>
      <w:r w:rsidRPr="006C57CC">
        <w:rPr>
          <w:rFonts w:asciiTheme="minorHAnsi" w:hAnsiTheme="minorHAnsi"/>
          <w:bCs/>
          <w:lang w:val="en-GB"/>
        </w:rPr>
        <w:t xml:space="preserve">randomised trials comparing </w:t>
      </w:r>
      <w:r w:rsidR="00F6383A">
        <w:rPr>
          <w:rFonts w:asciiTheme="minorHAnsi" w:hAnsiTheme="minorHAnsi"/>
          <w:bCs/>
          <w:lang w:val="en-GB"/>
        </w:rPr>
        <w:t xml:space="preserve">two doses of </w:t>
      </w:r>
      <w:r w:rsidRPr="006C57CC">
        <w:rPr>
          <w:rFonts w:asciiTheme="minorHAnsi" w:hAnsiTheme="minorHAnsi"/>
          <w:bCs/>
          <w:lang w:val="en-GB"/>
        </w:rPr>
        <w:t>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to placebo (ZOE-50 and ZOE-70) and an indirect comparison comparing </w:t>
      </w:r>
      <w:r w:rsidR="00F6383A">
        <w:rPr>
          <w:rFonts w:asciiTheme="minorHAnsi" w:hAnsiTheme="minorHAnsi"/>
          <w:bCs/>
          <w:lang w:val="en-GB"/>
        </w:rPr>
        <w:t xml:space="preserve">two doses of </w:t>
      </w:r>
      <w:r w:rsidRPr="006C57CC">
        <w:rPr>
          <w:rFonts w:asciiTheme="minorHAnsi" w:hAnsiTheme="minorHAnsi"/>
          <w:bCs/>
          <w:lang w:val="en-GB"/>
        </w:rPr>
        <w:t>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to the </w:t>
      </w:r>
      <w:r w:rsidR="00F6383A">
        <w:rPr>
          <w:rFonts w:asciiTheme="minorHAnsi" w:hAnsiTheme="minorHAnsi"/>
          <w:bCs/>
          <w:lang w:val="en-GB"/>
        </w:rPr>
        <w:t xml:space="preserve">single dose of </w:t>
      </w:r>
      <w:r w:rsidRPr="006C57CC">
        <w:rPr>
          <w:rFonts w:asciiTheme="minorHAnsi" w:hAnsiTheme="minorHAnsi"/>
          <w:bCs/>
          <w:lang w:val="en-GB"/>
        </w:rPr>
        <w:t xml:space="preserve">live-HZ vaccine, using placebo as the common comparator (pooled results </w:t>
      </w:r>
      <w:r w:rsidR="00C87E3B">
        <w:rPr>
          <w:rFonts w:asciiTheme="minorHAnsi" w:hAnsiTheme="minorHAnsi"/>
          <w:bCs/>
          <w:lang w:val="en-GB"/>
        </w:rPr>
        <w:t xml:space="preserve">for individuals aged 70 years and over </w:t>
      </w:r>
      <w:r w:rsidRPr="006C57CC">
        <w:rPr>
          <w:rFonts w:asciiTheme="minorHAnsi" w:hAnsiTheme="minorHAnsi"/>
          <w:bCs/>
          <w:lang w:val="en-GB"/>
        </w:rPr>
        <w:t>from ZOE-50 and ZOE-70 versus SPS).</w:t>
      </w:r>
    </w:p>
    <w:p w:rsidR="00FB5ACA" w:rsidRPr="006C57CC" w:rsidRDefault="00055FE9" w:rsidP="00BD5534">
      <w:pPr>
        <w:numPr>
          <w:ilvl w:val="1"/>
          <w:numId w:val="2"/>
        </w:numPr>
        <w:spacing w:after="120"/>
        <w:rPr>
          <w:rFonts w:asciiTheme="minorHAnsi" w:hAnsiTheme="minorHAnsi"/>
          <w:bCs/>
          <w:lang w:val="en-GB"/>
        </w:rPr>
      </w:pPr>
      <w:r w:rsidRPr="006C57CC">
        <w:rPr>
          <w:rFonts w:asciiTheme="minorHAnsi" w:hAnsiTheme="minorHAnsi"/>
          <w:bCs/>
          <w:lang w:val="en-GB"/>
        </w:rPr>
        <w:t xml:space="preserve">The PBAC considered that the clinical trials demonstrated the superior effectiveness of </w:t>
      </w:r>
      <w:r w:rsidR="00854017">
        <w:rPr>
          <w:rFonts w:asciiTheme="minorHAnsi" w:hAnsiTheme="minorHAnsi"/>
          <w:bCs/>
          <w:lang w:val="en-GB"/>
        </w:rPr>
        <w:t xml:space="preserve">the </w:t>
      </w:r>
      <w:r w:rsidRPr="006C57CC">
        <w:rPr>
          <w:rFonts w:asciiTheme="minorHAnsi" w:hAnsiTheme="minorHAnsi"/>
          <w:bCs/>
          <w:lang w:val="en-GB"/>
        </w:rPr>
        <w:t>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w:t>
      </w:r>
      <w:r w:rsidR="00854017">
        <w:rPr>
          <w:rFonts w:asciiTheme="minorHAnsi" w:hAnsiTheme="minorHAnsi"/>
          <w:bCs/>
          <w:lang w:val="en-GB"/>
        </w:rPr>
        <w:t xml:space="preserve">vaccine </w:t>
      </w:r>
      <w:r w:rsidRPr="006C57CC">
        <w:rPr>
          <w:rFonts w:asciiTheme="minorHAnsi" w:hAnsiTheme="minorHAnsi"/>
          <w:bCs/>
          <w:lang w:val="en-GB"/>
        </w:rPr>
        <w:t xml:space="preserve">compared to placebo </w:t>
      </w:r>
      <w:r w:rsidR="00835A8E" w:rsidRPr="006C57CC">
        <w:rPr>
          <w:rFonts w:asciiTheme="minorHAnsi" w:hAnsiTheme="minorHAnsi"/>
          <w:bCs/>
          <w:lang w:val="en-GB"/>
        </w:rPr>
        <w:t>in individuals aged 60</w:t>
      </w:r>
      <w:r w:rsidR="00854017">
        <w:rPr>
          <w:rFonts w:asciiTheme="minorHAnsi" w:hAnsiTheme="minorHAnsi"/>
          <w:bCs/>
          <w:lang w:val="en-GB"/>
        </w:rPr>
        <w:t>-69</w:t>
      </w:r>
      <w:r w:rsidR="00835A8E" w:rsidRPr="006C57CC">
        <w:rPr>
          <w:rFonts w:asciiTheme="minorHAnsi" w:hAnsiTheme="minorHAnsi"/>
          <w:bCs/>
          <w:lang w:val="en-GB"/>
        </w:rPr>
        <w:t xml:space="preserve"> </w:t>
      </w:r>
      <w:r w:rsidR="007E0C0D">
        <w:rPr>
          <w:rFonts w:asciiTheme="minorHAnsi" w:hAnsiTheme="minorHAnsi"/>
          <w:bCs/>
          <w:lang w:val="en-GB"/>
        </w:rPr>
        <w:t>years</w:t>
      </w:r>
      <w:r w:rsidR="003A0D87">
        <w:rPr>
          <w:rFonts w:asciiTheme="minorHAnsi" w:hAnsiTheme="minorHAnsi"/>
          <w:bCs/>
          <w:lang w:val="en-GB"/>
        </w:rPr>
        <w:t xml:space="preserve"> </w:t>
      </w:r>
      <w:r w:rsidR="00835A8E" w:rsidRPr="006C57CC">
        <w:rPr>
          <w:rFonts w:asciiTheme="minorHAnsi" w:hAnsiTheme="minorHAnsi"/>
          <w:bCs/>
          <w:lang w:val="en-GB"/>
        </w:rPr>
        <w:t>and 80</w:t>
      </w:r>
      <w:r w:rsidR="00854017">
        <w:rPr>
          <w:rFonts w:asciiTheme="minorHAnsi" w:hAnsiTheme="minorHAnsi"/>
          <w:bCs/>
          <w:lang w:val="en-GB"/>
        </w:rPr>
        <w:t>+</w:t>
      </w:r>
      <w:r w:rsidR="00835A8E" w:rsidRPr="006C57CC">
        <w:rPr>
          <w:rFonts w:asciiTheme="minorHAnsi" w:hAnsiTheme="minorHAnsi"/>
          <w:bCs/>
          <w:lang w:val="en-GB"/>
        </w:rPr>
        <w:t xml:space="preserve"> years</w:t>
      </w:r>
      <w:r w:rsidR="003A0D87">
        <w:rPr>
          <w:rFonts w:asciiTheme="minorHAnsi" w:hAnsiTheme="minorHAnsi"/>
          <w:bCs/>
          <w:lang w:val="en-GB"/>
        </w:rPr>
        <w:t xml:space="preserve">. The PBAC considered that the evidence demonstrated </w:t>
      </w:r>
      <w:r w:rsidR="00854017">
        <w:rPr>
          <w:rFonts w:asciiTheme="minorHAnsi" w:hAnsiTheme="minorHAnsi"/>
          <w:bCs/>
          <w:lang w:val="en-GB"/>
        </w:rPr>
        <w:t xml:space="preserve">the </w:t>
      </w:r>
      <w:r w:rsidR="003A0D87">
        <w:rPr>
          <w:rFonts w:asciiTheme="minorHAnsi" w:hAnsiTheme="minorHAnsi"/>
          <w:bCs/>
          <w:lang w:val="en-GB"/>
        </w:rPr>
        <w:t xml:space="preserve">superior effectiveness of </w:t>
      </w:r>
      <w:r w:rsidR="00854017">
        <w:rPr>
          <w:rFonts w:asciiTheme="minorHAnsi" w:hAnsiTheme="minorHAnsi"/>
          <w:bCs/>
          <w:lang w:val="en-GB"/>
        </w:rPr>
        <w:t xml:space="preserve">the </w:t>
      </w:r>
      <w:r w:rsidR="003A0D87">
        <w:rPr>
          <w:rFonts w:asciiTheme="minorHAnsi" w:hAnsiTheme="minorHAnsi"/>
          <w:bCs/>
          <w:lang w:val="en-GB"/>
        </w:rPr>
        <w:t>HZ/</w:t>
      </w:r>
      <w:proofErr w:type="spellStart"/>
      <w:r w:rsidR="003A0D87">
        <w:rPr>
          <w:rFonts w:asciiTheme="minorHAnsi" w:hAnsiTheme="minorHAnsi"/>
          <w:bCs/>
          <w:lang w:val="en-GB"/>
        </w:rPr>
        <w:t>su</w:t>
      </w:r>
      <w:proofErr w:type="spellEnd"/>
      <w:r w:rsidR="003A0D87">
        <w:rPr>
          <w:rFonts w:asciiTheme="minorHAnsi" w:hAnsiTheme="minorHAnsi"/>
          <w:bCs/>
          <w:lang w:val="en-GB"/>
        </w:rPr>
        <w:t xml:space="preserve"> </w:t>
      </w:r>
      <w:r w:rsidR="00854017">
        <w:rPr>
          <w:rFonts w:asciiTheme="minorHAnsi" w:hAnsiTheme="minorHAnsi"/>
          <w:bCs/>
          <w:lang w:val="en-GB"/>
        </w:rPr>
        <w:t xml:space="preserve">vaccine </w:t>
      </w:r>
      <w:r w:rsidR="003A0D87">
        <w:rPr>
          <w:rFonts w:asciiTheme="minorHAnsi" w:hAnsiTheme="minorHAnsi"/>
          <w:bCs/>
          <w:lang w:val="en-GB"/>
        </w:rPr>
        <w:t xml:space="preserve">compared to </w:t>
      </w:r>
      <w:r w:rsidRPr="006C57CC">
        <w:rPr>
          <w:rFonts w:asciiTheme="minorHAnsi" w:hAnsiTheme="minorHAnsi"/>
          <w:bCs/>
          <w:lang w:val="en-GB"/>
        </w:rPr>
        <w:t>the live-HZ vaccine</w:t>
      </w:r>
      <w:r w:rsidR="00835A8E" w:rsidRPr="006C57CC">
        <w:rPr>
          <w:rFonts w:asciiTheme="minorHAnsi" w:hAnsiTheme="minorHAnsi"/>
          <w:bCs/>
          <w:lang w:val="en-GB"/>
        </w:rPr>
        <w:t xml:space="preserve"> in individuals aged </w:t>
      </w:r>
      <w:r w:rsidR="00835A8E" w:rsidRPr="006C57CC">
        <w:rPr>
          <w:rFonts w:asciiTheme="minorHAnsi" w:hAnsiTheme="minorHAnsi"/>
          <w:bCs/>
          <w:lang w:val="en-GB"/>
        </w:rPr>
        <w:lastRenderedPageBreak/>
        <w:t>70</w:t>
      </w:r>
      <w:r w:rsidR="00854017">
        <w:rPr>
          <w:rFonts w:asciiTheme="minorHAnsi" w:hAnsiTheme="minorHAnsi"/>
          <w:bCs/>
          <w:lang w:val="en-GB"/>
        </w:rPr>
        <w:t>-79</w:t>
      </w:r>
      <w:r w:rsidR="00835A8E" w:rsidRPr="006C57CC">
        <w:rPr>
          <w:rFonts w:asciiTheme="minorHAnsi" w:hAnsiTheme="minorHAnsi"/>
          <w:bCs/>
          <w:lang w:val="en-GB"/>
        </w:rPr>
        <w:t xml:space="preserve"> years</w:t>
      </w:r>
      <w:r w:rsidR="000D4F71" w:rsidRPr="006C57CC">
        <w:rPr>
          <w:rFonts w:asciiTheme="minorHAnsi" w:hAnsiTheme="minorHAnsi"/>
          <w:bCs/>
          <w:lang w:val="en-GB"/>
        </w:rPr>
        <w:t>. H</w:t>
      </w:r>
      <w:r w:rsidR="00DF2707" w:rsidRPr="006C57CC">
        <w:rPr>
          <w:rFonts w:asciiTheme="minorHAnsi" w:hAnsiTheme="minorHAnsi"/>
          <w:bCs/>
          <w:lang w:val="en-GB"/>
        </w:rPr>
        <w:t>owever, t</w:t>
      </w:r>
      <w:r w:rsidR="00FB5ACA" w:rsidRPr="006C57CC">
        <w:rPr>
          <w:rFonts w:asciiTheme="minorHAnsi" w:hAnsiTheme="minorHAnsi"/>
          <w:bCs/>
          <w:lang w:val="en-GB"/>
        </w:rPr>
        <w:t xml:space="preserve">he PBAC </w:t>
      </w:r>
      <w:r w:rsidR="006722DD">
        <w:rPr>
          <w:rFonts w:asciiTheme="minorHAnsi" w:hAnsiTheme="minorHAnsi"/>
          <w:bCs/>
          <w:lang w:val="en-GB"/>
        </w:rPr>
        <w:t>considered</w:t>
      </w:r>
      <w:r w:rsidR="00FB5ACA" w:rsidRPr="006C57CC">
        <w:rPr>
          <w:rFonts w:asciiTheme="minorHAnsi" w:hAnsiTheme="minorHAnsi"/>
          <w:bCs/>
          <w:lang w:val="en-GB"/>
        </w:rPr>
        <w:t xml:space="preserve"> that the magnitude of benefit of the HZ/</w:t>
      </w:r>
      <w:proofErr w:type="spellStart"/>
      <w:r w:rsidR="00FB5ACA" w:rsidRPr="006C57CC">
        <w:rPr>
          <w:rFonts w:asciiTheme="minorHAnsi" w:hAnsiTheme="minorHAnsi"/>
          <w:bCs/>
          <w:lang w:val="en-GB"/>
        </w:rPr>
        <w:t>su</w:t>
      </w:r>
      <w:proofErr w:type="spellEnd"/>
      <w:r w:rsidR="00FB5ACA" w:rsidRPr="006C57CC">
        <w:rPr>
          <w:rFonts w:asciiTheme="minorHAnsi" w:hAnsiTheme="minorHAnsi"/>
          <w:bCs/>
          <w:lang w:val="en-GB"/>
        </w:rPr>
        <w:t xml:space="preserve"> vaccine </w:t>
      </w:r>
      <w:r w:rsidR="003A0D87">
        <w:rPr>
          <w:rFonts w:asciiTheme="minorHAnsi" w:hAnsiTheme="minorHAnsi"/>
          <w:bCs/>
          <w:lang w:val="en-GB"/>
        </w:rPr>
        <w:t xml:space="preserve">in both comparisons </w:t>
      </w:r>
      <w:r w:rsidR="00FB5ACA" w:rsidRPr="006C57CC">
        <w:rPr>
          <w:rFonts w:asciiTheme="minorHAnsi" w:hAnsiTheme="minorHAnsi"/>
          <w:bCs/>
          <w:lang w:val="en-GB"/>
        </w:rPr>
        <w:t>was uncertain as:</w:t>
      </w:r>
    </w:p>
    <w:p w:rsidR="00055FE9" w:rsidRPr="006C57CC" w:rsidRDefault="00FB5ACA" w:rsidP="00326659">
      <w:pPr>
        <w:numPr>
          <w:ilvl w:val="1"/>
          <w:numId w:val="32"/>
        </w:numPr>
        <w:spacing w:after="120"/>
        <w:ind w:left="1077" w:hanging="357"/>
        <w:rPr>
          <w:rFonts w:asciiTheme="minorHAnsi" w:hAnsiTheme="minorHAnsi"/>
          <w:bCs/>
          <w:lang w:val="en-GB"/>
        </w:rPr>
      </w:pPr>
      <w:r w:rsidRPr="006C57CC">
        <w:rPr>
          <w:rFonts w:asciiTheme="minorHAnsi" w:hAnsiTheme="minorHAnsi"/>
          <w:bCs/>
          <w:lang w:val="en-GB"/>
        </w:rPr>
        <w:t>The ZOE</w:t>
      </w:r>
      <w:r w:rsidR="00C01B26">
        <w:rPr>
          <w:rFonts w:asciiTheme="minorHAnsi" w:hAnsiTheme="minorHAnsi"/>
          <w:bCs/>
          <w:lang w:val="en-GB"/>
        </w:rPr>
        <w:t>-50 and ZOE-70</w:t>
      </w:r>
      <w:r w:rsidRPr="006C57CC">
        <w:rPr>
          <w:rFonts w:asciiTheme="minorHAnsi" w:hAnsiTheme="minorHAnsi"/>
          <w:bCs/>
          <w:lang w:val="en-GB"/>
        </w:rPr>
        <w:t xml:space="preserve"> trials excluded individuals who had previously received the live-HZ vaccine, who had previously had herpes zoster </w:t>
      </w:r>
      <w:r w:rsidR="006722DD">
        <w:rPr>
          <w:rFonts w:asciiTheme="minorHAnsi" w:hAnsiTheme="minorHAnsi"/>
          <w:bCs/>
          <w:lang w:val="en-GB"/>
        </w:rPr>
        <w:t>or</w:t>
      </w:r>
      <w:r w:rsidRPr="006C57CC">
        <w:rPr>
          <w:rFonts w:asciiTheme="minorHAnsi" w:hAnsiTheme="minorHAnsi"/>
          <w:bCs/>
          <w:lang w:val="en-GB"/>
        </w:rPr>
        <w:t xml:space="preserve"> who were immunocompromised or immunosuppressed</w:t>
      </w:r>
      <w:r w:rsidR="00581D20" w:rsidRPr="006C57CC">
        <w:rPr>
          <w:rFonts w:asciiTheme="minorHAnsi" w:hAnsiTheme="minorHAnsi"/>
          <w:bCs/>
          <w:lang w:val="en-GB"/>
        </w:rPr>
        <w:t xml:space="preserve">. Accordingly, the </w:t>
      </w:r>
      <w:r w:rsidR="00326659">
        <w:rPr>
          <w:rFonts w:asciiTheme="minorHAnsi" w:hAnsiTheme="minorHAnsi"/>
          <w:bCs/>
          <w:lang w:val="en-GB"/>
        </w:rPr>
        <w:t xml:space="preserve">PBAC considered that the </w:t>
      </w:r>
      <w:r w:rsidR="00581D20" w:rsidRPr="006C57CC">
        <w:rPr>
          <w:rFonts w:asciiTheme="minorHAnsi" w:hAnsiTheme="minorHAnsi"/>
          <w:bCs/>
          <w:lang w:val="en-GB"/>
        </w:rPr>
        <w:t xml:space="preserve">efficacy of </w:t>
      </w:r>
      <w:r w:rsidR="006722DD">
        <w:rPr>
          <w:rFonts w:asciiTheme="minorHAnsi" w:hAnsiTheme="minorHAnsi"/>
          <w:bCs/>
          <w:lang w:val="en-GB"/>
        </w:rPr>
        <w:t xml:space="preserve">the </w:t>
      </w:r>
      <w:r w:rsidR="00581D20" w:rsidRPr="006C57CC">
        <w:rPr>
          <w:rFonts w:asciiTheme="minorHAnsi" w:hAnsiTheme="minorHAnsi"/>
          <w:bCs/>
          <w:lang w:val="en-GB"/>
        </w:rPr>
        <w:t>HZ/</w:t>
      </w:r>
      <w:proofErr w:type="spellStart"/>
      <w:r w:rsidR="00581D20" w:rsidRPr="006C57CC">
        <w:rPr>
          <w:rFonts w:asciiTheme="minorHAnsi" w:hAnsiTheme="minorHAnsi"/>
          <w:bCs/>
          <w:lang w:val="en-GB"/>
        </w:rPr>
        <w:t>su</w:t>
      </w:r>
      <w:proofErr w:type="spellEnd"/>
      <w:r w:rsidR="00581D20" w:rsidRPr="006C57CC">
        <w:rPr>
          <w:rFonts w:asciiTheme="minorHAnsi" w:hAnsiTheme="minorHAnsi"/>
          <w:bCs/>
          <w:lang w:val="en-GB"/>
        </w:rPr>
        <w:t xml:space="preserve"> </w:t>
      </w:r>
      <w:r w:rsidR="006722DD">
        <w:rPr>
          <w:rFonts w:asciiTheme="minorHAnsi" w:hAnsiTheme="minorHAnsi"/>
          <w:bCs/>
          <w:lang w:val="en-GB"/>
        </w:rPr>
        <w:t xml:space="preserve">vaccine </w:t>
      </w:r>
      <w:r w:rsidR="00581D20" w:rsidRPr="006C57CC">
        <w:rPr>
          <w:rFonts w:asciiTheme="minorHAnsi" w:hAnsiTheme="minorHAnsi"/>
          <w:bCs/>
          <w:lang w:val="en-GB"/>
        </w:rPr>
        <w:t xml:space="preserve">may be lower in the NIP population compared </w:t>
      </w:r>
      <w:r w:rsidR="006722DD">
        <w:rPr>
          <w:rFonts w:asciiTheme="minorHAnsi" w:hAnsiTheme="minorHAnsi"/>
          <w:bCs/>
          <w:lang w:val="en-GB"/>
        </w:rPr>
        <w:t>to</w:t>
      </w:r>
      <w:r w:rsidR="00581D20" w:rsidRPr="006C57CC">
        <w:rPr>
          <w:rFonts w:asciiTheme="minorHAnsi" w:hAnsiTheme="minorHAnsi"/>
          <w:bCs/>
          <w:lang w:val="en-GB"/>
        </w:rPr>
        <w:t xml:space="preserve"> the ZOE trial populations</w:t>
      </w:r>
      <w:r w:rsidRPr="006C57CC">
        <w:rPr>
          <w:rFonts w:asciiTheme="minorHAnsi" w:hAnsiTheme="minorHAnsi"/>
          <w:bCs/>
          <w:lang w:val="en-GB"/>
        </w:rPr>
        <w:t>;</w:t>
      </w:r>
      <w:r w:rsidR="00326659">
        <w:rPr>
          <w:rFonts w:asciiTheme="minorHAnsi" w:hAnsiTheme="minorHAnsi"/>
          <w:bCs/>
          <w:lang w:val="en-GB"/>
        </w:rPr>
        <w:t xml:space="preserve"> and</w:t>
      </w:r>
    </w:p>
    <w:p w:rsidR="00DF2707" w:rsidRDefault="000D4F71" w:rsidP="009E7C10">
      <w:pPr>
        <w:numPr>
          <w:ilvl w:val="1"/>
          <w:numId w:val="32"/>
        </w:numPr>
        <w:spacing w:after="120"/>
        <w:ind w:left="1077" w:hanging="357"/>
        <w:rPr>
          <w:rFonts w:asciiTheme="minorHAnsi" w:hAnsiTheme="minorHAnsi"/>
          <w:bCs/>
          <w:lang w:val="en-GB"/>
        </w:rPr>
      </w:pPr>
      <w:r w:rsidRPr="006C57CC">
        <w:rPr>
          <w:rFonts w:asciiTheme="minorHAnsi" w:hAnsiTheme="minorHAnsi"/>
          <w:bCs/>
          <w:lang w:val="en-GB"/>
        </w:rPr>
        <w:t xml:space="preserve">Vaccine efficacy </w:t>
      </w:r>
      <w:r w:rsidR="00137BEB" w:rsidRPr="006C57CC">
        <w:rPr>
          <w:rFonts w:asciiTheme="minorHAnsi" w:hAnsiTheme="minorHAnsi"/>
          <w:bCs/>
          <w:lang w:val="en-GB"/>
        </w:rPr>
        <w:t xml:space="preserve">in the trials </w:t>
      </w:r>
      <w:r w:rsidRPr="006C57CC">
        <w:rPr>
          <w:rFonts w:asciiTheme="minorHAnsi" w:hAnsiTheme="minorHAnsi"/>
          <w:bCs/>
          <w:lang w:val="en-GB"/>
        </w:rPr>
        <w:t>was rel</w:t>
      </w:r>
      <w:r w:rsidR="00326659">
        <w:rPr>
          <w:rFonts w:asciiTheme="minorHAnsi" w:hAnsiTheme="minorHAnsi"/>
          <w:bCs/>
          <w:lang w:val="en-GB"/>
        </w:rPr>
        <w:t xml:space="preserve">iant on the </w:t>
      </w:r>
      <w:r w:rsidRPr="006C57CC">
        <w:rPr>
          <w:rFonts w:asciiTheme="minorHAnsi" w:hAnsiTheme="minorHAnsi"/>
          <w:bCs/>
          <w:lang w:val="en-GB"/>
        </w:rPr>
        <w:t>individual receiving two doses of 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two months apart. The PBAC were concerned that the proportion of </w:t>
      </w:r>
      <w:r w:rsidR="00CC0A9B" w:rsidRPr="006C57CC">
        <w:rPr>
          <w:rFonts w:asciiTheme="minorHAnsi" w:hAnsiTheme="minorHAnsi"/>
          <w:bCs/>
          <w:lang w:val="en-GB"/>
        </w:rPr>
        <w:t>individuals</w:t>
      </w:r>
      <w:r w:rsidRPr="006C57CC">
        <w:rPr>
          <w:rFonts w:asciiTheme="minorHAnsi" w:hAnsiTheme="minorHAnsi"/>
          <w:bCs/>
          <w:lang w:val="en-GB"/>
        </w:rPr>
        <w:t xml:space="preserve"> receiving the two doses </w:t>
      </w:r>
      <w:r w:rsidR="00137BEB" w:rsidRPr="006C57CC">
        <w:rPr>
          <w:rFonts w:asciiTheme="minorHAnsi" w:hAnsiTheme="minorHAnsi"/>
          <w:bCs/>
          <w:lang w:val="en-GB"/>
        </w:rPr>
        <w:t xml:space="preserve">may be reduced in a population program compared to the clinical trial setting, particularly considering the relatively high rate of </w:t>
      </w:r>
      <w:proofErr w:type="spellStart"/>
      <w:r w:rsidRPr="006C57CC">
        <w:rPr>
          <w:rFonts w:asciiTheme="minorHAnsi" w:hAnsiTheme="minorHAnsi"/>
          <w:bCs/>
          <w:lang w:val="en-GB"/>
        </w:rPr>
        <w:t>reactogenicity</w:t>
      </w:r>
      <w:proofErr w:type="spellEnd"/>
      <w:r w:rsidRPr="006C57CC">
        <w:rPr>
          <w:rFonts w:asciiTheme="minorHAnsi" w:hAnsiTheme="minorHAnsi"/>
          <w:bCs/>
          <w:lang w:val="en-GB"/>
        </w:rPr>
        <w:t xml:space="preserve"> associated with the 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vaccine</w:t>
      </w:r>
      <w:r w:rsidR="00326659">
        <w:rPr>
          <w:rFonts w:asciiTheme="minorHAnsi" w:hAnsiTheme="minorHAnsi"/>
          <w:bCs/>
          <w:lang w:val="en-GB"/>
        </w:rPr>
        <w:t xml:space="preserve"> in the seven days post the first dose (9.0% of 60-69 year olds reported a Grade 3 reaction)</w:t>
      </w:r>
      <w:r w:rsidR="00137BEB" w:rsidRPr="006C57CC">
        <w:rPr>
          <w:rFonts w:asciiTheme="minorHAnsi" w:hAnsiTheme="minorHAnsi"/>
          <w:bCs/>
          <w:lang w:val="en-GB"/>
        </w:rPr>
        <w:t>.</w:t>
      </w:r>
      <w:r w:rsidRPr="006C57CC">
        <w:rPr>
          <w:rFonts w:asciiTheme="minorHAnsi" w:hAnsiTheme="minorHAnsi"/>
          <w:bCs/>
          <w:lang w:val="en-GB"/>
        </w:rPr>
        <w:t xml:space="preserve"> </w:t>
      </w:r>
      <w:r w:rsidR="009E7C10">
        <w:rPr>
          <w:rFonts w:asciiTheme="minorHAnsi" w:hAnsiTheme="minorHAnsi"/>
          <w:bCs/>
          <w:lang w:val="en-GB"/>
        </w:rPr>
        <w:t>The d</w:t>
      </w:r>
      <w:r w:rsidR="009E7C10" w:rsidRPr="009E7C10">
        <w:rPr>
          <w:rFonts w:asciiTheme="minorHAnsi" w:hAnsiTheme="minorHAnsi"/>
          <w:bCs/>
          <w:lang w:val="en-GB"/>
        </w:rPr>
        <w:t xml:space="preserve">uration of protection after </w:t>
      </w:r>
      <w:r w:rsidR="009E7C10">
        <w:rPr>
          <w:rFonts w:asciiTheme="minorHAnsi" w:hAnsiTheme="minorHAnsi"/>
          <w:bCs/>
          <w:lang w:val="en-GB"/>
        </w:rPr>
        <w:t xml:space="preserve">a </w:t>
      </w:r>
      <w:r w:rsidR="009E7C10" w:rsidRPr="009E7C10">
        <w:rPr>
          <w:rFonts w:asciiTheme="minorHAnsi" w:hAnsiTheme="minorHAnsi"/>
          <w:bCs/>
          <w:lang w:val="en-GB"/>
        </w:rPr>
        <w:t xml:space="preserve">single dose </w:t>
      </w:r>
      <w:r w:rsidR="009E7C10">
        <w:rPr>
          <w:szCs w:val="20"/>
        </w:rPr>
        <w:t>of HZ/</w:t>
      </w:r>
      <w:proofErr w:type="spellStart"/>
      <w:r w:rsidR="009E7C10">
        <w:rPr>
          <w:szCs w:val="20"/>
        </w:rPr>
        <w:t>su</w:t>
      </w:r>
      <w:proofErr w:type="spellEnd"/>
      <w:r w:rsidR="009E7C10">
        <w:rPr>
          <w:szCs w:val="20"/>
        </w:rPr>
        <w:t xml:space="preserve"> </w:t>
      </w:r>
      <w:r w:rsidR="009E7C10">
        <w:rPr>
          <w:rFonts w:asciiTheme="minorHAnsi" w:hAnsiTheme="minorHAnsi"/>
          <w:bCs/>
          <w:lang w:val="en-GB"/>
        </w:rPr>
        <w:t xml:space="preserve">was </w:t>
      </w:r>
      <w:r w:rsidR="009E7C10" w:rsidRPr="009E7C10">
        <w:rPr>
          <w:rFonts w:asciiTheme="minorHAnsi" w:hAnsiTheme="minorHAnsi"/>
          <w:bCs/>
          <w:lang w:val="en-GB"/>
        </w:rPr>
        <w:t>unknown</w:t>
      </w:r>
      <w:r w:rsidR="009E7C10">
        <w:rPr>
          <w:rFonts w:asciiTheme="minorHAnsi" w:hAnsiTheme="minorHAnsi"/>
          <w:bCs/>
          <w:lang w:val="en-GB"/>
        </w:rPr>
        <w:t>.</w:t>
      </w:r>
    </w:p>
    <w:p w:rsidR="006A6000" w:rsidRPr="0098559C" w:rsidRDefault="006A6000" w:rsidP="006A6000">
      <w:pPr>
        <w:pStyle w:val="ListParagraph"/>
        <w:widowControl/>
        <w:numPr>
          <w:ilvl w:val="1"/>
          <w:numId w:val="2"/>
        </w:numPr>
      </w:pPr>
      <w:r>
        <w:rPr>
          <w:rFonts w:asciiTheme="minorHAnsi" w:hAnsiTheme="minorHAnsi"/>
          <w:bCs/>
          <w:lang w:val="en-GB"/>
        </w:rPr>
        <w:t xml:space="preserve">The PBAC noted </w:t>
      </w:r>
      <w:r w:rsidR="00670D54">
        <w:rPr>
          <w:rFonts w:asciiTheme="minorHAnsi" w:hAnsiTheme="minorHAnsi"/>
          <w:bCs/>
          <w:lang w:val="en-GB"/>
        </w:rPr>
        <w:t xml:space="preserve">that </w:t>
      </w:r>
      <w:r>
        <w:rPr>
          <w:rFonts w:asciiTheme="minorHAnsi" w:hAnsiTheme="minorHAnsi"/>
          <w:bCs/>
          <w:lang w:val="en-GB"/>
        </w:rPr>
        <w:t xml:space="preserve">there was limited data to assess waning </w:t>
      </w:r>
      <w:r w:rsidR="00670D54">
        <w:rPr>
          <w:rFonts w:asciiTheme="minorHAnsi" w:hAnsiTheme="minorHAnsi"/>
          <w:bCs/>
          <w:lang w:val="en-GB"/>
        </w:rPr>
        <w:t>of the HZ/</w:t>
      </w:r>
      <w:proofErr w:type="spellStart"/>
      <w:r w:rsidR="00670D54">
        <w:rPr>
          <w:rFonts w:asciiTheme="minorHAnsi" w:hAnsiTheme="minorHAnsi"/>
          <w:bCs/>
          <w:lang w:val="en-GB"/>
        </w:rPr>
        <w:t>su</w:t>
      </w:r>
      <w:proofErr w:type="spellEnd"/>
      <w:r w:rsidR="00670D54">
        <w:rPr>
          <w:rFonts w:asciiTheme="minorHAnsi" w:hAnsiTheme="minorHAnsi"/>
          <w:bCs/>
          <w:lang w:val="en-GB"/>
        </w:rPr>
        <w:t xml:space="preserve"> vaccine </w:t>
      </w:r>
      <w:r>
        <w:rPr>
          <w:rFonts w:asciiTheme="minorHAnsi" w:hAnsiTheme="minorHAnsi"/>
          <w:bCs/>
          <w:lang w:val="en-GB"/>
        </w:rPr>
        <w:t xml:space="preserve">and the longer-term need for a booster. Although, as advised by the ESC, </w:t>
      </w:r>
      <w:r w:rsidRPr="0098559C">
        <w:t>waning of the HZ/</w:t>
      </w:r>
      <w:proofErr w:type="spellStart"/>
      <w:r w:rsidRPr="0098559C">
        <w:t>su</w:t>
      </w:r>
      <w:proofErr w:type="spellEnd"/>
      <w:r w:rsidRPr="0098559C">
        <w:t xml:space="preserve"> vaccine would likely take many years for the primary cohort of 60 year olds</w:t>
      </w:r>
      <w:r>
        <w:t xml:space="preserve">, </w:t>
      </w:r>
      <w:r>
        <w:rPr>
          <w:rFonts w:asciiTheme="minorHAnsi" w:hAnsiTheme="minorHAnsi"/>
          <w:bCs/>
          <w:lang w:val="en-GB"/>
        </w:rPr>
        <w:t xml:space="preserve">the PBAC considered that </w:t>
      </w:r>
      <w:r>
        <w:t>there would likely be a loss of protection during an individual’s lifetime</w:t>
      </w:r>
      <w:r w:rsidRPr="0098559C">
        <w:t>.</w:t>
      </w:r>
      <w:r w:rsidR="00C01B26">
        <w:t xml:space="preserve"> The PBAC noted the rate of waning was an important consideration for changing the age of vaccination from 70 to 60 years.</w:t>
      </w:r>
    </w:p>
    <w:p w:rsidR="00FB5ACA" w:rsidRDefault="00025EB2" w:rsidP="00BD5534">
      <w:pPr>
        <w:numPr>
          <w:ilvl w:val="1"/>
          <w:numId w:val="2"/>
        </w:numPr>
        <w:spacing w:after="120"/>
        <w:rPr>
          <w:rFonts w:asciiTheme="minorHAnsi" w:hAnsiTheme="minorHAnsi"/>
          <w:bCs/>
          <w:lang w:val="en-GB"/>
        </w:rPr>
      </w:pPr>
      <w:r w:rsidRPr="006C57CC">
        <w:rPr>
          <w:rFonts w:asciiTheme="minorHAnsi" w:hAnsiTheme="minorHAnsi"/>
          <w:bCs/>
          <w:lang w:val="en-GB"/>
        </w:rPr>
        <w:t xml:space="preserve">The PBAC considered the claim of non-inferior safety to the live-HZ vaccine and </w:t>
      </w:r>
      <w:r w:rsidR="00487473">
        <w:rPr>
          <w:rFonts w:asciiTheme="minorHAnsi" w:hAnsiTheme="minorHAnsi"/>
          <w:bCs/>
          <w:lang w:val="en-GB"/>
        </w:rPr>
        <w:t>‘</w:t>
      </w:r>
      <w:r w:rsidR="006C0A30">
        <w:rPr>
          <w:rFonts w:asciiTheme="minorHAnsi" w:hAnsiTheme="minorHAnsi"/>
          <w:bCs/>
          <w:lang w:val="en-GB"/>
        </w:rPr>
        <w:t>slightly</w:t>
      </w:r>
      <w:r w:rsidR="00487473">
        <w:rPr>
          <w:rFonts w:asciiTheme="minorHAnsi" w:hAnsiTheme="minorHAnsi"/>
          <w:bCs/>
          <w:lang w:val="en-GB"/>
        </w:rPr>
        <w:t>’</w:t>
      </w:r>
      <w:r w:rsidR="006C0A30">
        <w:rPr>
          <w:rFonts w:asciiTheme="minorHAnsi" w:hAnsiTheme="minorHAnsi"/>
          <w:bCs/>
          <w:lang w:val="en-GB"/>
        </w:rPr>
        <w:t xml:space="preserve"> </w:t>
      </w:r>
      <w:r w:rsidRPr="006C57CC">
        <w:rPr>
          <w:rFonts w:asciiTheme="minorHAnsi" w:hAnsiTheme="minorHAnsi"/>
          <w:bCs/>
          <w:lang w:val="en-GB"/>
        </w:rPr>
        <w:t>inferior safety to placebo was acceptable, noting the increased frequency of injection site reactions compared to placebo.</w:t>
      </w:r>
    </w:p>
    <w:p w:rsidR="00B92214" w:rsidRPr="006C57CC" w:rsidRDefault="00B92214" w:rsidP="00BD5534">
      <w:pPr>
        <w:numPr>
          <w:ilvl w:val="1"/>
          <w:numId w:val="2"/>
        </w:numPr>
        <w:spacing w:after="120"/>
        <w:rPr>
          <w:rFonts w:asciiTheme="minorHAnsi" w:hAnsiTheme="minorHAnsi"/>
          <w:bCs/>
          <w:lang w:val="en-GB"/>
        </w:rPr>
      </w:pPr>
      <w:r>
        <w:rPr>
          <w:rFonts w:asciiTheme="minorHAnsi" w:hAnsiTheme="minorHAnsi"/>
          <w:bCs/>
          <w:lang w:val="en-GB"/>
        </w:rPr>
        <w:t xml:space="preserve">The PBAC noted that separate economic analyses were presented for </w:t>
      </w:r>
      <w:r w:rsidR="006339EC">
        <w:rPr>
          <w:rFonts w:asciiTheme="minorHAnsi" w:hAnsiTheme="minorHAnsi"/>
          <w:bCs/>
          <w:lang w:val="en-GB"/>
        </w:rPr>
        <w:t xml:space="preserve">individuals vaccinated at 60 years (versus no vaccine), at 70 years (versus live HZ vaccine) and at 80 years (versus no vaccine). These analyses did not enable a comparison of the proposed program (vaccination at 60 years with a </w:t>
      </w:r>
      <w:r w:rsidR="003A0D87">
        <w:rPr>
          <w:rFonts w:asciiTheme="minorHAnsi" w:hAnsiTheme="minorHAnsi"/>
          <w:bCs/>
          <w:lang w:val="en-GB"/>
        </w:rPr>
        <w:t>five-</w:t>
      </w:r>
      <w:r w:rsidR="006339EC">
        <w:rPr>
          <w:rFonts w:asciiTheme="minorHAnsi" w:hAnsiTheme="minorHAnsi"/>
          <w:bCs/>
          <w:lang w:val="en-GB"/>
        </w:rPr>
        <w:t xml:space="preserve">year catch-up program in individuals </w:t>
      </w:r>
      <w:r w:rsidR="00554D48">
        <w:rPr>
          <w:rFonts w:asciiTheme="minorHAnsi" w:hAnsiTheme="minorHAnsi"/>
          <w:bCs/>
          <w:lang w:val="en-GB"/>
        </w:rPr>
        <w:t xml:space="preserve">aged </w:t>
      </w:r>
      <w:r w:rsidR="006339EC">
        <w:rPr>
          <w:rFonts w:asciiTheme="minorHAnsi" w:hAnsiTheme="minorHAnsi" w:cstheme="minorHAnsi"/>
          <w:bCs/>
          <w:lang w:val="en-GB"/>
        </w:rPr>
        <w:t>≥</w:t>
      </w:r>
      <w:r w:rsidR="003A0D87">
        <w:rPr>
          <w:rFonts w:asciiTheme="minorHAnsi" w:hAnsiTheme="minorHAnsi" w:cstheme="minorHAnsi"/>
          <w:bCs/>
          <w:lang w:val="en-GB"/>
        </w:rPr>
        <w:t xml:space="preserve"> </w:t>
      </w:r>
      <w:r w:rsidR="006339EC">
        <w:rPr>
          <w:rFonts w:asciiTheme="minorHAnsi" w:hAnsiTheme="minorHAnsi"/>
          <w:bCs/>
          <w:lang w:val="en-GB"/>
        </w:rPr>
        <w:t xml:space="preserve">61 years) and current vaccination program (vaccination at 70 years with </w:t>
      </w:r>
      <w:r w:rsidR="003A0D87">
        <w:rPr>
          <w:rFonts w:asciiTheme="minorHAnsi" w:hAnsiTheme="minorHAnsi"/>
          <w:bCs/>
          <w:lang w:val="en-GB"/>
        </w:rPr>
        <w:t>five-</w:t>
      </w:r>
      <w:r w:rsidR="006339EC">
        <w:rPr>
          <w:rFonts w:asciiTheme="minorHAnsi" w:hAnsiTheme="minorHAnsi"/>
          <w:bCs/>
          <w:lang w:val="en-GB"/>
        </w:rPr>
        <w:t>year catch-up in individuals aged 71-79 years). These analyses also did not consider vaccination in those previously vaccinated with the live-HZ vaccine.</w:t>
      </w:r>
    </w:p>
    <w:p w:rsidR="00687884" w:rsidRDefault="00E11EE3" w:rsidP="00BD5534">
      <w:pPr>
        <w:numPr>
          <w:ilvl w:val="1"/>
          <w:numId w:val="2"/>
        </w:numPr>
        <w:spacing w:after="120"/>
        <w:rPr>
          <w:rFonts w:asciiTheme="minorHAnsi" w:hAnsiTheme="minorHAnsi"/>
          <w:bCs/>
          <w:lang w:val="en-GB"/>
        </w:rPr>
      </w:pPr>
      <w:r w:rsidRPr="006C57CC">
        <w:rPr>
          <w:rFonts w:asciiTheme="minorHAnsi" w:hAnsiTheme="minorHAnsi"/>
          <w:bCs/>
          <w:lang w:val="en-GB"/>
        </w:rPr>
        <w:t xml:space="preserve">The PBAC </w:t>
      </w:r>
      <w:r w:rsidR="00687884">
        <w:rPr>
          <w:rFonts w:asciiTheme="minorHAnsi" w:hAnsiTheme="minorHAnsi"/>
          <w:bCs/>
          <w:lang w:val="en-GB"/>
        </w:rPr>
        <w:t>noted that BEACH data, at the recommendation of ATAGI, was used to estimate baseline incidences of herpes zoster and post-herpetic neuralgia</w:t>
      </w:r>
      <w:r w:rsidR="00442C82">
        <w:rPr>
          <w:rFonts w:asciiTheme="minorHAnsi" w:hAnsiTheme="minorHAnsi"/>
          <w:bCs/>
          <w:lang w:val="en-GB"/>
        </w:rPr>
        <w:t xml:space="preserve"> in the economic model</w:t>
      </w:r>
      <w:r w:rsidR="00687884">
        <w:rPr>
          <w:rFonts w:asciiTheme="minorHAnsi" w:hAnsiTheme="minorHAnsi"/>
          <w:bCs/>
          <w:lang w:val="en-GB"/>
        </w:rPr>
        <w:t xml:space="preserve">. The PBAC </w:t>
      </w:r>
      <w:r w:rsidR="00442C82">
        <w:rPr>
          <w:rFonts w:asciiTheme="minorHAnsi" w:hAnsiTheme="minorHAnsi"/>
          <w:bCs/>
          <w:lang w:val="en-GB"/>
        </w:rPr>
        <w:t xml:space="preserve">noted that </w:t>
      </w:r>
      <w:r w:rsidR="00687884">
        <w:rPr>
          <w:rFonts w:asciiTheme="minorHAnsi" w:hAnsiTheme="minorHAnsi"/>
          <w:bCs/>
          <w:lang w:val="en-GB"/>
        </w:rPr>
        <w:t>the incidence rates in the placebo arms of the ZOE trials were considerably lower</w:t>
      </w:r>
      <w:r w:rsidR="00442C82">
        <w:rPr>
          <w:rFonts w:asciiTheme="minorHAnsi" w:hAnsiTheme="minorHAnsi"/>
          <w:bCs/>
          <w:lang w:val="en-GB"/>
        </w:rPr>
        <w:t>. The PBAC considered</w:t>
      </w:r>
      <w:r w:rsidR="00854017">
        <w:rPr>
          <w:rFonts w:asciiTheme="minorHAnsi" w:hAnsiTheme="minorHAnsi"/>
          <w:bCs/>
          <w:lang w:val="en-GB"/>
        </w:rPr>
        <w:t>,</w:t>
      </w:r>
      <w:r w:rsidR="00442C82">
        <w:rPr>
          <w:rFonts w:asciiTheme="minorHAnsi" w:hAnsiTheme="minorHAnsi"/>
          <w:bCs/>
          <w:lang w:val="en-GB"/>
        </w:rPr>
        <w:t xml:space="preserve"> as </w:t>
      </w:r>
      <w:r w:rsidR="00106972">
        <w:rPr>
          <w:rFonts w:asciiTheme="minorHAnsi" w:hAnsiTheme="minorHAnsi"/>
          <w:bCs/>
          <w:lang w:val="en-GB"/>
        </w:rPr>
        <w:t xml:space="preserve">the trial populations were reasonably similar to the Australian population and would have received active monitoring for herpes zoster and post-herpetic neuralgia, </w:t>
      </w:r>
      <w:r w:rsidR="00854017">
        <w:rPr>
          <w:rFonts w:asciiTheme="minorHAnsi" w:hAnsiTheme="minorHAnsi"/>
          <w:bCs/>
          <w:lang w:val="en-GB"/>
        </w:rPr>
        <w:t xml:space="preserve">that </w:t>
      </w:r>
      <w:r w:rsidR="00106972">
        <w:rPr>
          <w:rFonts w:asciiTheme="minorHAnsi" w:hAnsiTheme="minorHAnsi"/>
          <w:bCs/>
          <w:lang w:val="en-GB"/>
        </w:rPr>
        <w:t>the</w:t>
      </w:r>
      <w:r w:rsidR="00442C82">
        <w:rPr>
          <w:rFonts w:asciiTheme="minorHAnsi" w:hAnsiTheme="minorHAnsi"/>
          <w:bCs/>
          <w:lang w:val="en-GB"/>
        </w:rPr>
        <w:t xml:space="preserve"> </w:t>
      </w:r>
      <w:r w:rsidR="008C01C2">
        <w:rPr>
          <w:rFonts w:asciiTheme="minorHAnsi" w:hAnsiTheme="minorHAnsi"/>
          <w:bCs/>
          <w:lang w:val="en-GB"/>
        </w:rPr>
        <w:t xml:space="preserve">magnitude </w:t>
      </w:r>
      <w:r w:rsidR="00442C82">
        <w:rPr>
          <w:rFonts w:asciiTheme="minorHAnsi" w:hAnsiTheme="minorHAnsi"/>
          <w:bCs/>
          <w:lang w:val="en-GB"/>
        </w:rPr>
        <w:t xml:space="preserve">of this difference could </w:t>
      </w:r>
      <w:r w:rsidR="00106972">
        <w:rPr>
          <w:rFonts w:asciiTheme="minorHAnsi" w:hAnsiTheme="minorHAnsi"/>
          <w:bCs/>
          <w:lang w:val="en-GB"/>
        </w:rPr>
        <w:t xml:space="preserve">not </w:t>
      </w:r>
      <w:r w:rsidR="00442C82">
        <w:rPr>
          <w:rFonts w:asciiTheme="minorHAnsi" w:hAnsiTheme="minorHAnsi"/>
          <w:bCs/>
          <w:lang w:val="en-GB"/>
        </w:rPr>
        <w:t>be explained by the exclusion criteria of the trials</w:t>
      </w:r>
      <w:r w:rsidR="00106972">
        <w:rPr>
          <w:rFonts w:asciiTheme="minorHAnsi" w:hAnsiTheme="minorHAnsi"/>
          <w:bCs/>
          <w:lang w:val="en-GB"/>
        </w:rPr>
        <w:t xml:space="preserve">. The PBAC considered that </w:t>
      </w:r>
      <w:r w:rsidR="00442C82">
        <w:rPr>
          <w:rFonts w:asciiTheme="minorHAnsi" w:hAnsiTheme="minorHAnsi"/>
          <w:bCs/>
          <w:lang w:val="en-GB"/>
        </w:rPr>
        <w:t>a more conservative estimate of the incidences of herpes zoster and post-herpetic neuralgia should be used</w:t>
      </w:r>
      <w:r w:rsidR="00106972">
        <w:rPr>
          <w:rFonts w:asciiTheme="minorHAnsi" w:hAnsiTheme="minorHAnsi"/>
          <w:bCs/>
          <w:lang w:val="en-GB"/>
        </w:rPr>
        <w:t xml:space="preserve">. </w:t>
      </w:r>
    </w:p>
    <w:p w:rsidR="00296C3A" w:rsidRDefault="00D96F28" w:rsidP="00296C3A">
      <w:pPr>
        <w:numPr>
          <w:ilvl w:val="1"/>
          <w:numId w:val="2"/>
        </w:numPr>
        <w:spacing w:after="120"/>
        <w:rPr>
          <w:rFonts w:asciiTheme="minorHAnsi" w:hAnsiTheme="minorHAnsi"/>
          <w:bCs/>
          <w:lang w:val="en-GB"/>
        </w:rPr>
      </w:pPr>
      <w:r w:rsidRPr="006C57CC">
        <w:rPr>
          <w:rFonts w:asciiTheme="minorHAnsi" w:hAnsiTheme="minorHAnsi"/>
          <w:bCs/>
          <w:lang w:val="en-GB"/>
        </w:rPr>
        <w:t>The PBAC noted that the submission assumed HZ/</w:t>
      </w:r>
      <w:proofErr w:type="spellStart"/>
      <w:r w:rsidRPr="006C57CC">
        <w:rPr>
          <w:rFonts w:asciiTheme="minorHAnsi" w:hAnsiTheme="minorHAnsi"/>
          <w:bCs/>
          <w:lang w:val="en-GB"/>
        </w:rPr>
        <w:t>su</w:t>
      </w:r>
      <w:proofErr w:type="spellEnd"/>
      <w:r w:rsidRPr="006C57CC">
        <w:rPr>
          <w:rFonts w:asciiTheme="minorHAnsi" w:hAnsiTheme="minorHAnsi"/>
          <w:bCs/>
          <w:lang w:val="en-GB"/>
        </w:rPr>
        <w:t xml:space="preserve"> vaccine efficacy declined slowly </w:t>
      </w:r>
      <w:r w:rsidRPr="006C57CC">
        <w:rPr>
          <w:rFonts w:asciiTheme="minorHAnsi" w:hAnsiTheme="minorHAnsi"/>
          <w:bCs/>
          <w:lang w:val="en-GB"/>
        </w:rPr>
        <w:lastRenderedPageBreak/>
        <w:t>over time. For an individual vaccinated at 60 years, the model assumed a 1% annual decline in efficacy during for the first four years post vaccination, 2.3% annual decline in efficacy until the age of 70 (i.e. 10 years post immunisation) and a 3.6% annual decline thereafter, which resulted in a 50% loss of efficacy after approximately 19 years and a complete loss of efficacy after approximately 33 years. The PBAC considered that the duration of protection assumptions were uncertain and optimistic.</w:t>
      </w:r>
      <w:r>
        <w:rPr>
          <w:rFonts w:asciiTheme="minorHAnsi" w:hAnsiTheme="minorHAnsi"/>
          <w:bCs/>
          <w:lang w:val="en-GB"/>
        </w:rPr>
        <w:t xml:space="preserve"> </w:t>
      </w:r>
      <w:r w:rsidR="007D040C">
        <w:rPr>
          <w:rFonts w:asciiTheme="minorHAnsi" w:hAnsiTheme="minorHAnsi"/>
          <w:bCs/>
          <w:lang w:val="en-GB"/>
        </w:rPr>
        <w:t>The PBAC noted that the ATAGI supported vaccine efficacy, based on immunogenicity data, for up to at least nine years</w:t>
      </w:r>
      <w:r w:rsidR="00554D48">
        <w:rPr>
          <w:rFonts w:asciiTheme="minorHAnsi" w:hAnsiTheme="minorHAnsi"/>
          <w:bCs/>
          <w:lang w:val="en-GB"/>
        </w:rPr>
        <w:t xml:space="preserve"> and stated </w:t>
      </w:r>
      <w:r w:rsidR="0072766B">
        <w:rPr>
          <w:rFonts w:asciiTheme="minorHAnsi" w:hAnsiTheme="minorHAnsi"/>
          <w:bCs/>
          <w:lang w:val="en-GB"/>
        </w:rPr>
        <w:t xml:space="preserve">that reliable estimation of waning beyond four years was not currently possible. The ATAGI also </w:t>
      </w:r>
      <w:r w:rsidR="007D040C">
        <w:rPr>
          <w:rFonts w:asciiTheme="minorHAnsi" w:hAnsiTheme="minorHAnsi"/>
          <w:bCs/>
          <w:lang w:val="en-GB"/>
        </w:rPr>
        <w:t xml:space="preserve">noted a recent American study (Le, 2018) </w:t>
      </w:r>
      <w:r w:rsidR="0072766B">
        <w:rPr>
          <w:rFonts w:asciiTheme="minorHAnsi" w:hAnsiTheme="minorHAnsi"/>
          <w:bCs/>
          <w:lang w:val="en-GB"/>
        </w:rPr>
        <w:t>that assessed the cost-effectiveness of HZ/</w:t>
      </w:r>
      <w:proofErr w:type="spellStart"/>
      <w:r w:rsidR="0072766B">
        <w:rPr>
          <w:rFonts w:asciiTheme="minorHAnsi" w:hAnsiTheme="minorHAnsi"/>
          <w:bCs/>
          <w:lang w:val="en-GB"/>
        </w:rPr>
        <w:t>su</w:t>
      </w:r>
      <w:proofErr w:type="spellEnd"/>
      <w:r w:rsidR="0072766B">
        <w:rPr>
          <w:rFonts w:asciiTheme="minorHAnsi" w:hAnsiTheme="minorHAnsi"/>
          <w:bCs/>
          <w:lang w:val="en-GB"/>
        </w:rPr>
        <w:t xml:space="preserve"> </w:t>
      </w:r>
      <w:r w:rsidR="00554D48">
        <w:rPr>
          <w:rFonts w:asciiTheme="minorHAnsi" w:hAnsiTheme="minorHAnsi"/>
          <w:bCs/>
          <w:lang w:val="en-GB"/>
        </w:rPr>
        <w:t xml:space="preserve">compared </w:t>
      </w:r>
      <w:r w:rsidR="0072766B">
        <w:rPr>
          <w:rFonts w:asciiTheme="minorHAnsi" w:hAnsiTheme="minorHAnsi"/>
          <w:bCs/>
          <w:lang w:val="en-GB"/>
        </w:rPr>
        <w:t xml:space="preserve">to the live-HZ vaccine and </w:t>
      </w:r>
      <w:r w:rsidR="007D040C">
        <w:rPr>
          <w:rFonts w:asciiTheme="minorHAnsi" w:hAnsiTheme="minorHAnsi"/>
          <w:bCs/>
          <w:lang w:val="en-GB"/>
        </w:rPr>
        <w:t>whic</w:t>
      </w:r>
      <w:r w:rsidR="00200B3C">
        <w:rPr>
          <w:rFonts w:asciiTheme="minorHAnsi" w:hAnsiTheme="minorHAnsi"/>
          <w:bCs/>
          <w:lang w:val="en-GB"/>
        </w:rPr>
        <w:t>h used a base case assumption of</w:t>
      </w:r>
      <w:r w:rsidR="007D040C">
        <w:rPr>
          <w:rFonts w:asciiTheme="minorHAnsi" w:hAnsiTheme="minorHAnsi"/>
          <w:bCs/>
          <w:lang w:val="en-GB"/>
        </w:rPr>
        <w:t xml:space="preserve"> 5.4% waning per year</w:t>
      </w:r>
      <w:r w:rsidR="00554D48">
        <w:rPr>
          <w:rFonts w:asciiTheme="minorHAnsi" w:hAnsiTheme="minorHAnsi"/>
          <w:bCs/>
          <w:lang w:val="en-GB"/>
        </w:rPr>
        <w:t>, based on SPS trial data, for both vaccines</w:t>
      </w:r>
      <w:r w:rsidR="00670D54">
        <w:rPr>
          <w:rFonts w:asciiTheme="minorHAnsi" w:hAnsiTheme="minorHAnsi"/>
          <w:bCs/>
          <w:lang w:val="en-GB"/>
        </w:rPr>
        <w:t>. This</w:t>
      </w:r>
      <w:r w:rsidR="00200B3C">
        <w:rPr>
          <w:rFonts w:asciiTheme="minorHAnsi" w:hAnsiTheme="minorHAnsi"/>
          <w:bCs/>
          <w:lang w:val="en-GB"/>
        </w:rPr>
        <w:t xml:space="preserve"> resulted in a </w:t>
      </w:r>
      <w:r w:rsidR="009F4580">
        <w:rPr>
          <w:rFonts w:asciiTheme="minorHAnsi" w:hAnsiTheme="minorHAnsi"/>
          <w:bCs/>
          <w:lang w:val="en-GB"/>
        </w:rPr>
        <w:t>duration of vaccine protection</w:t>
      </w:r>
      <w:r w:rsidR="00200B3C">
        <w:rPr>
          <w:rFonts w:asciiTheme="minorHAnsi" w:hAnsiTheme="minorHAnsi"/>
          <w:bCs/>
          <w:lang w:val="en-GB"/>
        </w:rPr>
        <w:t xml:space="preserve"> of 19.3 years following immunisation at 60 years. The PBAC noted that this study assumed a rate of waning for single dose HZ/</w:t>
      </w:r>
      <w:proofErr w:type="spellStart"/>
      <w:r w:rsidR="00200B3C">
        <w:rPr>
          <w:rFonts w:asciiTheme="minorHAnsi" w:hAnsiTheme="minorHAnsi"/>
          <w:bCs/>
          <w:lang w:val="en-GB"/>
        </w:rPr>
        <w:t>su</w:t>
      </w:r>
      <w:proofErr w:type="spellEnd"/>
      <w:r w:rsidR="00200B3C">
        <w:rPr>
          <w:rFonts w:asciiTheme="minorHAnsi" w:hAnsiTheme="minorHAnsi"/>
          <w:bCs/>
          <w:lang w:val="en-GB"/>
        </w:rPr>
        <w:t xml:space="preserve"> to be twice that for two doses</w:t>
      </w:r>
      <w:r w:rsidR="00554D48">
        <w:rPr>
          <w:rFonts w:asciiTheme="minorHAnsi" w:hAnsiTheme="minorHAnsi"/>
          <w:bCs/>
          <w:lang w:val="en-GB"/>
        </w:rPr>
        <w:t xml:space="preserve"> (i.e. 10.8%)</w:t>
      </w:r>
      <w:r w:rsidR="00200B3C">
        <w:rPr>
          <w:rFonts w:asciiTheme="minorHAnsi" w:hAnsiTheme="minorHAnsi"/>
          <w:bCs/>
          <w:lang w:val="en-GB"/>
        </w:rPr>
        <w:t xml:space="preserve">. The PBAC considered that more conservative </w:t>
      </w:r>
      <w:r w:rsidR="009624D7">
        <w:rPr>
          <w:rFonts w:asciiTheme="minorHAnsi" w:hAnsiTheme="minorHAnsi"/>
          <w:bCs/>
          <w:lang w:val="en-GB"/>
        </w:rPr>
        <w:t xml:space="preserve">assumptions regarding waning </w:t>
      </w:r>
      <w:r w:rsidR="002855B2">
        <w:rPr>
          <w:rFonts w:asciiTheme="minorHAnsi" w:hAnsiTheme="minorHAnsi"/>
          <w:bCs/>
          <w:lang w:val="en-GB"/>
        </w:rPr>
        <w:t xml:space="preserve">than </w:t>
      </w:r>
      <w:r w:rsidR="009624D7">
        <w:rPr>
          <w:rFonts w:asciiTheme="minorHAnsi" w:hAnsiTheme="minorHAnsi"/>
          <w:bCs/>
          <w:lang w:val="en-GB"/>
        </w:rPr>
        <w:t xml:space="preserve">used </w:t>
      </w:r>
      <w:r w:rsidR="00670D54">
        <w:rPr>
          <w:rFonts w:asciiTheme="minorHAnsi" w:hAnsiTheme="minorHAnsi"/>
          <w:bCs/>
          <w:lang w:val="en-GB"/>
        </w:rPr>
        <w:t xml:space="preserve">in </w:t>
      </w:r>
      <w:r w:rsidR="002855B2">
        <w:rPr>
          <w:rFonts w:asciiTheme="minorHAnsi" w:hAnsiTheme="minorHAnsi"/>
          <w:bCs/>
          <w:lang w:val="en-GB"/>
        </w:rPr>
        <w:t>the submission would be</w:t>
      </w:r>
      <w:r w:rsidR="00200B3C">
        <w:rPr>
          <w:rFonts w:asciiTheme="minorHAnsi" w:hAnsiTheme="minorHAnsi"/>
          <w:bCs/>
          <w:lang w:val="en-GB"/>
        </w:rPr>
        <w:t xml:space="preserve"> appropriate.</w:t>
      </w:r>
      <w:r w:rsidR="000A2881">
        <w:rPr>
          <w:rFonts w:asciiTheme="minorHAnsi" w:hAnsiTheme="minorHAnsi"/>
          <w:bCs/>
          <w:lang w:val="en-GB"/>
        </w:rPr>
        <w:t xml:space="preserve"> The PBAC noted that the rate of waning was an important consideration for deter</w:t>
      </w:r>
      <w:r w:rsidR="00347318">
        <w:rPr>
          <w:rFonts w:asciiTheme="minorHAnsi" w:hAnsiTheme="minorHAnsi"/>
          <w:bCs/>
          <w:lang w:val="en-GB"/>
        </w:rPr>
        <w:t>mining the appropriate vaccination age.</w:t>
      </w:r>
    </w:p>
    <w:p w:rsidR="00296C3A" w:rsidRPr="00296C3A" w:rsidRDefault="00296C3A" w:rsidP="00296C3A">
      <w:pPr>
        <w:numPr>
          <w:ilvl w:val="1"/>
          <w:numId w:val="2"/>
        </w:numPr>
        <w:spacing w:after="120"/>
        <w:rPr>
          <w:rFonts w:asciiTheme="minorHAnsi" w:hAnsiTheme="minorHAnsi"/>
          <w:bCs/>
          <w:lang w:val="en-GB"/>
        </w:rPr>
      </w:pPr>
      <w:r w:rsidRPr="007859C8">
        <w:t xml:space="preserve">The PBAC noted that </w:t>
      </w:r>
      <w:r w:rsidR="00554D48">
        <w:t xml:space="preserve">in the analyses of individuals aged 70 years, </w:t>
      </w:r>
      <w:r w:rsidRPr="007859C8">
        <w:t>the model assumed that the cost of the live-HZ vaccine would be replaced</w:t>
      </w:r>
      <w:r w:rsidR="00554D48">
        <w:t xml:space="preserve">, resulting in an ICER of </w:t>
      </w:r>
      <w:r w:rsidR="00773690">
        <w:t>$15,000 - $45,000</w:t>
      </w:r>
      <w:r w:rsidR="00554D48">
        <w:t>.</w:t>
      </w:r>
      <w:r w:rsidRPr="007859C8">
        <w:t xml:space="preserve"> However, the proposed NIP listing for the HZ/</w:t>
      </w:r>
      <w:proofErr w:type="spellStart"/>
      <w:r w:rsidRPr="007859C8">
        <w:t>su</w:t>
      </w:r>
      <w:proofErr w:type="spellEnd"/>
      <w:r w:rsidRPr="007859C8">
        <w:t xml:space="preserve"> vaccine allows for re-vaccination of individuals who have received the live-HZ vaccine. The PBAC considered</w:t>
      </w:r>
      <w:r w:rsidR="0011733A">
        <w:t>, given the improved effectiveness of the HZ/</w:t>
      </w:r>
      <w:proofErr w:type="spellStart"/>
      <w:r w:rsidR="0011733A">
        <w:t>su</w:t>
      </w:r>
      <w:proofErr w:type="spellEnd"/>
      <w:r w:rsidR="0011733A">
        <w:t xml:space="preserve"> vaccine, that individuals would be re-vaccinated. The</w:t>
      </w:r>
      <w:r w:rsidRPr="007859C8">
        <w:t xml:space="preserve"> </w:t>
      </w:r>
      <w:r w:rsidR="00D03771">
        <w:t xml:space="preserve">PBAC noted that the ICER presented in the PSCR, </w:t>
      </w:r>
      <w:r w:rsidR="00CF14C5">
        <w:t>that</w:t>
      </w:r>
      <w:r w:rsidR="00D03771">
        <w:t xml:space="preserve"> adopted the </w:t>
      </w:r>
      <w:r w:rsidRPr="007859C8">
        <w:t xml:space="preserve">ATAGI advice </w:t>
      </w:r>
      <w:r w:rsidR="00D03771">
        <w:t xml:space="preserve">suggesting </w:t>
      </w:r>
      <w:r w:rsidRPr="007859C8">
        <w:rPr>
          <w:rFonts w:cs="Calibri"/>
        </w:rPr>
        <w:t>a re-vaccination program with HZ/</w:t>
      </w:r>
      <w:proofErr w:type="spellStart"/>
      <w:r w:rsidRPr="007859C8">
        <w:rPr>
          <w:rFonts w:cs="Calibri"/>
        </w:rPr>
        <w:t>su</w:t>
      </w:r>
      <w:proofErr w:type="spellEnd"/>
      <w:r w:rsidRPr="007859C8">
        <w:rPr>
          <w:rFonts w:cs="Calibri"/>
        </w:rPr>
        <w:t xml:space="preserve"> five years after the initial vaccination with the live-HZ vaccine</w:t>
      </w:r>
      <w:r w:rsidR="007859C8" w:rsidRPr="007859C8">
        <w:rPr>
          <w:rFonts w:cs="Calibri"/>
        </w:rPr>
        <w:t>,</w:t>
      </w:r>
      <w:r w:rsidRPr="007859C8">
        <w:rPr>
          <w:rFonts w:cs="Calibri"/>
        </w:rPr>
        <w:t xml:space="preserve"> </w:t>
      </w:r>
      <w:r w:rsidR="00D03771">
        <w:rPr>
          <w:rFonts w:cs="Calibri"/>
        </w:rPr>
        <w:t xml:space="preserve">was </w:t>
      </w:r>
      <w:r w:rsidR="00773690">
        <w:rPr>
          <w:rFonts w:cs="Calibri"/>
        </w:rPr>
        <w:t xml:space="preserve">$15,000 - $45,000 </w:t>
      </w:r>
      <w:r w:rsidR="000C0FA9">
        <w:t>(this ICER could not be verified, as the model provided with the submission did not allow revaccination to be addressed)</w:t>
      </w:r>
      <w:r w:rsidR="00D03771">
        <w:rPr>
          <w:rFonts w:cs="Calibri"/>
        </w:rPr>
        <w:t xml:space="preserve">. The PBAC considered that re-vaccination after five years was appropriate, </w:t>
      </w:r>
      <w:r w:rsidR="0011733A">
        <w:rPr>
          <w:rFonts w:cs="Calibri"/>
        </w:rPr>
        <w:t xml:space="preserve">with sensitivity analyses provided for </w:t>
      </w:r>
      <w:r w:rsidR="002C5601">
        <w:rPr>
          <w:rFonts w:cs="Calibri"/>
        </w:rPr>
        <w:t>re-vaccination at shorter intervals</w:t>
      </w:r>
      <w:r w:rsidR="007859C8" w:rsidRPr="007859C8">
        <w:rPr>
          <w:rFonts w:cs="Calibri"/>
        </w:rPr>
        <w:t xml:space="preserve">. </w:t>
      </w:r>
      <w:r w:rsidRPr="00296C3A">
        <w:rPr>
          <w:rFonts w:cs="Calibri"/>
          <w:highlight w:val="yellow"/>
        </w:rPr>
        <w:t xml:space="preserve"> </w:t>
      </w:r>
    </w:p>
    <w:p w:rsidR="00516171" w:rsidRPr="000C0FA9" w:rsidRDefault="00BC0262" w:rsidP="00277B8A">
      <w:pPr>
        <w:numPr>
          <w:ilvl w:val="1"/>
          <w:numId w:val="2"/>
        </w:numPr>
        <w:spacing w:after="120"/>
        <w:rPr>
          <w:rFonts w:asciiTheme="minorHAnsi" w:hAnsiTheme="minorHAnsi"/>
          <w:bCs/>
          <w:lang w:val="en-GB"/>
        </w:rPr>
      </w:pPr>
      <w:r w:rsidRPr="000C0FA9">
        <w:rPr>
          <w:rFonts w:asciiTheme="minorHAnsi" w:hAnsiTheme="minorHAnsi"/>
          <w:bCs/>
          <w:lang w:val="en-GB"/>
        </w:rPr>
        <w:t xml:space="preserve">Overall, the PBAC considered that the economic model included in any future re-submission </w:t>
      </w:r>
      <w:r w:rsidR="00516171" w:rsidRPr="000C0FA9">
        <w:rPr>
          <w:rFonts w:asciiTheme="minorHAnsi" w:hAnsiTheme="minorHAnsi"/>
          <w:bCs/>
          <w:lang w:val="en-GB"/>
        </w:rPr>
        <w:t>should</w:t>
      </w:r>
      <w:r w:rsidRPr="000C0FA9">
        <w:rPr>
          <w:rFonts w:asciiTheme="minorHAnsi" w:hAnsiTheme="minorHAnsi"/>
          <w:bCs/>
          <w:lang w:val="en-GB"/>
        </w:rPr>
        <w:t xml:space="preserve"> enable a comparison of vaccinating at different ages and </w:t>
      </w:r>
      <w:r w:rsidR="00516171" w:rsidRPr="000C0FA9">
        <w:rPr>
          <w:rFonts w:asciiTheme="minorHAnsi" w:hAnsiTheme="minorHAnsi"/>
          <w:bCs/>
          <w:lang w:val="en-GB"/>
        </w:rPr>
        <w:t>re-vaccination, as well as more conservative assumptions regarding:</w:t>
      </w:r>
    </w:p>
    <w:p w:rsidR="00516171" w:rsidRDefault="00516171" w:rsidP="00516171">
      <w:pPr>
        <w:numPr>
          <w:ilvl w:val="1"/>
          <w:numId w:val="32"/>
        </w:numPr>
        <w:spacing w:after="120"/>
        <w:ind w:left="1077" w:hanging="357"/>
        <w:rPr>
          <w:rFonts w:asciiTheme="minorHAnsi" w:hAnsiTheme="minorHAnsi"/>
          <w:bCs/>
          <w:lang w:val="en-GB"/>
        </w:rPr>
      </w:pPr>
      <w:r>
        <w:rPr>
          <w:rFonts w:asciiTheme="minorHAnsi" w:hAnsiTheme="minorHAnsi"/>
          <w:bCs/>
          <w:lang w:val="en-GB"/>
        </w:rPr>
        <w:t>The incidence</w:t>
      </w:r>
      <w:r w:rsidR="00CF14C5">
        <w:rPr>
          <w:rFonts w:asciiTheme="minorHAnsi" w:hAnsiTheme="minorHAnsi"/>
          <w:bCs/>
          <w:lang w:val="en-GB"/>
        </w:rPr>
        <w:t>s</w:t>
      </w:r>
      <w:r>
        <w:rPr>
          <w:rFonts w:asciiTheme="minorHAnsi" w:hAnsiTheme="minorHAnsi"/>
          <w:bCs/>
          <w:lang w:val="en-GB"/>
        </w:rPr>
        <w:t xml:space="preserve"> of </w:t>
      </w:r>
      <w:r w:rsidR="00CF14C5">
        <w:rPr>
          <w:rFonts w:asciiTheme="minorHAnsi" w:hAnsiTheme="minorHAnsi"/>
          <w:bCs/>
          <w:lang w:val="en-GB"/>
        </w:rPr>
        <w:t xml:space="preserve">herpes zoster and post-herpetic neuralgia </w:t>
      </w:r>
      <w:r>
        <w:rPr>
          <w:rFonts w:asciiTheme="minorHAnsi" w:hAnsiTheme="minorHAnsi"/>
          <w:bCs/>
          <w:lang w:val="en-GB"/>
        </w:rPr>
        <w:t>without vaccination;</w:t>
      </w:r>
    </w:p>
    <w:p w:rsidR="00516171" w:rsidRDefault="00516171" w:rsidP="00516171">
      <w:pPr>
        <w:numPr>
          <w:ilvl w:val="1"/>
          <w:numId w:val="32"/>
        </w:numPr>
        <w:spacing w:after="120"/>
        <w:ind w:left="1077" w:hanging="357"/>
        <w:rPr>
          <w:rFonts w:asciiTheme="minorHAnsi" w:hAnsiTheme="minorHAnsi"/>
          <w:bCs/>
          <w:lang w:val="en-GB"/>
        </w:rPr>
      </w:pPr>
      <w:r>
        <w:rPr>
          <w:rFonts w:asciiTheme="minorHAnsi" w:hAnsiTheme="minorHAnsi"/>
          <w:bCs/>
          <w:lang w:val="en-GB"/>
        </w:rPr>
        <w:t xml:space="preserve">The rate of waning </w:t>
      </w:r>
      <w:r w:rsidR="00752886">
        <w:rPr>
          <w:rFonts w:asciiTheme="minorHAnsi" w:hAnsiTheme="minorHAnsi"/>
          <w:bCs/>
          <w:lang w:val="en-GB"/>
        </w:rPr>
        <w:t>used from Year 5 onwards</w:t>
      </w:r>
      <w:r>
        <w:rPr>
          <w:rFonts w:asciiTheme="minorHAnsi" w:hAnsiTheme="minorHAnsi"/>
          <w:bCs/>
          <w:lang w:val="en-GB"/>
        </w:rPr>
        <w:t>;</w:t>
      </w:r>
      <w:r w:rsidR="008C01C2">
        <w:rPr>
          <w:rFonts w:asciiTheme="minorHAnsi" w:hAnsiTheme="minorHAnsi"/>
          <w:bCs/>
          <w:lang w:val="en-GB"/>
        </w:rPr>
        <w:t xml:space="preserve"> and</w:t>
      </w:r>
    </w:p>
    <w:p w:rsidR="00516171" w:rsidRDefault="00516171" w:rsidP="00516171">
      <w:pPr>
        <w:numPr>
          <w:ilvl w:val="1"/>
          <w:numId w:val="32"/>
        </w:numPr>
        <w:spacing w:after="120"/>
        <w:ind w:left="1077" w:hanging="357"/>
        <w:rPr>
          <w:rFonts w:asciiTheme="minorHAnsi" w:hAnsiTheme="minorHAnsi"/>
          <w:bCs/>
          <w:lang w:val="en-GB"/>
        </w:rPr>
      </w:pPr>
      <w:r>
        <w:rPr>
          <w:rFonts w:asciiTheme="minorHAnsi" w:hAnsiTheme="minorHAnsi"/>
          <w:bCs/>
          <w:lang w:val="en-GB"/>
        </w:rPr>
        <w:t xml:space="preserve">The proportion of individuals receiving </w:t>
      </w:r>
      <w:r w:rsidR="00CF14C5">
        <w:rPr>
          <w:rFonts w:asciiTheme="minorHAnsi" w:hAnsiTheme="minorHAnsi"/>
          <w:bCs/>
          <w:lang w:val="en-GB"/>
        </w:rPr>
        <w:t>both doses of</w:t>
      </w:r>
      <w:r>
        <w:rPr>
          <w:rFonts w:asciiTheme="minorHAnsi" w:hAnsiTheme="minorHAnsi"/>
          <w:bCs/>
          <w:lang w:val="en-GB"/>
        </w:rPr>
        <w:t xml:space="preserve"> HZ/</w:t>
      </w:r>
      <w:proofErr w:type="spellStart"/>
      <w:r>
        <w:rPr>
          <w:rFonts w:asciiTheme="minorHAnsi" w:hAnsiTheme="minorHAnsi"/>
          <w:bCs/>
          <w:lang w:val="en-GB"/>
        </w:rPr>
        <w:t>su</w:t>
      </w:r>
      <w:proofErr w:type="spellEnd"/>
      <w:r>
        <w:rPr>
          <w:rFonts w:asciiTheme="minorHAnsi" w:hAnsiTheme="minorHAnsi"/>
          <w:bCs/>
          <w:lang w:val="en-GB"/>
        </w:rPr>
        <w:t xml:space="preserve"> and the </w:t>
      </w:r>
      <w:r w:rsidR="00CF14C5">
        <w:rPr>
          <w:rFonts w:asciiTheme="minorHAnsi" w:hAnsiTheme="minorHAnsi"/>
          <w:bCs/>
          <w:lang w:val="en-GB"/>
        </w:rPr>
        <w:t xml:space="preserve">vaccine efficacy </w:t>
      </w:r>
      <w:r>
        <w:rPr>
          <w:rFonts w:asciiTheme="minorHAnsi" w:hAnsiTheme="minorHAnsi"/>
          <w:bCs/>
          <w:lang w:val="en-GB"/>
        </w:rPr>
        <w:t xml:space="preserve">associated with </w:t>
      </w:r>
      <w:r w:rsidR="00CF14C5">
        <w:rPr>
          <w:rFonts w:asciiTheme="minorHAnsi" w:hAnsiTheme="minorHAnsi"/>
          <w:bCs/>
          <w:lang w:val="en-GB"/>
        </w:rPr>
        <w:t>receiving one</w:t>
      </w:r>
      <w:r>
        <w:rPr>
          <w:rFonts w:asciiTheme="minorHAnsi" w:hAnsiTheme="minorHAnsi"/>
          <w:bCs/>
          <w:lang w:val="en-GB"/>
        </w:rPr>
        <w:t xml:space="preserve"> dose</w:t>
      </w:r>
      <w:r w:rsidR="00CF14C5">
        <w:rPr>
          <w:rFonts w:asciiTheme="minorHAnsi" w:hAnsiTheme="minorHAnsi"/>
          <w:bCs/>
          <w:lang w:val="en-GB"/>
        </w:rPr>
        <w:t xml:space="preserve"> only</w:t>
      </w:r>
      <w:r w:rsidR="008C01C2">
        <w:rPr>
          <w:rFonts w:asciiTheme="minorHAnsi" w:hAnsiTheme="minorHAnsi"/>
          <w:bCs/>
          <w:lang w:val="en-GB"/>
        </w:rPr>
        <w:t>.</w:t>
      </w:r>
    </w:p>
    <w:p w:rsidR="006339EC" w:rsidRDefault="006339EC" w:rsidP="00BD5534">
      <w:pPr>
        <w:numPr>
          <w:ilvl w:val="1"/>
          <w:numId w:val="2"/>
        </w:numPr>
        <w:spacing w:after="120"/>
        <w:rPr>
          <w:rFonts w:asciiTheme="minorHAnsi" w:hAnsiTheme="minorHAnsi"/>
          <w:bCs/>
          <w:lang w:val="en-GB"/>
        </w:rPr>
      </w:pPr>
      <w:r>
        <w:rPr>
          <w:rFonts w:asciiTheme="minorHAnsi" w:hAnsiTheme="minorHAnsi"/>
          <w:bCs/>
          <w:lang w:val="en-GB"/>
        </w:rPr>
        <w:t>The PBAC agreed with the ESC that, a</w:t>
      </w:r>
      <w:r w:rsidRPr="006C57CC">
        <w:rPr>
          <w:rFonts w:asciiTheme="minorHAnsi" w:hAnsiTheme="minorHAnsi"/>
          <w:bCs/>
          <w:lang w:val="en-GB"/>
        </w:rPr>
        <w:t xml:space="preserve">lthough </w:t>
      </w:r>
      <w:r w:rsidRPr="006C57CC">
        <w:t>subsidisation of HZ/</w:t>
      </w:r>
      <w:proofErr w:type="spellStart"/>
      <w:r w:rsidRPr="006C57CC">
        <w:t>su</w:t>
      </w:r>
      <w:proofErr w:type="spellEnd"/>
      <w:r w:rsidRPr="006C57CC">
        <w:t xml:space="preserve"> would provide direct benefits to the treated individual, it was concerned about the high opportunity costs. </w:t>
      </w:r>
      <w:r w:rsidR="009F4580">
        <w:t>T</w:t>
      </w:r>
      <w:r w:rsidRPr="006C57CC">
        <w:t>he threshold of incremental QALYs gained for treatments with large opportunity costs, such as population preventative interventions including lipid-</w:t>
      </w:r>
      <w:r w:rsidRPr="006C57CC">
        <w:lastRenderedPageBreak/>
        <w:t xml:space="preserve">lowering, anti-hypertensive drugs and vaccines, was at the lower end of the ICER range. </w:t>
      </w:r>
      <w:r w:rsidRPr="006C57CC">
        <w:rPr>
          <w:rFonts w:asciiTheme="minorHAnsi" w:hAnsiTheme="minorHAnsi"/>
          <w:bCs/>
          <w:lang w:val="en-GB"/>
        </w:rPr>
        <w:t>The PBAC considered that the ICERs proposed in the submission were high</w:t>
      </w:r>
      <w:r w:rsidR="000C0FA9">
        <w:rPr>
          <w:rFonts w:asciiTheme="minorHAnsi" w:hAnsiTheme="minorHAnsi"/>
          <w:bCs/>
          <w:lang w:val="en-GB"/>
        </w:rPr>
        <w:t>ly uncertain</w:t>
      </w:r>
      <w:r w:rsidRPr="006C57CC">
        <w:rPr>
          <w:rFonts w:asciiTheme="minorHAnsi" w:hAnsiTheme="minorHAnsi"/>
          <w:bCs/>
          <w:lang w:val="en-GB"/>
        </w:rPr>
        <w:t xml:space="preserve"> and suggested that </w:t>
      </w:r>
      <w:r w:rsidR="000C0FA9">
        <w:rPr>
          <w:rFonts w:asciiTheme="minorHAnsi" w:hAnsiTheme="minorHAnsi"/>
          <w:bCs/>
          <w:lang w:val="en-GB"/>
        </w:rPr>
        <w:t xml:space="preserve">lower ICERs would be </w:t>
      </w:r>
      <w:r w:rsidRPr="006C57CC">
        <w:rPr>
          <w:rFonts w:asciiTheme="minorHAnsi" w:hAnsiTheme="minorHAnsi"/>
          <w:bCs/>
          <w:lang w:val="en-GB"/>
        </w:rPr>
        <w:t>more appropriate.</w:t>
      </w:r>
    </w:p>
    <w:p w:rsidR="00FC3661" w:rsidRPr="00340A54" w:rsidRDefault="00FC3661" w:rsidP="00277B8A">
      <w:pPr>
        <w:numPr>
          <w:ilvl w:val="1"/>
          <w:numId w:val="2"/>
        </w:numPr>
        <w:spacing w:after="120"/>
        <w:rPr>
          <w:rFonts w:asciiTheme="minorHAnsi" w:hAnsiTheme="minorHAnsi"/>
          <w:bCs/>
          <w:lang w:val="en-GB"/>
        </w:rPr>
      </w:pPr>
      <w:r w:rsidRPr="00340A54">
        <w:rPr>
          <w:rFonts w:asciiTheme="minorHAnsi" w:hAnsiTheme="minorHAnsi"/>
          <w:bCs/>
          <w:lang w:val="en-GB"/>
        </w:rPr>
        <w:t>The PBAC considered that the assumption that 80% of individuals aged 61 years and over would receive the HZ/</w:t>
      </w:r>
      <w:proofErr w:type="spellStart"/>
      <w:r w:rsidRPr="00340A54">
        <w:rPr>
          <w:rFonts w:asciiTheme="minorHAnsi" w:hAnsiTheme="minorHAnsi"/>
          <w:bCs/>
          <w:lang w:val="en-GB"/>
        </w:rPr>
        <w:t>su</w:t>
      </w:r>
      <w:proofErr w:type="spellEnd"/>
      <w:r w:rsidRPr="00340A54">
        <w:rPr>
          <w:rFonts w:asciiTheme="minorHAnsi" w:hAnsiTheme="minorHAnsi"/>
          <w:bCs/>
          <w:lang w:val="en-GB"/>
        </w:rPr>
        <w:t xml:space="preserve"> vaccine during the five-year catch-up program was optimistic. The PBAC considered that more accurate estimates, which separately considered the vaccination of 60 year olds</w:t>
      </w:r>
      <w:r w:rsidR="00280D16" w:rsidRPr="00340A54">
        <w:rPr>
          <w:rFonts w:asciiTheme="minorHAnsi" w:hAnsiTheme="minorHAnsi"/>
          <w:bCs/>
          <w:lang w:val="en-GB"/>
        </w:rPr>
        <w:t xml:space="preserve"> replacing the current 70 year old program with the live-HZ vaccine</w:t>
      </w:r>
      <w:r w:rsidRPr="00340A54">
        <w:rPr>
          <w:rFonts w:asciiTheme="minorHAnsi" w:hAnsiTheme="minorHAnsi"/>
          <w:bCs/>
          <w:lang w:val="en-GB"/>
        </w:rPr>
        <w:t>, the five year catch-up program for those aged 61 years and over and those re-vaccinated following vaccination with the live-HZ vaccine would be informative.</w:t>
      </w:r>
    </w:p>
    <w:p w:rsidR="00B51566" w:rsidRPr="006C57CC" w:rsidRDefault="00B51566" w:rsidP="00BD5534">
      <w:pPr>
        <w:numPr>
          <w:ilvl w:val="1"/>
          <w:numId w:val="2"/>
        </w:numPr>
        <w:spacing w:after="120"/>
        <w:rPr>
          <w:rFonts w:asciiTheme="minorHAnsi" w:hAnsiTheme="minorHAnsi"/>
          <w:bCs/>
          <w:lang w:val="en-GB"/>
        </w:rPr>
      </w:pPr>
      <w:r w:rsidRPr="006C57CC">
        <w:rPr>
          <w:rFonts w:asciiTheme="minorHAnsi" w:hAnsiTheme="minorHAnsi"/>
          <w:bCs/>
          <w:lang w:val="en-GB"/>
        </w:rPr>
        <w:t>The PBAC considered that any future re-submission would need to be a major submission</w:t>
      </w:r>
      <w:r w:rsidR="00594B41">
        <w:rPr>
          <w:rFonts w:asciiTheme="minorHAnsi" w:hAnsiTheme="minorHAnsi"/>
          <w:bCs/>
          <w:lang w:val="en-GB"/>
        </w:rPr>
        <w:t xml:space="preserve"> to address the cost-effectiveness </w:t>
      </w:r>
      <w:r w:rsidR="00D83642">
        <w:rPr>
          <w:rFonts w:asciiTheme="minorHAnsi" w:hAnsiTheme="minorHAnsi"/>
          <w:bCs/>
          <w:lang w:val="en-GB"/>
        </w:rPr>
        <w:t xml:space="preserve">concerns </w:t>
      </w:r>
      <w:r w:rsidR="00594B41">
        <w:rPr>
          <w:rFonts w:asciiTheme="minorHAnsi" w:hAnsiTheme="minorHAnsi"/>
          <w:bCs/>
          <w:lang w:val="en-GB"/>
        </w:rPr>
        <w:t xml:space="preserve">and </w:t>
      </w:r>
      <w:r w:rsidR="00D83642">
        <w:rPr>
          <w:rFonts w:asciiTheme="minorHAnsi" w:hAnsiTheme="minorHAnsi"/>
          <w:bCs/>
          <w:lang w:val="en-GB"/>
        </w:rPr>
        <w:t xml:space="preserve">provide more accurate </w:t>
      </w:r>
      <w:r w:rsidR="00594B41">
        <w:rPr>
          <w:rFonts w:asciiTheme="minorHAnsi" w:hAnsiTheme="minorHAnsi"/>
          <w:bCs/>
          <w:lang w:val="en-GB"/>
        </w:rPr>
        <w:t xml:space="preserve">financial </w:t>
      </w:r>
      <w:r w:rsidR="00D83642">
        <w:rPr>
          <w:rFonts w:asciiTheme="minorHAnsi" w:hAnsiTheme="minorHAnsi"/>
          <w:bCs/>
          <w:lang w:val="en-GB"/>
        </w:rPr>
        <w:t>estimates</w:t>
      </w:r>
      <w:r w:rsidRPr="006C57CC">
        <w:rPr>
          <w:rFonts w:asciiTheme="minorHAnsi" w:hAnsiTheme="minorHAnsi"/>
          <w:bCs/>
          <w:lang w:val="en-GB"/>
        </w:rPr>
        <w:t xml:space="preserve">. </w:t>
      </w:r>
    </w:p>
    <w:p w:rsidR="00ED5DAC" w:rsidRPr="006C57CC" w:rsidRDefault="00B51566" w:rsidP="00BD5534">
      <w:pPr>
        <w:numPr>
          <w:ilvl w:val="1"/>
          <w:numId w:val="2"/>
        </w:numPr>
        <w:spacing w:after="120"/>
        <w:rPr>
          <w:rFonts w:asciiTheme="minorHAnsi" w:hAnsiTheme="minorHAnsi"/>
          <w:bCs/>
          <w:lang w:val="en-GB"/>
        </w:rPr>
      </w:pPr>
      <w:r w:rsidRPr="006C57CC">
        <w:rPr>
          <w:rFonts w:asciiTheme="minorHAnsi" w:hAnsiTheme="minorHAnsi"/>
          <w:bCs/>
          <w:lang w:val="en-GB"/>
        </w:rPr>
        <w:t>The PBAC noted that this submission is not eligible for independent review</w:t>
      </w:r>
      <w:r w:rsidR="00FC7440" w:rsidRPr="006C57CC">
        <w:rPr>
          <w:rFonts w:asciiTheme="minorHAnsi" w:hAnsiTheme="minorHAnsi"/>
          <w:bCs/>
          <w:lang w:val="en-GB"/>
        </w:rPr>
        <w:t>,</w:t>
      </w:r>
      <w:r w:rsidRPr="006C57CC">
        <w:rPr>
          <w:rFonts w:asciiTheme="minorHAnsi" w:hAnsiTheme="minorHAnsi"/>
          <w:bCs/>
          <w:lang w:val="en-GB"/>
        </w:rPr>
        <w:t xml:space="preserve"> as independent review is only </w:t>
      </w:r>
      <w:r w:rsidR="00FC7440" w:rsidRPr="006C57CC">
        <w:rPr>
          <w:rFonts w:asciiTheme="minorHAnsi" w:hAnsiTheme="minorHAnsi"/>
          <w:bCs/>
          <w:lang w:val="en-GB"/>
        </w:rPr>
        <w:t xml:space="preserve">applicable for submissions requesting </w:t>
      </w:r>
      <w:r w:rsidRPr="006C57CC">
        <w:rPr>
          <w:rFonts w:asciiTheme="minorHAnsi" w:hAnsiTheme="minorHAnsi"/>
          <w:bCs/>
          <w:lang w:val="en-GB"/>
        </w:rPr>
        <w:t>PBS listing.</w:t>
      </w:r>
      <w:r w:rsidR="00ED5DAC" w:rsidRPr="006C57CC">
        <w:rPr>
          <w:rFonts w:asciiTheme="minorHAnsi" w:hAnsiTheme="minorHAnsi"/>
          <w:bCs/>
          <w:lang w:val="en-GB"/>
        </w:rPr>
        <w:t xml:space="preserve"> </w:t>
      </w:r>
    </w:p>
    <w:p w:rsidR="00BD5534" w:rsidRPr="00594B41" w:rsidRDefault="00BD5534" w:rsidP="00BD5534">
      <w:pPr>
        <w:spacing w:before="240"/>
        <w:rPr>
          <w:rFonts w:asciiTheme="minorHAnsi" w:hAnsiTheme="minorHAnsi"/>
          <w:b/>
          <w:bCs/>
          <w:lang w:val="en-GB"/>
        </w:rPr>
      </w:pPr>
      <w:r w:rsidRPr="00594B41">
        <w:rPr>
          <w:rFonts w:asciiTheme="minorHAnsi" w:hAnsiTheme="minorHAnsi"/>
          <w:b/>
          <w:bCs/>
          <w:lang w:val="en-GB"/>
        </w:rPr>
        <w:t>Outcome:</w:t>
      </w:r>
    </w:p>
    <w:p w:rsidR="00BD5534" w:rsidRDefault="009F4581" w:rsidP="00BD5534">
      <w:pPr>
        <w:rPr>
          <w:rFonts w:asciiTheme="minorHAnsi" w:hAnsiTheme="minorHAnsi"/>
          <w:bCs/>
          <w:lang w:val="en-GB"/>
        </w:rPr>
      </w:pPr>
      <w:r>
        <w:rPr>
          <w:rFonts w:asciiTheme="minorHAnsi" w:hAnsiTheme="minorHAnsi"/>
          <w:bCs/>
          <w:lang w:val="en-GB"/>
        </w:rPr>
        <w:t>Rejected</w:t>
      </w:r>
    </w:p>
    <w:p w:rsidR="009F4581" w:rsidRPr="00594B41" w:rsidRDefault="009F4581" w:rsidP="00BD5534">
      <w:pPr>
        <w:rPr>
          <w:rFonts w:asciiTheme="minorHAnsi" w:hAnsiTheme="minorHAnsi"/>
          <w:b/>
          <w:bCs/>
        </w:rPr>
      </w:pPr>
    </w:p>
    <w:p w:rsidR="00131CFB" w:rsidRPr="00C07617" w:rsidRDefault="00131CFB" w:rsidP="002D1A95">
      <w:pPr>
        <w:pStyle w:val="Heading1"/>
      </w:pPr>
      <w:r w:rsidRPr="00C07617">
        <w:tab/>
        <w:t>Context for Decision</w:t>
      </w:r>
    </w:p>
    <w:p w:rsidR="00131CFB" w:rsidRPr="00C07617" w:rsidRDefault="00131CFB" w:rsidP="00131CFB">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31CFB" w:rsidRDefault="00131CFB" w:rsidP="00131CFB">
      <w:pPr>
        <w:ind w:left="426"/>
        <w:rPr>
          <w:rFonts w:ascii="Arial" w:hAnsi="Arial"/>
          <w:sz w:val="22"/>
        </w:rPr>
      </w:pPr>
    </w:p>
    <w:p w:rsidR="00131CFB" w:rsidRPr="00C07617" w:rsidRDefault="00131CFB" w:rsidP="002D1A95">
      <w:pPr>
        <w:pStyle w:val="Heading1"/>
      </w:pPr>
      <w:r>
        <w:t>Sponsor’s Comment</w:t>
      </w:r>
    </w:p>
    <w:p w:rsidR="002B09A4" w:rsidRPr="009F4581" w:rsidRDefault="001D139F" w:rsidP="009F4581">
      <w:pPr>
        <w:widowControl/>
        <w:rPr>
          <w:rFonts w:asciiTheme="minorHAnsi" w:eastAsia="Calibri" w:hAnsiTheme="minorHAnsi" w:cstheme="minorHAnsi"/>
          <w:snapToGrid/>
          <w:szCs w:val="24"/>
          <w:lang w:val="en-IE" w:eastAsia="en-AU"/>
        </w:rPr>
      </w:pPr>
      <w:proofErr w:type="spellStart"/>
      <w:r w:rsidRPr="001D139F">
        <w:rPr>
          <w:rFonts w:asciiTheme="minorHAnsi" w:eastAsia="Calibri" w:hAnsiTheme="minorHAnsi" w:cstheme="minorHAnsi"/>
          <w:i/>
          <w:snapToGrid/>
          <w:szCs w:val="24"/>
          <w:lang w:val="en-IE" w:eastAsia="en-AU"/>
        </w:rPr>
        <w:t>Shingrix</w:t>
      </w:r>
      <w:proofErr w:type="spellEnd"/>
      <w:r w:rsidRPr="001D139F">
        <w:rPr>
          <w:rFonts w:asciiTheme="minorHAnsi" w:eastAsia="Calibri" w:hAnsiTheme="minorHAnsi" w:cstheme="minorHAnsi"/>
          <w:snapToGrid/>
          <w:szCs w:val="24"/>
          <w:lang w:val="en-IE" w:eastAsia="en-AU"/>
        </w:rPr>
        <w:t xml:space="preserve"> is </w:t>
      </w:r>
      <w:r w:rsidRPr="001D139F">
        <w:rPr>
          <w:rFonts w:asciiTheme="minorHAnsi" w:eastAsia="Calibri" w:hAnsiTheme="minorHAnsi" w:cstheme="minorHAnsi"/>
          <w:snapToGrid/>
          <w:szCs w:val="24"/>
          <w:lang w:val="en-GB" w:eastAsia="en-AU"/>
        </w:rPr>
        <w:t xml:space="preserve">a significant scientific advancement in the field of vaccinology, demonstrating unprecedented efficacy against shingles of greater than 90% in the 50 year and above population studied. </w:t>
      </w:r>
      <w:r w:rsidRPr="001D139F">
        <w:rPr>
          <w:rFonts w:asciiTheme="minorHAnsi" w:eastAsia="Calibri" w:hAnsiTheme="minorHAnsi" w:cstheme="minorHAnsi"/>
          <w:snapToGrid/>
          <w:szCs w:val="24"/>
          <w:lang w:val="en-IE" w:eastAsia="en-AU"/>
        </w:rPr>
        <w:t xml:space="preserve">It is a cost-effective intervention that brings a clear benefit for a broad population, which is evidenced by the strong and broad recommendations that have been made </w:t>
      </w:r>
      <w:r w:rsidRPr="001D139F">
        <w:rPr>
          <w:rFonts w:asciiTheme="minorHAnsi" w:eastAsia="Calibri" w:hAnsiTheme="minorHAnsi" w:cstheme="minorHAnsi"/>
          <w:snapToGrid/>
          <w:szCs w:val="24"/>
          <w:lang w:val="en-GB" w:eastAsia="en-AU"/>
        </w:rPr>
        <w:t xml:space="preserve">in other countries that have considered adding </w:t>
      </w:r>
      <w:proofErr w:type="spellStart"/>
      <w:r w:rsidRPr="001D139F">
        <w:rPr>
          <w:rFonts w:asciiTheme="minorHAnsi" w:eastAsia="Calibri" w:hAnsiTheme="minorHAnsi" w:cstheme="minorHAnsi"/>
          <w:i/>
          <w:snapToGrid/>
          <w:szCs w:val="24"/>
          <w:lang w:val="en-GB" w:eastAsia="en-AU"/>
        </w:rPr>
        <w:t>Shingrix</w:t>
      </w:r>
      <w:proofErr w:type="spellEnd"/>
      <w:r w:rsidRPr="001D139F">
        <w:rPr>
          <w:rFonts w:asciiTheme="minorHAnsi" w:eastAsia="Calibri" w:hAnsiTheme="minorHAnsi" w:cstheme="minorHAnsi"/>
          <w:snapToGrid/>
          <w:szCs w:val="24"/>
          <w:lang w:val="en-GB" w:eastAsia="en-AU"/>
        </w:rPr>
        <w:t xml:space="preserve"> to their vaccination programs, including the US, Canada and Germany</w:t>
      </w:r>
      <w:r w:rsidRPr="001D139F">
        <w:rPr>
          <w:rFonts w:asciiTheme="minorHAnsi" w:eastAsia="Calibri" w:hAnsiTheme="minorHAnsi" w:cstheme="minorHAnsi"/>
          <w:snapToGrid/>
          <w:szCs w:val="24"/>
          <w:lang w:val="en-IE" w:eastAsia="en-AU"/>
        </w:rPr>
        <w:t xml:space="preserve">. Though GSK is disappointed with the PBAC decision not to recommend </w:t>
      </w:r>
      <w:proofErr w:type="spellStart"/>
      <w:r w:rsidRPr="001D139F">
        <w:rPr>
          <w:rFonts w:asciiTheme="minorHAnsi" w:eastAsia="Calibri" w:hAnsiTheme="minorHAnsi" w:cstheme="minorHAnsi"/>
          <w:i/>
          <w:snapToGrid/>
          <w:szCs w:val="24"/>
          <w:lang w:val="en-IE" w:eastAsia="en-AU"/>
        </w:rPr>
        <w:t>Shingrix</w:t>
      </w:r>
      <w:proofErr w:type="spellEnd"/>
      <w:r w:rsidRPr="001D139F">
        <w:rPr>
          <w:rFonts w:asciiTheme="minorHAnsi" w:eastAsia="Calibri" w:hAnsiTheme="minorHAnsi" w:cstheme="minorHAnsi"/>
          <w:snapToGrid/>
          <w:szCs w:val="24"/>
          <w:lang w:val="en-IE" w:eastAsia="en-AU"/>
        </w:rPr>
        <w:t xml:space="preserve"> for inclusion into the Australian National Immunisation Program, we take note of the advice. In addition, GSK strongly believes it is important that the full value of vaccination at a societal level be recognized through the evaluation process. This is a topic where more dialogue will be required with the PBAC. </w:t>
      </w:r>
    </w:p>
    <w:sectPr w:rsidR="002B09A4" w:rsidRPr="009F4581" w:rsidSect="0086667F">
      <w:headerReference w:type="even" r:id="rId11"/>
      <w:headerReference w:type="default" r:id="rId12"/>
      <w:footerReference w:type="even" r:id="rId13"/>
      <w:footerReference w:type="default" r:id="rId14"/>
      <w:headerReference w:type="first" r:id="rId15"/>
      <w:footerReference w:type="first" r:id="rId16"/>
      <w:pgSz w:w="11910" w:h="16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0A" w:rsidRDefault="0020540A" w:rsidP="00124A51">
      <w:r>
        <w:separator/>
      </w:r>
    </w:p>
    <w:p w:rsidR="0020540A" w:rsidRDefault="0020540A"/>
  </w:endnote>
  <w:endnote w:type="continuationSeparator" w:id="0">
    <w:p w:rsidR="0020540A" w:rsidRDefault="0020540A" w:rsidP="00124A51">
      <w:r>
        <w:continuationSeparator/>
      </w:r>
    </w:p>
    <w:p w:rsidR="0020540A" w:rsidRDefault="0020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0A" w:rsidRDefault="0020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809662"/>
      <w:docPartObj>
        <w:docPartGallery w:val="Page Numbers (Bottom of Page)"/>
        <w:docPartUnique/>
      </w:docPartObj>
    </w:sdtPr>
    <w:sdtEndPr>
      <w:rPr>
        <w:b/>
        <w:noProof/>
      </w:rPr>
    </w:sdtEndPr>
    <w:sdtContent>
      <w:p w:rsidR="0085119C" w:rsidRPr="0098559C" w:rsidRDefault="0085119C">
        <w:pPr>
          <w:pStyle w:val="Footer"/>
          <w:jc w:val="center"/>
          <w:rPr>
            <w:b/>
          </w:rPr>
        </w:pPr>
        <w:r w:rsidRPr="0098559C">
          <w:rPr>
            <w:b/>
          </w:rPr>
          <w:fldChar w:fldCharType="begin"/>
        </w:r>
        <w:r w:rsidRPr="0098559C">
          <w:rPr>
            <w:b/>
          </w:rPr>
          <w:instrText xml:space="preserve"> PAGE   \* MERGEFORMAT </w:instrText>
        </w:r>
        <w:r w:rsidRPr="0098559C">
          <w:rPr>
            <w:b/>
          </w:rPr>
          <w:fldChar w:fldCharType="separate"/>
        </w:r>
        <w:r w:rsidR="00DF7823">
          <w:rPr>
            <w:b/>
            <w:noProof/>
          </w:rPr>
          <w:t>1</w:t>
        </w:r>
        <w:r w:rsidRPr="0098559C">
          <w:rPr>
            <w:b/>
            <w:noProof/>
          </w:rPr>
          <w:fldChar w:fldCharType="end"/>
        </w:r>
      </w:p>
    </w:sdtContent>
  </w:sdt>
  <w:p w:rsidR="0085119C" w:rsidRDefault="0085119C" w:rsidP="0086667F">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0A" w:rsidRDefault="0020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0A" w:rsidRDefault="0020540A" w:rsidP="00124A51">
      <w:r>
        <w:separator/>
      </w:r>
    </w:p>
    <w:p w:rsidR="0020540A" w:rsidRDefault="0020540A"/>
  </w:footnote>
  <w:footnote w:type="continuationSeparator" w:id="0">
    <w:p w:rsidR="0020540A" w:rsidRDefault="0020540A" w:rsidP="00124A51">
      <w:r>
        <w:continuationSeparator/>
      </w:r>
    </w:p>
    <w:p w:rsidR="0020540A" w:rsidRDefault="0020540A"/>
  </w:footnote>
  <w:footnote w:id="1">
    <w:p w:rsidR="0085119C" w:rsidRDefault="0085119C">
      <w:pPr>
        <w:pStyle w:val="FootnoteText"/>
      </w:pPr>
      <w:r>
        <w:rPr>
          <w:rStyle w:val="FootnoteReference"/>
        </w:rPr>
        <w:footnoteRef/>
      </w:r>
      <w:r>
        <w:t xml:space="preserve"> Varghese L, Curran D, Bunge E, et al. Contraindication of live vaccines in immunocompromised patients: an estimate of the number of affected people in the USA and the UK. Public Health. 2017:142</w:t>
      </w:r>
      <w:proofErr w:type="gramStart"/>
      <w:r>
        <w:t>;46</w:t>
      </w:r>
      <w:proofErr w:type="gramEnd"/>
      <w:r>
        <w:t>-49.</w:t>
      </w:r>
    </w:p>
  </w:footnote>
  <w:footnote w:id="2">
    <w:p w:rsidR="0085119C" w:rsidRPr="006E1EE8" w:rsidRDefault="0085119C" w:rsidP="00726E6F">
      <w:pPr>
        <w:pStyle w:val="FootnoteText"/>
        <w:rPr>
          <w:lang w:val="en-US"/>
        </w:rPr>
      </w:pPr>
      <w:r>
        <w:rPr>
          <w:rStyle w:val="FootnoteReference"/>
        </w:rPr>
        <w:footnoteRef/>
      </w:r>
      <w:r>
        <w:t xml:space="preserve"> </w:t>
      </w:r>
      <w:r>
        <w:rPr>
          <w:lang w:val="en-US"/>
        </w:rPr>
        <w:t xml:space="preserve">PBAC (March 2014) Public summary document: </w:t>
      </w:r>
      <w:r w:rsidRPr="00243B73">
        <w:rPr>
          <w:lang w:val="en-US"/>
        </w:rPr>
        <w:t xml:space="preserve">Zoster virus vaccine live, 0.65 mL injection, prefilled syringe, </w:t>
      </w:r>
      <w:proofErr w:type="spellStart"/>
      <w:r w:rsidRPr="00243B73">
        <w:rPr>
          <w:lang w:val="en-US"/>
        </w:rPr>
        <w:t>Zostavax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0A" w:rsidRDefault="00205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9C" w:rsidRPr="0098559C" w:rsidRDefault="0085119C" w:rsidP="0098559C">
    <w:pPr>
      <w:pStyle w:val="Header"/>
      <w:jc w:val="center"/>
      <w:rPr>
        <w:i/>
      </w:rPr>
    </w:pPr>
    <w:r>
      <w:rPr>
        <w:i/>
      </w:rPr>
      <w:t xml:space="preserve">Public Summary Document </w:t>
    </w:r>
    <w:r w:rsidRPr="0098559C">
      <w:rPr>
        <w:i/>
      </w:rPr>
      <w:t>– November 2018 PBAC Meeting</w:t>
    </w:r>
  </w:p>
  <w:p w:rsidR="0085119C" w:rsidRPr="0098559C" w:rsidRDefault="0085119C" w:rsidP="0098559C">
    <w:pPr>
      <w:pStyle w:val="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40A" w:rsidRDefault="0020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58CF3F0"/>
    <w:lvl w:ilvl="0">
      <w:start w:val="1"/>
      <w:numFmt w:val="bullet"/>
      <w:pStyle w:val="ListBullet2"/>
      <w:lvlText w:val="o"/>
      <w:lvlJc w:val="left"/>
      <w:pPr>
        <w:ind w:left="1080" w:hanging="360"/>
      </w:pPr>
      <w:rPr>
        <w:rFonts w:ascii="Courier New" w:hAnsi="Courier New" w:hint="default"/>
        <w:color w:val="0071A7"/>
      </w:rPr>
    </w:lvl>
  </w:abstractNum>
  <w:abstractNum w:abstractNumId="1" w15:restartNumberingAfterBreak="0">
    <w:nsid w:val="00000408"/>
    <w:multiLevelType w:val="multilevel"/>
    <w:tmpl w:val="0000088B"/>
    <w:styleLink w:val="LFO2611"/>
    <w:lvl w:ilvl="0">
      <w:start w:val="1"/>
      <w:numFmt w:val="decimal"/>
      <w:lvlText w:val="%1)"/>
      <w:lvlJc w:val="left"/>
      <w:pPr>
        <w:ind w:left="21" w:hanging="192"/>
      </w:pPr>
      <w:rPr>
        <w:rFonts w:ascii="Arial Narrow" w:hAnsi="Arial Narrow" w:cs="Arial Narrow"/>
        <w:b w:val="0"/>
        <w:bCs w:val="0"/>
        <w:w w:val="99"/>
        <w:sz w:val="20"/>
        <w:szCs w:val="20"/>
      </w:rPr>
    </w:lvl>
    <w:lvl w:ilvl="1">
      <w:numFmt w:val="bullet"/>
      <w:lvlText w:val="•"/>
      <w:lvlJc w:val="left"/>
      <w:pPr>
        <w:ind w:left="144" w:hanging="192"/>
      </w:pPr>
    </w:lvl>
    <w:lvl w:ilvl="2">
      <w:numFmt w:val="bullet"/>
      <w:lvlText w:val="•"/>
      <w:lvlJc w:val="left"/>
      <w:pPr>
        <w:ind w:left="268" w:hanging="192"/>
      </w:pPr>
    </w:lvl>
    <w:lvl w:ilvl="3">
      <w:numFmt w:val="bullet"/>
      <w:lvlText w:val="•"/>
      <w:lvlJc w:val="left"/>
      <w:pPr>
        <w:ind w:left="393" w:hanging="192"/>
      </w:pPr>
    </w:lvl>
    <w:lvl w:ilvl="4">
      <w:numFmt w:val="bullet"/>
      <w:lvlText w:val="•"/>
      <w:lvlJc w:val="left"/>
      <w:pPr>
        <w:ind w:left="517" w:hanging="192"/>
      </w:pPr>
    </w:lvl>
    <w:lvl w:ilvl="5">
      <w:numFmt w:val="bullet"/>
      <w:lvlText w:val="•"/>
      <w:lvlJc w:val="left"/>
      <w:pPr>
        <w:ind w:left="642" w:hanging="192"/>
      </w:pPr>
    </w:lvl>
    <w:lvl w:ilvl="6">
      <w:numFmt w:val="bullet"/>
      <w:lvlText w:val="•"/>
      <w:lvlJc w:val="left"/>
      <w:pPr>
        <w:ind w:left="766" w:hanging="192"/>
      </w:pPr>
    </w:lvl>
    <w:lvl w:ilvl="7">
      <w:numFmt w:val="bullet"/>
      <w:lvlText w:val="•"/>
      <w:lvlJc w:val="left"/>
      <w:pPr>
        <w:ind w:left="891" w:hanging="192"/>
      </w:pPr>
    </w:lvl>
    <w:lvl w:ilvl="8">
      <w:numFmt w:val="bullet"/>
      <w:lvlText w:val="•"/>
      <w:lvlJc w:val="left"/>
      <w:pPr>
        <w:ind w:left="1015" w:hanging="192"/>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1811F2"/>
    <w:multiLevelType w:val="multilevel"/>
    <w:tmpl w:val="61045B4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6E3D6C"/>
    <w:multiLevelType w:val="hybridMultilevel"/>
    <w:tmpl w:val="C64E579C"/>
    <w:lvl w:ilvl="0" w:tplc="0C09000F">
      <w:start w:val="1"/>
      <w:numFmt w:val="decimal"/>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47E03BC"/>
    <w:multiLevelType w:val="hybridMultilevel"/>
    <w:tmpl w:val="0308CBB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4DB6EC1"/>
    <w:multiLevelType w:val="hybridMultilevel"/>
    <w:tmpl w:val="72848EBC"/>
    <w:lvl w:ilvl="0" w:tplc="04090001">
      <w:start w:val="1"/>
      <w:numFmt w:val="bullet"/>
      <w:lvlText w:val=""/>
      <w:lvlJc w:val="left"/>
      <w:pPr>
        <w:ind w:left="720" w:hanging="360"/>
      </w:pPr>
      <w:rPr>
        <w:rFonts w:ascii="Symbol" w:hAnsi="Symbol" w:hint="default"/>
      </w:rPr>
    </w:lvl>
    <w:lvl w:ilvl="1" w:tplc="3246066E">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78C"/>
    <w:multiLevelType w:val="hybridMultilevel"/>
    <w:tmpl w:val="8C10CFBA"/>
    <w:lvl w:ilvl="0" w:tplc="0C4E4756">
      <w:start w:val="1"/>
      <w:numFmt w:val="lowerLetter"/>
      <w:pStyle w:val="LetteredLis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4077DF6"/>
    <w:multiLevelType w:val="hybridMultilevel"/>
    <w:tmpl w:val="56766B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144382"/>
    <w:multiLevelType w:val="multilevel"/>
    <w:tmpl w:val="45A404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B6278F"/>
    <w:multiLevelType w:val="hybridMultilevel"/>
    <w:tmpl w:val="BD26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E413F"/>
    <w:multiLevelType w:val="hybridMultilevel"/>
    <w:tmpl w:val="B7AA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A0706"/>
    <w:multiLevelType w:val="multilevel"/>
    <w:tmpl w:val="63A62E74"/>
    <w:lvl w:ilvl="0">
      <w:start w:val="1"/>
      <w:numFmt w:val="decimal"/>
      <w:lvlText w:val="%1"/>
      <w:lvlJc w:val="left"/>
      <w:pPr>
        <w:ind w:left="2564" w:hanging="720"/>
      </w:pPr>
      <w:rPr>
        <w:rFonts w:hint="default"/>
        <w:b/>
        <w:i w:val="0"/>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F60C9"/>
    <w:multiLevelType w:val="hybridMultilevel"/>
    <w:tmpl w:val="7E089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5C5E12"/>
    <w:multiLevelType w:val="multilevel"/>
    <w:tmpl w:val="45A404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441"/>
    <w:multiLevelType w:val="hybridMultilevel"/>
    <w:tmpl w:val="57E8EF22"/>
    <w:styleLink w:val="LFO261"/>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EA3C20"/>
    <w:multiLevelType w:val="multilevel"/>
    <w:tmpl w:val="B916FEEC"/>
    <w:lvl w:ilvl="0">
      <w:start w:val="1"/>
      <w:numFmt w:val="decimal"/>
      <w:lvlText w:val="%1"/>
      <w:lvlJc w:val="left"/>
      <w:pPr>
        <w:ind w:left="1004"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24"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584"/>
    <w:multiLevelType w:val="multilevel"/>
    <w:tmpl w:val="928474A8"/>
    <w:lvl w:ilvl="0">
      <w:start w:val="1"/>
      <w:numFmt w:val="decimal"/>
      <w:lvlText w:val="%1"/>
      <w:lvlJc w:val="left"/>
      <w:pPr>
        <w:ind w:left="1004"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A93A57"/>
    <w:multiLevelType w:val="multilevel"/>
    <w:tmpl w:val="45A404D4"/>
    <w:lvl w:ilvl="0">
      <w:start w:val="1"/>
      <w:numFmt w:val="decimal"/>
      <w:lvlText w:val="%1"/>
      <w:lvlJc w:val="left"/>
      <w:pPr>
        <w:ind w:left="720" w:hanging="720"/>
      </w:pPr>
      <w:rPr>
        <w:rFonts w:hint="default"/>
        <w:b/>
      </w:rPr>
    </w:lvl>
    <w:lvl w:ilvl="1">
      <w:start w:val="1"/>
      <w:numFmt w:val="bullet"/>
      <w:lvlText w:val=""/>
      <w:lvlJc w:val="left"/>
      <w:pPr>
        <w:ind w:left="7241"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8C7C17"/>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2E74AF"/>
    <w:multiLevelType w:val="hybridMultilevel"/>
    <w:tmpl w:val="48CE5FD2"/>
    <w:lvl w:ilvl="0" w:tplc="46FEF844">
      <w:start w:val="1"/>
      <w:numFmt w:val="lowerLetter"/>
      <w:pStyle w:val="Tableletteredlist"/>
      <w:lvlText w:val="%1)"/>
      <w:lvlJc w:val="left"/>
      <w:pPr>
        <w:ind w:left="720" w:hanging="360"/>
      </w:pPr>
    </w:lvl>
    <w:lvl w:ilvl="1" w:tplc="F22C0DE0" w:tentative="1">
      <w:start w:val="1"/>
      <w:numFmt w:val="lowerLetter"/>
      <w:lvlText w:val="%2."/>
      <w:lvlJc w:val="left"/>
      <w:pPr>
        <w:ind w:left="1440" w:hanging="360"/>
      </w:pPr>
    </w:lvl>
    <w:lvl w:ilvl="2" w:tplc="A992CB78" w:tentative="1">
      <w:start w:val="1"/>
      <w:numFmt w:val="lowerRoman"/>
      <w:lvlText w:val="%3."/>
      <w:lvlJc w:val="right"/>
      <w:pPr>
        <w:ind w:left="2160" w:hanging="180"/>
      </w:pPr>
    </w:lvl>
    <w:lvl w:ilvl="3" w:tplc="448AC5E6" w:tentative="1">
      <w:start w:val="1"/>
      <w:numFmt w:val="decimal"/>
      <w:lvlText w:val="%4."/>
      <w:lvlJc w:val="left"/>
      <w:pPr>
        <w:ind w:left="2880" w:hanging="360"/>
      </w:pPr>
    </w:lvl>
    <w:lvl w:ilvl="4" w:tplc="87D44B18" w:tentative="1">
      <w:start w:val="1"/>
      <w:numFmt w:val="lowerLetter"/>
      <w:lvlText w:val="%5."/>
      <w:lvlJc w:val="left"/>
      <w:pPr>
        <w:ind w:left="3600" w:hanging="360"/>
      </w:pPr>
    </w:lvl>
    <w:lvl w:ilvl="5" w:tplc="52060446" w:tentative="1">
      <w:start w:val="1"/>
      <w:numFmt w:val="lowerRoman"/>
      <w:lvlText w:val="%6."/>
      <w:lvlJc w:val="right"/>
      <w:pPr>
        <w:ind w:left="4320" w:hanging="180"/>
      </w:pPr>
    </w:lvl>
    <w:lvl w:ilvl="6" w:tplc="3AA2D8C2" w:tentative="1">
      <w:start w:val="1"/>
      <w:numFmt w:val="decimal"/>
      <w:lvlText w:val="%7."/>
      <w:lvlJc w:val="left"/>
      <w:pPr>
        <w:ind w:left="5040" w:hanging="360"/>
      </w:pPr>
    </w:lvl>
    <w:lvl w:ilvl="7" w:tplc="052A69EA" w:tentative="1">
      <w:start w:val="1"/>
      <w:numFmt w:val="lowerLetter"/>
      <w:lvlText w:val="%8."/>
      <w:lvlJc w:val="left"/>
      <w:pPr>
        <w:ind w:left="5760" w:hanging="360"/>
      </w:pPr>
    </w:lvl>
    <w:lvl w:ilvl="8" w:tplc="B49A2944" w:tentative="1">
      <w:start w:val="1"/>
      <w:numFmt w:val="lowerRoman"/>
      <w:lvlText w:val="%9."/>
      <w:lvlJc w:val="right"/>
      <w:pPr>
        <w:ind w:left="6480" w:hanging="180"/>
      </w:pPr>
    </w:lvl>
  </w:abstractNum>
  <w:abstractNum w:abstractNumId="32" w15:restartNumberingAfterBreak="0">
    <w:nsid w:val="665E73A7"/>
    <w:multiLevelType w:val="hybridMultilevel"/>
    <w:tmpl w:val="AF3883E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A24289E"/>
    <w:multiLevelType w:val="multilevel"/>
    <w:tmpl w:val="E51AA0A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B22B9"/>
    <w:multiLevelType w:val="hybridMultilevel"/>
    <w:tmpl w:val="2A54640E"/>
    <w:lvl w:ilvl="0" w:tplc="04090001">
      <w:start w:val="1"/>
      <w:numFmt w:val="bullet"/>
      <w:pStyle w:val="Bullet4"/>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4D033C"/>
    <w:multiLevelType w:val="multilevel"/>
    <w:tmpl w:val="437082FE"/>
    <w:lvl w:ilvl="0">
      <w:start w:val="1"/>
      <w:numFmt w:val="decimal"/>
      <w:pStyle w:val="Heading1"/>
      <w:lvlText w:val="%1"/>
      <w:lvlJc w:val="left"/>
      <w:pPr>
        <w:ind w:left="2564"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5"/>
  </w:num>
  <w:num w:numId="3">
    <w:abstractNumId w:val="25"/>
  </w:num>
  <w:num w:numId="4">
    <w:abstractNumId w:val="5"/>
  </w:num>
  <w:num w:numId="5">
    <w:abstractNumId w:val="20"/>
  </w:num>
  <w:num w:numId="6">
    <w:abstractNumId w:val="12"/>
  </w:num>
  <w:num w:numId="7">
    <w:abstractNumId w:val="28"/>
  </w:num>
  <w:num w:numId="8">
    <w:abstractNumId w:val="33"/>
  </w:num>
  <w:num w:numId="9">
    <w:abstractNumId w:val="3"/>
  </w:num>
  <w:num w:numId="10">
    <w:abstractNumId w:val="24"/>
  </w:num>
  <w:num w:numId="11">
    <w:abstractNumId w:val="23"/>
  </w:num>
  <w:num w:numId="12">
    <w:abstractNumId w:val="7"/>
  </w:num>
  <w:num w:numId="13">
    <w:abstractNumId w:val="31"/>
  </w:num>
  <w:num w:numId="14">
    <w:abstractNumId w:val="14"/>
  </w:num>
  <w:num w:numId="15">
    <w:abstractNumId w:val="19"/>
  </w:num>
  <w:num w:numId="16">
    <w:abstractNumId w:val="10"/>
  </w:num>
  <w:num w:numId="17">
    <w:abstractNumId w:val="9"/>
  </w:num>
  <w:num w:numId="18">
    <w:abstractNumId w:val="30"/>
  </w:num>
  <w:num w:numId="19">
    <w:abstractNumId w:val="29"/>
  </w:num>
  <w:num w:numId="20">
    <w:abstractNumId w:val="1"/>
  </w:num>
  <w:num w:numId="21">
    <w:abstractNumId w:val="21"/>
  </w:num>
  <w:num w:numId="22">
    <w:abstractNumId w:val="0"/>
  </w:num>
  <w:num w:numId="23">
    <w:abstractNumId w:val="34"/>
  </w:num>
  <w:num w:numId="24">
    <w:abstractNumId w:val="26"/>
  </w:num>
  <w:num w:numId="25">
    <w:abstractNumId w:val="32"/>
  </w:num>
  <w:num w:numId="26">
    <w:abstractNumId w:val="22"/>
  </w:num>
  <w:num w:numId="27">
    <w:abstractNumId w:val="25"/>
  </w:num>
  <w:num w:numId="28">
    <w:abstractNumId w:val="27"/>
  </w:num>
  <w:num w:numId="29">
    <w:abstractNumId w:val="8"/>
  </w:num>
  <w:num w:numId="30">
    <w:abstractNumId w:val="2"/>
  </w:num>
  <w:num w:numId="31">
    <w:abstractNumId w:val="16"/>
  </w:num>
  <w:num w:numId="32">
    <w:abstractNumId w:val="17"/>
  </w:num>
  <w:num w:numId="33">
    <w:abstractNumId w:val="11"/>
  </w:num>
  <w:num w:numId="34">
    <w:abstractNumId w:val="15"/>
  </w:num>
  <w:num w:numId="35">
    <w:abstractNumId w:val="13"/>
  </w:num>
  <w:num w:numId="36">
    <w:abstractNumId w:val="18"/>
  </w:num>
  <w:num w:numId="37">
    <w:abstractNumId w:val="35"/>
  </w:num>
  <w:num w:numId="38">
    <w:abstractNumId w:val="35"/>
  </w:num>
  <w:num w:numId="39">
    <w:abstractNumId w:val="3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8EB"/>
    <w:rsid w:val="000039B7"/>
    <w:rsid w:val="00007617"/>
    <w:rsid w:val="00007F21"/>
    <w:rsid w:val="000112B9"/>
    <w:rsid w:val="00011435"/>
    <w:rsid w:val="00013247"/>
    <w:rsid w:val="00014C18"/>
    <w:rsid w:val="00014FAF"/>
    <w:rsid w:val="00015886"/>
    <w:rsid w:val="00016150"/>
    <w:rsid w:val="000162EF"/>
    <w:rsid w:val="0002225F"/>
    <w:rsid w:val="00023763"/>
    <w:rsid w:val="0002399B"/>
    <w:rsid w:val="000250BD"/>
    <w:rsid w:val="00025EB2"/>
    <w:rsid w:val="000274A3"/>
    <w:rsid w:val="00033863"/>
    <w:rsid w:val="00034E47"/>
    <w:rsid w:val="00035D81"/>
    <w:rsid w:val="00035DC0"/>
    <w:rsid w:val="000360B0"/>
    <w:rsid w:val="00036414"/>
    <w:rsid w:val="00036829"/>
    <w:rsid w:val="00036BAE"/>
    <w:rsid w:val="0003778A"/>
    <w:rsid w:val="00040895"/>
    <w:rsid w:val="000432C2"/>
    <w:rsid w:val="00043A30"/>
    <w:rsid w:val="00043C37"/>
    <w:rsid w:val="00045017"/>
    <w:rsid w:val="0004542E"/>
    <w:rsid w:val="000456C2"/>
    <w:rsid w:val="00045860"/>
    <w:rsid w:val="00045A2B"/>
    <w:rsid w:val="00045B8C"/>
    <w:rsid w:val="0004698F"/>
    <w:rsid w:val="00050005"/>
    <w:rsid w:val="000501F5"/>
    <w:rsid w:val="0005159D"/>
    <w:rsid w:val="000539D0"/>
    <w:rsid w:val="00053A7B"/>
    <w:rsid w:val="00054621"/>
    <w:rsid w:val="000546D7"/>
    <w:rsid w:val="000558D0"/>
    <w:rsid w:val="00055FE9"/>
    <w:rsid w:val="0005694B"/>
    <w:rsid w:val="00060724"/>
    <w:rsid w:val="00060DB7"/>
    <w:rsid w:val="000614DE"/>
    <w:rsid w:val="0006219A"/>
    <w:rsid w:val="000628A1"/>
    <w:rsid w:val="00063331"/>
    <w:rsid w:val="0006591F"/>
    <w:rsid w:val="000662F5"/>
    <w:rsid w:val="00066360"/>
    <w:rsid w:val="00066523"/>
    <w:rsid w:val="00071248"/>
    <w:rsid w:val="000712ED"/>
    <w:rsid w:val="000720B9"/>
    <w:rsid w:val="00072A6D"/>
    <w:rsid w:val="000737F7"/>
    <w:rsid w:val="00073B2D"/>
    <w:rsid w:val="0007672F"/>
    <w:rsid w:val="000774F0"/>
    <w:rsid w:val="00080909"/>
    <w:rsid w:val="000812CA"/>
    <w:rsid w:val="00082225"/>
    <w:rsid w:val="0008258D"/>
    <w:rsid w:val="00083E99"/>
    <w:rsid w:val="000856C5"/>
    <w:rsid w:val="00085860"/>
    <w:rsid w:val="000867C7"/>
    <w:rsid w:val="00090C7E"/>
    <w:rsid w:val="00091E48"/>
    <w:rsid w:val="00092600"/>
    <w:rsid w:val="0009262B"/>
    <w:rsid w:val="00093310"/>
    <w:rsid w:val="000936ED"/>
    <w:rsid w:val="0009445C"/>
    <w:rsid w:val="0009524D"/>
    <w:rsid w:val="00095FE5"/>
    <w:rsid w:val="00096284"/>
    <w:rsid w:val="00096911"/>
    <w:rsid w:val="000974F8"/>
    <w:rsid w:val="00097542"/>
    <w:rsid w:val="000A0C87"/>
    <w:rsid w:val="000A2881"/>
    <w:rsid w:val="000A300A"/>
    <w:rsid w:val="000A48EB"/>
    <w:rsid w:val="000A531D"/>
    <w:rsid w:val="000A7D08"/>
    <w:rsid w:val="000A7F7F"/>
    <w:rsid w:val="000B0670"/>
    <w:rsid w:val="000B0E75"/>
    <w:rsid w:val="000B3D58"/>
    <w:rsid w:val="000B6CAC"/>
    <w:rsid w:val="000B7612"/>
    <w:rsid w:val="000C0FA9"/>
    <w:rsid w:val="000C308B"/>
    <w:rsid w:val="000C3DF9"/>
    <w:rsid w:val="000C3E02"/>
    <w:rsid w:val="000C453C"/>
    <w:rsid w:val="000C4CB9"/>
    <w:rsid w:val="000C51D6"/>
    <w:rsid w:val="000C52C0"/>
    <w:rsid w:val="000C59E5"/>
    <w:rsid w:val="000C6713"/>
    <w:rsid w:val="000C6A7A"/>
    <w:rsid w:val="000C6AE6"/>
    <w:rsid w:val="000C7ACA"/>
    <w:rsid w:val="000D0FBE"/>
    <w:rsid w:val="000D1BFC"/>
    <w:rsid w:val="000D23D9"/>
    <w:rsid w:val="000D281A"/>
    <w:rsid w:val="000D2DD2"/>
    <w:rsid w:val="000D326A"/>
    <w:rsid w:val="000D350C"/>
    <w:rsid w:val="000D4F71"/>
    <w:rsid w:val="000D51FB"/>
    <w:rsid w:val="000D5527"/>
    <w:rsid w:val="000D65C0"/>
    <w:rsid w:val="000D7B70"/>
    <w:rsid w:val="000E0103"/>
    <w:rsid w:val="000E0E34"/>
    <w:rsid w:val="000E135D"/>
    <w:rsid w:val="000E41FA"/>
    <w:rsid w:val="000E4217"/>
    <w:rsid w:val="000E560D"/>
    <w:rsid w:val="000E629C"/>
    <w:rsid w:val="000E7B6E"/>
    <w:rsid w:val="000F00BA"/>
    <w:rsid w:val="000F10AA"/>
    <w:rsid w:val="000F159B"/>
    <w:rsid w:val="000F316A"/>
    <w:rsid w:val="000F3C74"/>
    <w:rsid w:val="000F428D"/>
    <w:rsid w:val="000F4BB8"/>
    <w:rsid w:val="000F7127"/>
    <w:rsid w:val="000F7954"/>
    <w:rsid w:val="00100CEE"/>
    <w:rsid w:val="00100F8A"/>
    <w:rsid w:val="001010BA"/>
    <w:rsid w:val="00101A69"/>
    <w:rsid w:val="001023E5"/>
    <w:rsid w:val="001026FC"/>
    <w:rsid w:val="00102B01"/>
    <w:rsid w:val="0010363F"/>
    <w:rsid w:val="00105847"/>
    <w:rsid w:val="00105AE2"/>
    <w:rsid w:val="00106580"/>
    <w:rsid w:val="00106972"/>
    <w:rsid w:val="00106B80"/>
    <w:rsid w:val="0011032E"/>
    <w:rsid w:val="0011348B"/>
    <w:rsid w:val="00113801"/>
    <w:rsid w:val="0011383E"/>
    <w:rsid w:val="00114E02"/>
    <w:rsid w:val="001152DA"/>
    <w:rsid w:val="00115982"/>
    <w:rsid w:val="00115FD8"/>
    <w:rsid w:val="00116C53"/>
    <w:rsid w:val="0011733A"/>
    <w:rsid w:val="001213D1"/>
    <w:rsid w:val="00121799"/>
    <w:rsid w:val="001222FC"/>
    <w:rsid w:val="001237A5"/>
    <w:rsid w:val="0012405B"/>
    <w:rsid w:val="00124228"/>
    <w:rsid w:val="001244F3"/>
    <w:rsid w:val="00124A51"/>
    <w:rsid w:val="0012529D"/>
    <w:rsid w:val="00126621"/>
    <w:rsid w:val="001301E9"/>
    <w:rsid w:val="00130E4A"/>
    <w:rsid w:val="00131CFB"/>
    <w:rsid w:val="00131D82"/>
    <w:rsid w:val="00132D54"/>
    <w:rsid w:val="00133D36"/>
    <w:rsid w:val="00134484"/>
    <w:rsid w:val="00134B83"/>
    <w:rsid w:val="00134F91"/>
    <w:rsid w:val="00135608"/>
    <w:rsid w:val="00136AB9"/>
    <w:rsid w:val="00137645"/>
    <w:rsid w:val="00137BEB"/>
    <w:rsid w:val="00137D1F"/>
    <w:rsid w:val="0014015A"/>
    <w:rsid w:val="001407ED"/>
    <w:rsid w:val="00140E99"/>
    <w:rsid w:val="00142301"/>
    <w:rsid w:val="00143DB4"/>
    <w:rsid w:val="00143E04"/>
    <w:rsid w:val="00145540"/>
    <w:rsid w:val="001456B0"/>
    <w:rsid w:val="00146D5F"/>
    <w:rsid w:val="00150EDF"/>
    <w:rsid w:val="001527B0"/>
    <w:rsid w:val="001528D7"/>
    <w:rsid w:val="001536F9"/>
    <w:rsid w:val="00155697"/>
    <w:rsid w:val="001568ED"/>
    <w:rsid w:val="00157130"/>
    <w:rsid w:val="001573A5"/>
    <w:rsid w:val="001576B1"/>
    <w:rsid w:val="00160A4C"/>
    <w:rsid w:val="00160BB6"/>
    <w:rsid w:val="00160DDF"/>
    <w:rsid w:val="001610BF"/>
    <w:rsid w:val="00161CDF"/>
    <w:rsid w:val="00162913"/>
    <w:rsid w:val="00163EAA"/>
    <w:rsid w:val="00163EFF"/>
    <w:rsid w:val="00164E82"/>
    <w:rsid w:val="00165243"/>
    <w:rsid w:val="001659F1"/>
    <w:rsid w:val="001661FB"/>
    <w:rsid w:val="0017058A"/>
    <w:rsid w:val="00170F02"/>
    <w:rsid w:val="00173565"/>
    <w:rsid w:val="00173B07"/>
    <w:rsid w:val="001754F7"/>
    <w:rsid w:val="0017765E"/>
    <w:rsid w:val="00180171"/>
    <w:rsid w:val="001816F6"/>
    <w:rsid w:val="00181D9C"/>
    <w:rsid w:val="00183374"/>
    <w:rsid w:val="001855F3"/>
    <w:rsid w:val="00185764"/>
    <w:rsid w:val="0018752F"/>
    <w:rsid w:val="00190A44"/>
    <w:rsid w:val="00192B40"/>
    <w:rsid w:val="001937ED"/>
    <w:rsid w:val="00195222"/>
    <w:rsid w:val="001975D8"/>
    <w:rsid w:val="001A112C"/>
    <w:rsid w:val="001A43FA"/>
    <w:rsid w:val="001A59FB"/>
    <w:rsid w:val="001A5F02"/>
    <w:rsid w:val="001A6354"/>
    <w:rsid w:val="001A7AE8"/>
    <w:rsid w:val="001B0799"/>
    <w:rsid w:val="001B0F17"/>
    <w:rsid w:val="001B1C19"/>
    <w:rsid w:val="001B204E"/>
    <w:rsid w:val="001B3443"/>
    <w:rsid w:val="001B3C4A"/>
    <w:rsid w:val="001B446E"/>
    <w:rsid w:val="001B4D20"/>
    <w:rsid w:val="001B6018"/>
    <w:rsid w:val="001C0FD0"/>
    <w:rsid w:val="001C2A9B"/>
    <w:rsid w:val="001C2AAA"/>
    <w:rsid w:val="001C3144"/>
    <w:rsid w:val="001C4299"/>
    <w:rsid w:val="001C5F94"/>
    <w:rsid w:val="001C6E66"/>
    <w:rsid w:val="001C7BAA"/>
    <w:rsid w:val="001C7E52"/>
    <w:rsid w:val="001C7FB9"/>
    <w:rsid w:val="001D139F"/>
    <w:rsid w:val="001D1743"/>
    <w:rsid w:val="001D1991"/>
    <w:rsid w:val="001D2D64"/>
    <w:rsid w:val="001D333B"/>
    <w:rsid w:val="001D383A"/>
    <w:rsid w:val="001D39C9"/>
    <w:rsid w:val="001D5488"/>
    <w:rsid w:val="001D5D1D"/>
    <w:rsid w:val="001D68F9"/>
    <w:rsid w:val="001D6D7C"/>
    <w:rsid w:val="001D720F"/>
    <w:rsid w:val="001D7319"/>
    <w:rsid w:val="001D7C34"/>
    <w:rsid w:val="001E12E5"/>
    <w:rsid w:val="001E163E"/>
    <w:rsid w:val="001E1A66"/>
    <w:rsid w:val="001E238E"/>
    <w:rsid w:val="001E2483"/>
    <w:rsid w:val="001E2B1E"/>
    <w:rsid w:val="001E30D4"/>
    <w:rsid w:val="001E39D3"/>
    <w:rsid w:val="001E39E4"/>
    <w:rsid w:val="001E3AA9"/>
    <w:rsid w:val="001E52EB"/>
    <w:rsid w:val="001E61D2"/>
    <w:rsid w:val="001E740C"/>
    <w:rsid w:val="001F0FBF"/>
    <w:rsid w:val="001F119E"/>
    <w:rsid w:val="001F1235"/>
    <w:rsid w:val="001F1BD8"/>
    <w:rsid w:val="001F1CB3"/>
    <w:rsid w:val="001F38B5"/>
    <w:rsid w:val="001F7361"/>
    <w:rsid w:val="00200B3C"/>
    <w:rsid w:val="00200B4A"/>
    <w:rsid w:val="00200F61"/>
    <w:rsid w:val="002011B0"/>
    <w:rsid w:val="002016E8"/>
    <w:rsid w:val="00203181"/>
    <w:rsid w:val="00203783"/>
    <w:rsid w:val="0020385F"/>
    <w:rsid w:val="0020472B"/>
    <w:rsid w:val="0020540A"/>
    <w:rsid w:val="00205E35"/>
    <w:rsid w:val="00207021"/>
    <w:rsid w:val="0020732F"/>
    <w:rsid w:val="00207703"/>
    <w:rsid w:val="00207D00"/>
    <w:rsid w:val="00207F27"/>
    <w:rsid w:val="002105C1"/>
    <w:rsid w:val="00210FA6"/>
    <w:rsid w:val="00211156"/>
    <w:rsid w:val="002126E0"/>
    <w:rsid w:val="0021450D"/>
    <w:rsid w:val="002210C5"/>
    <w:rsid w:val="0022116F"/>
    <w:rsid w:val="00221D78"/>
    <w:rsid w:val="00222370"/>
    <w:rsid w:val="002226C4"/>
    <w:rsid w:val="002228ED"/>
    <w:rsid w:val="00222A2D"/>
    <w:rsid w:val="0022320A"/>
    <w:rsid w:val="0022336C"/>
    <w:rsid w:val="00223633"/>
    <w:rsid w:val="00223B49"/>
    <w:rsid w:val="00224DD4"/>
    <w:rsid w:val="00225174"/>
    <w:rsid w:val="0022588B"/>
    <w:rsid w:val="00225F87"/>
    <w:rsid w:val="0022671E"/>
    <w:rsid w:val="00227AC2"/>
    <w:rsid w:val="00227FB8"/>
    <w:rsid w:val="00230500"/>
    <w:rsid w:val="002308D9"/>
    <w:rsid w:val="002309CC"/>
    <w:rsid w:val="0023209F"/>
    <w:rsid w:val="002329BA"/>
    <w:rsid w:val="0023629D"/>
    <w:rsid w:val="00237255"/>
    <w:rsid w:val="002377B5"/>
    <w:rsid w:val="00240303"/>
    <w:rsid w:val="00241876"/>
    <w:rsid w:val="002424AF"/>
    <w:rsid w:val="00242C8B"/>
    <w:rsid w:val="002439DC"/>
    <w:rsid w:val="00243B73"/>
    <w:rsid w:val="00244036"/>
    <w:rsid w:val="00244B11"/>
    <w:rsid w:val="00244B4F"/>
    <w:rsid w:val="00244C53"/>
    <w:rsid w:val="00244DC8"/>
    <w:rsid w:val="00245535"/>
    <w:rsid w:val="002458BA"/>
    <w:rsid w:val="0024636C"/>
    <w:rsid w:val="002466E1"/>
    <w:rsid w:val="00246C39"/>
    <w:rsid w:val="00246CFF"/>
    <w:rsid w:val="00247925"/>
    <w:rsid w:val="00250682"/>
    <w:rsid w:val="00250986"/>
    <w:rsid w:val="00252E68"/>
    <w:rsid w:val="00253EE8"/>
    <w:rsid w:val="00254DCF"/>
    <w:rsid w:val="002551E6"/>
    <w:rsid w:val="0025534B"/>
    <w:rsid w:val="002555FA"/>
    <w:rsid w:val="00255BB7"/>
    <w:rsid w:val="002562D3"/>
    <w:rsid w:val="00257541"/>
    <w:rsid w:val="00260656"/>
    <w:rsid w:val="00260903"/>
    <w:rsid w:val="002628D3"/>
    <w:rsid w:val="00262A1A"/>
    <w:rsid w:val="00262A87"/>
    <w:rsid w:val="00263BA1"/>
    <w:rsid w:val="00263C23"/>
    <w:rsid w:val="0026472B"/>
    <w:rsid w:val="002649BD"/>
    <w:rsid w:val="00264D26"/>
    <w:rsid w:val="00266E88"/>
    <w:rsid w:val="00267642"/>
    <w:rsid w:val="00267AEA"/>
    <w:rsid w:val="002700E6"/>
    <w:rsid w:val="00270C22"/>
    <w:rsid w:val="00270DF5"/>
    <w:rsid w:val="00271743"/>
    <w:rsid w:val="0027255C"/>
    <w:rsid w:val="0027294B"/>
    <w:rsid w:val="00274DB6"/>
    <w:rsid w:val="00274FB1"/>
    <w:rsid w:val="00275C5A"/>
    <w:rsid w:val="00277B8A"/>
    <w:rsid w:val="00280D16"/>
    <w:rsid w:val="00281014"/>
    <w:rsid w:val="00285402"/>
    <w:rsid w:val="002855B2"/>
    <w:rsid w:val="00286C67"/>
    <w:rsid w:val="002909DD"/>
    <w:rsid w:val="00290AAB"/>
    <w:rsid w:val="00290B6C"/>
    <w:rsid w:val="00292E21"/>
    <w:rsid w:val="00293A8E"/>
    <w:rsid w:val="00293B55"/>
    <w:rsid w:val="00294E40"/>
    <w:rsid w:val="00296C3A"/>
    <w:rsid w:val="002A01BA"/>
    <w:rsid w:val="002A14AB"/>
    <w:rsid w:val="002A2F50"/>
    <w:rsid w:val="002A34C5"/>
    <w:rsid w:val="002A4F42"/>
    <w:rsid w:val="002A5C95"/>
    <w:rsid w:val="002A7059"/>
    <w:rsid w:val="002A7C91"/>
    <w:rsid w:val="002B09A4"/>
    <w:rsid w:val="002B1C1F"/>
    <w:rsid w:val="002B25A1"/>
    <w:rsid w:val="002B432F"/>
    <w:rsid w:val="002B4396"/>
    <w:rsid w:val="002B62B3"/>
    <w:rsid w:val="002B64AD"/>
    <w:rsid w:val="002B6754"/>
    <w:rsid w:val="002B6CCE"/>
    <w:rsid w:val="002C08C4"/>
    <w:rsid w:val="002C0F07"/>
    <w:rsid w:val="002C2510"/>
    <w:rsid w:val="002C2775"/>
    <w:rsid w:val="002C27C1"/>
    <w:rsid w:val="002C38B7"/>
    <w:rsid w:val="002C5099"/>
    <w:rsid w:val="002C5601"/>
    <w:rsid w:val="002C5889"/>
    <w:rsid w:val="002C5E32"/>
    <w:rsid w:val="002C71CE"/>
    <w:rsid w:val="002D1A95"/>
    <w:rsid w:val="002D2C78"/>
    <w:rsid w:val="002D4DF6"/>
    <w:rsid w:val="002D577C"/>
    <w:rsid w:val="002D7D43"/>
    <w:rsid w:val="002E0041"/>
    <w:rsid w:val="002E15B9"/>
    <w:rsid w:val="002E2158"/>
    <w:rsid w:val="002E660A"/>
    <w:rsid w:val="002E6632"/>
    <w:rsid w:val="002E7722"/>
    <w:rsid w:val="002F00A5"/>
    <w:rsid w:val="002F07BA"/>
    <w:rsid w:val="002F0DA9"/>
    <w:rsid w:val="002F0F58"/>
    <w:rsid w:val="002F1C0D"/>
    <w:rsid w:val="002F3B6C"/>
    <w:rsid w:val="002F4528"/>
    <w:rsid w:val="002F5C45"/>
    <w:rsid w:val="002F643C"/>
    <w:rsid w:val="002F71C0"/>
    <w:rsid w:val="00301017"/>
    <w:rsid w:val="0030155F"/>
    <w:rsid w:val="003019B2"/>
    <w:rsid w:val="0030298D"/>
    <w:rsid w:val="00303EFC"/>
    <w:rsid w:val="00304508"/>
    <w:rsid w:val="00304BDA"/>
    <w:rsid w:val="00304F24"/>
    <w:rsid w:val="0030587B"/>
    <w:rsid w:val="0030645A"/>
    <w:rsid w:val="00306D98"/>
    <w:rsid w:val="0030707A"/>
    <w:rsid w:val="0030717E"/>
    <w:rsid w:val="0030786C"/>
    <w:rsid w:val="00307940"/>
    <w:rsid w:val="0031031A"/>
    <w:rsid w:val="00310981"/>
    <w:rsid w:val="00310A4D"/>
    <w:rsid w:val="00311F1B"/>
    <w:rsid w:val="003134A8"/>
    <w:rsid w:val="003141BD"/>
    <w:rsid w:val="003142F5"/>
    <w:rsid w:val="00314C06"/>
    <w:rsid w:val="00315498"/>
    <w:rsid w:val="00315D48"/>
    <w:rsid w:val="00316513"/>
    <w:rsid w:val="00316AF9"/>
    <w:rsid w:val="003200BB"/>
    <w:rsid w:val="0032014A"/>
    <w:rsid w:val="00320C2E"/>
    <w:rsid w:val="0032121E"/>
    <w:rsid w:val="00322107"/>
    <w:rsid w:val="00322846"/>
    <w:rsid w:val="00322CC2"/>
    <w:rsid w:val="00322D47"/>
    <w:rsid w:val="00323C4E"/>
    <w:rsid w:val="0032466A"/>
    <w:rsid w:val="003265C1"/>
    <w:rsid w:val="00326659"/>
    <w:rsid w:val="003266EF"/>
    <w:rsid w:val="00326DA7"/>
    <w:rsid w:val="003270E4"/>
    <w:rsid w:val="00327F64"/>
    <w:rsid w:val="003302DA"/>
    <w:rsid w:val="003308BF"/>
    <w:rsid w:val="00330EDD"/>
    <w:rsid w:val="00330F5C"/>
    <w:rsid w:val="00332C5F"/>
    <w:rsid w:val="00332CFF"/>
    <w:rsid w:val="003342D4"/>
    <w:rsid w:val="003348EF"/>
    <w:rsid w:val="00334B63"/>
    <w:rsid w:val="003362D1"/>
    <w:rsid w:val="003366C9"/>
    <w:rsid w:val="003371B0"/>
    <w:rsid w:val="003406DF"/>
    <w:rsid w:val="00340A54"/>
    <w:rsid w:val="00340DF1"/>
    <w:rsid w:val="00341E88"/>
    <w:rsid w:val="003424E0"/>
    <w:rsid w:val="0034284F"/>
    <w:rsid w:val="00343A77"/>
    <w:rsid w:val="003460D2"/>
    <w:rsid w:val="00347318"/>
    <w:rsid w:val="00350473"/>
    <w:rsid w:val="003513EE"/>
    <w:rsid w:val="00351450"/>
    <w:rsid w:val="003517F9"/>
    <w:rsid w:val="003517FF"/>
    <w:rsid w:val="00352DBD"/>
    <w:rsid w:val="00353A69"/>
    <w:rsid w:val="0035620E"/>
    <w:rsid w:val="00356912"/>
    <w:rsid w:val="00357412"/>
    <w:rsid w:val="00357510"/>
    <w:rsid w:val="00360841"/>
    <w:rsid w:val="003624C4"/>
    <w:rsid w:val="003654AC"/>
    <w:rsid w:val="00366583"/>
    <w:rsid w:val="00367074"/>
    <w:rsid w:val="00367408"/>
    <w:rsid w:val="00370581"/>
    <w:rsid w:val="003705C1"/>
    <w:rsid w:val="00370960"/>
    <w:rsid w:val="003710CF"/>
    <w:rsid w:val="00371339"/>
    <w:rsid w:val="0037218F"/>
    <w:rsid w:val="0037335D"/>
    <w:rsid w:val="0037358A"/>
    <w:rsid w:val="00373BFF"/>
    <w:rsid w:val="003750F6"/>
    <w:rsid w:val="00375C68"/>
    <w:rsid w:val="003760FC"/>
    <w:rsid w:val="00376184"/>
    <w:rsid w:val="00377C0A"/>
    <w:rsid w:val="0038365C"/>
    <w:rsid w:val="0038369B"/>
    <w:rsid w:val="00383B78"/>
    <w:rsid w:val="003840AC"/>
    <w:rsid w:val="00384141"/>
    <w:rsid w:val="00385A9D"/>
    <w:rsid w:val="0038662B"/>
    <w:rsid w:val="003902B1"/>
    <w:rsid w:val="00390415"/>
    <w:rsid w:val="00393DA9"/>
    <w:rsid w:val="00394FEE"/>
    <w:rsid w:val="00395886"/>
    <w:rsid w:val="003960A3"/>
    <w:rsid w:val="00396896"/>
    <w:rsid w:val="00396E6D"/>
    <w:rsid w:val="00396FD0"/>
    <w:rsid w:val="00397205"/>
    <w:rsid w:val="003A0D87"/>
    <w:rsid w:val="003A17B0"/>
    <w:rsid w:val="003A1A7A"/>
    <w:rsid w:val="003A1AED"/>
    <w:rsid w:val="003A1BEA"/>
    <w:rsid w:val="003A2392"/>
    <w:rsid w:val="003A2831"/>
    <w:rsid w:val="003A39A3"/>
    <w:rsid w:val="003A3ED1"/>
    <w:rsid w:val="003A4E62"/>
    <w:rsid w:val="003A5469"/>
    <w:rsid w:val="003A63FF"/>
    <w:rsid w:val="003A7F10"/>
    <w:rsid w:val="003B148A"/>
    <w:rsid w:val="003B21D0"/>
    <w:rsid w:val="003B29E8"/>
    <w:rsid w:val="003B4674"/>
    <w:rsid w:val="003B5B61"/>
    <w:rsid w:val="003B6DB1"/>
    <w:rsid w:val="003C1654"/>
    <w:rsid w:val="003C1FCE"/>
    <w:rsid w:val="003C29A7"/>
    <w:rsid w:val="003C3FF8"/>
    <w:rsid w:val="003C4072"/>
    <w:rsid w:val="003C5383"/>
    <w:rsid w:val="003C5BA3"/>
    <w:rsid w:val="003C6E09"/>
    <w:rsid w:val="003C7716"/>
    <w:rsid w:val="003C7D19"/>
    <w:rsid w:val="003D0016"/>
    <w:rsid w:val="003D1828"/>
    <w:rsid w:val="003D1DE4"/>
    <w:rsid w:val="003D2422"/>
    <w:rsid w:val="003D2C5B"/>
    <w:rsid w:val="003D353C"/>
    <w:rsid w:val="003D36D8"/>
    <w:rsid w:val="003D39A1"/>
    <w:rsid w:val="003D3FBF"/>
    <w:rsid w:val="003D4A30"/>
    <w:rsid w:val="003D5405"/>
    <w:rsid w:val="003D5637"/>
    <w:rsid w:val="003D5F35"/>
    <w:rsid w:val="003D79BB"/>
    <w:rsid w:val="003D7B00"/>
    <w:rsid w:val="003D7C98"/>
    <w:rsid w:val="003E0543"/>
    <w:rsid w:val="003E19D1"/>
    <w:rsid w:val="003E1B5E"/>
    <w:rsid w:val="003E35A6"/>
    <w:rsid w:val="003E40C7"/>
    <w:rsid w:val="003E5115"/>
    <w:rsid w:val="003E685A"/>
    <w:rsid w:val="003F0F56"/>
    <w:rsid w:val="003F15A4"/>
    <w:rsid w:val="003F199C"/>
    <w:rsid w:val="003F4156"/>
    <w:rsid w:val="00400A69"/>
    <w:rsid w:val="00400B29"/>
    <w:rsid w:val="004017C7"/>
    <w:rsid w:val="00401859"/>
    <w:rsid w:val="00401937"/>
    <w:rsid w:val="00401A9A"/>
    <w:rsid w:val="004039FF"/>
    <w:rsid w:val="004043C2"/>
    <w:rsid w:val="00404953"/>
    <w:rsid w:val="0040504B"/>
    <w:rsid w:val="004051D5"/>
    <w:rsid w:val="00405DE5"/>
    <w:rsid w:val="00407060"/>
    <w:rsid w:val="00407A4B"/>
    <w:rsid w:val="00410708"/>
    <w:rsid w:val="00410EC7"/>
    <w:rsid w:val="00411B39"/>
    <w:rsid w:val="00412E55"/>
    <w:rsid w:val="0041335B"/>
    <w:rsid w:val="00413A1E"/>
    <w:rsid w:val="00413D1D"/>
    <w:rsid w:val="00413F03"/>
    <w:rsid w:val="00414476"/>
    <w:rsid w:val="00414C2E"/>
    <w:rsid w:val="004151CF"/>
    <w:rsid w:val="0041567A"/>
    <w:rsid w:val="00415785"/>
    <w:rsid w:val="004159F8"/>
    <w:rsid w:val="00416364"/>
    <w:rsid w:val="0041715D"/>
    <w:rsid w:val="00417585"/>
    <w:rsid w:val="0042064D"/>
    <w:rsid w:val="00420AA6"/>
    <w:rsid w:val="00420B9F"/>
    <w:rsid w:val="004215EC"/>
    <w:rsid w:val="00422260"/>
    <w:rsid w:val="00422FAC"/>
    <w:rsid w:val="0042413F"/>
    <w:rsid w:val="004248E4"/>
    <w:rsid w:val="004250EA"/>
    <w:rsid w:val="00426EDC"/>
    <w:rsid w:val="00431049"/>
    <w:rsid w:val="004319F8"/>
    <w:rsid w:val="00431D51"/>
    <w:rsid w:val="00431E55"/>
    <w:rsid w:val="004321F6"/>
    <w:rsid w:val="004323A7"/>
    <w:rsid w:val="00432EEC"/>
    <w:rsid w:val="00433044"/>
    <w:rsid w:val="0043320A"/>
    <w:rsid w:val="00433BC9"/>
    <w:rsid w:val="00434153"/>
    <w:rsid w:val="00434F96"/>
    <w:rsid w:val="00435051"/>
    <w:rsid w:val="00436CA6"/>
    <w:rsid w:val="004375B9"/>
    <w:rsid w:val="00437617"/>
    <w:rsid w:val="00437FFC"/>
    <w:rsid w:val="004406BB"/>
    <w:rsid w:val="00441452"/>
    <w:rsid w:val="00441741"/>
    <w:rsid w:val="004428D0"/>
    <w:rsid w:val="004429E9"/>
    <w:rsid w:val="00442C82"/>
    <w:rsid w:val="00443F85"/>
    <w:rsid w:val="00443FAF"/>
    <w:rsid w:val="004442BC"/>
    <w:rsid w:val="004443A7"/>
    <w:rsid w:val="0044442C"/>
    <w:rsid w:val="00445941"/>
    <w:rsid w:val="004464EB"/>
    <w:rsid w:val="00446DFF"/>
    <w:rsid w:val="004470B8"/>
    <w:rsid w:val="00447D26"/>
    <w:rsid w:val="00450EEF"/>
    <w:rsid w:val="004515ED"/>
    <w:rsid w:val="0045222B"/>
    <w:rsid w:val="0045413B"/>
    <w:rsid w:val="00455D45"/>
    <w:rsid w:val="004560E8"/>
    <w:rsid w:val="004568B7"/>
    <w:rsid w:val="00457D72"/>
    <w:rsid w:val="00457F8A"/>
    <w:rsid w:val="00461B3F"/>
    <w:rsid w:val="00464595"/>
    <w:rsid w:val="00464E14"/>
    <w:rsid w:val="00466D84"/>
    <w:rsid w:val="00470F5E"/>
    <w:rsid w:val="004710EC"/>
    <w:rsid w:val="00471FE0"/>
    <w:rsid w:val="00472A79"/>
    <w:rsid w:val="00473EA8"/>
    <w:rsid w:val="00473F19"/>
    <w:rsid w:val="00475E22"/>
    <w:rsid w:val="0048088E"/>
    <w:rsid w:val="00482720"/>
    <w:rsid w:val="004835E7"/>
    <w:rsid w:val="00485FF4"/>
    <w:rsid w:val="004867E2"/>
    <w:rsid w:val="00486BBE"/>
    <w:rsid w:val="004871F5"/>
    <w:rsid w:val="0048734E"/>
    <w:rsid w:val="00487473"/>
    <w:rsid w:val="004875E3"/>
    <w:rsid w:val="00490A68"/>
    <w:rsid w:val="00491B3A"/>
    <w:rsid w:val="00491D49"/>
    <w:rsid w:val="00492CFD"/>
    <w:rsid w:val="00493220"/>
    <w:rsid w:val="00494DD5"/>
    <w:rsid w:val="004962D2"/>
    <w:rsid w:val="004A0251"/>
    <w:rsid w:val="004A0DA1"/>
    <w:rsid w:val="004A10BB"/>
    <w:rsid w:val="004A118E"/>
    <w:rsid w:val="004A235F"/>
    <w:rsid w:val="004A2B48"/>
    <w:rsid w:val="004A34E3"/>
    <w:rsid w:val="004A52E9"/>
    <w:rsid w:val="004A62C3"/>
    <w:rsid w:val="004A6597"/>
    <w:rsid w:val="004A7492"/>
    <w:rsid w:val="004A7756"/>
    <w:rsid w:val="004A7848"/>
    <w:rsid w:val="004A7FEF"/>
    <w:rsid w:val="004A7FF8"/>
    <w:rsid w:val="004B1441"/>
    <w:rsid w:val="004B1CB4"/>
    <w:rsid w:val="004B2F18"/>
    <w:rsid w:val="004B3DDB"/>
    <w:rsid w:val="004B3F7B"/>
    <w:rsid w:val="004B44FD"/>
    <w:rsid w:val="004B4B7C"/>
    <w:rsid w:val="004B5CFC"/>
    <w:rsid w:val="004B6B1C"/>
    <w:rsid w:val="004B754F"/>
    <w:rsid w:val="004B774D"/>
    <w:rsid w:val="004C04F7"/>
    <w:rsid w:val="004C080A"/>
    <w:rsid w:val="004C152A"/>
    <w:rsid w:val="004C2985"/>
    <w:rsid w:val="004C319D"/>
    <w:rsid w:val="004C3FAD"/>
    <w:rsid w:val="004C4AED"/>
    <w:rsid w:val="004C74D6"/>
    <w:rsid w:val="004D29BF"/>
    <w:rsid w:val="004D2C2D"/>
    <w:rsid w:val="004D3E81"/>
    <w:rsid w:val="004D5EFF"/>
    <w:rsid w:val="004D7227"/>
    <w:rsid w:val="004E0E7F"/>
    <w:rsid w:val="004E0EB8"/>
    <w:rsid w:val="004E1577"/>
    <w:rsid w:val="004E1966"/>
    <w:rsid w:val="004E22B1"/>
    <w:rsid w:val="004E2ADC"/>
    <w:rsid w:val="004E3244"/>
    <w:rsid w:val="004E42B1"/>
    <w:rsid w:val="004E43B2"/>
    <w:rsid w:val="004E488E"/>
    <w:rsid w:val="004E6014"/>
    <w:rsid w:val="004E7CAD"/>
    <w:rsid w:val="004F00F7"/>
    <w:rsid w:val="004F103B"/>
    <w:rsid w:val="004F1D02"/>
    <w:rsid w:val="004F2679"/>
    <w:rsid w:val="004F2F21"/>
    <w:rsid w:val="004F4217"/>
    <w:rsid w:val="004F5FA1"/>
    <w:rsid w:val="004F6178"/>
    <w:rsid w:val="004F6913"/>
    <w:rsid w:val="004F7865"/>
    <w:rsid w:val="0050219B"/>
    <w:rsid w:val="00502B2E"/>
    <w:rsid w:val="00503F17"/>
    <w:rsid w:val="005048F5"/>
    <w:rsid w:val="00506928"/>
    <w:rsid w:val="00507770"/>
    <w:rsid w:val="00510F54"/>
    <w:rsid w:val="00511C70"/>
    <w:rsid w:val="005124AA"/>
    <w:rsid w:val="00512A18"/>
    <w:rsid w:val="00512C3D"/>
    <w:rsid w:val="00513E89"/>
    <w:rsid w:val="00514D7E"/>
    <w:rsid w:val="005152B5"/>
    <w:rsid w:val="00516171"/>
    <w:rsid w:val="00521319"/>
    <w:rsid w:val="00522BC8"/>
    <w:rsid w:val="005230FC"/>
    <w:rsid w:val="00523788"/>
    <w:rsid w:val="00523C28"/>
    <w:rsid w:val="005243BA"/>
    <w:rsid w:val="005260FF"/>
    <w:rsid w:val="0053081E"/>
    <w:rsid w:val="0053090A"/>
    <w:rsid w:val="00530D52"/>
    <w:rsid w:val="005311B9"/>
    <w:rsid w:val="00531E04"/>
    <w:rsid w:val="00535BE9"/>
    <w:rsid w:val="00536F42"/>
    <w:rsid w:val="00537182"/>
    <w:rsid w:val="005400DB"/>
    <w:rsid w:val="005415C9"/>
    <w:rsid w:val="00542743"/>
    <w:rsid w:val="00542C2D"/>
    <w:rsid w:val="005446C5"/>
    <w:rsid w:val="0054758D"/>
    <w:rsid w:val="00547FA8"/>
    <w:rsid w:val="00551985"/>
    <w:rsid w:val="005522C3"/>
    <w:rsid w:val="00552BD3"/>
    <w:rsid w:val="00552BEA"/>
    <w:rsid w:val="00554D48"/>
    <w:rsid w:val="00554E52"/>
    <w:rsid w:val="00555109"/>
    <w:rsid w:val="0055584E"/>
    <w:rsid w:val="0055587C"/>
    <w:rsid w:val="0055746B"/>
    <w:rsid w:val="0056101A"/>
    <w:rsid w:val="00561F7F"/>
    <w:rsid w:val="0056265A"/>
    <w:rsid w:val="0056313A"/>
    <w:rsid w:val="00563B90"/>
    <w:rsid w:val="005649F6"/>
    <w:rsid w:val="00566854"/>
    <w:rsid w:val="0056696F"/>
    <w:rsid w:val="00567230"/>
    <w:rsid w:val="0056729A"/>
    <w:rsid w:val="005677B2"/>
    <w:rsid w:val="005706D0"/>
    <w:rsid w:val="00571003"/>
    <w:rsid w:val="00571302"/>
    <w:rsid w:val="005715CF"/>
    <w:rsid w:val="00571CF2"/>
    <w:rsid w:val="00572269"/>
    <w:rsid w:val="0057244A"/>
    <w:rsid w:val="00574606"/>
    <w:rsid w:val="00575D8D"/>
    <w:rsid w:val="00576972"/>
    <w:rsid w:val="00576E08"/>
    <w:rsid w:val="00577F9C"/>
    <w:rsid w:val="00581A68"/>
    <w:rsid w:val="00581CF3"/>
    <w:rsid w:val="00581D20"/>
    <w:rsid w:val="0058212D"/>
    <w:rsid w:val="00583699"/>
    <w:rsid w:val="0058469B"/>
    <w:rsid w:val="00585CDD"/>
    <w:rsid w:val="00585D53"/>
    <w:rsid w:val="005865C2"/>
    <w:rsid w:val="00587058"/>
    <w:rsid w:val="00590892"/>
    <w:rsid w:val="00591957"/>
    <w:rsid w:val="00593001"/>
    <w:rsid w:val="005932A2"/>
    <w:rsid w:val="00593752"/>
    <w:rsid w:val="00594B41"/>
    <w:rsid w:val="00597339"/>
    <w:rsid w:val="00597BF9"/>
    <w:rsid w:val="005A0347"/>
    <w:rsid w:val="005A04BF"/>
    <w:rsid w:val="005A08DB"/>
    <w:rsid w:val="005A2292"/>
    <w:rsid w:val="005A373D"/>
    <w:rsid w:val="005A6B39"/>
    <w:rsid w:val="005B07E4"/>
    <w:rsid w:val="005B1CA4"/>
    <w:rsid w:val="005B2029"/>
    <w:rsid w:val="005B4A3D"/>
    <w:rsid w:val="005B5857"/>
    <w:rsid w:val="005B5BED"/>
    <w:rsid w:val="005B5C61"/>
    <w:rsid w:val="005B6928"/>
    <w:rsid w:val="005B7C82"/>
    <w:rsid w:val="005C1B83"/>
    <w:rsid w:val="005C2327"/>
    <w:rsid w:val="005C2D55"/>
    <w:rsid w:val="005C346B"/>
    <w:rsid w:val="005C3F4D"/>
    <w:rsid w:val="005C5822"/>
    <w:rsid w:val="005C5A4C"/>
    <w:rsid w:val="005C6B20"/>
    <w:rsid w:val="005C6BA2"/>
    <w:rsid w:val="005C6D62"/>
    <w:rsid w:val="005C7B7D"/>
    <w:rsid w:val="005D044D"/>
    <w:rsid w:val="005D0ABD"/>
    <w:rsid w:val="005D1675"/>
    <w:rsid w:val="005D18AD"/>
    <w:rsid w:val="005D2179"/>
    <w:rsid w:val="005D26B4"/>
    <w:rsid w:val="005D37E9"/>
    <w:rsid w:val="005D3E4C"/>
    <w:rsid w:val="005D4740"/>
    <w:rsid w:val="005D48B4"/>
    <w:rsid w:val="005E14CB"/>
    <w:rsid w:val="005E1879"/>
    <w:rsid w:val="005E1C0D"/>
    <w:rsid w:val="005E279B"/>
    <w:rsid w:val="005E52E2"/>
    <w:rsid w:val="005E5554"/>
    <w:rsid w:val="005E583F"/>
    <w:rsid w:val="005E5C1B"/>
    <w:rsid w:val="005E6CBC"/>
    <w:rsid w:val="005E73C0"/>
    <w:rsid w:val="005F09CE"/>
    <w:rsid w:val="005F2706"/>
    <w:rsid w:val="005F5356"/>
    <w:rsid w:val="005F578F"/>
    <w:rsid w:val="005F66E7"/>
    <w:rsid w:val="005F6A8F"/>
    <w:rsid w:val="006000E6"/>
    <w:rsid w:val="006002FF"/>
    <w:rsid w:val="0060137C"/>
    <w:rsid w:val="00603DB9"/>
    <w:rsid w:val="006041ED"/>
    <w:rsid w:val="00607669"/>
    <w:rsid w:val="00607AFD"/>
    <w:rsid w:val="00607E3C"/>
    <w:rsid w:val="00610378"/>
    <w:rsid w:val="00612A35"/>
    <w:rsid w:val="00612F97"/>
    <w:rsid w:val="0061345D"/>
    <w:rsid w:val="00616802"/>
    <w:rsid w:val="006169FD"/>
    <w:rsid w:val="00616B75"/>
    <w:rsid w:val="00617E12"/>
    <w:rsid w:val="00620AB3"/>
    <w:rsid w:val="00620B7E"/>
    <w:rsid w:val="00621477"/>
    <w:rsid w:val="0062174D"/>
    <w:rsid w:val="00621E9D"/>
    <w:rsid w:val="00622DBF"/>
    <w:rsid w:val="00622DC5"/>
    <w:rsid w:val="006234AD"/>
    <w:rsid w:val="00623DDF"/>
    <w:rsid w:val="00627F14"/>
    <w:rsid w:val="00630DEE"/>
    <w:rsid w:val="0063158F"/>
    <w:rsid w:val="00631B18"/>
    <w:rsid w:val="00631D6B"/>
    <w:rsid w:val="006330A1"/>
    <w:rsid w:val="00633994"/>
    <w:rsid w:val="006339EC"/>
    <w:rsid w:val="0063479F"/>
    <w:rsid w:val="0063494A"/>
    <w:rsid w:val="00634AC3"/>
    <w:rsid w:val="006353F0"/>
    <w:rsid w:val="006354F0"/>
    <w:rsid w:val="006364A1"/>
    <w:rsid w:val="00636EC4"/>
    <w:rsid w:val="006372FB"/>
    <w:rsid w:val="00637BFD"/>
    <w:rsid w:val="00641C4E"/>
    <w:rsid w:val="00641CD0"/>
    <w:rsid w:val="00642EB8"/>
    <w:rsid w:val="00643B5B"/>
    <w:rsid w:val="00644895"/>
    <w:rsid w:val="00646EDF"/>
    <w:rsid w:val="006470C2"/>
    <w:rsid w:val="006471CC"/>
    <w:rsid w:val="0065077A"/>
    <w:rsid w:val="0065079F"/>
    <w:rsid w:val="00651FFE"/>
    <w:rsid w:val="00652C86"/>
    <w:rsid w:val="0065342D"/>
    <w:rsid w:val="0065379F"/>
    <w:rsid w:val="006544A5"/>
    <w:rsid w:val="00654799"/>
    <w:rsid w:val="00656D15"/>
    <w:rsid w:val="00656DB6"/>
    <w:rsid w:val="00661C6B"/>
    <w:rsid w:val="006634A2"/>
    <w:rsid w:val="00664E36"/>
    <w:rsid w:val="00665456"/>
    <w:rsid w:val="006665D2"/>
    <w:rsid w:val="00670679"/>
    <w:rsid w:val="00670D54"/>
    <w:rsid w:val="00671948"/>
    <w:rsid w:val="006722DD"/>
    <w:rsid w:val="00673FB0"/>
    <w:rsid w:val="00674A4B"/>
    <w:rsid w:val="00674E42"/>
    <w:rsid w:val="00675D92"/>
    <w:rsid w:val="00677EF0"/>
    <w:rsid w:val="00680B64"/>
    <w:rsid w:val="00681535"/>
    <w:rsid w:val="00681C95"/>
    <w:rsid w:val="00682112"/>
    <w:rsid w:val="00684436"/>
    <w:rsid w:val="0068571A"/>
    <w:rsid w:val="00686170"/>
    <w:rsid w:val="006866E7"/>
    <w:rsid w:val="00686957"/>
    <w:rsid w:val="006872BA"/>
    <w:rsid w:val="00687884"/>
    <w:rsid w:val="00691648"/>
    <w:rsid w:val="006917D7"/>
    <w:rsid w:val="00692216"/>
    <w:rsid w:val="0069234E"/>
    <w:rsid w:val="00692664"/>
    <w:rsid w:val="00694B81"/>
    <w:rsid w:val="00694F44"/>
    <w:rsid w:val="00695460"/>
    <w:rsid w:val="006A1AE2"/>
    <w:rsid w:val="006A3366"/>
    <w:rsid w:val="006A40FF"/>
    <w:rsid w:val="006A6000"/>
    <w:rsid w:val="006A7E5F"/>
    <w:rsid w:val="006B1920"/>
    <w:rsid w:val="006B2234"/>
    <w:rsid w:val="006B261B"/>
    <w:rsid w:val="006B2A61"/>
    <w:rsid w:val="006B2C90"/>
    <w:rsid w:val="006B4F98"/>
    <w:rsid w:val="006B5CC0"/>
    <w:rsid w:val="006B605F"/>
    <w:rsid w:val="006B6DD0"/>
    <w:rsid w:val="006B76B4"/>
    <w:rsid w:val="006C0242"/>
    <w:rsid w:val="006C0354"/>
    <w:rsid w:val="006C0A30"/>
    <w:rsid w:val="006C0DB8"/>
    <w:rsid w:val="006C1316"/>
    <w:rsid w:val="006C1CC1"/>
    <w:rsid w:val="006C203C"/>
    <w:rsid w:val="006C2A8E"/>
    <w:rsid w:val="006C2BC4"/>
    <w:rsid w:val="006C57CC"/>
    <w:rsid w:val="006C61E2"/>
    <w:rsid w:val="006C6E7A"/>
    <w:rsid w:val="006C746A"/>
    <w:rsid w:val="006C7E11"/>
    <w:rsid w:val="006D0DF3"/>
    <w:rsid w:val="006D3C7D"/>
    <w:rsid w:val="006D5333"/>
    <w:rsid w:val="006D5D5F"/>
    <w:rsid w:val="006D5E55"/>
    <w:rsid w:val="006D5EC7"/>
    <w:rsid w:val="006D6E5F"/>
    <w:rsid w:val="006E1EE8"/>
    <w:rsid w:val="006E2387"/>
    <w:rsid w:val="006E30E5"/>
    <w:rsid w:val="006E49D4"/>
    <w:rsid w:val="006E5CB1"/>
    <w:rsid w:val="006E6864"/>
    <w:rsid w:val="006E788A"/>
    <w:rsid w:val="006F0702"/>
    <w:rsid w:val="006F0D55"/>
    <w:rsid w:val="006F306C"/>
    <w:rsid w:val="006F34D5"/>
    <w:rsid w:val="006F4989"/>
    <w:rsid w:val="006F54C4"/>
    <w:rsid w:val="006F55DD"/>
    <w:rsid w:val="006F63A5"/>
    <w:rsid w:val="006F6FCF"/>
    <w:rsid w:val="00700219"/>
    <w:rsid w:val="00700334"/>
    <w:rsid w:val="0070142B"/>
    <w:rsid w:val="0070276E"/>
    <w:rsid w:val="00702F8F"/>
    <w:rsid w:val="007047AF"/>
    <w:rsid w:val="0070522C"/>
    <w:rsid w:val="00706A79"/>
    <w:rsid w:val="00710D11"/>
    <w:rsid w:val="00711A36"/>
    <w:rsid w:val="0071200B"/>
    <w:rsid w:val="0071243C"/>
    <w:rsid w:val="00712687"/>
    <w:rsid w:val="007149AA"/>
    <w:rsid w:val="0071529C"/>
    <w:rsid w:val="007165D1"/>
    <w:rsid w:val="007172AD"/>
    <w:rsid w:val="00720C93"/>
    <w:rsid w:val="00720ED4"/>
    <w:rsid w:val="00722841"/>
    <w:rsid w:val="00722B1B"/>
    <w:rsid w:val="00722E0A"/>
    <w:rsid w:val="0072416F"/>
    <w:rsid w:val="00724226"/>
    <w:rsid w:val="00724304"/>
    <w:rsid w:val="007245E8"/>
    <w:rsid w:val="00726E6F"/>
    <w:rsid w:val="0072766B"/>
    <w:rsid w:val="00727C94"/>
    <w:rsid w:val="00731EAE"/>
    <w:rsid w:val="007324C9"/>
    <w:rsid w:val="007328EC"/>
    <w:rsid w:val="00732D8C"/>
    <w:rsid w:val="00735033"/>
    <w:rsid w:val="00735328"/>
    <w:rsid w:val="0073638A"/>
    <w:rsid w:val="0073685B"/>
    <w:rsid w:val="00737E23"/>
    <w:rsid w:val="0074054F"/>
    <w:rsid w:val="00740917"/>
    <w:rsid w:val="00741056"/>
    <w:rsid w:val="00741C89"/>
    <w:rsid w:val="00743D21"/>
    <w:rsid w:val="0074470A"/>
    <w:rsid w:val="00744F50"/>
    <w:rsid w:val="007450A3"/>
    <w:rsid w:val="00745D94"/>
    <w:rsid w:val="0074624D"/>
    <w:rsid w:val="00752142"/>
    <w:rsid w:val="007523F9"/>
    <w:rsid w:val="0075271B"/>
    <w:rsid w:val="00752886"/>
    <w:rsid w:val="0075429E"/>
    <w:rsid w:val="00754AFE"/>
    <w:rsid w:val="007573E8"/>
    <w:rsid w:val="0076098C"/>
    <w:rsid w:val="00760C4E"/>
    <w:rsid w:val="00760C59"/>
    <w:rsid w:val="00761E8E"/>
    <w:rsid w:val="00763E84"/>
    <w:rsid w:val="00764E98"/>
    <w:rsid w:val="00765B1A"/>
    <w:rsid w:val="00767432"/>
    <w:rsid w:val="00773690"/>
    <w:rsid w:val="007763C9"/>
    <w:rsid w:val="00777E10"/>
    <w:rsid w:val="00782F80"/>
    <w:rsid w:val="00783954"/>
    <w:rsid w:val="007843F2"/>
    <w:rsid w:val="00784D24"/>
    <w:rsid w:val="007859C8"/>
    <w:rsid w:val="00785A9F"/>
    <w:rsid w:val="00786359"/>
    <w:rsid w:val="00786B86"/>
    <w:rsid w:val="0079181A"/>
    <w:rsid w:val="007919CF"/>
    <w:rsid w:val="007922C2"/>
    <w:rsid w:val="0079330B"/>
    <w:rsid w:val="0079434B"/>
    <w:rsid w:val="00795C19"/>
    <w:rsid w:val="00796372"/>
    <w:rsid w:val="00796CD0"/>
    <w:rsid w:val="00797A2C"/>
    <w:rsid w:val="007A0268"/>
    <w:rsid w:val="007A0A12"/>
    <w:rsid w:val="007A132D"/>
    <w:rsid w:val="007A3CFA"/>
    <w:rsid w:val="007A64D8"/>
    <w:rsid w:val="007A756F"/>
    <w:rsid w:val="007B03F3"/>
    <w:rsid w:val="007B05DF"/>
    <w:rsid w:val="007B0CA3"/>
    <w:rsid w:val="007B0D68"/>
    <w:rsid w:val="007B13D5"/>
    <w:rsid w:val="007B251D"/>
    <w:rsid w:val="007B2F49"/>
    <w:rsid w:val="007B3CC0"/>
    <w:rsid w:val="007B4F58"/>
    <w:rsid w:val="007B528D"/>
    <w:rsid w:val="007B5435"/>
    <w:rsid w:val="007B6CC9"/>
    <w:rsid w:val="007B6F0F"/>
    <w:rsid w:val="007B7520"/>
    <w:rsid w:val="007B77D1"/>
    <w:rsid w:val="007B7A49"/>
    <w:rsid w:val="007C0170"/>
    <w:rsid w:val="007C104B"/>
    <w:rsid w:val="007C1A9D"/>
    <w:rsid w:val="007C1CD9"/>
    <w:rsid w:val="007C359B"/>
    <w:rsid w:val="007C361D"/>
    <w:rsid w:val="007C4B84"/>
    <w:rsid w:val="007C6EE7"/>
    <w:rsid w:val="007D004F"/>
    <w:rsid w:val="007D040C"/>
    <w:rsid w:val="007D0B38"/>
    <w:rsid w:val="007D189B"/>
    <w:rsid w:val="007D2665"/>
    <w:rsid w:val="007D3AD5"/>
    <w:rsid w:val="007D5440"/>
    <w:rsid w:val="007D5FEB"/>
    <w:rsid w:val="007D61C8"/>
    <w:rsid w:val="007E0C0D"/>
    <w:rsid w:val="007E1C5D"/>
    <w:rsid w:val="007E3541"/>
    <w:rsid w:val="007E5BD0"/>
    <w:rsid w:val="007E6134"/>
    <w:rsid w:val="007F1017"/>
    <w:rsid w:val="007F3B7A"/>
    <w:rsid w:val="007F4A3F"/>
    <w:rsid w:val="007F4A61"/>
    <w:rsid w:val="007F5A9C"/>
    <w:rsid w:val="007F61C2"/>
    <w:rsid w:val="007F62AF"/>
    <w:rsid w:val="008000EA"/>
    <w:rsid w:val="0080017C"/>
    <w:rsid w:val="00802D65"/>
    <w:rsid w:val="00803191"/>
    <w:rsid w:val="00805142"/>
    <w:rsid w:val="00807A8B"/>
    <w:rsid w:val="0081036C"/>
    <w:rsid w:val="00811383"/>
    <w:rsid w:val="00812149"/>
    <w:rsid w:val="00812179"/>
    <w:rsid w:val="00812804"/>
    <w:rsid w:val="00812AD2"/>
    <w:rsid w:val="00812CAC"/>
    <w:rsid w:val="00815D60"/>
    <w:rsid w:val="008166EF"/>
    <w:rsid w:val="0081719B"/>
    <w:rsid w:val="00820035"/>
    <w:rsid w:val="00820BFF"/>
    <w:rsid w:val="0082185D"/>
    <w:rsid w:val="00821F62"/>
    <w:rsid w:val="00822075"/>
    <w:rsid w:val="00825751"/>
    <w:rsid w:val="008264EB"/>
    <w:rsid w:val="00833B05"/>
    <w:rsid w:val="0083422B"/>
    <w:rsid w:val="00835A8E"/>
    <w:rsid w:val="00835DFC"/>
    <w:rsid w:val="00836085"/>
    <w:rsid w:val="008362B4"/>
    <w:rsid w:val="00836EEE"/>
    <w:rsid w:val="00837B29"/>
    <w:rsid w:val="00840A41"/>
    <w:rsid w:val="00840CA2"/>
    <w:rsid w:val="00841300"/>
    <w:rsid w:val="008416DC"/>
    <w:rsid w:val="00841D09"/>
    <w:rsid w:val="00841F85"/>
    <w:rsid w:val="008429F0"/>
    <w:rsid w:val="00842B92"/>
    <w:rsid w:val="0084374F"/>
    <w:rsid w:val="008479D5"/>
    <w:rsid w:val="00847DF5"/>
    <w:rsid w:val="0085119C"/>
    <w:rsid w:val="00852B30"/>
    <w:rsid w:val="0085309D"/>
    <w:rsid w:val="00853F0E"/>
    <w:rsid w:val="00854017"/>
    <w:rsid w:val="008557E8"/>
    <w:rsid w:val="00855829"/>
    <w:rsid w:val="00855AE5"/>
    <w:rsid w:val="00855D57"/>
    <w:rsid w:val="008561B8"/>
    <w:rsid w:val="00856897"/>
    <w:rsid w:val="00856E9A"/>
    <w:rsid w:val="0086075D"/>
    <w:rsid w:val="00862502"/>
    <w:rsid w:val="00862A8B"/>
    <w:rsid w:val="00863647"/>
    <w:rsid w:val="00863830"/>
    <w:rsid w:val="00864290"/>
    <w:rsid w:val="008650A3"/>
    <w:rsid w:val="00865792"/>
    <w:rsid w:val="008660D4"/>
    <w:rsid w:val="0086667F"/>
    <w:rsid w:val="00866BFC"/>
    <w:rsid w:val="0086733E"/>
    <w:rsid w:val="00871FA9"/>
    <w:rsid w:val="008728E9"/>
    <w:rsid w:val="008746B6"/>
    <w:rsid w:val="00874973"/>
    <w:rsid w:val="00874A88"/>
    <w:rsid w:val="00876CEB"/>
    <w:rsid w:val="00876D8A"/>
    <w:rsid w:val="008800C2"/>
    <w:rsid w:val="008805B5"/>
    <w:rsid w:val="00881723"/>
    <w:rsid w:val="00881891"/>
    <w:rsid w:val="008822AB"/>
    <w:rsid w:val="00882833"/>
    <w:rsid w:val="00882874"/>
    <w:rsid w:val="00883787"/>
    <w:rsid w:val="00886CD2"/>
    <w:rsid w:val="008874F6"/>
    <w:rsid w:val="00891C86"/>
    <w:rsid w:val="00892988"/>
    <w:rsid w:val="00892A36"/>
    <w:rsid w:val="00893239"/>
    <w:rsid w:val="00894489"/>
    <w:rsid w:val="00895763"/>
    <w:rsid w:val="00895EFD"/>
    <w:rsid w:val="008963A5"/>
    <w:rsid w:val="008A144F"/>
    <w:rsid w:val="008A3363"/>
    <w:rsid w:val="008A3371"/>
    <w:rsid w:val="008A3C3E"/>
    <w:rsid w:val="008A41B6"/>
    <w:rsid w:val="008A49FE"/>
    <w:rsid w:val="008A5008"/>
    <w:rsid w:val="008A79DE"/>
    <w:rsid w:val="008B08D8"/>
    <w:rsid w:val="008B1757"/>
    <w:rsid w:val="008B1EBE"/>
    <w:rsid w:val="008B348A"/>
    <w:rsid w:val="008B570B"/>
    <w:rsid w:val="008B5789"/>
    <w:rsid w:val="008B6128"/>
    <w:rsid w:val="008B7D7E"/>
    <w:rsid w:val="008C01C2"/>
    <w:rsid w:val="008C1E87"/>
    <w:rsid w:val="008C2314"/>
    <w:rsid w:val="008C7B4B"/>
    <w:rsid w:val="008C7ECB"/>
    <w:rsid w:val="008D1F5C"/>
    <w:rsid w:val="008D3378"/>
    <w:rsid w:val="008D4755"/>
    <w:rsid w:val="008D4C3D"/>
    <w:rsid w:val="008D7D4C"/>
    <w:rsid w:val="008D7DD9"/>
    <w:rsid w:val="008E042B"/>
    <w:rsid w:val="008E0D3C"/>
    <w:rsid w:val="008E1B9E"/>
    <w:rsid w:val="008E1F8B"/>
    <w:rsid w:val="008E2121"/>
    <w:rsid w:val="008E410A"/>
    <w:rsid w:val="008E4C89"/>
    <w:rsid w:val="008E50E2"/>
    <w:rsid w:val="008E55AB"/>
    <w:rsid w:val="008E5BAC"/>
    <w:rsid w:val="008E5F90"/>
    <w:rsid w:val="008E675A"/>
    <w:rsid w:val="008E757E"/>
    <w:rsid w:val="008F0816"/>
    <w:rsid w:val="008F120A"/>
    <w:rsid w:val="008F27E0"/>
    <w:rsid w:val="008F3DDB"/>
    <w:rsid w:val="008F3E95"/>
    <w:rsid w:val="008F48EB"/>
    <w:rsid w:val="008F4F0B"/>
    <w:rsid w:val="008F60FF"/>
    <w:rsid w:val="00900031"/>
    <w:rsid w:val="0090252F"/>
    <w:rsid w:val="00902B0F"/>
    <w:rsid w:val="0090350C"/>
    <w:rsid w:val="00903568"/>
    <w:rsid w:val="009036C4"/>
    <w:rsid w:val="009042CD"/>
    <w:rsid w:val="009043CB"/>
    <w:rsid w:val="00904531"/>
    <w:rsid w:val="009046C4"/>
    <w:rsid w:val="009062A5"/>
    <w:rsid w:val="00910850"/>
    <w:rsid w:val="00911272"/>
    <w:rsid w:val="009134D5"/>
    <w:rsid w:val="009135D6"/>
    <w:rsid w:val="00914C77"/>
    <w:rsid w:val="009169E8"/>
    <w:rsid w:val="009173B3"/>
    <w:rsid w:val="0092167F"/>
    <w:rsid w:val="00921A55"/>
    <w:rsid w:val="009232AA"/>
    <w:rsid w:val="0092369B"/>
    <w:rsid w:val="00924D5C"/>
    <w:rsid w:val="00926640"/>
    <w:rsid w:val="0092687C"/>
    <w:rsid w:val="00926C2F"/>
    <w:rsid w:val="00930357"/>
    <w:rsid w:val="009313A8"/>
    <w:rsid w:val="00933583"/>
    <w:rsid w:val="00935C07"/>
    <w:rsid w:val="009362B2"/>
    <w:rsid w:val="009375E7"/>
    <w:rsid w:val="00940C0B"/>
    <w:rsid w:val="0094100D"/>
    <w:rsid w:val="00942E47"/>
    <w:rsid w:val="00943644"/>
    <w:rsid w:val="00944CDC"/>
    <w:rsid w:val="009461E6"/>
    <w:rsid w:val="009472D9"/>
    <w:rsid w:val="00950CB3"/>
    <w:rsid w:val="009510A2"/>
    <w:rsid w:val="00951D9F"/>
    <w:rsid w:val="00953257"/>
    <w:rsid w:val="00953E41"/>
    <w:rsid w:val="00954974"/>
    <w:rsid w:val="00954C80"/>
    <w:rsid w:val="009551BD"/>
    <w:rsid w:val="00957BEA"/>
    <w:rsid w:val="00960049"/>
    <w:rsid w:val="0096045B"/>
    <w:rsid w:val="00961EAC"/>
    <w:rsid w:val="009621F1"/>
    <w:rsid w:val="009624D7"/>
    <w:rsid w:val="00962CB9"/>
    <w:rsid w:val="00964312"/>
    <w:rsid w:val="00965B8A"/>
    <w:rsid w:val="00967B18"/>
    <w:rsid w:val="00970EA5"/>
    <w:rsid w:val="009714DD"/>
    <w:rsid w:val="009717AC"/>
    <w:rsid w:val="00973729"/>
    <w:rsid w:val="0097439B"/>
    <w:rsid w:val="00976936"/>
    <w:rsid w:val="009772F9"/>
    <w:rsid w:val="00980DD8"/>
    <w:rsid w:val="00982669"/>
    <w:rsid w:val="00982726"/>
    <w:rsid w:val="00983E57"/>
    <w:rsid w:val="00984142"/>
    <w:rsid w:val="0098559C"/>
    <w:rsid w:val="0098675D"/>
    <w:rsid w:val="0099163F"/>
    <w:rsid w:val="009948BA"/>
    <w:rsid w:val="00995950"/>
    <w:rsid w:val="00995DE3"/>
    <w:rsid w:val="00996ACD"/>
    <w:rsid w:val="00996B1A"/>
    <w:rsid w:val="00996DFC"/>
    <w:rsid w:val="009A050C"/>
    <w:rsid w:val="009A102C"/>
    <w:rsid w:val="009A202A"/>
    <w:rsid w:val="009A2A25"/>
    <w:rsid w:val="009A5D5F"/>
    <w:rsid w:val="009A6118"/>
    <w:rsid w:val="009A657A"/>
    <w:rsid w:val="009A7975"/>
    <w:rsid w:val="009A7F10"/>
    <w:rsid w:val="009B04BA"/>
    <w:rsid w:val="009B056B"/>
    <w:rsid w:val="009B29FC"/>
    <w:rsid w:val="009B306D"/>
    <w:rsid w:val="009B3D31"/>
    <w:rsid w:val="009B3E26"/>
    <w:rsid w:val="009B4171"/>
    <w:rsid w:val="009B4BA4"/>
    <w:rsid w:val="009B5216"/>
    <w:rsid w:val="009B5721"/>
    <w:rsid w:val="009B5D55"/>
    <w:rsid w:val="009C4D97"/>
    <w:rsid w:val="009C5762"/>
    <w:rsid w:val="009C6CEA"/>
    <w:rsid w:val="009C7A5F"/>
    <w:rsid w:val="009C7B85"/>
    <w:rsid w:val="009D02E2"/>
    <w:rsid w:val="009D36EF"/>
    <w:rsid w:val="009D3FD3"/>
    <w:rsid w:val="009D4976"/>
    <w:rsid w:val="009D5490"/>
    <w:rsid w:val="009D5B91"/>
    <w:rsid w:val="009D679C"/>
    <w:rsid w:val="009D7264"/>
    <w:rsid w:val="009D750A"/>
    <w:rsid w:val="009D792E"/>
    <w:rsid w:val="009E0DFE"/>
    <w:rsid w:val="009E17DA"/>
    <w:rsid w:val="009E4C07"/>
    <w:rsid w:val="009E4EAB"/>
    <w:rsid w:val="009E61C1"/>
    <w:rsid w:val="009E775F"/>
    <w:rsid w:val="009E7C10"/>
    <w:rsid w:val="009E7D0B"/>
    <w:rsid w:val="009F1E58"/>
    <w:rsid w:val="009F23CB"/>
    <w:rsid w:val="009F3C0B"/>
    <w:rsid w:val="009F3D18"/>
    <w:rsid w:val="009F4580"/>
    <w:rsid w:val="009F4581"/>
    <w:rsid w:val="009F6D33"/>
    <w:rsid w:val="00A01168"/>
    <w:rsid w:val="00A01184"/>
    <w:rsid w:val="00A01FC8"/>
    <w:rsid w:val="00A03D43"/>
    <w:rsid w:val="00A04380"/>
    <w:rsid w:val="00A10FE2"/>
    <w:rsid w:val="00A11CD0"/>
    <w:rsid w:val="00A13948"/>
    <w:rsid w:val="00A13D94"/>
    <w:rsid w:val="00A14465"/>
    <w:rsid w:val="00A1555B"/>
    <w:rsid w:val="00A155C5"/>
    <w:rsid w:val="00A16AD8"/>
    <w:rsid w:val="00A21214"/>
    <w:rsid w:val="00A219DF"/>
    <w:rsid w:val="00A21CF3"/>
    <w:rsid w:val="00A22725"/>
    <w:rsid w:val="00A23FC4"/>
    <w:rsid w:val="00A241E3"/>
    <w:rsid w:val="00A25C09"/>
    <w:rsid w:val="00A265B1"/>
    <w:rsid w:val="00A27AEC"/>
    <w:rsid w:val="00A30F8B"/>
    <w:rsid w:val="00A31A21"/>
    <w:rsid w:val="00A320DB"/>
    <w:rsid w:val="00A325F8"/>
    <w:rsid w:val="00A35D16"/>
    <w:rsid w:val="00A365B8"/>
    <w:rsid w:val="00A37BCD"/>
    <w:rsid w:val="00A41BF0"/>
    <w:rsid w:val="00A43C59"/>
    <w:rsid w:val="00A466D5"/>
    <w:rsid w:val="00A46CF3"/>
    <w:rsid w:val="00A46DF9"/>
    <w:rsid w:val="00A4735E"/>
    <w:rsid w:val="00A50ECD"/>
    <w:rsid w:val="00A518F3"/>
    <w:rsid w:val="00A52729"/>
    <w:rsid w:val="00A53141"/>
    <w:rsid w:val="00A53675"/>
    <w:rsid w:val="00A53E52"/>
    <w:rsid w:val="00A54478"/>
    <w:rsid w:val="00A55A2B"/>
    <w:rsid w:val="00A564D7"/>
    <w:rsid w:val="00A56636"/>
    <w:rsid w:val="00A56B6A"/>
    <w:rsid w:val="00A578DC"/>
    <w:rsid w:val="00A6099C"/>
    <w:rsid w:val="00A65102"/>
    <w:rsid w:val="00A65197"/>
    <w:rsid w:val="00A651CC"/>
    <w:rsid w:val="00A66C70"/>
    <w:rsid w:val="00A6725B"/>
    <w:rsid w:val="00A67925"/>
    <w:rsid w:val="00A70322"/>
    <w:rsid w:val="00A70605"/>
    <w:rsid w:val="00A710C0"/>
    <w:rsid w:val="00A716E5"/>
    <w:rsid w:val="00A72E2B"/>
    <w:rsid w:val="00A73134"/>
    <w:rsid w:val="00A733F3"/>
    <w:rsid w:val="00A73954"/>
    <w:rsid w:val="00A73C7E"/>
    <w:rsid w:val="00A73E45"/>
    <w:rsid w:val="00A73EBC"/>
    <w:rsid w:val="00A76146"/>
    <w:rsid w:val="00A7763A"/>
    <w:rsid w:val="00A777B2"/>
    <w:rsid w:val="00A80D66"/>
    <w:rsid w:val="00A80F6E"/>
    <w:rsid w:val="00A83D02"/>
    <w:rsid w:val="00A83F3B"/>
    <w:rsid w:val="00A85102"/>
    <w:rsid w:val="00A855B9"/>
    <w:rsid w:val="00A857D7"/>
    <w:rsid w:val="00A8586C"/>
    <w:rsid w:val="00A86E8B"/>
    <w:rsid w:val="00A87164"/>
    <w:rsid w:val="00A90AF9"/>
    <w:rsid w:val="00A91243"/>
    <w:rsid w:val="00A91A2F"/>
    <w:rsid w:val="00A92D9C"/>
    <w:rsid w:val="00A93072"/>
    <w:rsid w:val="00A93953"/>
    <w:rsid w:val="00A9431A"/>
    <w:rsid w:val="00A94D06"/>
    <w:rsid w:val="00A959D8"/>
    <w:rsid w:val="00A95E6C"/>
    <w:rsid w:val="00A96D31"/>
    <w:rsid w:val="00AA0251"/>
    <w:rsid w:val="00AA113D"/>
    <w:rsid w:val="00AA2BE4"/>
    <w:rsid w:val="00AA2F1E"/>
    <w:rsid w:val="00AA31FC"/>
    <w:rsid w:val="00AA4984"/>
    <w:rsid w:val="00AA54E7"/>
    <w:rsid w:val="00AA6C7D"/>
    <w:rsid w:val="00AA6D34"/>
    <w:rsid w:val="00AA7431"/>
    <w:rsid w:val="00AA7918"/>
    <w:rsid w:val="00AA7BB6"/>
    <w:rsid w:val="00AA7FD6"/>
    <w:rsid w:val="00AB042A"/>
    <w:rsid w:val="00AB0D60"/>
    <w:rsid w:val="00AB1032"/>
    <w:rsid w:val="00AB2D34"/>
    <w:rsid w:val="00AB3080"/>
    <w:rsid w:val="00AB3300"/>
    <w:rsid w:val="00AB3430"/>
    <w:rsid w:val="00AB3F75"/>
    <w:rsid w:val="00AB434F"/>
    <w:rsid w:val="00AB4AD1"/>
    <w:rsid w:val="00AB5CA0"/>
    <w:rsid w:val="00AB6A1D"/>
    <w:rsid w:val="00AB7CFA"/>
    <w:rsid w:val="00AC105D"/>
    <w:rsid w:val="00AC16A7"/>
    <w:rsid w:val="00AC2C45"/>
    <w:rsid w:val="00AC2D28"/>
    <w:rsid w:val="00AC37A1"/>
    <w:rsid w:val="00AC51F3"/>
    <w:rsid w:val="00AC5AC7"/>
    <w:rsid w:val="00AC5B48"/>
    <w:rsid w:val="00AC719D"/>
    <w:rsid w:val="00AC7230"/>
    <w:rsid w:val="00AD240A"/>
    <w:rsid w:val="00AD6502"/>
    <w:rsid w:val="00AE2124"/>
    <w:rsid w:val="00AE2722"/>
    <w:rsid w:val="00AE5AB5"/>
    <w:rsid w:val="00AE71E9"/>
    <w:rsid w:val="00AF053D"/>
    <w:rsid w:val="00AF1315"/>
    <w:rsid w:val="00AF19BF"/>
    <w:rsid w:val="00AF1F2F"/>
    <w:rsid w:val="00AF2B4D"/>
    <w:rsid w:val="00AF2DC3"/>
    <w:rsid w:val="00AF38B6"/>
    <w:rsid w:val="00AF643C"/>
    <w:rsid w:val="00AF6D56"/>
    <w:rsid w:val="00B0239D"/>
    <w:rsid w:val="00B02FAF"/>
    <w:rsid w:val="00B033E5"/>
    <w:rsid w:val="00B03A63"/>
    <w:rsid w:val="00B03D76"/>
    <w:rsid w:val="00B04B1D"/>
    <w:rsid w:val="00B07D05"/>
    <w:rsid w:val="00B103D0"/>
    <w:rsid w:val="00B13381"/>
    <w:rsid w:val="00B149AA"/>
    <w:rsid w:val="00B14DD7"/>
    <w:rsid w:val="00B201A4"/>
    <w:rsid w:val="00B2028E"/>
    <w:rsid w:val="00B20C5F"/>
    <w:rsid w:val="00B20E77"/>
    <w:rsid w:val="00B213A6"/>
    <w:rsid w:val="00B225AB"/>
    <w:rsid w:val="00B240AA"/>
    <w:rsid w:val="00B243A8"/>
    <w:rsid w:val="00B24DF6"/>
    <w:rsid w:val="00B264B8"/>
    <w:rsid w:val="00B3055B"/>
    <w:rsid w:val="00B30CD3"/>
    <w:rsid w:val="00B33289"/>
    <w:rsid w:val="00B34832"/>
    <w:rsid w:val="00B3494E"/>
    <w:rsid w:val="00B34A9A"/>
    <w:rsid w:val="00B34FE2"/>
    <w:rsid w:val="00B357D8"/>
    <w:rsid w:val="00B35B37"/>
    <w:rsid w:val="00B37BFC"/>
    <w:rsid w:val="00B40358"/>
    <w:rsid w:val="00B40B91"/>
    <w:rsid w:val="00B41614"/>
    <w:rsid w:val="00B42851"/>
    <w:rsid w:val="00B42F80"/>
    <w:rsid w:val="00B435CB"/>
    <w:rsid w:val="00B437A8"/>
    <w:rsid w:val="00B43E79"/>
    <w:rsid w:val="00B44D1E"/>
    <w:rsid w:val="00B46FF8"/>
    <w:rsid w:val="00B473E5"/>
    <w:rsid w:val="00B47D08"/>
    <w:rsid w:val="00B47E8E"/>
    <w:rsid w:val="00B50DB8"/>
    <w:rsid w:val="00B51185"/>
    <w:rsid w:val="00B511E6"/>
    <w:rsid w:val="00B51566"/>
    <w:rsid w:val="00B52101"/>
    <w:rsid w:val="00B53654"/>
    <w:rsid w:val="00B53757"/>
    <w:rsid w:val="00B53905"/>
    <w:rsid w:val="00B53D36"/>
    <w:rsid w:val="00B54B5B"/>
    <w:rsid w:val="00B553B5"/>
    <w:rsid w:val="00B5562E"/>
    <w:rsid w:val="00B55780"/>
    <w:rsid w:val="00B55A50"/>
    <w:rsid w:val="00B57000"/>
    <w:rsid w:val="00B57978"/>
    <w:rsid w:val="00B57E28"/>
    <w:rsid w:val="00B60939"/>
    <w:rsid w:val="00B60AFD"/>
    <w:rsid w:val="00B60C74"/>
    <w:rsid w:val="00B61105"/>
    <w:rsid w:val="00B614FA"/>
    <w:rsid w:val="00B62715"/>
    <w:rsid w:val="00B63171"/>
    <w:rsid w:val="00B63710"/>
    <w:rsid w:val="00B63AE8"/>
    <w:rsid w:val="00B64002"/>
    <w:rsid w:val="00B6630A"/>
    <w:rsid w:val="00B66DF3"/>
    <w:rsid w:val="00B67444"/>
    <w:rsid w:val="00B70D95"/>
    <w:rsid w:val="00B71033"/>
    <w:rsid w:val="00B71786"/>
    <w:rsid w:val="00B71948"/>
    <w:rsid w:val="00B71AB0"/>
    <w:rsid w:val="00B72030"/>
    <w:rsid w:val="00B723FD"/>
    <w:rsid w:val="00B72FE3"/>
    <w:rsid w:val="00B73F12"/>
    <w:rsid w:val="00B75FE8"/>
    <w:rsid w:val="00B814AA"/>
    <w:rsid w:val="00B818A4"/>
    <w:rsid w:val="00B8192F"/>
    <w:rsid w:val="00B84117"/>
    <w:rsid w:val="00B85065"/>
    <w:rsid w:val="00B85AA2"/>
    <w:rsid w:val="00B8649C"/>
    <w:rsid w:val="00B866C7"/>
    <w:rsid w:val="00B86A89"/>
    <w:rsid w:val="00B87245"/>
    <w:rsid w:val="00B87F0A"/>
    <w:rsid w:val="00B90CDB"/>
    <w:rsid w:val="00B92214"/>
    <w:rsid w:val="00B927C6"/>
    <w:rsid w:val="00B92D0B"/>
    <w:rsid w:val="00B932E4"/>
    <w:rsid w:val="00B94945"/>
    <w:rsid w:val="00B94D62"/>
    <w:rsid w:val="00B96A3D"/>
    <w:rsid w:val="00BA2B63"/>
    <w:rsid w:val="00BA322D"/>
    <w:rsid w:val="00BA72E1"/>
    <w:rsid w:val="00BB0BDD"/>
    <w:rsid w:val="00BB1F1D"/>
    <w:rsid w:val="00BB2A73"/>
    <w:rsid w:val="00BB3403"/>
    <w:rsid w:val="00BB3E1E"/>
    <w:rsid w:val="00BB4ACC"/>
    <w:rsid w:val="00BB703E"/>
    <w:rsid w:val="00BB7405"/>
    <w:rsid w:val="00BB7E53"/>
    <w:rsid w:val="00BC0262"/>
    <w:rsid w:val="00BC118B"/>
    <w:rsid w:val="00BC3631"/>
    <w:rsid w:val="00BC6479"/>
    <w:rsid w:val="00BC6AE4"/>
    <w:rsid w:val="00BC710F"/>
    <w:rsid w:val="00BC7180"/>
    <w:rsid w:val="00BC7A58"/>
    <w:rsid w:val="00BC7E62"/>
    <w:rsid w:val="00BD10F1"/>
    <w:rsid w:val="00BD42B6"/>
    <w:rsid w:val="00BD5534"/>
    <w:rsid w:val="00BD68A3"/>
    <w:rsid w:val="00BD6938"/>
    <w:rsid w:val="00BD6C2D"/>
    <w:rsid w:val="00BD6CF3"/>
    <w:rsid w:val="00BE1339"/>
    <w:rsid w:val="00BE1A4A"/>
    <w:rsid w:val="00BE1DDF"/>
    <w:rsid w:val="00BE2180"/>
    <w:rsid w:val="00BE21F2"/>
    <w:rsid w:val="00BE4275"/>
    <w:rsid w:val="00BE4B1A"/>
    <w:rsid w:val="00BE64CA"/>
    <w:rsid w:val="00BE67EF"/>
    <w:rsid w:val="00BE690E"/>
    <w:rsid w:val="00BF0F95"/>
    <w:rsid w:val="00BF10A4"/>
    <w:rsid w:val="00BF2433"/>
    <w:rsid w:val="00BF2EA3"/>
    <w:rsid w:val="00BF3C33"/>
    <w:rsid w:val="00BF5796"/>
    <w:rsid w:val="00BF61C9"/>
    <w:rsid w:val="00BF6894"/>
    <w:rsid w:val="00BF68B4"/>
    <w:rsid w:val="00BF6C94"/>
    <w:rsid w:val="00BF6F61"/>
    <w:rsid w:val="00BF7C0C"/>
    <w:rsid w:val="00C00424"/>
    <w:rsid w:val="00C00641"/>
    <w:rsid w:val="00C01B26"/>
    <w:rsid w:val="00C06644"/>
    <w:rsid w:val="00C107E7"/>
    <w:rsid w:val="00C11D3F"/>
    <w:rsid w:val="00C12C14"/>
    <w:rsid w:val="00C13251"/>
    <w:rsid w:val="00C152D7"/>
    <w:rsid w:val="00C15381"/>
    <w:rsid w:val="00C15754"/>
    <w:rsid w:val="00C16708"/>
    <w:rsid w:val="00C17923"/>
    <w:rsid w:val="00C200AA"/>
    <w:rsid w:val="00C214F6"/>
    <w:rsid w:val="00C237A6"/>
    <w:rsid w:val="00C237ED"/>
    <w:rsid w:val="00C23E8F"/>
    <w:rsid w:val="00C24632"/>
    <w:rsid w:val="00C248EC"/>
    <w:rsid w:val="00C25418"/>
    <w:rsid w:val="00C25C07"/>
    <w:rsid w:val="00C25D9C"/>
    <w:rsid w:val="00C25ED0"/>
    <w:rsid w:val="00C26CCF"/>
    <w:rsid w:val="00C26EB5"/>
    <w:rsid w:val="00C2778B"/>
    <w:rsid w:val="00C27A63"/>
    <w:rsid w:val="00C3060B"/>
    <w:rsid w:val="00C30C4B"/>
    <w:rsid w:val="00C31649"/>
    <w:rsid w:val="00C339A9"/>
    <w:rsid w:val="00C33A72"/>
    <w:rsid w:val="00C3477D"/>
    <w:rsid w:val="00C3704F"/>
    <w:rsid w:val="00C37A61"/>
    <w:rsid w:val="00C4032F"/>
    <w:rsid w:val="00C40385"/>
    <w:rsid w:val="00C41280"/>
    <w:rsid w:val="00C412EB"/>
    <w:rsid w:val="00C42920"/>
    <w:rsid w:val="00C42DE0"/>
    <w:rsid w:val="00C43E68"/>
    <w:rsid w:val="00C474B4"/>
    <w:rsid w:val="00C475AA"/>
    <w:rsid w:val="00C543DA"/>
    <w:rsid w:val="00C54966"/>
    <w:rsid w:val="00C55317"/>
    <w:rsid w:val="00C55B61"/>
    <w:rsid w:val="00C57130"/>
    <w:rsid w:val="00C608D9"/>
    <w:rsid w:val="00C6279F"/>
    <w:rsid w:val="00C647F8"/>
    <w:rsid w:val="00C6502B"/>
    <w:rsid w:val="00C65576"/>
    <w:rsid w:val="00C66165"/>
    <w:rsid w:val="00C6787C"/>
    <w:rsid w:val="00C7102B"/>
    <w:rsid w:val="00C7151A"/>
    <w:rsid w:val="00C71F60"/>
    <w:rsid w:val="00C72241"/>
    <w:rsid w:val="00C728A4"/>
    <w:rsid w:val="00C73D5C"/>
    <w:rsid w:val="00C7438D"/>
    <w:rsid w:val="00C749E0"/>
    <w:rsid w:val="00C750C8"/>
    <w:rsid w:val="00C75335"/>
    <w:rsid w:val="00C7560F"/>
    <w:rsid w:val="00C7741B"/>
    <w:rsid w:val="00C80A0E"/>
    <w:rsid w:val="00C80A45"/>
    <w:rsid w:val="00C8213F"/>
    <w:rsid w:val="00C82ABF"/>
    <w:rsid w:val="00C83922"/>
    <w:rsid w:val="00C83E14"/>
    <w:rsid w:val="00C840EA"/>
    <w:rsid w:val="00C872D7"/>
    <w:rsid w:val="00C8797A"/>
    <w:rsid w:val="00C87E3B"/>
    <w:rsid w:val="00C900B8"/>
    <w:rsid w:val="00C903C6"/>
    <w:rsid w:val="00C904BA"/>
    <w:rsid w:val="00C90C71"/>
    <w:rsid w:val="00C9139D"/>
    <w:rsid w:val="00C931CF"/>
    <w:rsid w:val="00C938CF"/>
    <w:rsid w:val="00C94A02"/>
    <w:rsid w:val="00C94BFD"/>
    <w:rsid w:val="00C9579A"/>
    <w:rsid w:val="00C9624D"/>
    <w:rsid w:val="00C962F4"/>
    <w:rsid w:val="00C969DA"/>
    <w:rsid w:val="00CA0116"/>
    <w:rsid w:val="00CA0333"/>
    <w:rsid w:val="00CA0C36"/>
    <w:rsid w:val="00CA2C77"/>
    <w:rsid w:val="00CA444F"/>
    <w:rsid w:val="00CA5245"/>
    <w:rsid w:val="00CA63B9"/>
    <w:rsid w:val="00CA6440"/>
    <w:rsid w:val="00CA71F4"/>
    <w:rsid w:val="00CA7A5D"/>
    <w:rsid w:val="00CA7B09"/>
    <w:rsid w:val="00CB049F"/>
    <w:rsid w:val="00CB0B40"/>
    <w:rsid w:val="00CB107A"/>
    <w:rsid w:val="00CB2046"/>
    <w:rsid w:val="00CB2F2A"/>
    <w:rsid w:val="00CB34AA"/>
    <w:rsid w:val="00CB5B1A"/>
    <w:rsid w:val="00CB6880"/>
    <w:rsid w:val="00CB6933"/>
    <w:rsid w:val="00CB6B22"/>
    <w:rsid w:val="00CB6DD5"/>
    <w:rsid w:val="00CB7F5F"/>
    <w:rsid w:val="00CC0A9B"/>
    <w:rsid w:val="00CC1B39"/>
    <w:rsid w:val="00CC1BC3"/>
    <w:rsid w:val="00CC23E1"/>
    <w:rsid w:val="00CC2D77"/>
    <w:rsid w:val="00CC35D2"/>
    <w:rsid w:val="00CC4714"/>
    <w:rsid w:val="00CC4E5F"/>
    <w:rsid w:val="00CC7A8B"/>
    <w:rsid w:val="00CC7DB2"/>
    <w:rsid w:val="00CD055E"/>
    <w:rsid w:val="00CD264F"/>
    <w:rsid w:val="00CD2C87"/>
    <w:rsid w:val="00CD6ADC"/>
    <w:rsid w:val="00CD6DBF"/>
    <w:rsid w:val="00CE1038"/>
    <w:rsid w:val="00CE19CB"/>
    <w:rsid w:val="00CE1CB3"/>
    <w:rsid w:val="00CE2983"/>
    <w:rsid w:val="00CE3BB9"/>
    <w:rsid w:val="00CE6274"/>
    <w:rsid w:val="00CE7D70"/>
    <w:rsid w:val="00CE7F11"/>
    <w:rsid w:val="00CF14C5"/>
    <w:rsid w:val="00CF19B8"/>
    <w:rsid w:val="00CF2119"/>
    <w:rsid w:val="00CF2332"/>
    <w:rsid w:val="00CF2B8D"/>
    <w:rsid w:val="00CF2CAA"/>
    <w:rsid w:val="00CF3A81"/>
    <w:rsid w:val="00CF3F75"/>
    <w:rsid w:val="00CF456B"/>
    <w:rsid w:val="00CF4755"/>
    <w:rsid w:val="00CF5A22"/>
    <w:rsid w:val="00CF76F6"/>
    <w:rsid w:val="00D01473"/>
    <w:rsid w:val="00D0262A"/>
    <w:rsid w:val="00D0262E"/>
    <w:rsid w:val="00D03771"/>
    <w:rsid w:val="00D059E3"/>
    <w:rsid w:val="00D0643A"/>
    <w:rsid w:val="00D069EA"/>
    <w:rsid w:val="00D079F6"/>
    <w:rsid w:val="00D110BD"/>
    <w:rsid w:val="00D12351"/>
    <w:rsid w:val="00D12E83"/>
    <w:rsid w:val="00D13043"/>
    <w:rsid w:val="00D13675"/>
    <w:rsid w:val="00D13BE4"/>
    <w:rsid w:val="00D13D6F"/>
    <w:rsid w:val="00D13ECB"/>
    <w:rsid w:val="00D141E1"/>
    <w:rsid w:val="00D17D6C"/>
    <w:rsid w:val="00D21EC5"/>
    <w:rsid w:val="00D268C0"/>
    <w:rsid w:val="00D2754D"/>
    <w:rsid w:val="00D2762E"/>
    <w:rsid w:val="00D27B27"/>
    <w:rsid w:val="00D30847"/>
    <w:rsid w:val="00D3086D"/>
    <w:rsid w:val="00D3087A"/>
    <w:rsid w:val="00D319E7"/>
    <w:rsid w:val="00D3253B"/>
    <w:rsid w:val="00D3325C"/>
    <w:rsid w:val="00D3377E"/>
    <w:rsid w:val="00D33BE9"/>
    <w:rsid w:val="00D357FF"/>
    <w:rsid w:val="00D37166"/>
    <w:rsid w:val="00D406B0"/>
    <w:rsid w:val="00D424C7"/>
    <w:rsid w:val="00D42F47"/>
    <w:rsid w:val="00D43B2A"/>
    <w:rsid w:val="00D44067"/>
    <w:rsid w:val="00D45B63"/>
    <w:rsid w:val="00D47242"/>
    <w:rsid w:val="00D47575"/>
    <w:rsid w:val="00D47D87"/>
    <w:rsid w:val="00D50BF0"/>
    <w:rsid w:val="00D538CB"/>
    <w:rsid w:val="00D541F5"/>
    <w:rsid w:val="00D54265"/>
    <w:rsid w:val="00D5730D"/>
    <w:rsid w:val="00D576C0"/>
    <w:rsid w:val="00D57BA0"/>
    <w:rsid w:val="00D61AC9"/>
    <w:rsid w:val="00D63A47"/>
    <w:rsid w:val="00D651F3"/>
    <w:rsid w:val="00D65734"/>
    <w:rsid w:val="00D66BCC"/>
    <w:rsid w:val="00D67556"/>
    <w:rsid w:val="00D67992"/>
    <w:rsid w:val="00D70C6F"/>
    <w:rsid w:val="00D70F16"/>
    <w:rsid w:val="00D7168F"/>
    <w:rsid w:val="00D72268"/>
    <w:rsid w:val="00D72955"/>
    <w:rsid w:val="00D72E3B"/>
    <w:rsid w:val="00D7371E"/>
    <w:rsid w:val="00D73BCF"/>
    <w:rsid w:val="00D74513"/>
    <w:rsid w:val="00D7582A"/>
    <w:rsid w:val="00D75866"/>
    <w:rsid w:val="00D76A44"/>
    <w:rsid w:val="00D770A7"/>
    <w:rsid w:val="00D77E00"/>
    <w:rsid w:val="00D81153"/>
    <w:rsid w:val="00D81553"/>
    <w:rsid w:val="00D815EF"/>
    <w:rsid w:val="00D83642"/>
    <w:rsid w:val="00D91923"/>
    <w:rsid w:val="00D93753"/>
    <w:rsid w:val="00D93BDD"/>
    <w:rsid w:val="00D943FD"/>
    <w:rsid w:val="00D96F28"/>
    <w:rsid w:val="00DA2332"/>
    <w:rsid w:val="00DA3167"/>
    <w:rsid w:val="00DA3AB8"/>
    <w:rsid w:val="00DA4DC3"/>
    <w:rsid w:val="00DA55E3"/>
    <w:rsid w:val="00DA5F06"/>
    <w:rsid w:val="00DA60F0"/>
    <w:rsid w:val="00DA755E"/>
    <w:rsid w:val="00DA77A5"/>
    <w:rsid w:val="00DB0225"/>
    <w:rsid w:val="00DB1878"/>
    <w:rsid w:val="00DB2ED5"/>
    <w:rsid w:val="00DB4004"/>
    <w:rsid w:val="00DB45CA"/>
    <w:rsid w:val="00DB484F"/>
    <w:rsid w:val="00DB6A95"/>
    <w:rsid w:val="00DB76F9"/>
    <w:rsid w:val="00DB7C25"/>
    <w:rsid w:val="00DC04F6"/>
    <w:rsid w:val="00DC085C"/>
    <w:rsid w:val="00DC22E0"/>
    <w:rsid w:val="00DC26A1"/>
    <w:rsid w:val="00DC3C57"/>
    <w:rsid w:val="00DC5501"/>
    <w:rsid w:val="00DC68CB"/>
    <w:rsid w:val="00DC6CD9"/>
    <w:rsid w:val="00DC7789"/>
    <w:rsid w:val="00DC7F44"/>
    <w:rsid w:val="00DD0768"/>
    <w:rsid w:val="00DD1718"/>
    <w:rsid w:val="00DD1BF9"/>
    <w:rsid w:val="00DD273C"/>
    <w:rsid w:val="00DD32A2"/>
    <w:rsid w:val="00DD3D52"/>
    <w:rsid w:val="00DD3F28"/>
    <w:rsid w:val="00DD4537"/>
    <w:rsid w:val="00DD4E15"/>
    <w:rsid w:val="00DD5255"/>
    <w:rsid w:val="00DD5ADB"/>
    <w:rsid w:val="00DD739B"/>
    <w:rsid w:val="00DE3138"/>
    <w:rsid w:val="00DE353E"/>
    <w:rsid w:val="00DE37F8"/>
    <w:rsid w:val="00DE3B58"/>
    <w:rsid w:val="00DE3E7B"/>
    <w:rsid w:val="00DE4FCB"/>
    <w:rsid w:val="00DE61AA"/>
    <w:rsid w:val="00DE6BB5"/>
    <w:rsid w:val="00DE7832"/>
    <w:rsid w:val="00DE7FAC"/>
    <w:rsid w:val="00DF18FC"/>
    <w:rsid w:val="00DF2707"/>
    <w:rsid w:val="00DF5D2B"/>
    <w:rsid w:val="00DF6486"/>
    <w:rsid w:val="00DF7823"/>
    <w:rsid w:val="00DF7A69"/>
    <w:rsid w:val="00E00E8E"/>
    <w:rsid w:val="00E02D93"/>
    <w:rsid w:val="00E03C59"/>
    <w:rsid w:val="00E05231"/>
    <w:rsid w:val="00E05630"/>
    <w:rsid w:val="00E05C07"/>
    <w:rsid w:val="00E06A9B"/>
    <w:rsid w:val="00E06DBB"/>
    <w:rsid w:val="00E10149"/>
    <w:rsid w:val="00E10596"/>
    <w:rsid w:val="00E11EE3"/>
    <w:rsid w:val="00E125B7"/>
    <w:rsid w:val="00E1270B"/>
    <w:rsid w:val="00E14DD9"/>
    <w:rsid w:val="00E16372"/>
    <w:rsid w:val="00E20E4D"/>
    <w:rsid w:val="00E20ED6"/>
    <w:rsid w:val="00E21358"/>
    <w:rsid w:val="00E21705"/>
    <w:rsid w:val="00E2249B"/>
    <w:rsid w:val="00E226D6"/>
    <w:rsid w:val="00E22A0D"/>
    <w:rsid w:val="00E22E93"/>
    <w:rsid w:val="00E23AF6"/>
    <w:rsid w:val="00E24460"/>
    <w:rsid w:val="00E2457C"/>
    <w:rsid w:val="00E24CEA"/>
    <w:rsid w:val="00E2552C"/>
    <w:rsid w:val="00E2771E"/>
    <w:rsid w:val="00E311BE"/>
    <w:rsid w:val="00E31BCB"/>
    <w:rsid w:val="00E31E68"/>
    <w:rsid w:val="00E3406B"/>
    <w:rsid w:val="00E342DC"/>
    <w:rsid w:val="00E34948"/>
    <w:rsid w:val="00E3549D"/>
    <w:rsid w:val="00E35C82"/>
    <w:rsid w:val="00E36EFE"/>
    <w:rsid w:val="00E37569"/>
    <w:rsid w:val="00E4169D"/>
    <w:rsid w:val="00E41E30"/>
    <w:rsid w:val="00E424CF"/>
    <w:rsid w:val="00E42A30"/>
    <w:rsid w:val="00E43D70"/>
    <w:rsid w:val="00E43F49"/>
    <w:rsid w:val="00E466F3"/>
    <w:rsid w:val="00E4762C"/>
    <w:rsid w:val="00E47B2C"/>
    <w:rsid w:val="00E5090A"/>
    <w:rsid w:val="00E51560"/>
    <w:rsid w:val="00E5298A"/>
    <w:rsid w:val="00E52AE0"/>
    <w:rsid w:val="00E537D0"/>
    <w:rsid w:val="00E54347"/>
    <w:rsid w:val="00E54630"/>
    <w:rsid w:val="00E55424"/>
    <w:rsid w:val="00E55A7D"/>
    <w:rsid w:val="00E55BB5"/>
    <w:rsid w:val="00E562E3"/>
    <w:rsid w:val="00E610BF"/>
    <w:rsid w:val="00E61335"/>
    <w:rsid w:val="00E6470E"/>
    <w:rsid w:val="00E65E79"/>
    <w:rsid w:val="00E66BA2"/>
    <w:rsid w:val="00E67416"/>
    <w:rsid w:val="00E6791A"/>
    <w:rsid w:val="00E67A46"/>
    <w:rsid w:val="00E701E0"/>
    <w:rsid w:val="00E711EA"/>
    <w:rsid w:val="00E7172E"/>
    <w:rsid w:val="00E718B6"/>
    <w:rsid w:val="00E71ED0"/>
    <w:rsid w:val="00E723BA"/>
    <w:rsid w:val="00E73581"/>
    <w:rsid w:val="00E73CE8"/>
    <w:rsid w:val="00E7500C"/>
    <w:rsid w:val="00E75B5B"/>
    <w:rsid w:val="00E77743"/>
    <w:rsid w:val="00E833F7"/>
    <w:rsid w:val="00E83BDF"/>
    <w:rsid w:val="00E83DC9"/>
    <w:rsid w:val="00E8510E"/>
    <w:rsid w:val="00E8645D"/>
    <w:rsid w:val="00E86B12"/>
    <w:rsid w:val="00E8700A"/>
    <w:rsid w:val="00E87A1D"/>
    <w:rsid w:val="00E918CC"/>
    <w:rsid w:val="00E923B5"/>
    <w:rsid w:val="00E92430"/>
    <w:rsid w:val="00E926A5"/>
    <w:rsid w:val="00E929AD"/>
    <w:rsid w:val="00E92B02"/>
    <w:rsid w:val="00E92F71"/>
    <w:rsid w:val="00E9330D"/>
    <w:rsid w:val="00E93E99"/>
    <w:rsid w:val="00E94C6A"/>
    <w:rsid w:val="00E95B86"/>
    <w:rsid w:val="00E97272"/>
    <w:rsid w:val="00EA17C3"/>
    <w:rsid w:val="00EA2CAA"/>
    <w:rsid w:val="00EA3864"/>
    <w:rsid w:val="00EA3F5D"/>
    <w:rsid w:val="00EA4B97"/>
    <w:rsid w:val="00EA528E"/>
    <w:rsid w:val="00EA58C9"/>
    <w:rsid w:val="00EB15B6"/>
    <w:rsid w:val="00EB25AB"/>
    <w:rsid w:val="00EB272C"/>
    <w:rsid w:val="00EB2FD6"/>
    <w:rsid w:val="00EB4916"/>
    <w:rsid w:val="00EB59A7"/>
    <w:rsid w:val="00EB7C03"/>
    <w:rsid w:val="00EC00C9"/>
    <w:rsid w:val="00EC027B"/>
    <w:rsid w:val="00EC1187"/>
    <w:rsid w:val="00EC2546"/>
    <w:rsid w:val="00EC2649"/>
    <w:rsid w:val="00EC2B1C"/>
    <w:rsid w:val="00EC2BE0"/>
    <w:rsid w:val="00EC5C3F"/>
    <w:rsid w:val="00EC6010"/>
    <w:rsid w:val="00EC669A"/>
    <w:rsid w:val="00ED244C"/>
    <w:rsid w:val="00ED2457"/>
    <w:rsid w:val="00ED467D"/>
    <w:rsid w:val="00ED57EA"/>
    <w:rsid w:val="00ED59D7"/>
    <w:rsid w:val="00ED5A47"/>
    <w:rsid w:val="00ED5DAC"/>
    <w:rsid w:val="00EE07D3"/>
    <w:rsid w:val="00EE178B"/>
    <w:rsid w:val="00EE22AF"/>
    <w:rsid w:val="00EE4314"/>
    <w:rsid w:val="00EE437C"/>
    <w:rsid w:val="00EE457F"/>
    <w:rsid w:val="00EE5262"/>
    <w:rsid w:val="00EE6815"/>
    <w:rsid w:val="00EE71C2"/>
    <w:rsid w:val="00EE7DB1"/>
    <w:rsid w:val="00EF0171"/>
    <w:rsid w:val="00EF0449"/>
    <w:rsid w:val="00EF142F"/>
    <w:rsid w:val="00EF1B25"/>
    <w:rsid w:val="00EF1C55"/>
    <w:rsid w:val="00EF2DB1"/>
    <w:rsid w:val="00EF41F4"/>
    <w:rsid w:val="00EF42C2"/>
    <w:rsid w:val="00EF4747"/>
    <w:rsid w:val="00EF4BF8"/>
    <w:rsid w:val="00EF5854"/>
    <w:rsid w:val="00EF5C6E"/>
    <w:rsid w:val="00EF7A03"/>
    <w:rsid w:val="00F004A9"/>
    <w:rsid w:val="00F007F7"/>
    <w:rsid w:val="00F00D4B"/>
    <w:rsid w:val="00F02253"/>
    <w:rsid w:val="00F0399B"/>
    <w:rsid w:val="00F03C2E"/>
    <w:rsid w:val="00F04A66"/>
    <w:rsid w:val="00F04DBB"/>
    <w:rsid w:val="00F0516C"/>
    <w:rsid w:val="00F067A2"/>
    <w:rsid w:val="00F1263A"/>
    <w:rsid w:val="00F13FCE"/>
    <w:rsid w:val="00F16147"/>
    <w:rsid w:val="00F17699"/>
    <w:rsid w:val="00F205BD"/>
    <w:rsid w:val="00F226E7"/>
    <w:rsid w:val="00F233BC"/>
    <w:rsid w:val="00F23E72"/>
    <w:rsid w:val="00F24837"/>
    <w:rsid w:val="00F2575F"/>
    <w:rsid w:val="00F2697A"/>
    <w:rsid w:val="00F27565"/>
    <w:rsid w:val="00F310D4"/>
    <w:rsid w:val="00F31A1C"/>
    <w:rsid w:val="00F31D5A"/>
    <w:rsid w:val="00F321CD"/>
    <w:rsid w:val="00F3394E"/>
    <w:rsid w:val="00F33DE9"/>
    <w:rsid w:val="00F34194"/>
    <w:rsid w:val="00F34D74"/>
    <w:rsid w:val="00F35E2B"/>
    <w:rsid w:val="00F3619A"/>
    <w:rsid w:val="00F36597"/>
    <w:rsid w:val="00F40AAA"/>
    <w:rsid w:val="00F40B15"/>
    <w:rsid w:val="00F40BA7"/>
    <w:rsid w:val="00F40F4D"/>
    <w:rsid w:val="00F415FF"/>
    <w:rsid w:val="00F41EA7"/>
    <w:rsid w:val="00F4238E"/>
    <w:rsid w:val="00F45927"/>
    <w:rsid w:val="00F46CB6"/>
    <w:rsid w:val="00F471FC"/>
    <w:rsid w:val="00F47308"/>
    <w:rsid w:val="00F47DE8"/>
    <w:rsid w:val="00F51F25"/>
    <w:rsid w:val="00F542C1"/>
    <w:rsid w:val="00F55E73"/>
    <w:rsid w:val="00F55EDA"/>
    <w:rsid w:val="00F60092"/>
    <w:rsid w:val="00F6127C"/>
    <w:rsid w:val="00F61A01"/>
    <w:rsid w:val="00F61A19"/>
    <w:rsid w:val="00F6248D"/>
    <w:rsid w:val="00F6383A"/>
    <w:rsid w:val="00F65F4B"/>
    <w:rsid w:val="00F6614A"/>
    <w:rsid w:val="00F66E75"/>
    <w:rsid w:val="00F70592"/>
    <w:rsid w:val="00F70C9D"/>
    <w:rsid w:val="00F70FDD"/>
    <w:rsid w:val="00F716A5"/>
    <w:rsid w:val="00F73F33"/>
    <w:rsid w:val="00F74486"/>
    <w:rsid w:val="00F74650"/>
    <w:rsid w:val="00F74CD9"/>
    <w:rsid w:val="00F75926"/>
    <w:rsid w:val="00F76E1F"/>
    <w:rsid w:val="00F804F1"/>
    <w:rsid w:val="00F80A7B"/>
    <w:rsid w:val="00F80E5D"/>
    <w:rsid w:val="00F81403"/>
    <w:rsid w:val="00F81841"/>
    <w:rsid w:val="00F81D38"/>
    <w:rsid w:val="00F822A3"/>
    <w:rsid w:val="00F83275"/>
    <w:rsid w:val="00F84A4E"/>
    <w:rsid w:val="00F84E57"/>
    <w:rsid w:val="00F851CE"/>
    <w:rsid w:val="00F863A8"/>
    <w:rsid w:val="00F867B5"/>
    <w:rsid w:val="00F86A99"/>
    <w:rsid w:val="00F8757D"/>
    <w:rsid w:val="00F90EBD"/>
    <w:rsid w:val="00F91219"/>
    <w:rsid w:val="00F9252F"/>
    <w:rsid w:val="00F95041"/>
    <w:rsid w:val="00F95208"/>
    <w:rsid w:val="00F955B1"/>
    <w:rsid w:val="00F960B8"/>
    <w:rsid w:val="00F97A78"/>
    <w:rsid w:val="00FA047A"/>
    <w:rsid w:val="00FA07C5"/>
    <w:rsid w:val="00FA0B20"/>
    <w:rsid w:val="00FA0DFF"/>
    <w:rsid w:val="00FA1458"/>
    <w:rsid w:val="00FA20B6"/>
    <w:rsid w:val="00FA24E7"/>
    <w:rsid w:val="00FA3D7D"/>
    <w:rsid w:val="00FA4175"/>
    <w:rsid w:val="00FA6818"/>
    <w:rsid w:val="00FA7045"/>
    <w:rsid w:val="00FB0204"/>
    <w:rsid w:val="00FB2210"/>
    <w:rsid w:val="00FB2FCB"/>
    <w:rsid w:val="00FB332E"/>
    <w:rsid w:val="00FB4310"/>
    <w:rsid w:val="00FB551A"/>
    <w:rsid w:val="00FB5ACA"/>
    <w:rsid w:val="00FB6CFC"/>
    <w:rsid w:val="00FB72F2"/>
    <w:rsid w:val="00FB7343"/>
    <w:rsid w:val="00FC0D19"/>
    <w:rsid w:val="00FC1074"/>
    <w:rsid w:val="00FC108C"/>
    <w:rsid w:val="00FC116D"/>
    <w:rsid w:val="00FC1884"/>
    <w:rsid w:val="00FC1A23"/>
    <w:rsid w:val="00FC20FF"/>
    <w:rsid w:val="00FC3661"/>
    <w:rsid w:val="00FC371D"/>
    <w:rsid w:val="00FC4F1F"/>
    <w:rsid w:val="00FC5F0B"/>
    <w:rsid w:val="00FC707C"/>
    <w:rsid w:val="00FC7440"/>
    <w:rsid w:val="00FC746D"/>
    <w:rsid w:val="00FC7E16"/>
    <w:rsid w:val="00FD01E4"/>
    <w:rsid w:val="00FD1CC0"/>
    <w:rsid w:val="00FD2100"/>
    <w:rsid w:val="00FD436C"/>
    <w:rsid w:val="00FD446D"/>
    <w:rsid w:val="00FD4DAD"/>
    <w:rsid w:val="00FD5A0D"/>
    <w:rsid w:val="00FD5B4C"/>
    <w:rsid w:val="00FD6394"/>
    <w:rsid w:val="00FD772C"/>
    <w:rsid w:val="00FE05CD"/>
    <w:rsid w:val="00FE0E6C"/>
    <w:rsid w:val="00FE1A51"/>
    <w:rsid w:val="00FE4D85"/>
    <w:rsid w:val="00FE70C3"/>
    <w:rsid w:val="00FE7388"/>
    <w:rsid w:val="00FF0D8F"/>
    <w:rsid w:val="00FF3DCF"/>
    <w:rsid w:val="00FF492C"/>
    <w:rsid w:val="00FF4A21"/>
    <w:rsid w:val="00FF5AA3"/>
    <w:rsid w:val="00FF5AD8"/>
    <w:rsid w:val="00FF7A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C6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1B"/>
    <w:pPr>
      <w:widowControl w:val="0"/>
      <w:jc w:val="both"/>
    </w:pPr>
    <w:rPr>
      <w:rFonts w:ascii="Calibri" w:hAnsi="Calibri" w:cs="Arial"/>
      <w:snapToGrid w:val="0"/>
      <w:sz w:val="24"/>
      <w:szCs w:val="22"/>
      <w:lang w:eastAsia="en-US"/>
    </w:rPr>
  </w:style>
  <w:style w:type="paragraph" w:styleId="Heading1">
    <w:name w:val="heading 1"/>
    <w:aliases w:val="h1,MP PARA,Para1,h11,h12,Section Heading,(Chapter Nbr),EOI - Heading 1 (Low),Heading 1 (low)"/>
    <w:basedOn w:val="Normal"/>
    <w:next w:val="Normal"/>
    <w:link w:val="Heading1Char"/>
    <w:uiPriority w:val="1"/>
    <w:qFormat/>
    <w:rsid w:val="002D1A95"/>
    <w:pPr>
      <w:keepNext/>
      <w:keepLines/>
      <w:widowControl/>
      <w:numPr>
        <w:numId w:val="2"/>
      </w:numPr>
      <w:spacing w:after="120"/>
      <w:ind w:left="709" w:hanging="709"/>
      <w:outlineLvl w:val="0"/>
    </w:pPr>
    <w:rPr>
      <w:rFonts w:asciiTheme="minorHAnsi" w:eastAsiaTheme="majorEastAsia" w:hAnsiTheme="minorHAnsi" w:cstheme="majorBidi"/>
      <w:b/>
      <w:snapToGrid/>
      <w:sz w:val="32"/>
      <w:szCs w:val="28"/>
    </w:rPr>
  </w:style>
  <w:style w:type="paragraph" w:styleId="Heading2">
    <w:name w:val="heading 2"/>
    <w:aliases w:val="h2,Para2,h21,h22,B Sub/Bold,B Sub/Bold1,h2 main heading,H2,(Alt+2),(Alt+2)1,(Alt+2)2,Attribute Heading 2,B Sub/Bold2,B Sub/Bold11,h2 main heading1,h2 main heading2,B Sub/Bold3,B Sub/Bold12,h2 main heading3,B Sub/Bold4,B Sub/Bold13,heading 2,2m"/>
    <w:basedOn w:val="Normal"/>
    <w:next w:val="Normal"/>
    <w:link w:val="Heading2Char"/>
    <w:qFormat/>
    <w:rsid w:val="00D3253B"/>
    <w:pPr>
      <w:keepNext/>
      <w:spacing w:after="120"/>
      <w:outlineLvl w:val="1"/>
    </w:pPr>
    <w:rPr>
      <w:b/>
      <w:i/>
      <w:sz w:val="28"/>
    </w:rPr>
  </w:style>
  <w:style w:type="paragraph" w:styleId="Heading3">
    <w:name w:val="heading 3"/>
    <w:aliases w:val="h3,h31,h32,Para3,C Sub-Sub/Italic,h3 sub heading,EOI - Heading 3,heading 3,H3,H31,(Alt+3),Head 3,3m,h:3,Level 1 - 1,(Appendix Nbr),Paragraph (heading 3)"/>
    <w:basedOn w:val="Normal"/>
    <w:next w:val="Normal"/>
    <w:link w:val="Heading3Char"/>
    <w:qFormat/>
    <w:rsid w:val="001F7361"/>
    <w:pPr>
      <w:outlineLvl w:val="2"/>
    </w:pPr>
    <w:rPr>
      <w:u w:val="single"/>
    </w:rPr>
  </w:style>
  <w:style w:type="paragraph" w:styleId="Heading4">
    <w:name w:val="heading 4"/>
    <w:aliases w:val="h4,h41,h42,Para4,heading 4,Level 2 - a,(Small Appendix)"/>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ara5,h5,h51,h52, DO NOT USE"/>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aliases w:val="DO NOT USE3,DO NOT USE,DO NOT USE4,DO NOT USE31"/>
    <w:basedOn w:val="Normal"/>
    <w:next w:val="Normal"/>
    <w:link w:val="Heading7Char"/>
    <w:uiPriority w:val="99"/>
    <w:qFormat/>
    <w:rsid w:val="00124A51"/>
    <w:pPr>
      <w:keepNext/>
      <w:jc w:val="center"/>
      <w:outlineLvl w:val="6"/>
    </w:pPr>
    <w:rPr>
      <w:b/>
      <w:sz w:val="20"/>
    </w:rPr>
  </w:style>
  <w:style w:type="paragraph" w:styleId="Heading8">
    <w:name w:val="heading 8"/>
    <w:aliases w:val="DO NOT USE2,DO NOT USE21"/>
    <w:basedOn w:val="Normal"/>
    <w:next w:val="Normal"/>
    <w:link w:val="Heading8Char"/>
    <w:uiPriority w:val="99"/>
    <w:qFormat/>
    <w:rsid w:val="00124A51"/>
    <w:pPr>
      <w:keepNext/>
      <w:jc w:val="right"/>
      <w:outlineLvl w:val="7"/>
    </w:pPr>
    <w:rPr>
      <w:b/>
    </w:rPr>
  </w:style>
  <w:style w:type="paragraph" w:styleId="Heading9">
    <w:name w:val="heading 9"/>
    <w:aliases w:val="Heading TNR,DO NOT USE1,DO NOT USE11"/>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Para2 Char,h21 Char,h22 Char,B Sub/Bold Char,B Sub/Bold1 Char,h2 main heading Char,H2 Char,(Alt+2) Char,(Alt+2)1 Char,(Alt+2)2 Char,Attribute Heading 2 Char,B Sub/Bold2 Char,B Sub/Bold11 Char,h2 main heading1 Char,B Sub/Bold3 Char"/>
    <w:link w:val="Heading2"/>
    <w:rsid w:val="00D3253B"/>
    <w:rPr>
      <w:rFonts w:ascii="Calibri" w:hAnsi="Calibri" w:cs="Arial"/>
      <w:b/>
      <w:i/>
      <w:snapToGrid w:val="0"/>
      <w:sz w:val="28"/>
      <w:szCs w:val="22"/>
      <w:lang w:eastAsia="en-US"/>
    </w:rPr>
  </w:style>
  <w:style w:type="character" w:customStyle="1" w:styleId="Heading7Char">
    <w:name w:val="Heading 7 Char"/>
    <w:aliases w:val="DO NOT USE3 Char,DO NOT USE Char,DO NOT USE4 Char,DO NOT USE31 Char"/>
    <w:basedOn w:val="DefaultParagraphFont"/>
    <w:link w:val="Heading7"/>
    <w:uiPriority w:val="99"/>
    <w:rsid w:val="00124A51"/>
    <w:rPr>
      <w:rFonts w:ascii="Arial" w:hAnsi="Arial"/>
      <w:b/>
      <w:snapToGrid w:val="0"/>
      <w:lang w:eastAsia="en-US"/>
    </w:rPr>
  </w:style>
  <w:style w:type="character" w:customStyle="1" w:styleId="Heading8Char">
    <w:name w:val="Heading 8 Char"/>
    <w:aliases w:val="DO NOT USE2 Char,DO NOT USE21 Char"/>
    <w:basedOn w:val="DefaultParagraphFont"/>
    <w:link w:val="Heading8"/>
    <w:uiPriority w:val="99"/>
    <w:rsid w:val="00124A51"/>
    <w:rPr>
      <w:b/>
      <w:snapToGrid w:val="0"/>
      <w:sz w:val="24"/>
      <w:lang w:eastAsia="en-US"/>
    </w:rPr>
  </w:style>
  <w:style w:type="character" w:customStyle="1" w:styleId="Heading9Char">
    <w:name w:val="Heading 9 Char"/>
    <w:aliases w:val="Heading TNR Char,DO NOT USE1 Char,DO NOT USE11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spacing w:before="480" w:line="276" w:lineRule="auto"/>
      <w:ind w:left="0" w:firstLine="0"/>
      <w:jc w:val="left"/>
      <w:outlineLvl w:val="9"/>
    </w:pPr>
    <w:rPr>
      <w:rFonts w:asciiTheme="majorHAnsi" w:hAnsiTheme="majorHAnsi"/>
      <w:bCs/>
      <w:snapToGrid w:val="0"/>
      <w:color w:val="365F91" w:themeColor="accent1" w:themeShade="BF"/>
      <w:sz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uiPriority w:val="99"/>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ind w:left="720" w:hanging="7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character" w:styleId="IntenseReference">
    <w:name w:val="Intense Reference"/>
    <w:basedOn w:val="DefaultParagraphFont"/>
    <w:uiPriority w:val="32"/>
    <w:qFormat/>
    <w:rsid w:val="00356912"/>
    <w:rPr>
      <w:b/>
      <w:smallCaps/>
    </w:rPr>
  </w:style>
  <w:style w:type="paragraph" w:customStyle="1" w:styleId="Table">
    <w:name w:val="Table"/>
    <w:basedOn w:val="Normal"/>
    <w:link w:val="TableChar"/>
    <w:qFormat/>
    <w:rsid w:val="00AA4984"/>
    <w:pPr>
      <w:widowControl/>
      <w:jc w:val="left"/>
    </w:pPr>
    <w:rPr>
      <w:rFonts w:ascii="Candara" w:eastAsiaTheme="majorEastAsia" w:hAnsi="Candara" w:cstheme="majorBidi"/>
      <w:snapToGrid/>
      <w:sz w:val="20"/>
      <w:lang w:bidi="en-US"/>
    </w:rPr>
  </w:style>
  <w:style w:type="character" w:customStyle="1" w:styleId="TableChar">
    <w:name w:val="Table Char"/>
    <w:basedOn w:val="DefaultParagraphFont"/>
    <w:link w:val="Table"/>
    <w:locked/>
    <w:rsid w:val="00AA4984"/>
    <w:rPr>
      <w:rFonts w:ascii="Candara" w:eastAsiaTheme="majorEastAsia" w:hAnsi="Candara" w:cstheme="majorBidi"/>
      <w:szCs w:val="22"/>
      <w:lang w:eastAsia="en-US" w:bidi="en-US"/>
    </w:rPr>
  </w:style>
  <w:style w:type="paragraph" w:styleId="FootnoteText">
    <w:name w:val="footnote text"/>
    <w:basedOn w:val="Normal"/>
    <w:link w:val="FootnoteTextChar"/>
    <w:uiPriority w:val="99"/>
    <w:unhideWhenUsed/>
    <w:rsid w:val="005B6928"/>
    <w:rPr>
      <w:sz w:val="20"/>
      <w:szCs w:val="20"/>
    </w:rPr>
  </w:style>
  <w:style w:type="character" w:customStyle="1" w:styleId="FootnoteTextChar">
    <w:name w:val="Footnote Text Char"/>
    <w:basedOn w:val="DefaultParagraphFont"/>
    <w:link w:val="FootnoteText"/>
    <w:uiPriority w:val="99"/>
    <w:rsid w:val="005B6928"/>
    <w:rPr>
      <w:rFonts w:ascii="Calibri" w:hAnsi="Calibri" w:cs="Arial"/>
      <w:snapToGrid w:val="0"/>
      <w:lang w:eastAsia="en-US"/>
    </w:rPr>
  </w:style>
  <w:style w:type="character" w:styleId="FootnoteReference">
    <w:name w:val="footnote reference"/>
    <w:basedOn w:val="DefaultParagraphFont"/>
    <w:uiPriority w:val="99"/>
    <w:unhideWhenUsed/>
    <w:rsid w:val="005B6928"/>
    <w:rPr>
      <w:vertAlign w:val="superscript"/>
    </w:rPr>
  </w:style>
  <w:style w:type="paragraph" w:customStyle="1" w:styleId="TableNotes">
    <w:name w:val="Table Notes"/>
    <w:basedOn w:val="Normal"/>
    <w:link w:val="TableNotesChar"/>
    <w:uiPriority w:val="6"/>
    <w:qFormat/>
    <w:rsid w:val="0032014A"/>
    <w:pPr>
      <w:widowControl/>
      <w:spacing w:after="40"/>
      <w:jc w:val="left"/>
    </w:pPr>
    <w:rPr>
      <w:rFonts w:ascii="Arial Narrow" w:eastAsiaTheme="majorEastAsia" w:hAnsi="Arial Narrow" w:cstheme="majorBidi"/>
      <w:snapToGrid/>
      <w:sz w:val="16"/>
    </w:rPr>
  </w:style>
  <w:style w:type="character" w:customStyle="1" w:styleId="TableNotesChar">
    <w:name w:val="Table Notes Char"/>
    <w:basedOn w:val="DefaultParagraphFont"/>
    <w:link w:val="TableNotes"/>
    <w:uiPriority w:val="6"/>
    <w:locked/>
    <w:rsid w:val="0032014A"/>
    <w:rPr>
      <w:rFonts w:ascii="Arial Narrow" w:eastAsiaTheme="majorEastAsia" w:hAnsi="Arial Narrow" w:cstheme="majorBidi"/>
      <w:sz w:val="16"/>
      <w:szCs w:val="22"/>
      <w:lang w:eastAsia="en-US"/>
    </w:rPr>
  </w:style>
  <w:style w:type="table" w:customStyle="1" w:styleId="TableGrid9">
    <w:name w:val="Table Grid9"/>
    <w:basedOn w:val="TableNormal"/>
    <w:next w:val="TableGrid"/>
    <w:uiPriority w:val="59"/>
    <w:rsid w:val="008828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0">
    <w:name w:val="Table Text"/>
    <w:basedOn w:val="DefaultParagraphFont"/>
    <w:uiPriority w:val="4"/>
    <w:qFormat/>
    <w:rsid w:val="005124AA"/>
    <w:rPr>
      <w:rFonts w:ascii="Arial Narrow" w:hAnsi="Arial Narrow" w:cs="Times New Roman"/>
      <w:sz w:val="20"/>
    </w:rPr>
  </w:style>
  <w:style w:type="character" w:customStyle="1" w:styleId="TableItalics">
    <w:name w:val="Table Italics"/>
    <w:basedOn w:val="TableText0"/>
    <w:uiPriority w:val="4"/>
    <w:qFormat/>
    <w:rsid w:val="005522C3"/>
    <w:rPr>
      <w:rFonts w:ascii="Arial Narrow" w:hAnsi="Arial Narrow" w:cs="Times New Roman"/>
      <w:i/>
      <w:sz w:val="20"/>
    </w:rPr>
  </w:style>
  <w:style w:type="table" w:customStyle="1" w:styleId="TableGrid0">
    <w:name w:val="TableGrid"/>
    <w:rsid w:val="00D54265"/>
    <w:rPr>
      <w:rFonts w:ascii="Calibri" w:hAnsi="Calibri"/>
      <w:sz w:val="22"/>
      <w:szCs w:val="22"/>
    </w:rPr>
    <w:tblPr>
      <w:tblCellMar>
        <w:top w:w="0" w:type="dxa"/>
        <w:left w:w="0" w:type="dxa"/>
        <w:bottom w:w="0" w:type="dxa"/>
        <w:right w:w="0" w:type="dxa"/>
      </w:tblCellMar>
    </w:tblPr>
  </w:style>
  <w:style w:type="paragraph" w:customStyle="1" w:styleId="TableHeading0">
    <w:name w:val="Table Heading"/>
    <w:basedOn w:val="Normal"/>
    <w:uiPriority w:val="99"/>
    <w:qFormat/>
    <w:rsid w:val="00F822A3"/>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163EAA"/>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163EAA"/>
    <w:rPr>
      <w:rFonts w:asciiTheme="minorHAnsi" w:eastAsiaTheme="minorHAnsi" w:hAnsiTheme="minorHAnsi" w:cstheme="minorBidi"/>
      <w:color w:val="4BACC6" w:themeColor="accent5"/>
      <w:sz w:val="24"/>
      <w:szCs w:val="22"/>
      <w:lang w:eastAsia="en-US"/>
    </w:rPr>
  </w:style>
  <w:style w:type="paragraph" w:customStyle="1" w:styleId="Default">
    <w:name w:val="Default"/>
    <w:uiPriority w:val="99"/>
    <w:rsid w:val="00926C2F"/>
    <w:pPr>
      <w:autoSpaceDE w:val="0"/>
      <w:autoSpaceDN w:val="0"/>
      <w:adjustRightInd w:val="0"/>
    </w:pPr>
    <w:rPr>
      <w:rFonts w:ascii="Arial" w:hAnsi="Arial" w:cs="Arial"/>
      <w:color w:val="000000"/>
      <w:sz w:val="24"/>
      <w:szCs w:val="24"/>
    </w:rPr>
  </w:style>
  <w:style w:type="table" w:customStyle="1" w:styleId="RTIAMCPTable1">
    <w:name w:val="RTI AMCP Table1"/>
    <w:basedOn w:val="TableNormal"/>
    <w:next w:val="TableGrid"/>
    <w:uiPriority w:val="59"/>
    <w:rsid w:val="000C3E02"/>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ubmissionstandard51">
    <w:name w:val="Submission standard51"/>
    <w:basedOn w:val="TableNormal"/>
    <w:uiPriority w:val="99"/>
    <w:qFormat/>
    <w:rsid w:val="000C3E02"/>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Franklin Gothic Medium" w:hAnsi="Franklin Gothic Medium"/>
        <w:b/>
        <w:sz w:val="20"/>
      </w:rPr>
      <w:tblPr/>
      <w:tcPr>
        <w:shd w:val="clear" w:color="auto" w:fill="BFBFBF" w:themeFill="background1" w:themeFillShade="BF"/>
      </w:tcPr>
    </w:tblStylePr>
  </w:style>
  <w:style w:type="table" w:customStyle="1" w:styleId="Submissionstandard6">
    <w:name w:val="Submission standard6"/>
    <w:basedOn w:val="TableNormal"/>
    <w:uiPriority w:val="99"/>
    <w:qFormat/>
    <w:rsid w:val="000C3E02"/>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Franklin Gothic Medium" w:hAnsi="Franklin Gothic Medium"/>
        <w:b/>
        <w:sz w:val="20"/>
      </w:rPr>
      <w:tblPr/>
      <w:tcPr>
        <w:shd w:val="clear" w:color="auto" w:fill="BFBFBF" w:themeFill="background1" w:themeFillShade="BF"/>
      </w:tcPr>
    </w:tblStylePr>
  </w:style>
  <w:style w:type="table" w:customStyle="1" w:styleId="TableGrid14">
    <w:name w:val="Table Grid14"/>
    <w:basedOn w:val="TableNormal"/>
    <w:next w:val="TableGrid"/>
    <w:uiPriority w:val="59"/>
    <w:rsid w:val="000C3E02"/>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NEWEvideraTable5">
    <w:name w:val="NEW Evidera Table5"/>
    <w:basedOn w:val="TableNormal"/>
    <w:uiPriority w:val="99"/>
    <w:qFormat/>
    <w:rsid w:val="00D3086D"/>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paragraph" w:customStyle="1" w:styleId="TableTextCA">
    <w:name w:val="Table Text CA"/>
    <w:basedOn w:val="Normal"/>
    <w:uiPriority w:val="99"/>
    <w:qFormat/>
    <w:rsid w:val="00D61AC9"/>
    <w:pPr>
      <w:widowControl/>
      <w:spacing w:before="40" w:after="40"/>
      <w:jc w:val="center"/>
    </w:pPr>
    <w:rPr>
      <w:rFonts w:ascii="Arial Narrow" w:eastAsiaTheme="minorHAnsi" w:hAnsi="Arial Narrow" w:cstheme="minorBidi"/>
      <w:snapToGrid/>
      <w:sz w:val="20"/>
    </w:rPr>
  </w:style>
  <w:style w:type="paragraph" w:customStyle="1" w:styleId="TableHeadingCA">
    <w:name w:val="Table Heading CA"/>
    <w:basedOn w:val="TableHeading0"/>
    <w:uiPriority w:val="99"/>
    <w:qFormat/>
    <w:rsid w:val="00D61AC9"/>
    <w:pPr>
      <w:keepNext w:val="0"/>
      <w:jc w:val="center"/>
    </w:pPr>
  </w:style>
  <w:style w:type="character" w:customStyle="1" w:styleId="cit-auth">
    <w:name w:val="cit-auth"/>
    <w:basedOn w:val="DefaultParagraphFont"/>
    <w:rsid w:val="00E95B86"/>
  </w:style>
  <w:style w:type="character" w:customStyle="1" w:styleId="cit-name-surname">
    <w:name w:val="cit-name-surname"/>
    <w:basedOn w:val="DefaultParagraphFont"/>
    <w:rsid w:val="00E95B86"/>
  </w:style>
  <w:style w:type="character" w:customStyle="1" w:styleId="cit-name-given-names">
    <w:name w:val="cit-name-given-names"/>
    <w:basedOn w:val="DefaultParagraphFont"/>
    <w:rsid w:val="00E95B86"/>
  </w:style>
  <w:style w:type="character" w:styleId="HTMLCite">
    <w:name w:val="HTML Cite"/>
    <w:basedOn w:val="DefaultParagraphFont"/>
    <w:uiPriority w:val="99"/>
    <w:semiHidden/>
    <w:unhideWhenUsed/>
    <w:rsid w:val="00E95B86"/>
    <w:rPr>
      <w:i/>
      <w:iCs/>
    </w:rPr>
  </w:style>
  <w:style w:type="character" w:customStyle="1" w:styleId="cit-article-title">
    <w:name w:val="cit-article-title"/>
    <w:basedOn w:val="DefaultParagraphFont"/>
    <w:rsid w:val="00E95B86"/>
  </w:style>
  <w:style w:type="character" w:customStyle="1" w:styleId="cit-pub-date">
    <w:name w:val="cit-pub-date"/>
    <w:basedOn w:val="DefaultParagraphFont"/>
    <w:rsid w:val="00E95B86"/>
  </w:style>
  <w:style w:type="character" w:customStyle="1" w:styleId="cit-vol">
    <w:name w:val="cit-vol"/>
    <w:basedOn w:val="DefaultParagraphFont"/>
    <w:rsid w:val="00E95B86"/>
  </w:style>
  <w:style w:type="character" w:customStyle="1" w:styleId="cit-fpage">
    <w:name w:val="cit-fpage"/>
    <w:basedOn w:val="DefaultParagraphFont"/>
    <w:rsid w:val="00E95B86"/>
  </w:style>
  <w:style w:type="character" w:customStyle="1" w:styleId="cit-lpage">
    <w:name w:val="cit-lpage"/>
    <w:basedOn w:val="DefaultParagraphFont"/>
    <w:rsid w:val="00E95B86"/>
  </w:style>
  <w:style w:type="character" w:customStyle="1" w:styleId="cit-etal">
    <w:name w:val="cit-etal"/>
    <w:basedOn w:val="DefaultParagraphFont"/>
    <w:rsid w:val="00E95B86"/>
  </w:style>
  <w:style w:type="character" w:customStyle="1" w:styleId="cit-reflinks-abstract">
    <w:name w:val="cit-reflinks-abstract"/>
    <w:basedOn w:val="DefaultParagraphFont"/>
    <w:rsid w:val="00E95B86"/>
  </w:style>
  <w:style w:type="character" w:customStyle="1" w:styleId="cit-sep">
    <w:name w:val="cit-sep"/>
    <w:basedOn w:val="DefaultParagraphFont"/>
    <w:rsid w:val="00E95B86"/>
  </w:style>
  <w:style w:type="character" w:customStyle="1" w:styleId="cit-reflinks-full-text">
    <w:name w:val="cit-reflinks-full-text"/>
    <w:basedOn w:val="DefaultParagraphFont"/>
    <w:rsid w:val="00E95B86"/>
  </w:style>
  <w:style w:type="character" w:customStyle="1" w:styleId="free-full-text">
    <w:name w:val="free-full-text"/>
    <w:basedOn w:val="DefaultParagraphFont"/>
    <w:rsid w:val="00E95B86"/>
  </w:style>
  <w:style w:type="paragraph" w:customStyle="1" w:styleId="p">
    <w:name w:val="p"/>
    <w:basedOn w:val="Normal"/>
    <w:rsid w:val="00AF1F2F"/>
    <w:pPr>
      <w:widowControl/>
      <w:spacing w:before="100" w:beforeAutospacing="1" w:after="100" w:afterAutospacing="1"/>
      <w:jc w:val="left"/>
    </w:pPr>
    <w:rPr>
      <w:rFonts w:ascii="Times New Roman" w:hAnsi="Times New Roman" w:cs="Times New Roman"/>
      <w:snapToGrid/>
      <w:szCs w:val="24"/>
      <w:lang w:eastAsia="en-AU"/>
    </w:rPr>
  </w:style>
  <w:style w:type="table" w:customStyle="1" w:styleId="NEWEvideraTable">
    <w:name w:val="NEW Evidera Table"/>
    <w:basedOn w:val="TableNormal"/>
    <w:uiPriority w:val="99"/>
    <w:qFormat/>
    <w:rsid w:val="00B85065"/>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TableGrid4">
    <w:name w:val="Table Grid4"/>
    <w:basedOn w:val="TableNormal"/>
    <w:next w:val="TableGrid"/>
    <w:uiPriority w:val="59"/>
    <w:rsid w:val="005558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MP PARA Char,Para1 Char,h11 Char,h12 Char,Section Heading Char,(Chapter Nbr) Char,EOI - Heading 1 (Low) Char,Heading 1 (low) Char"/>
    <w:basedOn w:val="DefaultParagraphFont"/>
    <w:link w:val="Heading1"/>
    <w:uiPriority w:val="1"/>
    <w:locked/>
    <w:rsid w:val="002D1A95"/>
    <w:rPr>
      <w:rFonts w:asciiTheme="minorHAnsi" w:eastAsiaTheme="majorEastAsia" w:hAnsiTheme="minorHAnsi" w:cstheme="majorBidi"/>
      <w:b/>
      <w:sz w:val="32"/>
      <w:szCs w:val="28"/>
      <w:lang w:eastAsia="en-US"/>
    </w:rPr>
  </w:style>
  <w:style w:type="character" w:customStyle="1" w:styleId="Heading3Char">
    <w:name w:val="Heading 3 Char"/>
    <w:aliases w:val="h3 Char,h31 Char,h32 Char,Para3 Char,C Sub-Sub/Italic Char,h3 sub heading Char,EOI - Heading 3 Char,heading 3 Char,H3 Char,H31 Char,(Alt+3) Char,Head 3 Char,3m Char,h:3 Char,Level 1 - 1 Char,(Appendix Nbr) Char,Paragraph (heading 3) Char"/>
    <w:basedOn w:val="DefaultParagraphFont"/>
    <w:link w:val="Heading3"/>
    <w:locked/>
    <w:rsid w:val="00B437A8"/>
    <w:rPr>
      <w:rFonts w:ascii="Calibri" w:hAnsi="Calibri" w:cs="Arial"/>
      <w:snapToGrid w:val="0"/>
      <w:sz w:val="24"/>
      <w:szCs w:val="22"/>
      <w:u w:val="single"/>
      <w:lang w:eastAsia="en-US"/>
    </w:rPr>
  </w:style>
  <w:style w:type="character" w:customStyle="1" w:styleId="Heading4Char">
    <w:name w:val="Heading 4 Char"/>
    <w:aliases w:val="h4 Char,h41 Char,h42 Char,Para4 Char,heading 4 Char,Level 2 - a Char,(Small Appendix) Char"/>
    <w:basedOn w:val="DefaultParagraphFont"/>
    <w:link w:val="Heading4"/>
    <w:uiPriority w:val="9"/>
    <w:locked/>
    <w:rsid w:val="00B437A8"/>
    <w:rPr>
      <w:rFonts w:ascii="Calibri" w:hAnsi="Calibri" w:cs="Arial"/>
      <w:b/>
      <w:bCs/>
      <w:i/>
      <w:snapToGrid w:val="0"/>
      <w:sz w:val="26"/>
      <w:szCs w:val="28"/>
      <w:lang w:eastAsia="en-US"/>
    </w:rPr>
  </w:style>
  <w:style w:type="character" w:customStyle="1" w:styleId="Heading5Char">
    <w:name w:val="Heading 5 Char"/>
    <w:aliases w:val="Para5 Char,h5 Char,h51 Char,h52 Char, DO NOT USE Char"/>
    <w:basedOn w:val="DefaultParagraphFont"/>
    <w:link w:val="Heading5"/>
    <w:locked/>
    <w:rsid w:val="00B437A8"/>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locked/>
    <w:rsid w:val="00B437A8"/>
    <w:rPr>
      <w:rFonts w:ascii="Calibri" w:hAnsi="Calibri" w:cs="Arial"/>
      <w:b/>
      <w:bCs/>
      <w:i/>
      <w:snapToGrid w:val="0"/>
      <w:sz w:val="24"/>
      <w:szCs w:val="22"/>
      <w:lang w:eastAsia="en-US"/>
    </w:rPr>
  </w:style>
  <w:style w:type="character" w:customStyle="1" w:styleId="Bold">
    <w:name w:val="Bold"/>
    <w:basedOn w:val="DefaultParagraphFont"/>
    <w:uiPriority w:val="1"/>
    <w:qFormat/>
    <w:rsid w:val="00B437A8"/>
    <w:rPr>
      <w:rFonts w:ascii="Candara" w:hAnsi="Candara" w:cs="Times New Roman"/>
      <w:b/>
      <w:sz w:val="24"/>
    </w:rPr>
  </w:style>
  <w:style w:type="character" w:customStyle="1" w:styleId="Italics">
    <w:name w:val="Italics"/>
    <w:basedOn w:val="DefaultParagraphFont"/>
    <w:uiPriority w:val="1"/>
    <w:qFormat/>
    <w:rsid w:val="00B437A8"/>
    <w:rPr>
      <w:rFonts w:ascii="Candara" w:hAnsi="Candara" w:cs="Times New Roman"/>
      <w:i/>
      <w:sz w:val="24"/>
    </w:rPr>
  </w:style>
  <w:style w:type="character" w:customStyle="1" w:styleId="Underlined">
    <w:name w:val="Underlined"/>
    <w:basedOn w:val="DefaultParagraphFont"/>
    <w:uiPriority w:val="1"/>
    <w:qFormat/>
    <w:rsid w:val="00B437A8"/>
    <w:rPr>
      <w:rFonts w:ascii="Candara" w:hAnsi="Candara" w:cs="Times New Roman"/>
      <w:sz w:val="24"/>
      <w:u w:val="single"/>
    </w:rPr>
  </w:style>
  <w:style w:type="character" w:customStyle="1" w:styleId="HighlightYellow">
    <w:name w:val="Highlight Yellow"/>
    <w:basedOn w:val="DefaultParagraphFont"/>
    <w:uiPriority w:val="2"/>
    <w:qFormat/>
    <w:rsid w:val="00B437A8"/>
    <w:rPr>
      <w:rFonts w:ascii="Candara" w:hAnsi="Candara" w:cs="Times New Roman"/>
      <w:sz w:val="24"/>
      <w:shd w:val="clear" w:color="auto" w:fill="FFFF00"/>
    </w:rPr>
  </w:style>
  <w:style w:type="character" w:styleId="Strong">
    <w:name w:val="Strong"/>
    <w:basedOn w:val="DefaultParagraphFont"/>
    <w:uiPriority w:val="22"/>
    <w:qFormat/>
    <w:rsid w:val="00B437A8"/>
    <w:rPr>
      <w:b/>
    </w:rPr>
  </w:style>
  <w:style w:type="character" w:styleId="Emphasis">
    <w:name w:val="Emphasis"/>
    <w:basedOn w:val="DefaultParagraphFont"/>
    <w:uiPriority w:val="20"/>
    <w:qFormat/>
    <w:rsid w:val="00B437A8"/>
    <w:rPr>
      <w:b/>
      <w:i/>
      <w:spacing w:val="10"/>
    </w:rPr>
  </w:style>
  <w:style w:type="character" w:customStyle="1" w:styleId="HighlightGreen">
    <w:name w:val="Highlight Green"/>
    <w:basedOn w:val="DefaultParagraphFont"/>
    <w:uiPriority w:val="2"/>
    <w:qFormat/>
    <w:rsid w:val="00B437A8"/>
    <w:rPr>
      <w:rFonts w:ascii="Candara" w:hAnsi="Candara" w:cs="Times New Roman"/>
      <w:sz w:val="24"/>
      <w:shd w:val="clear" w:color="auto" w:fill="92D050"/>
    </w:rPr>
  </w:style>
  <w:style w:type="character" w:customStyle="1" w:styleId="HighlightRed">
    <w:name w:val="Highlight Red"/>
    <w:basedOn w:val="DefaultParagraphFont"/>
    <w:uiPriority w:val="2"/>
    <w:qFormat/>
    <w:rsid w:val="00B437A8"/>
    <w:rPr>
      <w:rFonts w:ascii="Candara" w:hAnsi="Candara" w:cs="Times New Roman"/>
      <w:sz w:val="24"/>
      <w:shd w:val="clear" w:color="auto" w:fill="FF0000"/>
    </w:rPr>
  </w:style>
  <w:style w:type="character" w:customStyle="1" w:styleId="Superscript">
    <w:name w:val="Superscript"/>
    <w:basedOn w:val="DefaultParagraphFont"/>
    <w:uiPriority w:val="1"/>
    <w:qFormat/>
    <w:rsid w:val="00B437A8"/>
    <w:rPr>
      <w:rFonts w:ascii="Candara" w:hAnsi="Candara" w:cs="Times New Roman"/>
      <w:sz w:val="24"/>
      <w:vertAlign w:val="superscript"/>
    </w:rPr>
  </w:style>
  <w:style w:type="character" w:customStyle="1" w:styleId="Subscript">
    <w:name w:val="Subscript"/>
    <w:basedOn w:val="DefaultParagraphFont"/>
    <w:uiPriority w:val="1"/>
    <w:qFormat/>
    <w:rsid w:val="00B437A8"/>
    <w:rPr>
      <w:rFonts w:ascii="Candara" w:hAnsi="Candara" w:cs="Times New Roman"/>
      <w:sz w:val="24"/>
      <w:vertAlign w:val="subscript"/>
    </w:rPr>
  </w:style>
  <w:style w:type="character" w:styleId="SubtleEmphasis">
    <w:name w:val="Subtle Emphasis"/>
    <w:basedOn w:val="DefaultParagraphFont"/>
    <w:uiPriority w:val="19"/>
    <w:qFormat/>
    <w:rsid w:val="00B437A8"/>
    <w:rPr>
      <w:i/>
    </w:rPr>
  </w:style>
  <w:style w:type="character" w:styleId="IntenseEmphasis">
    <w:name w:val="Intense Emphasis"/>
    <w:basedOn w:val="DefaultParagraphFont"/>
    <w:uiPriority w:val="21"/>
    <w:qFormat/>
    <w:rsid w:val="00B437A8"/>
    <w:rPr>
      <w:b/>
      <w:i/>
    </w:rPr>
  </w:style>
  <w:style w:type="character" w:styleId="SubtleReference">
    <w:name w:val="Subtle Reference"/>
    <w:basedOn w:val="DefaultParagraphFont"/>
    <w:uiPriority w:val="31"/>
    <w:qFormat/>
    <w:rsid w:val="00B437A8"/>
    <w:rPr>
      <w:rFonts w:cs="Times New Roman"/>
      <w:smallCaps/>
    </w:rPr>
  </w:style>
  <w:style w:type="character" w:styleId="BookTitle">
    <w:name w:val="Book Title"/>
    <w:basedOn w:val="DefaultParagraphFont"/>
    <w:uiPriority w:val="33"/>
    <w:qFormat/>
    <w:rsid w:val="00B437A8"/>
    <w:rPr>
      <w:rFonts w:cs="Times New Roman"/>
      <w:i/>
      <w:iCs/>
      <w:smallCaps/>
      <w:spacing w:val="5"/>
    </w:rPr>
  </w:style>
  <w:style w:type="character" w:customStyle="1" w:styleId="Normalfont">
    <w:name w:val="Normal font"/>
    <w:basedOn w:val="DefaultParagraphFont"/>
    <w:uiPriority w:val="1"/>
    <w:rsid w:val="00B437A8"/>
    <w:rPr>
      <w:rFonts w:ascii="Candara" w:hAnsi="Candara" w:cs="Times New Roman"/>
      <w:sz w:val="24"/>
    </w:rPr>
  </w:style>
  <w:style w:type="paragraph" w:customStyle="1" w:styleId="BulletedList">
    <w:name w:val="Bulleted List"/>
    <w:basedOn w:val="Normal"/>
    <w:uiPriority w:val="3"/>
    <w:qFormat/>
    <w:rsid w:val="00B437A8"/>
    <w:pPr>
      <w:widowControl/>
      <w:numPr>
        <w:numId w:val="10"/>
      </w:numPr>
      <w:spacing w:after="240"/>
      <w:ind w:left="357" w:hanging="357"/>
      <w:contextualSpacing/>
      <w:jc w:val="left"/>
    </w:pPr>
    <w:rPr>
      <w:rFonts w:ascii="Candara" w:eastAsiaTheme="majorEastAsia" w:hAnsi="Candara" w:cstheme="majorBidi"/>
      <w:snapToGrid/>
    </w:rPr>
  </w:style>
  <w:style w:type="paragraph" w:customStyle="1" w:styleId="NumberedList">
    <w:name w:val="Numbered List"/>
    <w:basedOn w:val="Normal"/>
    <w:uiPriority w:val="3"/>
    <w:qFormat/>
    <w:rsid w:val="00B437A8"/>
    <w:pPr>
      <w:widowControl/>
      <w:numPr>
        <w:numId w:val="11"/>
      </w:numPr>
      <w:spacing w:after="240"/>
      <w:ind w:left="357" w:hanging="357"/>
      <w:contextualSpacing/>
      <w:jc w:val="left"/>
    </w:pPr>
    <w:rPr>
      <w:rFonts w:ascii="Candara" w:eastAsiaTheme="majorEastAsia" w:hAnsi="Candara" w:cstheme="majorBidi"/>
      <w:snapToGrid/>
    </w:rPr>
  </w:style>
  <w:style w:type="paragraph" w:customStyle="1" w:styleId="LetteredList">
    <w:name w:val="Lettered List"/>
    <w:basedOn w:val="Normal"/>
    <w:uiPriority w:val="3"/>
    <w:qFormat/>
    <w:rsid w:val="00B437A8"/>
    <w:pPr>
      <w:widowControl/>
      <w:numPr>
        <w:numId w:val="12"/>
      </w:numPr>
      <w:spacing w:after="240"/>
      <w:ind w:left="357" w:hanging="357"/>
      <w:contextualSpacing/>
      <w:jc w:val="left"/>
    </w:pPr>
    <w:rPr>
      <w:rFonts w:ascii="Candara" w:eastAsiaTheme="majorEastAsia" w:hAnsi="Candara" w:cstheme="majorBidi"/>
      <w:snapToGrid/>
    </w:rPr>
  </w:style>
  <w:style w:type="table" w:customStyle="1" w:styleId="Submissionstandard">
    <w:name w:val="Submission standard"/>
    <w:basedOn w:val="TableNormal"/>
    <w:uiPriority w:val="99"/>
    <w:qFormat/>
    <w:rsid w:val="00B437A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n-ea" w:hAnsi="+mn-ea" w:cstheme="majorBidi"/>
        <w:b/>
        <w:sz w:val="20"/>
      </w:rPr>
      <w:tblPr/>
      <w:tcPr>
        <w:shd w:val="clear" w:color="auto" w:fill="BFBFBF" w:themeFill="background1" w:themeFillShade="BF"/>
      </w:tcPr>
    </w:tblStylePr>
  </w:style>
  <w:style w:type="table" w:styleId="MediumList2-Accent6">
    <w:name w:val="Medium List 2 Accent 6"/>
    <w:basedOn w:val="TableNormal"/>
    <w:uiPriority w:val="66"/>
    <w:rsid w:val="00B437A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rFonts w:cstheme="majorBid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heme="majorBidi"/>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heme="majorBidi"/>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FDE4D0" w:themeFill="accent6" w:themeFillTint="3F"/>
      </w:tcPr>
    </w:tblStylePr>
    <w:tblStylePr w:type="band1Horz">
      <w:rPr>
        <w:rFonts w:cstheme="majorBidi"/>
      </w:rPr>
      <w:tblPr/>
      <w:tcPr>
        <w:tcBorders>
          <w:top w:val="nil"/>
          <w:bottom w:val="nil"/>
          <w:insideH w:val="nil"/>
          <w:insideV w:val="nil"/>
        </w:tcBorders>
        <w:shd w:val="clear" w:color="auto" w:fill="FDE4D0"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table" w:styleId="MediumGrid3-Accent5">
    <w:name w:val="Medium Grid 3 Accent 5"/>
    <w:basedOn w:val="TableNormal"/>
    <w:uiPriority w:val="69"/>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ghtGrid-Accent5">
    <w:name w:val="Light Grid Accent 5"/>
    <w:basedOn w:val="TableNormal"/>
    <w:uiPriority w:val="62"/>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pPr>
      <w:rPr>
        <w:rFonts w:cstheme="majorBidi"/>
        <w:b/>
        <w:bCs/>
        <w:color w:val="FFFFFF" w:themeColor="background1"/>
      </w:rPr>
      <w:tblPr/>
      <w:tcPr>
        <w:shd w:val="clear" w:color="auto" w:fill="F79646" w:themeFill="accent6"/>
      </w:tcPr>
    </w:tblStylePr>
    <w:tblStylePr w:type="lastRow">
      <w:pPr>
        <w:spacing w:before="0" w:after="0"/>
      </w:pPr>
      <w:rPr>
        <w:rFonts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heme="maj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Mainheading">
    <w:name w:val="Main heading"/>
    <w:basedOn w:val="Heading1"/>
    <w:next w:val="Normal"/>
    <w:uiPriority w:val="9"/>
    <w:qFormat/>
    <w:rsid w:val="00B437A8"/>
    <w:pPr>
      <w:pageBreakBefore/>
      <w:spacing w:after="240"/>
      <w:ind w:left="0" w:firstLine="0"/>
      <w:contextualSpacing/>
      <w:jc w:val="left"/>
    </w:pPr>
    <w:rPr>
      <w:rFonts w:ascii="Verdana" w:hAnsi="Verdana"/>
      <w:caps/>
      <w:snapToGrid w:val="0"/>
      <w:spacing w:val="5"/>
      <w:szCs w:val="36"/>
    </w:rPr>
  </w:style>
  <w:style w:type="paragraph" w:styleId="TableofFigures">
    <w:name w:val="table of figures"/>
    <w:basedOn w:val="Normal"/>
    <w:next w:val="Normal"/>
    <w:uiPriority w:val="99"/>
    <w:unhideWhenUsed/>
    <w:rsid w:val="00B437A8"/>
    <w:pPr>
      <w:widowControl/>
      <w:jc w:val="left"/>
    </w:pPr>
    <w:rPr>
      <w:rFonts w:ascii="Candara" w:eastAsiaTheme="majorEastAsia" w:hAnsi="Candara" w:cstheme="majorBidi"/>
      <w:snapToGrid/>
    </w:rPr>
  </w:style>
  <w:style w:type="paragraph" w:customStyle="1" w:styleId="Subheading">
    <w:name w:val="Sub heading"/>
    <w:basedOn w:val="Mainheading"/>
    <w:next w:val="Normal"/>
    <w:uiPriority w:val="9"/>
    <w:qFormat/>
    <w:rsid w:val="00B437A8"/>
    <w:pPr>
      <w:pageBreakBefore w:val="0"/>
    </w:pPr>
    <w:rPr>
      <w:sz w:val="28"/>
    </w:rPr>
  </w:style>
  <w:style w:type="paragraph" w:customStyle="1" w:styleId="FrontPage1">
    <w:name w:val="Front Page 1"/>
    <w:basedOn w:val="Normal"/>
    <w:next w:val="Normal"/>
    <w:link w:val="FrontPage1Char"/>
    <w:uiPriority w:val="10"/>
    <w:qFormat/>
    <w:rsid w:val="00B437A8"/>
    <w:pPr>
      <w:widowControl/>
      <w:jc w:val="center"/>
    </w:pPr>
    <w:rPr>
      <w:rFonts w:ascii="Verdana" w:eastAsiaTheme="majorEastAsia" w:hAnsi="Verdana" w:cstheme="majorBidi"/>
      <w:b/>
      <w:snapToGrid/>
      <w:sz w:val="48"/>
    </w:rPr>
  </w:style>
  <w:style w:type="character" w:customStyle="1" w:styleId="FrontPage1Char">
    <w:name w:val="Front Page 1 Char"/>
    <w:basedOn w:val="DefaultParagraphFont"/>
    <w:link w:val="FrontPage1"/>
    <w:uiPriority w:val="10"/>
    <w:locked/>
    <w:rsid w:val="00B437A8"/>
    <w:rPr>
      <w:rFonts w:ascii="Verdana" w:eastAsiaTheme="majorEastAsia" w:hAnsi="Verdana" w:cstheme="majorBidi"/>
      <w:b/>
      <w:sz w:val="48"/>
      <w:szCs w:val="22"/>
      <w:lang w:eastAsia="en-US"/>
    </w:rPr>
  </w:style>
  <w:style w:type="paragraph" w:customStyle="1" w:styleId="FrontPage2">
    <w:name w:val="Front Page 2"/>
    <w:basedOn w:val="FrontPage1"/>
    <w:link w:val="FrontPage2Char"/>
    <w:uiPriority w:val="10"/>
    <w:qFormat/>
    <w:rsid w:val="00B437A8"/>
    <w:pPr>
      <w:jc w:val="left"/>
    </w:pPr>
    <w:rPr>
      <w:rFonts w:ascii="Arial" w:hAnsi="Arial" w:cs="Arial"/>
      <w:b w:val="0"/>
      <w:snapToGrid w:val="0"/>
      <w:sz w:val="22"/>
    </w:rPr>
  </w:style>
  <w:style w:type="character" w:customStyle="1" w:styleId="FrontPage2Char">
    <w:name w:val="Front Page 2 Char"/>
    <w:basedOn w:val="FrontPage1Char"/>
    <w:link w:val="FrontPage2"/>
    <w:uiPriority w:val="10"/>
    <w:locked/>
    <w:rsid w:val="00B437A8"/>
    <w:rPr>
      <w:rFonts w:ascii="Arial" w:eastAsiaTheme="majorEastAsia" w:hAnsi="Arial" w:cs="Arial"/>
      <w:b w:val="0"/>
      <w:snapToGrid w:val="0"/>
      <w:sz w:val="22"/>
      <w:szCs w:val="22"/>
      <w:lang w:eastAsia="en-US"/>
    </w:rPr>
  </w:style>
  <w:style w:type="paragraph" w:customStyle="1" w:styleId="FrontPage3">
    <w:name w:val="Front Page 3"/>
    <w:basedOn w:val="FrontPage2"/>
    <w:link w:val="FrontPage3Char"/>
    <w:uiPriority w:val="10"/>
    <w:qFormat/>
    <w:rsid w:val="00B437A8"/>
    <w:pPr>
      <w:jc w:val="center"/>
    </w:pPr>
    <w:rPr>
      <w:rFonts w:ascii="Verdana" w:hAnsi="Verdana" w:cstheme="majorBidi"/>
      <w:b/>
      <w:snapToGrid/>
      <w:sz w:val="32"/>
    </w:rPr>
  </w:style>
  <w:style w:type="character" w:customStyle="1" w:styleId="FrontPage3Char">
    <w:name w:val="Front Page 3 Char"/>
    <w:basedOn w:val="FrontPage2Char"/>
    <w:link w:val="FrontPage3"/>
    <w:uiPriority w:val="10"/>
    <w:locked/>
    <w:rsid w:val="00B437A8"/>
    <w:rPr>
      <w:rFonts w:ascii="Verdana" w:eastAsiaTheme="majorEastAsia" w:hAnsi="Verdana" w:cstheme="majorBidi"/>
      <w:b/>
      <w:snapToGrid/>
      <w:sz w:val="32"/>
      <w:szCs w:val="22"/>
      <w:lang w:eastAsia="en-US"/>
    </w:rPr>
  </w:style>
  <w:style w:type="table" w:styleId="TableGrid1">
    <w:name w:val="Table Grid 1"/>
    <w:basedOn w:val="TableNormal"/>
    <w:uiPriority w:val="99"/>
    <w:semiHidden/>
    <w:unhideWhenUsed/>
    <w:rsid w:val="00B437A8"/>
    <w:rPr>
      <w:rFonts w:asciiTheme="majorHAnsi" w:eastAsiaTheme="majorEastAsia" w:hAnsiTheme="majorHAnsi" w:cstheme="majorBidi"/>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heme="majorBidi"/>
        <w:i/>
        <w:iCs/>
      </w:rPr>
      <w:tblPr/>
      <w:tcPr>
        <w:tcBorders>
          <w:tl2br w:val="none" w:sz="0" w:space="0" w:color="auto"/>
          <w:tr2bl w:val="none" w:sz="0" w:space="0" w:color="auto"/>
        </w:tcBorders>
      </w:tcPr>
    </w:tblStylePr>
    <w:tblStylePr w:type="lastCol">
      <w:rPr>
        <w:rFonts w:cstheme="majorBidi"/>
        <w:i/>
        <w:iCs/>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B437A8"/>
    <w:rPr>
      <w:rFonts w:asciiTheme="majorHAnsi" w:eastAsiaTheme="majorEastAsia" w:hAnsiTheme="majorHAnsi" w:cstheme="maj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FD3D2" w:themeFill="accent2" w:themeFillTint="3F"/>
      </w:tcPr>
    </w:tblStylePr>
    <w:tblStylePr w:type="band1Horz">
      <w:rPr>
        <w:rFonts w:cstheme="majorBidi"/>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437A8"/>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437A8"/>
    <w:rPr>
      <w:rFonts w:asciiTheme="majorHAnsi" w:eastAsiaTheme="majorEastAsia" w:hAnsiTheme="majorHAnsi" w:cstheme="maj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heme="majorBid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heme="majorBidi"/>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left w:val="nil"/>
          <w:right w:val="nil"/>
          <w:insideH w:val="nil"/>
          <w:insideV w:val="nil"/>
        </w:tcBorders>
        <w:shd w:val="clear" w:color="auto" w:fill="DFD8E8" w:themeFill="accent4" w:themeFillTint="3F"/>
      </w:tcPr>
    </w:tblStylePr>
  </w:style>
  <w:style w:type="paragraph" w:styleId="TOAHeading">
    <w:name w:val="toa heading"/>
    <w:basedOn w:val="Normal"/>
    <w:next w:val="Normal"/>
    <w:uiPriority w:val="99"/>
    <w:semiHidden/>
    <w:rsid w:val="00B437A8"/>
    <w:pPr>
      <w:widowControl/>
      <w:spacing w:before="120"/>
    </w:pPr>
    <w:rPr>
      <w:rFonts w:ascii="Arial Bold" w:eastAsiaTheme="majorEastAsia" w:hAnsi="Arial Bold"/>
      <w:b/>
      <w:bCs/>
      <w:caps/>
      <w:snapToGrid/>
      <w:sz w:val="28"/>
      <w:szCs w:val="28"/>
      <w:lang w:eastAsia="en-AU"/>
    </w:rPr>
  </w:style>
  <w:style w:type="paragraph" w:styleId="Bibliography">
    <w:name w:val="Bibliography"/>
    <w:basedOn w:val="Normal"/>
    <w:next w:val="Normal"/>
    <w:uiPriority w:val="37"/>
    <w:unhideWhenUsed/>
    <w:rsid w:val="00B437A8"/>
    <w:pPr>
      <w:widowControl/>
      <w:jc w:val="left"/>
    </w:pPr>
    <w:rPr>
      <w:rFonts w:ascii="Candara" w:eastAsiaTheme="majorEastAsia" w:hAnsi="Candara" w:cstheme="majorBidi"/>
      <w:snapToGrid/>
    </w:rPr>
  </w:style>
  <w:style w:type="paragraph" w:customStyle="1" w:styleId="TableLeft">
    <w:name w:val="Table Left"/>
    <w:basedOn w:val="TableCentred"/>
    <w:link w:val="TableLeftChar"/>
    <w:qFormat/>
    <w:rsid w:val="00B437A8"/>
    <w:pPr>
      <w:jc w:val="left"/>
    </w:pPr>
  </w:style>
  <w:style w:type="paragraph" w:customStyle="1" w:styleId="TableCentred">
    <w:name w:val="Table Centred"/>
    <w:basedOn w:val="Normal"/>
    <w:uiPriority w:val="5"/>
    <w:qFormat/>
    <w:rsid w:val="00B437A8"/>
    <w:pPr>
      <w:widowControl/>
      <w:jc w:val="center"/>
    </w:pPr>
    <w:rPr>
      <w:rFonts w:ascii="Arial Narrow" w:eastAsiaTheme="majorEastAsia" w:hAnsi="Arial Narrow" w:cstheme="majorBidi"/>
      <w:snapToGrid/>
      <w:sz w:val="20"/>
    </w:rPr>
  </w:style>
  <w:style w:type="character" w:customStyle="1" w:styleId="TableBold">
    <w:name w:val="Table Bold"/>
    <w:basedOn w:val="TableText0"/>
    <w:uiPriority w:val="4"/>
    <w:qFormat/>
    <w:rsid w:val="00B437A8"/>
    <w:rPr>
      <w:rFonts w:ascii="Arial Narrow" w:hAnsi="Arial Narrow" w:cs="Times New Roman"/>
      <w:b/>
      <w:sz w:val="20"/>
      <w:lang w:val="en-AU"/>
    </w:rPr>
  </w:style>
  <w:style w:type="paragraph" w:customStyle="1" w:styleId="TableRight">
    <w:name w:val="Table Right"/>
    <w:basedOn w:val="TableCentred"/>
    <w:uiPriority w:val="5"/>
    <w:qFormat/>
    <w:rsid w:val="00B437A8"/>
    <w:pPr>
      <w:jc w:val="right"/>
    </w:pPr>
  </w:style>
  <w:style w:type="paragraph" w:customStyle="1" w:styleId="TableBullets">
    <w:name w:val="Table Bullets"/>
    <w:basedOn w:val="TableLeft"/>
    <w:uiPriority w:val="5"/>
    <w:qFormat/>
    <w:rsid w:val="00B437A8"/>
    <w:pPr>
      <w:ind w:left="170" w:hanging="170"/>
    </w:pPr>
  </w:style>
  <w:style w:type="character" w:styleId="PlaceholderText">
    <w:name w:val="Placeholder Text"/>
    <w:basedOn w:val="DefaultParagraphFont"/>
    <w:uiPriority w:val="99"/>
    <w:semiHidden/>
    <w:rsid w:val="00B437A8"/>
    <w:rPr>
      <w:rFonts w:cs="Times New Roman"/>
      <w:color w:val="808080"/>
    </w:rPr>
  </w:style>
  <w:style w:type="character" w:customStyle="1" w:styleId="FrontPage4">
    <w:name w:val="Front Page 4"/>
    <w:basedOn w:val="FrontPage1Char"/>
    <w:uiPriority w:val="1"/>
    <w:qFormat/>
    <w:rsid w:val="00B437A8"/>
    <w:rPr>
      <w:rFonts w:ascii="Verdana" w:eastAsiaTheme="majorEastAsia" w:hAnsi="Verdana" w:cstheme="majorBidi"/>
      <w:b/>
      <w:sz w:val="48"/>
      <w:szCs w:val="22"/>
      <w:vertAlign w:val="superscript"/>
      <w:lang w:eastAsia="en-US"/>
    </w:rPr>
  </w:style>
  <w:style w:type="paragraph" w:styleId="ListNumber">
    <w:name w:val="List Number"/>
    <w:basedOn w:val="Normal"/>
    <w:uiPriority w:val="99"/>
    <w:unhideWhenUsed/>
    <w:rsid w:val="00B437A8"/>
    <w:pPr>
      <w:widowControl/>
      <w:tabs>
        <w:tab w:val="num" w:pos="360"/>
      </w:tabs>
      <w:spacing w:after="240"/>
      <w:ind w:left="360" w:hanging="360"/>
      <w:contextualSpacing/>
      <w:jc w:val="left"/>
    </w:pPr>
    <w:rPr>
      <w:rFonts w:asciiTheme="minorHAnsi" w:eastAsiaTheme="minorHAnsi" w:hAnsiTheme="minorHAnsi" w:cstheme="minorBidi"/>
      <w:snapToGrid/>
      <w:sz w:val="22"/>
    </w:rPr>
  </w:style>
  <w:style w:type="paragraph" w:customStyle="1" w:styleId="Tableletteredlist">
    <w:name w:val="Table lettered list"/>
    <w:basedOn w:val="TableLeft"/>
    <w:uiPriority w:val="3"/>
    <w:qFormat/>
    <w:rsid w:val="00B437A8"/>
    <w:pPr>
      <w:numPr>
        <w:numId w:val="13"/>
      </w:numPr>
    </w:pPr>
    <w:rPr>
      <w:lang w:bidi="en-US"/>
    </w:rPr>
  </w:style>
  <w:style w:type="character" w:customStyle="1" w:styleId="TableLeftChar">
    <w:name w:val="Table Left Char"/>
    <w:basedOn w:val="DefaultParagraphFont"/>
    <w:link w:val="TableLeft"/>
    <w:rsid w:val="00B437A8"/>
    <w:rPr>
      <w:rFonts w:ascii="Arial Narrow" w:eastAsiaTheme="majorEastAsia" w:hAnsi="Arial Narrow" w:cstheme="majorBidi"/>
      <w:szCs w:val="22"/>
      <w:lang w:eastAsia="en-US"/>
    </w:rPr>
  </w:style>
  <w:style w:type="paragraph" w:customStyle="1" w:styleId="TableBullet">
    <w:name w:val="Table Bullet"/>
    <w:basedOn w:val="Normal"/>
    <w:uiPriority w:val="99"/>
    <w:qFormat/>
    <w:rsid w:val="00B437A8"/>
    <w:pPr>
      <w:widowControl/>
      <w:numPr>
        <w:numId w:val="14"/>
      </w:numPr>
      <w:spacing w:before="40" w:after="40"/>
      <w:ind w:left="357" w:hanging="357"/>
      <w:jc w:val="left"/>
    </w:pPr>
    <w:rPr>
      <w:rFonts w:ascii="Arial Narrow" w:eastAsiaTheme="minorHAnsi" w:hAnsi="Arial Narrow" w:cstheme="minorBidi"/>
      <w:snapToGrid/>
      <w:sz w:val="20"/>
    </w:rPr>
  </w:style>
  <w:style w:type="paragraph" w:customStyle="1" w:styleId="TableFigNoteLast">
    <w:name w:val="TableFigNote Last"/>
    <w:basedOn w:val="Normal"/>
    <w:uiPriority w:val="99"/>
    <w:qFormat/>
    <w:rsid w:val="00B437A8"/>
    <w:pPr>
      <w:widowControl/>
      <w:spacing w:after="360"/>
      <w:jc w:val="left"/>
    </w:pPr>
    <w:rPr>
      <w:rFonts w:asciiTheme="minorHAnsi" w:eastAsiaTheme="minorHAnsi" w:hAnsiTheme="minorHAnsi" w:cstheme="minorBidi"/>
      <w:snapToGrid/>
      <w:sz w:val="18"/>
    </w:rPr>
  </w:style>
  <w:style w:type="paragraph" w:customStyle="1" w:styleId="TableNoteBullet">
    <w:name w:val="Table Note Bullet"/>
    <w:basedOn w:val="Normal"/>
    <w:uiPriority w:val="99"/>
    <w:qFormat/>
    <w:rsid w:val="00B437A8"/>
    <w:pPr>
      <w:widowControl/>
      <w:numPr>
        <w:numId w:val="15"/>
      </w:numPr>
      <w:spacing w:after="60"/>
      <w:ind w:left="357" w:hanging="357"/>
      <w:jc w:val="left"/>
    </w:pPr>
    <w:rPr>
      <w:rFonts w:asciiTheme="minorHAnsi" w:eastAsiaTheme="minorHAnsi" w:hAnsiTheme="minorHAnsi" w:cstheme="minorBidi"/>
      <w:snapToGrid/>
      <w:sz w:val="18"/>
    </w:rPr>
  </w:style>
  <w:style w:type="paragraph" w:customStyle="1" w:styleId="TableNumbered">
    <w:name w:val="Table Numbered"/>
    <w:basedOn w:val="TableBullet"/>
    <w:uiPriority w:val="99"/>
    <w:qFormat/>
    <w:rsid w:val="00B437A8"/>
    <w:pPr>
      <w:numPr>
        <w:numId w:val="16"/>
      </w:numPr>
      <w:ind w:left="357" w:hanging="357"/>
    </w:pPr>
  </w:style>
  <w:style w:type="paragraph" w:customStyle="1" w:styleId="TableFigNoteHanging">
    <w:name w:val="TableFigNoteHanging"/>
    <w:basedOn w:val="Normal"/>
    <w:uiPriority w:val="99"/>
    <w:qFormat/>
    <w:rsid w:val="00B437A8"/>
    <w:pPr>
      <w:widowControl/>
      <w:ind w:left="142" w:hanging="142"/>
      <w:jc w:val="left"/>
    </w:pPr>
    <w:rPr>
      <w:rFonts w:asciiTheme="minorHAnsi" w:eastAsiaTheme="minorHAnsi" w:hAnsiTheme="minorHAnsi" w:cstheme="minorBidi"/>
      <w:snapToGrid/>
      <w:sz w:val="18"/>
    </w:rPr>
  </w:style>
  <w:style w:type="paragraph" w:customStyle="1" w:styleId="FigureName">
    <w:name w:val="FigureName"/>
    <w:basedOn w:val="Normal"/>
    <w:uiPriority w:val="99"/>
    <w:qFormat/>
    <w:rsid w:val="00B437A8"/>
    <w:pPr>
      <w:keepNext/>
      <w:widowControl/>
      <w:spacing w:after="240"/>
      <w:ind w:left="1531" w:hanging="1531"/>
      <w:jc w:val="left"/>
    </w:pPr>
    <w:rPr>
      <w:rFonts w:ascii="Franklin Gothic Medium" w:eastAsiaTheme="minorHAnsi" w:hAnsi="Franklin Gothic Medium" w:cstheme="minorBidi"/>
      <w:snapToGrid/>
      <w:sz w:val="22"/>
    </w:rPr>
  </w:style>
  <w:style w:type="paragraph" w:customStyle="1" w:styleId="TableFigNoteHangingLast">
    <w:name w:val="TableFigNoteHanging Last"/>
    <w:basedOn w:val="Normal"/>
    <w:uiPriority w:val="99"/>
    <w:qFormat/>
    <w:rsid w:val="00B437A8"/>
    <w:pPr>
      <w:widowControl/>
      <w:spacing w:after="360"/>
      <w:ind w:left="142" w:hanging="142"/>
      <w:jc w:val="left"/>
    </w:pPr>
    <w:rPr>
      <w:rFonts w:asciiTheme="minorHAnsi" w:eastAsiaTheme="minorHAnsi" w:hAnsiTheme="minorHAnsi" w:cstheme="minorBidi"/>
      <w:snapToGrid/>
      <w:sz w:val="18"/>
    </w:rPr>
  </w:style>
  <w:style w:type="paragraph" w:customStyle="1" w:styleId="NumberList">
    <w:name w:val="NumberList"/>
    <w:basedOn w:val="Normal"/>
    <w:uiPriority w:val="99"/>
    <w:rsid w:val="00B437A8"/>
    <w:pPr>
      <w:widowControl/>
      <w:tabs>
        <w:tab w:val="left" w:pos="360"/>
      </w:tabs>
      <w:spacing w:after="240"/>
      <w:ind w:left="360" w:hanging="360"/>
      <w:jc w:val="left"/>
    </w:pPr>
    <w:rPr>
      <w:rFonts w:cs="Times New Roman"/>
      <w:snapToGrid/>
      <w:color w:val="000000"/>
      <w:sz w:val="22"/>
      <w:szCs w:val="20"/>
      <w:lang w:eastAsia="en-AU"/>
    </w:rPr>
  </w:style>
  <w:style w:type="paragraph" w:customStyle="1" w:styleId="NormalBeforeBullet">
    <w:name w:val="Normal Before Bullet"/>
    <w:basedOn w:val="Normal"/>
    <w:uiPriority w:val="99"/>
    <w:qFormat/>
    <w:rsid w:val="00B437A8"/>
    <w:pPr>
      <w:keepNext/>
      <w:widowControl/>
      <w:spacing w:after="120"/>
      <w:jc w:val="left"/>
    </w:pPr>
    <w:rPr>
      <w:rFonts w:asciiTheme="minorHAnsi" w:eastAsiaTheme="minorHAnsi" w:hAnsiTheme="minorHAnsi" w:cstheme="minorBidi"/>
      <w:snapToGrid/>
      <w:sz w:val="22"/>
    </w:rPr>
  </w:style>
  <w:style w:type="paragraph" w:customStyle="1" w:styleId="Bullet">
    <w:name w:val="Bullet"/>
    <w:basedOn w:val="Normal"/>
    <w:uiPriority w:val="99"/>
    <w:qFormat/>
    <w:rsid w:val="00B437A8"/>
    <w:pPr>
      <w:widowControl/>
      <w:numPr>
        <w:numId w:val="17"/>
      </w:numPr>
      <w:spacing w:after="12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uiPriority w:val="99"/>
    <w:qFormat/>
    <w:rsid w:val="00B437A8"/>
    <w:pPr>
      <w:widowControl/>
      <w:jc w:val="left"/>
    </w:pPr>
    <w:rPr>
      <w:rFonts w:asciiTheme="minorHAnsi" w:eastAsiaTheme="minorHAnsi" w:hAnsiTheme="minorHAnsi" w:cstheme="minorBidi"/>
      <w:snapToGrid/>
      <w:sz w:val="18"/>
    </w:rPr>
  </w:style>
  <w:style w:type="paragraph" w:customStyle="1" w:styleId="BulletLast">
    <w:name w:val="Bullet Last"/>
    <w:basedOn w:val="Bullet"/>
    <w:uiPriority w:val="99"/>
    <w:qFormat/>
    <w:rsid w:val="00B437A8"/>
    <w:pPr>
      <w:numPr>
        <w:numId w:val="18"/>
      </w:numPr>
      <w:spacing w:after="240"/>
      <w:ind w:left="357" w:hanging="357"/>
    </w:pPr>
  </w:style>
  <w:style w:type="paragraph" w:customStyle="1" w:styleId="TableParagraph">
    <w:name w:val="Table Paragraph"/>
    <w:basedOn w:val="Normal"/>
    <w:uiPriority w:val="1"/>
    <w:qFormat/>
    <w:rsid w:val="00B437A8"/>
    <w:pPr>
      <w:autoSpaceDE w:val="0"/>
      <w:autoSpaceDN w:val="0"/>
      <w:adjustRightInd w:val="0"/>
      <w:jc w:val="left"/>
    </w:pPr>
    <w:rPr>
      <w:rFonts w:ascii="Times New Roman" w:eastAsiaTheme="minorEastAsia" w:hAnsi="Times New Roman" w:cs="Times New Roman"/>
      <w:snapToGrid/>
      <w:szCs w:val="24"/>
      <w:lang w:eastAsia="en-AU"/>
    </w:rPr>
  </w:style>
  <w:style w:type="numbering" w:styleId="111111">
    <w:name w:val="Outline List 2"/>
    <w:basedOn w:val="NoList"/>
    <w:semiHidden/>
    <w:rsid w:val="00B437A8"/>
  </w:style>
  <w:style w:type="character" w:customStyle="1" w:styleId="SmallBold">
    <w:name w:val="Small Bold"/>
    <w:basedOn w:val="DefaultParagraphFont"/>
    <w:uiPriority w:val="4"/>
    <w:qFormat/>
    <w:rsid w:val="00B437A8"/>
    <w:rPr>
      <w:rFonts w:ascii="Candara" w:hAnsi="Candara"/>
      <w:b/>
      <w:sz w:val="20"/>
      <w:lang w:val="en-AU"/>
    </w:rPr>
  </w:style>
  <w:style w:type="character" w:customStyle="1" w:styleId="SmallItalics">
    <w:name w:val="Small Italics"/>
    <w:basedOn w:val="DefaultParagraphFont"/>
    <w:uiPriority w:val="4"/>
    <w:qFormat/>
    <w:rsid w:val="00B437A8"/>
    <w:rPr>
      <w:rFonts w:ascii="Candara" w:hAnsi="Candara"/>
      <w:i/>
      <w:sz w:val="20"/>
    </w:rPr>
  </w:style>
  <w:style w:type="paragraph" w:customStyle="1" w:styleId="EndNoteBibliographyTitle">
    <w:name w:val="EndNote Bibliography Title"/>
    <w:basedOn w:val="Normal"/>
    <w:link w:val="EndNoteBibliographyTitleChar"/>
    <w:rsid w:val="00B437A8"/>
    <w:pPr>
      <w:widowControl/>
      <w:jc w:val="center"/>
    </w:pPr>
    <w:rPr>
      <w:rFonts w:ascii="Candara" w:eastAsiaTheme="majorEastAsia" w:hAnsi="Candara" w:cstheme="majorBidi"/>
      <w:noProof/>
      <w:snapToGrid/>
      <w:lang w:val="en-US"/>
    </w:rPr>
  </w:style>
  <w:style w:type="character" w:customStyle="1" w:styleId="EndNoteBibliographyTitleChar">
    <w:name w:val="EndNote Bibliography Title Char"/>
    <w:basedOn w:val="DefaultParagraphFont"/>
    <w:link w:val="EndNoteBibliographyTitle"/>
    <w:rsid w:val="00B437A8"/>
    <w:rPr>
      <w:rFonts w:ascii="Candara" w:eastAsiaTheme="majorEastAsia" w:hAnsi="Candara" w:cstheme="majorBidi"/>
      <w:noProof/>
      <w:sz w:val="24"/>
      <w:szCs w:val="22"/>
      <w:lang w:val="en-US" w:eastAsia="en-US"/>
    </w:rPr>
  </w:style>
  <w:style w:type="paragraph" w:customStyle="1" w:styleId="EndNoteBibliography">
    <w:name w:val="EndNote Bibliography"/>
    <w:basedOn w:val="Normal"/>
    <w:link w:val="EndNoteBibliographyChar"/>
    <w:rsid w:val="00B437A8"/>
    <w:pPr>
      <w:widowControl/>
      <w:jc w:val="left"/>
    </w:pPr>
    <w:rPr>
      <w:rFonts w:ascii="Candara" w:eastAsiaTheme="majorEastAsia" w:hAnsi="Candara" w:cstheme="majorBidi"/>
      <w:noProof/>
      <w:snapToGrid/>
      <w:lang w:val="en-US"/>
    </w:rPr>
  </w:style>
  <w:style w:type="character" w:customStyle="1" w:styleId="EndNoteBibliographyChar">
    <w:name w:val="EndNote Bibliography Char"/>
    <w:basedOn w:val="DefaultParagraphFont"/>
    <w:link w:val="EndNoteBibliography"/>
    <w:rsid w:val="00B437A8"/>
    <w:rPr>
      <w:rFonts w:ascii="Candara" w:eastAsiaTheme="majorEastAsia" w:hAnsi="Candara" w:cstheme="majorBidi"/>
      <w:noProof/>
      <w:sz w:val="24"/>
      <w:szCs w:val="22"/>
      <w:lang w:val="en-US" w:eastAsia="en-US"/>
    </w:rPr>
  </w:style>
  <w:style w:type="table" w:customStyle="1" w:styleId="TableGrid6">
    <w:name w:val="Table Grid6"/>
    <w:basedOn w:val="TableNormal"/>
    <w:next w:val="TableGrid"/>
    <w:uiPriority w:val="59"/>
    <w:rsid w:val="00B437A8"/>
    <w:rPr>
      <w:rFonts w:ascii="Verdana" w:hAnsi="Verdana"/>
      <w:sz w:val="19"/>
      <w:lang w:val="en-GB" w:eastAsia="en-GB"/>
    </w:rPr>
    <w:tblPr>
      <w:tblStyleRowBandSize w:val="1"/>
      <w:tblBorders>
        <w:top w:val="single" w:sz="4" w:space="0" w:color="EEF3F8"/>
        <w:left w:val="single" w:sz="4" w:space="0" w:color="EEF3F8"/>
        <w:bottom w:val="single" w:sz="4" w:space="0" w:color="EEF3F8"/>
        <w:right w:val="single" w:sz="4" w:space="0" w:color="EEF3F8"/>
        <w:insideH w:val="single" w:sz="4" w:space="0" w:color="EEF3F8"/>
        <w:insideV w:val="single" w:sz="4" w:space="0" w:color="EEF3F8"/>
      </w:tblBorders>
    </w:tblPr>
    <w:tcPr>
      <w:shd w:val="clear" w:color="auto" w:fill="FFFFFF"/>
      <w:vAlign w:val="center"/>
    </w:tcPr>
    <w:tblStylePr w:type="firstRow">
      <w:pPr>
        <w:jc w:val="left"/>
      </w:pPr>
      <w:rPr>
        <w:rFonts w:ascii="Arial Bold" w:hAnsi="Arial Bold" w:hint="default"/>
        <w:b/>
        <w:color w:val="FFFFFF"/>
        <w:sz w:val="19"/>
        <w:szCs w:val="19"/>
      </w:rPr>
      <w:tblPr/>
      <w:tcPr>
        <w:tcBorders>
          <w:top w:val="single" w:sz="4" w:space="0" w:color="EEF3F8"/>
          <w:left w:val="single" w:sz="4" w:space="0" w:color="EEF3F8"/>
          <w:bottom w:val="single" w:sz="4" w:space="0" w:color="EEF3F8"/>
          <w:right w:val="single" w:sz="4" w:space="0" w:color="EEF3F8"/>
          <w:insideH w:val="nil"/>
          <w:insideV w:val="nil"/>
          <w:tl2br w:val="nil"/>
          <w:tr2bl w:val="nil"/>
        </w:tcBorders>
        <w:shd w:val="clear" w:color="auto" w:fill="22509A"/>
      </w:tcPr>
    </w:tblStylePr>
    <w:tblStylePr w:type="band1Horz">
      <w:tblPr/>
      <w:tcPr>
        <w:shd w:val="clear" w:color="auto" w:fill="FFFFFF"/>
      </w:tcPr>
    </w:tblStylePr>
    <w:tblStylePr w:type="band2Horz">
      <w:tblPr/>
      <w:tcPr>
        <w:tcBorders>
          <w:top w:val="nil"/>
          <w:left w:val="nil"/>
          <w:bottom w:val="nil"/>
          <w:right w:val="nil"/>
          <w:insideH w:val="nil"/>
          <w:insideV w:val="nil"/>
          <w:tl2br w:val="nil"/>
          <w:tr2bl w:val="nil"/>
        </w:tcBorders>
        <w:shd w:val="clear" w:color="auto" w:fill="EEF3F8"/>
      </w:tcPr>
    </w:tblStylePr>
  </w:style>
  <w:style w:type="numbering" w:customStyle="1" w:styleId="NoList1">
    <w:name w:val="No List1"/>
    <w:next w:val="NoList"/>
    <w:uiPriority w:val="99"/>
    <w:semiHidden/>
    <w:unhideWhenUsed/>
    <w:rsid w:val="00B437A8"/>
  </w:style>
  <w:style w:type="paragraph" w:customStyle="1" w:styleId="BodyText1">
    <w:name w:val="Body Text1"/>
    <w:basedOn w:val="Normal"/>
    <w:next w:val="BodyText"/>
    <w:uiPriority w:val="99"/>
    <w:qFormat/>
    <w:rsid w:val="00B437A8"/>
    <w:pPr>
      <w:autoSpaceDE w:val="0"/>
      <w:autoSpaceDN w:val="0"/>
      <w:adjustRightInd w:val="0"/>
      <w:jc w:val="left"/>
    </w:pPr>
    <w:rPr>
      <w:rFonts w:ascii="Times New Roman" w:eastAsiaTheme="majorEastAsia" w:hAnsi="Times New Roman" w:cs="Times New Roman"/>
      <w:snapToGrid/>
      <w:szCs w:val="24"/>
      <w:lang w:val="en-US"/>
    </w:rPr>
  </w:style>
  <w:style w:type="character" w:customStyle="1" w:styleId="BodyTextChar1">
    <w:name w:val="Body Text Char1"/>
    <w:basedOn w:val="DefaultParagraphFont"/>
    <w:uiPriority w:val="99"/>
    <w:rsid w:val="00B437A8"/>
    <w:rPr>
      <w:rFonts w:ascii="Candara" w:hAnsi="Candara" w:cstheme="majorBidi"/>
      <w:sz w:val="24"/>
      <w:lang w:val="en-AU"/>
    </w:rPr>
  </w:style>
  <w:style w:type="numbering" w:customStyle="1" w:styleId="LFO261">
    <w:name w:val="LFO261"/>
    <w:basedOn w:val="NoList"/>
    <w:rsid w:val="00B437A8"/>
    <w:pPr>
      <w:numPr>
        <w:numId w:val="21"/>
      </w:numPr>
    </w:pPr>
  </w:style>
  <w:style w:type="character" w:customStyle="1" w:styleId="BodytextChar0">
    <w:name w:val="Body text Char"/>
    <w:rsid w:val="00B437A8"/>
    <w:rPr>
      <w:rFonts w:ascii="Arial" w:eastAsia="Times New Roman" w:hAnsi="Arial" w:cs="Arial"/>
      <w:lang w:val="en-US" w:eastAsia="nb-NO" w:bidi="ne-NP"/>
    </w:rPr>
  </w:style>
  <w:style w:type="paragraph" w:customStyle="1" w:styleId="ATAGIHeading2">
    <w:name w:val="ATAGI Heading 2"/>
    <w:basedOn w:val="Normal"/>
    <w:link w:val="ATAGIHeading2Char"/>
    <w:qFormat/>
    <w:rsid w:val="00B437A8"/>
    <w:pPr>
      <w:widowControl/>
      <w:spacing w:after="60"/>
      <w:jc w:val="left"/>
    </w:pPr>
    <w:rPr>
      <w:rFonts w:ascii="Candara" w:eastAsia="Cambria" w:hAnsi="Candara" w:cs="Times New Roman"/>
      <w:b/>
      <w:caps/>
      <w:snapToGrid/>
      <w:color w:val="005B92"/>
      <w:sz w:val="28"/>
      <w:szCs w:val="28"/>
      <w:lang w:val="en-US"/>
    </w:rPr>
  </w:style>
  <w:style w:type="character" w:customStyle="1" w:styleId="ATAGIHeading2Char">
    <w:name w:val="ATAGI Heading 2 Char"/>
    <w:basedOn w:val="DefaultParagraphFont"/>
    <w:link w:val="ATAGIHeading2"/>
    <w:rsid w:val="00B437A8"/>
    <w:rPr>
      <w:rFonts w:ascii="Candara" w:eastAsia="Cambria" w:hAnsi="Candara"/>
      <w:b/>
      <w:caps/>
      <w:color w:val="005B92"/>
      <w:sz w:val="28"/>
      <w:szCs w:val="28"/>
      <w:lang w:val="en-US" w:eastAsia="en-US"/>
    </w:rPr>
  </w:style>
  <w:style w:type="table" w:customStyle="1" w:styleId="TableGrid10">
    <w:name w:val="Table Grid1"/>
    <w:basedOn w:val="TableNormal"/>
    <w:next w:val="TableGrid"/>
    <w:uiPriority w:val="59"/>
    <w:rsid w:val="00B437A8"/>
    <w:pPr>
      <w:spacing w:after="200"/>
      <w:jc w:val="center"/>
    </w:pPr>
    <w:rPr>
      <w:rFonts w:ascii="Arial" w:eastAsia="Cambria"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B437A8"/>
    <w:rPr>
      <w:color w:val="2B579A"/>
      <w:shd w:val="clear" w:color="auto" w:fill="E6E6E6"/>
    </w:rPr>
  </w:style>
  <w:style w:type="paragraph" w:styleId="ListBullet2">
    <w:name w:val="List Bullet 2"/>
    <w:basedOn w:val="Normal"/>
    <w:uiPriority w:val="99"/>
    <w:qFormat/>
    <w:rsid w:val="00B437A8"/>
    <w:pPr>
      <w:widowControl/>
      <w:numPr>
        <w:numId w:val="22"/>
      </w:numPr>
      <w:spacing w:after="120"/>
      <w:jc w:val="left"/>
    </w:pPr>
    <w:rPr>
      <w:rFonts w:ascii="Calibri Light" w:hAnsi="Calibri Light" w:cs="Times New Roman"/>
      <w:snapToGrid/>
      <w:sz w:val="22"/>
      <w:szCs w:val="24"/>
      <w:lang w:val="en-US"/>
    </w:rPr>
  </w:style>
  <w:style w:type="table" w:customStyle="1" w:styleId="NEWEvideraTable3">
    <w:name w:val="NEW Evidera Table3"/>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4">
    <w:name w:val="NEW Evidera Table4"/>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1">
    <w:name w:val="NEW Evidera Table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paragraph" w:customStyle="1" w:styleId="TableLetters">
    <w:name w:val="Table Letters"/>
    <w:basedOn w:val="Normal"/>
    <w:uiPriority w:val="3"/>
    <w:qFormat/>
    <w:rsid w:val="00B437A8"/>
    <w:pPr>
      <w:widowControl/>
      <w:ind w:left="170" w:hanging="170"/>
      <w:jc w:val="left"/>
    </w:pPr>
    <w:rPr>
      <w:rFonts w:ascii="Candara" w:eastAsiaTheme="majorEastAsia" w:hAnsi="Candara" w:cstheme="majorBidi"/>
      <w:snapToGrid/>
      <w:sz w:val="20"/>
      <w:lang w:bidi="en-US"/>
    </w:rPr>
  </w:style>
  <w:style w:type="table" w:customStyle="1" w:styleId="TableGrid2">
    <w:name w:val="Table Grid2"/>
    <w:basedOn w:val="TableNormal"/>
    <w:next w:val="TableGrid"/>
    <w:uiPriority w:val="59"/>
    <w:rsid w:val="00B437A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NEWEvideraTable2">
    <w:name w:val="NEW Evidera Table2"/>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Submissionstandard1">
    <w:name w:val="Submission standard1"/>
    <w:basedOn w:val="TableNormal"/>
    <w:uiPriority w:val="99"/>
    <w:qFormat/>
    <w:rsid w:val="00B437A8"/>
    <w:rPr>
      <w:rFonts w:ascii="Arial Narrow"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Bold" w:hAnsi="Arial Bold" w:cs="Times New Roman"/>
        <w:b/>
        <w:sz w:val="20"/>
      </w:rPr>
      <w:tblPr/>
      <w:tcPr>
        <w:shd w:val="clear" w:color="auto" w:fill="BFBFBF"/>
      </w:tcPr>
    </w:tblStylePr>
  </w:style>
  <w:style w:type="table" w:customStyle="1" w:styleId="NEWEvideraTable6">
    <w:name w:val="NEW Evidera Table6"/>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GSKtablestyle1">
    <w:name w:val="GSK table style 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1">
    <w:name w:val="GSK table style 1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2">
    <w:name w:val="GSK table style 12"/>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3">
    <w:name w:val="GSK table style 13"/>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TableGridLight1">
    <w:name w:val="Table Grid Light1"/>
    <w:basedOn w:val="TableNormal"/>
    <w:uiPriority w:val="40"/>
    <w:rsid w:val="00B437A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EWEvideraTable7">
    <w:name w:val="NEW Evidera Table7"/>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TableGrid11">
    <w:name w:val="Table Grid1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2">
    <w:name w:val="Submission standard2"/>
    <w:basedOn w:val="TableNormal"/>
    <w:uiPriority w:val="99"/>
    <w:qFormat/>
    <w:rsid w:val="00B437A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n-ea" w:hAnsi="+mn-ea" w:cstheme="majorBidi"/>
        <w:b/>
        <w:sz w:val="20"/>
      </w:rPr>
      <w:tblPr/>
      <w:tcPr>
        <w:shd w:val="clear" w:color="auto" w:fill="BFBFBF" w:themeFill="background1" w:themeFillShade="BF"/>
      </w:tcPr>
    </w:tblStylePr>
  </w:style>
  <w:style w:type="table" w:customStyle="1" w:styleId="TableGrid5">
    <w:name w:val="Table Grid5"/>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SKtablestyle14">
    <w:name w:val="GSK table style 14"/>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5">
    <w:name w:val="GSK table style 15"/>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6">
    <w:name w:val="GSK table style 16"/>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TableGrid7">
    <w:name w:val="Table Grid7"/>
    <w:basedOn w:val="TableNormal"/>
    <w:next w:val="TableGrid"/>
    <w:uiPriority w:val="59"/>
    <w:rsid w:val="00B437A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Submissionstandard3">
    <w:name w:val="Submission standard3"/>
    <w:basedOn w:val="TableNormal"/>
    <w:uiPriority w:val="99"/>
    <w:qFormat/>
    <w:rsid w:val="00B437A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NewRomanPS-BoldMT-Identity" w:hAnsi="TimesNewRomanPS-BoldMT-Identity"/>
        <w:b/>
        <w:sz w:val="20"/>
      </w:rPr>
      <w:tblPr/>
      <w:tcPr>
        <w:shd w:val="clear" w:color="auto" w:fill="BFBFBF" w:themeFill="background1" w:themeFillShade="BF"/>
      </w:tcPr>
    </w:tblStylePr>
  </w:style>
  <w:style w:type="table" w:customStyle="1" w:styleId="TableGrid8">
    <w:name w:val="Table Grid8"/>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437A8"/>
    <w:pPr>
      <w:spacing w:after="120" w:line="360" w:lineRule="auto"/>
      <w:jc w:val="both"/>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00">
    <w:name w:val="Table Grid10"/>
    <w:basedOn w:val="TableNormal"/>
    <w:next w:val="TableGrid"/>
    <w:uiPriority w:val="59"/>
    <w:rsid w:val="00B437A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7A8"/>
  </w:style>
  <w:style w:type="table" w:customStyle="1" w:styleId="NEWEvideraTable8">
    <w:name w:val="NEW Evidera Table8"/>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paragraph" w:customStyle="1" w:styleId="Bullet4">
    <w:name w:val="Bullet 4"/>
    <w:basedOn w:val="BodyText"/>
    <w:uiPriority w:val="99"/>
    <w:rsid w:val="00B437A8"/>
    <w:pPr>
      <w:widowControl/>
      <w:numPr>
        <w:numId w:val="23"/>
      </w:numPr>
      <w:spacing w:after="180" w:line="300" w:lineRule="auto"/>
    </w:pPr>
    <w:rPr>
      <w:rFonts w:ascii="Arial" w:hAnsi="Arial" w:cs="Times New Roman"/>
      <w:snapToGrid/>
      <w:sz w:val="20"/>
      <w:szCs w:val="20"/>
      <w:lang w:val="en-US"/>
    </w:rPr>
  </w:style>
  <w:style w:type="table" w:customStyle="1" w:styleId="TableGrid12">
    <w:name w:val="Table Grid12"/>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37A8"/>
  </w:style>
  <w:style w:type="character" w:customStyle="1" w:styleId="UnresolvedMention">
    <w:name w:val="Unresolved Mention"/>
    <w:basedOn w:val="DefaultParagraphFont"/>
    <w:uiPriority w:val="99"/>
    <w:semiHidden/>
    <w:unhideWhenUsed/>
    <w:rsid w:val="00B437A8"/>
    <w:rPr>
      <w:color w:val="808080"/>
      <w:shd w:val="clear" w:color="auto" w:fill="E6E6E6"/>
    </w:rPr>
  </w:style>
  <w:style w:type="table" w:customStyle="1" w:styleId="Submissionstandard4">
    <w:name w:val="Submission standard4"/>
    <w:basedOn w:val="TableNormal"/>
    <w:uiPriority w:val="99"/>
    <w:qFormat/>
    <w:rsid w:val="00B437A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NewRomanPS-BoldMT-Identity" w:hAnsi="TimesNewRomanPS-BoldMT-Identity"/>
        <w:b/>
        <w:sz w:val="20"/>
      </w:rPr>
      <w:tblPr/>
      <w:tcPr>
        <w:shd w:val="clear" w:color="auto" w:fill="BFBFBF" w:themeFill="background1" w:themeFillShade="BF"/>
      </w:tcPr>
    </w:tblStylePr>
  </w:style>
  <w:style w:type="numbering" w:customStyle="1" w:styleId="NoList4">
    <w:name w:val="No List4"/>
    <w:next w:val="NoList"/>
    <w:uiPriority w:val="99"/>
    <w:semiHidden/>
    <w:unhideWhenUsed/>
    <w:rsid w:val="00B437A8"/>
  </w:style>
  <w:style w:type="numbering" w:customStyle="1" w:styleId="NoList11">
    <w:name w:val="No List11"/>
    <w:next w:val="NoList"/>
    <w:uiPriority w:val="99"/>
    <w:semiHidden/>
    <w:unhideWhenUsed/>
    <w:rsid w:val="00B437A8"/>
  </w:style>
  <w:style w:type="table" w:customStyle="1" w:styleId="Submissionstandard5">
    <w:name w:val="Submission standard5"/>
    <w:basedOn w:val="TableNormal"/>
    <w:uiPriority w:val="99"/>
    <w:qFormat/>
    <w:rsid w:val="00B437A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n-ea" w:hAnsi="+mn-ea" w:cstheme="majorBidi"/>
        <w:b/>
        <w:sz w:val="20"/>
      </w:rPr>
      <w:tblPr/>
      <w:tcPr>
        <w:shd w:val="clear" w:color="auto" w:fill="BFBFBF" w:themeFill="background1" w:themeFillShade="BF"/>
      </w:tcPr>
    </w:tblStylePr>
  </w:style>
  <w:style w:type="table" w:customStyle="1" w:styleId="MediumList2-Accent61">
    <w:name w:val="Medium List 2 - Accent 61"/>
    <w:basedOn w:val="TableNormal"/>
    <w:next w:val="MediumList2-Accent6"/>
    <w:uiPriority w:val="66"/>
    <w:rsid w:val="00B437A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rFonts w:cstheme="majorBid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heme="majorBidi"/>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heme="majorBidi"/>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FDE4D0" w:themeFill="accent6" w:themeFillTint="3F"/>
      </w:tcPr>
    </w:tblStylePr>
    <w:tblStylePr w:type="band1Horz">
      <w:rPr>
        <w:rFonts w:cstheme="majorBidi"/>
      </w:rPr>
      <w:tblPr/>
      <w:tcPr>
        <w:tcBorders>
          <w:top w:val="nil"/>
          <w:bottom w:val="nil"/>
          <w:insideH w:val="nil"/>
          <w:insideV w:val="nil"/>
        </w:tcBorders>
        <w:shd w:val="clear" w:color="auto" w:fill="FDE4D0"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table" w:customStyle="1" w:styleId="MediumGrid3-Accent51">
    <w:name w:val="Medium Grid 3 - Accent 51"/>
    <w:basedOn w:val="TableNormal"/>
    <w:next w:val="MediumGrid3-Accent5"/>
    <w:uiPriority w:val="69"/>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LightGrid-Accent51">
    <w:name w:val="Light Grid - Accent 51"/>
    <w:basedOn w:val="TableNormal"/>
    <w:next w:val="LightGrid-Accent5"/>
    <w:uiPriority w:val="62"/>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List-Accent61">
    <w:name w:val="Light List - Accent 61"/>
    <w:basedOn w:val="TableNormal"/>
    <w:next w:val="LightList-Accent6"/>
    <w:uiPriority w:val="61"/>
    <w:rsid w:val="00B437A8"/>
    <w:rPr>
      <w:rFonts w:asciiTheme="majorHAnsi" w:eastAsiaTheme="majorEastAsia" w:hAnsiTheme="majorHAnsi" w:cstheme="maj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pPr>
      <w:rPr>
        <w:rFonts w:cstheme="majorBidi"/>
        <w:b/>
        <w:bCs/>
        <w:color w:val="FFFFFF" w:themeColor="background1"/>
      </w:rPr>
      <w:tblPr/>
      <w:tcPr>
        <w:shd w:val="clear" w:color="auto" w:fill="F79646" w:themeFill="accent6"/>
      </w:tcPr>
    </w:tblStylePr>
    <w:tblStylePr w:type="lastRow">
      <w:pPr>
        <w:spacing w:before="0" w:after="0"/>
      </w:pPr>
      <w:rPr>
        <w:rFonts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heme="maj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10">
    <w:name w:val="Table Grid 11"/>
    <w:basedOn w:val="TableNormal"/>
    <w:next w:val="TableGrid1"/>
    <w:uiPriority w:val="99"/>
    <w:semiHidden/>
    <w:unhideWhenUsed/>
    <w:rsid w:val="00B437A8"/>
    <w:rPr>
      <w:rFonts w:asciiTheme="majorHAnsi" w:eastAsiaTheme="majorEastAsia" w:hAnsiTheme="majorHAnsi" w:cstheme="majorBidi"/>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heme="majorBidi"/>
        <w:i/>
        <w:iCs/>
      </w:rPr>
      <w:tblPr/>
      <w:tcPr>
        <w:tcBorders>
          <w:tl2br w:val="none" w:sz="0" w:space="0" w:color="auto"/>
          <w:tr2bl w:val="none" w:sz="0" w:space="0" w:color="auto"/>
        </w:tcBorders>
      </w:tcPr>
    </w:tblStylePr>
    <w:tblStylePr w:type="lastCol">
      <w:rPr>
        <w:rFonts w:cstheme="majorBidi"/>
        <w:i/>
        <w:iCs/>
      </w:rPr>
      <w:tblPr/>
      <w:tcPr>
        <w:tcBorders>
          <w:tl2br w:val="none" w:sz="0" w:space="0" w:color="auto"/>
          <w:tr2bl w:val="none" w:sz="0" w:space="0" w:color="auto"/>
        </w:tcBorders>
      </w:tcPr>
    </w:tblStylePr>
  </w:style>
  <w:style w:type="table" w:customStyle="1" w:styleId="LightShading-Accent21">
    <w:name w:val="Light Shading - Accent 21"/>
    <w:basedOn w:val="TableNormal"/>
    <w:next w:val="LightShading-Accent2"/>
    <w:uiPriority w:val="60"/>
    <w:rsid w:val="00B437A8"/>
    <w:rPr>
      <w:rFonts w:asciiTheme="majorHAnsi" w:eastAsiaTheme="majorEastAsia" w:hAnsiTheme="majorHAnsi" w:cstheme="maj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heme="majorBidi"/>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FD3D2" w:themeFill="accent2" w:themeFillTint="3F"/>
      </w:tcPr>
    </w:tblStylePr>
    <w:tblStylePr w:type="band1Horz">
      <w:rPr>
        <w:rFonts w:cstheme="majorBidi"/>
      </w:rPr>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B437A8"/>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B437A8"/>
    <w:rPr>
      <w:rFonts w:asciiTheme="majorHAnsi" w:eastAsiaTheme="majorEastAsia" w:hAnsiTheme="majorHAnsi" w:cstheme="maj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pPr>
      <w:rPr>
        <w:rFonts w:cstheme="majorBid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heme="majorBidi"/>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left w:val="nil"/>
          <w:right w:val="nil"/>
          <w:insideH w:val="nil"/>
          <w:insideV w:val="nil"/>
        </w:tcBorders>
        <w:shd w:val="clear" w:color="auto" w:fill="DFD8E8" w:themeFill="accent4" w:themeFillTint="3F"/>
      </w:tcPr>
    </w:tblStylePr>
  </w:style>
  <w:style w:type="numbering" w:customStyle="1" w:styleId="1111111">
    <w:name w:val="1 / 1.1 / 1.1.11"/>
    <w:basedOn w:val="NoList"/>
    <w:next w:val="111111"/>
    <w:rsid w:val="00B437A8"/>
    <w:pPr>
      <w:numPr>
        <w:numId w:val="19"/>
      </w:numPr>
    </w:pPr>
  </w:style>
  <w:style w:type="table" w:customStyle="1" w:styleId="TableGrid61">
    <w:name w:val="Table Grid61"/>
    <w:basedOn w:val="TableNormal"/>
    <w:next w:val="TableGrid"/>
    <w:uiPriority w:val="59"/>
    <w:rsid w:val="00B437A8"/>
    <w:rPr>
      <w:rFonts w:ascii="Verdana" w:hAnsi="Verdana"/>
      <w:sz w:val="19"/>
      <w:lang w:val="en-GB" w:eastAsia="en-GB"/>
    </w:rPr>
    <w:tblPr>
      <w:tblStyleRowBandSize w:val="1"/>
      <w:tblBorders>
        <w:top w:val="single" w:sz="4" w:space="0" w:color="EEF3F8"/>
        <w:left w:val="single" w:sz="4" w:space="0" w:color="EEF3F8"/>
        <w:bottom w:val="single" w:sz="4" w:space="0" w:color="EEF3F8"/>
        <w:right w:val="single" w:sz="4" w:space="0" w:color="EEF3F8"/>
        <w:insideH w:val="single" w:sz="4" w:space="0" w:color="EEF3F8"/>
        <w:insideV w:val="single" w:sz="4" w:space="0" w:color="EEF3F8"/>
      </w:tblBorders>
    </w:tblPr>
    <w:tcPr>
      <w:shd w:val="clear" w:color="auto" w:fill="FFFFFF"/>
      <w:vAlign w:val="center"/>
    </w:tcPr>
    <w:tblStylePr w:type="firstRow">
      <w:pPr>
        <w:jc w:val="left"/>
      </w:pPr>
      <w:rPr>
        <w:rFonts w:ascii="Arial Bold" w:hAnsi="Arial Bold" w:hint="default"/>
        <w:b/>
        <w:color w:val="FFFFFF"/>
        <w:sz w:val="19"/>
        <w:szCs w:val="19"/>
      </w:rPr>
      <w:tblPr/>
      <w:tcPr>
        <w:tcBorders>
          <w:top w:val="single" w:sz="4" w:space="0" w:color="EEF3F8"/>
          <w:left w:val="single" w:sz="4" w:space="0" w:color="EEF3F8"/>
          <w:bottom w:val="single" w:sz="4" w:space="0" w:color="EEF3F8"/>
          <w:right w:val="single" w:sz="4" w:space="0" w:color="EEF3F8"/>
          <w:insideH w:val="nil"/>
          <w:insideV w:val="nil"/>
          <w:tl2br w:val="nil"/>
          <w:tr2bl w:val="nil"/>
        </w:tcBorders>
        <w:shd w:val="clear" w:color="auto" w:fill="22509A"/>
      </w:tcPr>
    </w:tblStylePr>
    <w:tblStylePr w:type="band1Horz">
      <w:tblPr/>
      <w:tcPr>
        <w:shd w:val="clear" w:color="auto" w:fill="FFFFFF"/>
      </w:tcPr>
    </w:tblStylePr>
    <w:tblStylePr w:type="band2Horz">
      <w:tblPr/>
      <w:tcPr>
        <w:tcBorders>
          <w:top w:val="nil"/>
          <w:left w:val="nil"/>
          <w:bottom w:val="nil"/>
          <w:right w:val="nil"/>
          <w:insideH w:val="nil"/>
          <w:insideV w:val="nil"/>
          <w:tl2br w:val="nil"/>
          <w:tr2bl w:val="nil"/>
        </w:tcBorders>
        <w:shd w:val="clear" w:color="auto" w:fill="EEF3F8"/>
      </w:tcPr>
    </w:tblStylePr>
  </w:style>
  <w:style w:type="numbering" w:customStyle="1" w:styleId="NoList111">
    <w:name w:val="No List111"/>
    <w:next w:val="NoList"/>
    <w:uiPriority w:val="99"/>
    <w:semiHidden/>
    <w:unhideWhenUsed/>
    <w:rsid w:val="00B437A8"/>
  </w:style>
  <w:style w:type="numbering" w:customStyle="1" w:styleId="LFO2611">
    <w:name w:val="LFO2611"/>
    <w:basedOn w:val="NoList"/>
    <w:rsid w:val="00B437A8"/>
    <w:pPr>
      <w:numPr>
        <w:numId w:val="20"/>
      </w:numPr>
    </w:pPr>
  </w:style>
  <w:style w:type="table" w:customStyle="1" w:styleId="TableGrid13">
    <w:name w:val="Table Grid13"/>
    <w:basedOn w:val="TableNormal"/>
    <w:next w:val="TableGrid"/>
    <w:uiPriority w:val="59"/>
    <w:rsid w:val="00B437A8"/>
    <w:pPr>
      <w:spacing w:after="200"/>
      <w:jc w:val="center"/>
    </w:pPr>
    <w:rPr>
      <w:rFonts w:ascii="Arial" w:eastAsia="Cambria"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EvideraTable9">
    <w:name w:val="NEW Evidera Table9"/>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31">
    <w:name w:val="NEW Evidera Table3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41">
    <w:name w:val="NEW Evidera Table4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11">
    <w:name w:val="NEW Evidera Table1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TableGrid21">
    <w:name w:val="Table Grid21"/>
    <w:basedOn w:val="TableNormal"/>
    <w:next w:val="TableGrid"/>
    <w:uiPriority w:val="59"/>
    <w:rsid w:val="00B437A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NEWEvideraTable21">
    <w:name w:val="NEW Evidera Table2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Submissionstandard11">
    <w:name w:val="Submission standard11"/>
    <w:basedOn w:val="TableNormal"/>
    <w:uiPriority w:val="99"/>
    <w:qFormat/>
    <w:rsid w:val="00B437A8"/>
    <w:rPr>
      <w:rFonts w:ascii="Arial Narrow"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Bold" w:hAnsi="Arial Bold" w:cs="Times New Roman"/>
        <w:b/>
        <w:sz w:val="20"/>
      </w:rPr>
      <w:tblPr/>
      <w:tcPr>
        <w:shd w:val="clear" w:color="auto" w:fill="BFBFBF"/>
      </w:tcPr>
    </w:tblStylePr>
  </w:style>
  <w:style w:type="table" w:customStyle="1" w:styleId="NEWEvideraTable51">
    <w:name w:val="NEW Evidera Table5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NEWEvideraTable61">
    <w:name w:val="NEW Evidera Table6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GSKtablestyle17">
    <w:name w:val="GSK table style 17"/>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11">
    <w:name w:val="GSK table style 11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21">
    <w:name w:val="GSK table style 12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31">
    <w:name w:val="GSK table style 13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TableGridLight11">
    <w:name w:val="Table Grid Light11"/>
    <w:basedOn w:val="TableNormal"/>
    <w:next w:val="TableGridLight1"/>
    <w:uiPriority w:val="40"/>
    <w:rsid w:val="00B437A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EWEvideraTable71">
    <w:name w:val="NEW Evidera Table71"/>
    <w:basedOn w:val="TableNormal"/>
    <w:uiPriority w:val="99"/>
    <w:qFormat/>
    <w:rsid w:val="00B437A8"/>
    <w:pPr>
      <w:spacing w:before="40" w:after="40"/>
    </w:pPr>
    <w:rPr>
      <w:rFonts w:ascii="Calibri Light" w:eastAsia="Calibri Light" w:hAnsi="Calibri Light"/>
      <w:sz w:val="18"/>
      <w:szCs w:val="22"/>
      <w:lang w:val="en-US" w:eastAsia="en-US"/>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Segoe UI" w:hAnsi="Segoe UI"/>
        <w:b/>
        <w:color w:val="FFFFFF"/>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Segoe UI" w:hAnsi="Segoe UI"/>
        <w:color w:val="FFFFFF"/>
        <w:sz w:val="18"/>
      </w:rPr>
      <w:tblPr/>
      <w:tcPr>
        <w:vAlign w:val="center"/>
      </w:tcPr>
    </w:tblStylePr>
  </w:style>
  <w:style w:type="table" w:customStyle="1" w:styleId="TableGrid111">
    <w:name w:val="Table Grid11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21">
    <w:name w:val="Submission standard21"/>
    <w:basedOn w:val="TableNormal"/>
    <w:uiPriority w:val="99"/>
    <w:qFormat/>
    <w:rsid w:val="00B437A8"/>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n-ea" w:hAnsi="+mn-ea" w:cstheme="majorBidi"/>
        <w:b/>
        <w:sz w:val="20"/>
      </w:rPr>
      <w:tblPr/>
      <w:tcPr>
        <w:shd w:val="clear" w:color="auto" w:fill="BFBFBF" w:themeFill="background1" w:themeFillShade="BF"/>
      </w:tcPr>
    </w:tblStylePr>
  </w:style>
  <w:style w:type="table" w:customStyle="1" w:styleId="TableGrid41">
    <w:name w:val="Table Grid4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SKtablestyle141">
    <w:name w:val="GSK table style 14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51">
    <w:name w:val="GSK table style 15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GSKtablestyle161">
    <w:name w:val="GSK table style 161"/>
    <w:basedOn w:val="TableNormal"/>
    <w:uiPriority w:val="99"/>
    <w:rsid w:val="00B437A8"/>
    <w:rPr>
      <w:rFonts w:ascii="Arial" w:eastAsia="Arial" w:hAnsi="Arial" w:cs="Arial"/>
      <w:color w:val="544F40"/>
      <w:lang w:val="en-GB" w:eastAsia="en-US"/>
    </w:rPr>
    <w:tblPr>
      <w:tblStyleRowBandSize w:val="1"/>
      <w:tblBorders>
        <w:insideH w:val="single" w:sz="4" w:space="0" w:color="544F40"/>
      </w:tblBorders>
      <w:tblCellMar>
        <w:top w:w="57" w:type="dxa"/>
        <w:bottom w:w="57" w:type="dxa"/>
      </w:tblCellMar>
    </w:tblPr>
    <w:tblStylePr w:type="firstRow">
      <w:pPr>
        <w:wordWrap/>
        <w:spacing w:beforeLines="0" w:beforeAutospacing="0" w:afterLines="0" w:afterAutospacing="0" w:line="240" w:lineRule="auto"/>
        <w:jc w:val="left"/>
      </w:pPr>
      <w:rPr>
        <w:rFonts w:ascii="Arial" w:hAnsi="Arial"/>
        <w:b/>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F36633"/>
      </w:tcPr>
    </w:tblStylePr>
    <w:tblStylePr w:type="lastRow">
      <w:rPr>
        <w:rFonts w:ascii="Arial" w:hAnsi="Arial"/>
        <w:b/>
        <w:caps w:val="0"/>
        <w:smallCaps w:val="0"/>
        <w:strike w:val="0"/>
        <w:dstrike w:val="0"/>
        <w:vanish w:val="0"/>
        <w:color w:val="FFFFFF"/>
        <w:sz w:val="20"/>
        <w:u w:val="none"/>
        <w:vertAlign w:val="baseline"/>
      </w:rPr>
      <w:tblPr/>
      <w:tcPr>
        <w:tcBorders>
          <w:top w:val="nil"/>
          <w:left w:val="nil"/>
          <w:bottom w:val="nil"/>
          <w:right w:val="nil"/>
          <w:insideH w:val="nil"/>
          <w:insideV w:val="nil"/>
          <w:tl2br w:val="nil"/>
          <w:tr2bl w:val="nil"/>
        </w:tcBorders>
        <w:shd w:val="solid" w:color="auto" w:fill="544F40"/>
      </w:tcPr>
    </w:tblStylePr>
    <w:tblStylePr w:type="band1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V w:val="nil"/>
        </w:tcBorders>
        <w:vAlign w:val="top"/>
      </w:tcPr>
    </w:tblStylePr>
    <w:tblStylePr w:type="band2Horz">
      <w:pPr>
        <w:wordWrap/>
        <w:spacing w:beforeLines="0" w:beforeAutospacing="0" w:afterLines="0" w:afterAutospacing="0" w:line="240" w:lineRule="auto"/>
        <w:jc w:val="left"/>
      </w:pPr>
      <w:rPr>
        <w:rFonts w:ascii="Arial" w:hAnsi="Arial"/>
        <w:color w:val="544F40"/>
        <w:sz w:val="20"/>
      </w:rPr>
      <w:tblPr/>
      <w:tcPr>
        <w:tcBorders>
          <w:top w:val="nil"/>
          <w:left w:val="nil"/>
          <w:bottom w:val="single" w:sz="4" w:space="0" w:color="544F40"/>
          <w:right w:val="nil"/>
          <w:insideH w:val="nil"/>
          <w:insideV w:val="nil"/>
          <w:tl2br w:val="nil"/>
          <w:tr2bl w:val="nil"/>
        </w:tcBorders>
        <w:vAlign w:val="top"/>
      </w:tcPr>
    </w:tblStylePr>
  </w:style>
  <w:style w:type="table" w:customStyle="1" w:styleId="TableGrid71">
    <w:name w:val="Table Grid71"/>
    <w:basedOn w:val="TableNormal"/>
    <w:next w:val="TableGrid"/>
    <w:uiPriority w:val="59"/>
    <w:rsid w:val="00B437A8"/>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Submissionstandard31">
    <w:name w:val="Submission standard31"/>
    <w:basedOn w:val="TableNormal"/>
    <w:uiPriority w:val="99"/>
    <w:qFormat/>
    <w:rsid w:val="00B437A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NewRomanPS-BoldMT-Identity" w:hAnsi="TimesNewRomanPS-BoldMT-Identity"/>
        <w:b/>
        <w:sz w:val="20"/>
      </w:rPr>
      <w:tblPr/>
      <w:tcPr>
        <w:shd w:val="clear" w:color="auto" w:fill="BFBFBF" w:themeFill="background1" w:themeFillShade="BF"/>
      </w:tcPr>
    </w:tblStylePr>
  </w:style>
  <w:style w:type="table" w:customStyle="1" w:styleId="TableGrid81">
    <w:name w:val="Table Grid81"/>
    <w:basedOn w:val="TableNormal"/>
    <w:next w:val="TableGrid"/>
    <w:uiPriority w:val="59"/>
    <w:rsid w:val="00B43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41">
    <w:name w:val="Submission standard41"/>
    <w:basedOn w:val="TableNormal"/>
    <w:uiPriority w:val="99"/>
    <w:qFormat/>
    <w:rsid w:val="00B437A8"/>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NewRomanPS-BoldMT-Identity" w:hAnsi="TimesNewRomanPS-BoldMT-Identity"/>
        <w:b/>
        <w:sz w:val="20"/>
      </w:rPr>
      <w:tblPr/>
      <w:tcPr>
        <w:shd w:val="clear" w:color="auto" w:fill="BFBFBF" w:themeFill="background1" w:themeFillShade="BF"/>
      </w:tcPr>
    </w:tblStylePr>
  </w:style>
  <w:style w:type="character" w:customStyle="1" w:styleId="Heading1Char1">
    <w:name w:val="Heading 1 Char1"/>
    <w:aliases w:val="h1 Char1,MP PARA Char1,Para1 Char1,h11 Char1,h12 Char1,Section Heading Char1,(Chapter Nbr) Char1,EOI - Heading 1 (Low) Char1,Heading 1 (low) Char1"/>
    <w:basedOn w:val="DefaultParagraphFont"/>
    <w:uiPriority w:val="9"/>
    <w:rsid w:val="00B437A8"/>
    <w:rPr>
      <w:rFonts w:cstheme="majorBidi"/>
      <w:color w:val="365F91" w:themeColor="accent1" w:themeShade="BF"/>
      <w:sz w:val="32"/>
      <w:szCs w:val="32"/>
      <w:lang w:val="en-AU"/>
    </w:rPr>
  </w:style>
  <w:style w:type="character" w:customStyle="1" w:styleId="Heading2Char1">
    <w:name w:val="Heading 2 Char1"/>
    <w:aliases w:val="h2 Char1,Para2 Char1,h21 Char1,h22 Char1,B Sub/Bold Char1,B Sub/Bold1 Char1,h2 main heading Char1,H2 Char1,(Alt+2) Char1,(Alt+2)1 Char1,(Alt+2)2 Char1,Attribute Heading 2 Char1,B Sub/Bold2 Char1,B Sub/Bold11 Char1,h2 main heading1 Char1"/>
    <w:basedOn w:val="DefaultParagraphFont"/>
    <w:semiHidden/>
    <w:rsid w:val="00B437A8"/>
    <w:rPr>
      <w:rFonts w:cstheme="majorBidi"/>
      <w:color w:val="365F91" w:themeColor="accent1" w:themeShade="BF"/>
      <w:sz w:val="26"/>
      <w:szCs w:val="26"/>
      <w:lang w:val="en-AU"/>
    </w:rPr>
  </w:style>
  <w:style w:type="character" w:customStyle="1" w:styleId="Heading3Char1">
    <w:name w:val="Heading 3 Char1"/>
    <w:aliases w:val="h3 Char1,h31 Char1,h32 Char1,Para3 Char1,C Sub-Sub/Italic Char1,h3 sub heading Char1,EOI - Heading 3 Char1,heading 3 Char1,H3 Char1,H31 Char1,(Alt+3) Char1,Head 3 Char1,3m Char1,h:3 Char1,Level 1 - 1 Char1,(Appendix Nbr) Char1"/>
    <w:basedOn w:val="DefaultParagraphFont"/>
    <w:semiHidden/>
    <w:rsid w:val="00B437A8"/>
    <w:rPr>
      <w:rFonts w:cstheme="majorBidi"/>
      <w:color w:val="243F60" w:themeColor="accent1" w:themeShade="7F"/>
      <w:sz w:val="24"/>
      <w:szCs w:val="24"/>
      <w:lang w:val="en-AU"/>
    </w:rPr>
  </w:style>
  <w:style w:type="character" w:customStyle="1" w:styleId="Heading4Char1">
    <w:name w:val="Heading 4 Char1"/>
    <w:aliases w:val="h4 Char1,h41 Char1,h42 Char1,Para4 Char1,heading 4 Char1,Level 2 - a Char1,(Small Appendix) Char1"/>
    <w:basedOn w:val="DefaultParagraphFont"/>
    <w:uiPriority w:val="9"/>
    <w:semiHidden/>
    <w:rsid w:val="00B437A8"/>
    <w:rPr>
      <w:rFonts w:cstheme="majorBidi"/>
      <w:i/>
      <w:iCs/>
      <w:color w:val="365F91" w:themeColor="accent1" w:themeShade="BF"/>
      <w:sz w:val="24"/>
      <w:szCs w:val="22"/>
      <w:lang w:val="en-AU"/>
    </w:rPr>
  </w:style>
  <w:style w:type="character" w:customStyle="1" w:styleId="Heading5Char1">
    <w:name w:val="Heading 5 Char1"/>
    <w:aliases w:val="Para5 Char1,h5 Char1,h51 Char1,h52 Char1,DO NOT USE Char1"/>
    <w:basedOn w:val="DefaultParagraphFont"/>
    <w:uiPriority w:val="9"/>
    <w:semiHidden/>
    <w:rsid w:val="00B437A8"/>
    <w:rPr>
      <w:rFonts w:cstheme="majorBidi"/>
      <w:color w:val="365F91" w:themeColor="accent1" w:themeShade="BF"/>
      <w:sz w:val="24"/>
      <w:szCs w:val="22"/>
      <w:lang w:val="en-AU"/>
    </w:rPr>
  </w:style>
  <w:style w:type="paragraph" w:customStyle="1" w:styleId="msonormal0">
    <w:name w:val="msonormal"/>
    <w:basedOn w:val="Normal"/>
    <w:uiPriority w:val="99"/>
    <w:rsid w:val="00B437A8"/>
    <w:pPr>
      <w:widowControl/>
      <w:spacing w:before="100" w:beforeAutospacing="1" w:after="100" w:afterAutospacing="1"/>
      <w:jc w:val="left"/>
    </w:pPr>
    <w:rPr>
      <w:rFonts w:ascii="Times New Roman" w:eastAsiaTheme="minorEastAsia" w:hAnsi="Times New Roman" w:cs="Times New Roman"/>
      <w:snapToGrid/>
      <w:szCs w:val="24"/>
      <w:lang w:eastAsia="en-AU"/>
    </w:rPr>
  </w:style>
  <w:style w:type="character" w:customStyle="1" w:styleId="Heading8Char1">
    <w:name w:val="Heading 8 Char1"/>
    <w:aliases w:val="DO NOT USE2 Char1,DO NOT USE21 Char1"/>
    <w:basedOn w:val="DefaultParagraphFont"/>
    <w:uiPriority w:val="99"/>
    <w:semiHidden/>
    <w:rsid w:val="00B437A8"/>
    <w:rPr>
      <w:rFonts w:cstheme="majorBidi"/>
      <w:color w:val="272727" w:themeColor="text1" w:themeTint="D8"/>
      <w:sz w:val="21"/>
      <w:szCs w:val="21"/>
      <w:lang w:val="en-AU"/>
    </w:rPr>
  </w:style>
  <w:style w:type="character" w:customStyle="1" w:styleId="Heading9Char1">
    <w:name w:val="Heading 9 Char1"/>
    <w:aliases w:val="Heading TNR Char1,DO NOT USE1 Char1,DO NOT USE11 Char1"/>
    <w:basedOn w:val="DefaultParagraphFont"/>
    <w:uiPriority w:val="99"/>
    <w:semiHidden/>
    <w:rsid w:val="00B437A8"/>
    <w:rPr>
      <w:rFonts w:cstheme="majorBidi"/>
      <w:i/>
      <w:iCs/>
      <w:color w:val="272727" w:themeColor="text1" w:themeTint="D8"/>
      <w:sz w:val="21"/>
      <w:szCs w:val="21"/>
      <w:lang w:val="en-AU"/>
    </w:rPr>
  </w:style>
  <w:style w:type="table" w:customStyle="1" w:styleId="TableGrid22">
    <w:name w:val="Table Grid22"/>
    <w:basedOn w:val="TableNormal"/>
    <w:next w:val="TableGrid"/>
    <w:uiPriority w:val="59"/>
    <w:rsid w:val="00B437A8"/>
    <w:rPr>
      <w:rFonts w:ascii="Candara" w:hAnsi="Candara"/>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7721">
      <w:bodyDiv w:val="1"/>
      <w:marLeft w:val="0"/>
      <w:marRight w:val="0"/>
      <w:marTop w:val="0"/>
      <w:marBottom w:val="0"/>
      <w:divBdr>
        <w:top w:val="none" w:sz="0" w:space="0" w:color="auto"/>
        <w:left w:val="none" w:sz="0" w:space="0" w:color="auto"/>
        <w:bottom w:val="none" w:sz="0" w:space="0" w:color="auto"/>
        <w:right w:val="none" w:sz="0" w:space="0" w:color="auto"/>
      </w:divBdr>
    </w:div>
    <w:div w:id="63919188">
      <w:bodyDiv w:val="1"/>
      <w:marLeft w:val="0"/>
      <w:marRight w:val="0"/>
      <w:marTop w:val="0"/>
      <w:marBottom w:val="0"/>
      <w:divBdr>
        <w:top w:val="none" w:sz="0" w:space="0" w:color="auto"/>
        <w:left w:val="none" w:sz="0" w:space="0" w:color="auto"/>
        <w:bottom w:val="none" w:sz="0" w:space="0" w:color="auto"/>
        <w:right w:val="none" w:sz="0" w:space="0" w:color="auto"/>
      </w:divBdr>
    </w:div>
    <w:div w:id="83842924">
      <w:bodyDiv w:val="1"/>
      <w:marLeft w:val="0"/>
      <w:marRight w:val="0"/>
      <w:marTop w:val="0"/>
      <w:marBottom w:val="0"/>
      <w:divBdr>
        <w:top w:val="none" w:sz="0" w:space="0" w:color="auto"/>
        <w:left w:val="none" w:sz="0" w:space="0" w:color="auto"/>
        <w:bottom w:val="none" w:sz="0" w:space="0" w:color="auto"/>
        <w:right w:val="none" w:sz="0" w:space="0" w:color="auto"/>
      </w:divBdr>
    </w:div>
    <w:div w:id="149908493">
      <w:bodyDiv w:val="1"/>
      <w:marLeft w:val="0"/>
      <w:marRight w:val="0"/>
      <w:marTop w:val="0"/>
      <w:marBottom w:val="0"/>
      <w:divBdr>
        <w:top w:val="none" w:sz="0" w:space="0" w:color="auto"/>
        <w:left w:val="none" w:sz="0" w:space="0" w:color="auto"/>
        <w:bottom w:val="none" w:sz="0" w:space="0" w:color="auto"/>
        <w:right w:val="none" w:sz="0" w:space="0" w:color="auto"/>
      </w:divBdr>
    </w:div>
    <w:div w:id="280303059">
      <w:bodyDiv w:val="1"/>
      <w:marLeft w:val="0"/>
      <w:marRight w:val="0"/>
      <w:marTop w:val="0"/>
      <w:marBottom w:val="0"/>
      <w:divBdr>
        <w:top w:val="none" w:sz="0" w:space="0" w:color="auto"/>
        <w:left w:val="none" w:sz="0" w:space="0" w:color="auto"/>
        <w:bottom w:val="none" w:sz="0" w:space="0" w:color="auto"/>
        <w:right w:val="none" w:sz="0" w:space="0" w:color="auto"/>
      </w:divBdr>
    </w:div>
    <w:div w:id="306783776">
      <w:bodyDiv w:val="1"/>
      <w:marLeft w:val="0"/>
      <w:marRight w:val="0"/>
      <w:marTop w:val="0"/>
      <w:marBottom w:val="0"/>
      <w:divBdr>
        <w:top w:val="none" w:sz="0" w:space="0" w:color="auto"/>
        <w:left w:val="none" w:sz="0" w:space="0" w:color="auto"/>
        <w:bottom w:val="none" w:sz="0" w:space="0" w:color="auto"/>
        <w:right w:val="none" w:sz="0" w:space="0" w:color="auto"/>
      </w:divBdr>
    </w:div>
    <w:div w:id="517890512">
      <w:bodyDiv w:val="1"/>
      <w:marLeft w:val="0"/>
      <w:marRight w:val="0"/>
      <w:marTop w:val="0"/>
      <w:marBottom w:val="0"/>
      <w:divBdr>
        <w:top w:val="none" w:sz="0" w:space="0" w:color="auto"/>
        <w:left w:val="none" w:sz="0" w:space="0" w:color="auto"/>
        <w:bottom w:val="none" w:sz="0" w:space="0" w:color="auto"/>
        <w:right w:val="none" w:sz="0" w:space="0" w:color="auto"/>
      </w:divBdr>
    </w:div>
    <w:div w:id="601378808">
      <w:bodyDiv w:val="1"/>
      <w:marLeft w:val="0"/>
      <w:marRight w:val="0"/>
      <w:marTop w:val="0"/>
      <w:marBottom w:val="0"/>
      <w:divBdr>
        <w:top w:val="none" w:sz="0" w:space="0" w:color="auto"/>
        <w:left w:val="none" w:sz="0" w:space="0" w:color="auto"/>
        <w:bottom w:val="none" w:sz="0" w:space="0" w:color="auto"/>
        <w:right w:val="none" w:sz="0" w:space="0" w:color="auto"/>
      </w:divBdr>
    </w:div>
    <w:div w:id="659231505">
      <w:bodyDiv w:val="1"/>
      <w:marLeft w:val="0"/>
      <w:marRight w:val="0"/>
      <w:marTop w:val="0"/>
      <w:marBottom w:val="0"/>
      <w:divBdr>
        <w:top w:val="none" w:sz="0" w:space="0" w:color="auto"/>
        <w:left w:val="none" w:sz="0" w:space="0" w:color="auto"/>
        <w:bottom w:val="none" w:sz="0" w:space="0" w:color="auto"/>
        <w:right w:val="none" w:sz="0" w:space="0" w:color="auto"/>
      </w:divBdr>
    </w:div>
    <w:div w:id="674770649">
      <w:bodyDiv w:val="1"/>
      <w:marLeft w:val="0"/>
      <w:marRight w:val="0"/>
      <w:marTop w:val="0"/>
      <w:marBottom w:val="0"/>
      <w:divBdr>
        <w:top w:val="none" w:sz="0" w:space="0" w:color="auto"/>
        <w:left w:val="none" w:sz="0" w:space="0" w:color="auto"/>
        <w:bottom w:val="none" w:sz="0" w:space="0" w:color="auto"/>
        <w:right w:val="none" w:sz="0" w:space="0" w:color="auto"/>
      </w:divBdr>
    </w:div>
    <w:div w:id="696202449">
      <w:bodyDiv w:val="1"/>
      <w:marLeft w:val="0"/>
      <w:marRight w:val="0"/>
      <w:marTop w:val="0"/>
      <w:marBottom w:val="0"/>
      <w:divBdr>
        <w:top w:val="none" w:sz="0" w:space="0" w:color="auto"/>
        <w:left w:val="none" w:sz="0" w:space="0" w:color="auto"/>
        <w:bottom w:val="none" w:sz="0" w:space="0" w:color="auto"/>
        <w:right w:val="none" w:sz="0" w:space="0" w:color="auto"/>
      </w:divBdr>
    </w:div>
    <w:div w:id="913903652">
      <w:bodyDiv w:val="1"/>
      <w:marLeft w:val="0"/>
      <w:marRight w:val="0"/>
      <w:marTop w:val="0"/>
      <w:marBottom w:val="0"/>
      <w:divBdr>
        <w:top w:val="none" w:sz="0" w:space="0" w:color="auto"/>
        <w:left w:val="none" w:sz="0" w:space="0" w:color="auto"/>
        <w:bottom w:val="none" w:sz="0" w:space="0" w:color="auto"/>
        <w:right w:val="none" w:sz="0" w:space="0" w:color="auto"/>
      </w:divBdr>
      <w:divsChild>
        <w:div w:id="529345600">
          <w:marLeft w:val="0"/>
          <w:marRight w:val="0"/>
          <w:marTop w:val="0"/>
          <w:marBottom w:val="0"/>
          <w:divBdr>
            <w:top w:val="none" w:sz="0" w:space="0" w:color="auto"/>
            <w:left w:val="none" w:sz="0" w:space="0" w:color="auto"/>
            <w:bottom w:val="none" w:sz="0" w:space="0" w:color="auto"/>
            <w:right w:val="none" w:sz="0" w:space="0" w:color="auto"/>
          </w:divBdr>
          <w:divsChild>
            <w:div w:id="104274113">
              <w:marLeft w:val="0"/>
              <w:marRight w:val="0"/>
              <w:marTop w:val="0"/>
              <w:marBottom w:val="0"/>
              <w:divBdr>
                <w:top w:val="none" w:sz="0" w:space="0" w:color="auto"/>
                <w:left w:val="none" w:sz="0" w:space="0" w:color="auto"/>
                <w:bottom w:val="none" w:sz="0" w:space="0" w:color="auto"/>
                <w:right w:val="none" w:sz="0" w:space="0" w:color="auto"/>
              </w:divBdr>
            </w:div>
            <w:div w:id="1043284440">
              <w:marLeft w:val="0"/>
              <w:marRight w:val="0"/>
              <w:marTop w:val="0"/>
              <w:marBottom w:val="0"/>
              <w:divBdr>
                <w:top w:val="none" w:sz="0" w:space="0" w:color="auto"/>
                <w:left w:val="none" w:sz="0" w:space="0" w:color="auto"/>
                <w:bottom w:val="none" w:sz="0" w:space="0" w:color="auto"/>
                <w:right w:val="none" w:sz="0" w:space="0" w:color="auto"/>
              </w:divBdr>
            </w:div>
          </w:divsChild>
        </w:div>
        <w:div w:id="1245261697">
          <w:marLeft w:val="0"/>
          <w:marRight w:val="0"/>
          <w:marTop w:val="0"/>
          <w:marBottom w:val="0"/>
          <w:divBdr>
            <w:top w:val="none" w:sz="0" w:space="0" w:color="auto"/>
            <w:left w:val="none" w:sz="0" w:space="0" w:color="auto"/>
            <w:bottom w:val="none" w:sz="0" w:space="0" w:color="auto"/>
            <w:right w:val="none" w:sz="0" w:space="0" w:color="auto"/>
          </w:divBdr>
          <w:divsChild>
            <w:div w:id="172645079">
              <w:marLeft w:val="0"/>
              <w:marRight w:val="0"/>
              <w:marTop w:val="0"/>
              <w:marBottom w:val="0"/>
              <w:divBdr>
                <w:top w:val="none" w:sz="0" w:space="0" w:color="auto"/>
                <w:left w:val="none" w:sz="0" w:space="0" w:color="auto"/>
                <w:bottom w:val="none" w:sz="0" w:space="0" w:color="auto"/>
                <w:right w:val="none" w:sz="0" w:space="0" w:color="auto"/>
              </w:divBdr>
            </w:div>
            <w:div w:id="43636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30456">
      <w:bodyDiv w:val="1"/>
      <w:marLeft w:val="0"/>
      <w:marRight w:val="0"/>
      <w:marTop w:val="0"/>
      <w:marBottom w:val="0"/>
      <w:divBdr>
        <w:top w:val="none" w:sz="0" w:space="0" w:color="auto"/>
        <w:left w:val="none" w:sz="0" w:space="0" w:color="auto"/>
        <w:bottom w:val="none" w:sz="0" w:space="0" w:color="auto"/>
        <w:right w:val="none" w:sz="0" w:space="0" w:color="auto"/>
      </w:divBdr>
    </w:div>
    <w:div w:id="1001931346">
      <w:bodyDiv w:val="1"/>
      <w:marLeft w:val="0"/>
      <w:marRight w:val="0"/>
      <w:marTop w:val="0"/>
      <w:marBottom w:val="0"/>
      <w:divBdr>
        <w:top w:val="none" w:sz="0" w:space="0" w:color="auto"/>
        <w:left w:val="none" w:sz="0" w:space="0" w:color="auto"/>
        <w:bottom w:val="none" w:sz="0" w:space="0" w:color="auto"/>
        <w:right w:val="none" w:sz="0" w:space="0" w:color="auto"/>
      </w:divBdr>
    </w:div>
    <w:div w:id="1190416762">
      <w:bodyDiv w:val="1"/>
      <w:marLeft w:val="0"/>
      <w:marRight w:val="0"/>
      <w:marTop w:val="0"/>
      <w:marBottom w:val="0"/>
      <w:divBdr>
        <w:top w:val="none" w:sz="0" w:space="0" w:color="auto"/>
        <w:left w:val="none" w:sz="0" w:space="0" w:color="auto"/>
        <w:bottom w:val="none" w:sz="0" w:space="0" w:color="auto"/>
        <w:right w:val="none" w:sz="0" w:space="0" w:color="auto"/>
      </w:divBdr>
    </w:div>
    <w:div w:id="1302151619">
      <w:bodyDiv w:val="1"/>
      <w:marLeft w:val="0"/>
      <w:marRight w:val="0"/>
      <w:marTop w:val="0"/>
      <w:marBottom w:val="0"/>
      <w:divBdr>
        <w:top w:val="none" w:sz="0" w:space="0" w:color="auto"/>
        <w:left w:val="none" w:sz="0" w:space="0" w:color="auto"/>
        <w:bottom w:val="none" w:sz="0" w:space="0" w:color="auto"/>
        <w:right w:val="none" w:sz="0" w:space="0" w:color="auto"/>
      </w:divBdr>
    </w:div>
    <w:div w:id="1323050517">
      <w:bodyDiv w:val="1"/>
      <w:marLeft w:val="0"/>
      <w:marRight w:val="0"/>
      <w:marTop w:val="0"/>
      <w:marBottom w:val="0"/>
      <w:divBdr>
        <w:top w:val="none" w:sz="0" w:space="0" w:color="auto"/>
        <w:left w:val="none" w:sz="0" w:space="0" w:color="auto"/>
        <w:bottom w:val="none" w:sz="0" w:space="0" w:color="auto"/>
        <w:right w:val="none" w:sz="0" w:space="0" w:color="auto"/>
      </w:divBdr>
    </w:div>
    <w:div w:id="1334065342">
      <w:bodyDiv w:val="1"/>
      <w:marLeft w:val="0"/>
      <w:marRight w:val="0"/>
      <w:marTop w:val="0"/>
      <w:marBottom w:val="0"/>
      <w:divBdr>
        <w:top w:val="none" w:sz="0" w:space="0" w:color="auto"/>
        <w:left w:val="none" w:sz="0" w:space="0" w:color="auto"/>
        <w:bottom w:val="none" w:sz="0" w:space="0" w:color="auto"/>
        <w:right w:val="none" w:sz="0" w:space="0" w:color="auto"/>
      </w:divBdr>
    </w:div>
    <w:div w:id="1335719316">
      <w:bodyDiv w:val="1"/>
      <w:marLeft w:val="0"/>
      <w:marRight w:val="0"/>
      <w:marTop w:val="0"/>
      <w:marBottom w:val="0"/>
      <w:divBdr>
        <w:top w:val="none" w:sz="0" w:space="0" w:color="auto"/>
        <w:left w:val="none" w:sz="0" w:space="0" w:color="auto"/>
        <w:bottom w:val="none" w:sz="0" w:space="0" w:color="auto"/>
        <w:right w:val="none" w:sz="0" w:space="0" w:color="auto"/>
      </w:divBdr>
    </w:div>
    <w:div w:id="1504323264">
      <w:bodyDiv w:val="1"/>
      <w:marLeft w:val="0"/>
      <w:marRight w:val="0"/>
      <w:marTop w:val="0"/>
      <w:marBottom w:val="0"/>
      <w:divBdr>
        <w:top w:val="none" w:sz="0" w:space="0" w:color="auto"/>
        <w:left w:val="none" w:sz="0" w:space="0" w:color="auto"/>
        <w:bottom w:val="none" w:sz="0" w:space="0" w:color="auto"/>
        <w:right w:val="none" w:sz="0" w:space="0" w:color="auto"/>
      </w:divBdr>
    </w:div>
    <w:div w:id="1570458499">
      <w:bodyDiv w:val="1"/>
      <w:marLeft w:val="0"/>
      <w:marRight w:val="0"/>
      <w:marTop w:val="0"/>
      <w:marBottom w:val="0"/>
      <w:divBdr>
        <w:top w:val="none" w:sz="0" w:space="0" w:color="auto"/>
        <w:left w:val="none" w:sz="0" w:space="0" w:color="auto"/>
        <w:bottom w:val="none" w:sz="0" w:space="0" w:color="auto"/>
        <w:right w:val="none" w:sz="0" w:space="0" w:color="auto"/>
      </w:divBdr>
    </w:div>
    <w:div w:id="1570773323">
      <w:bodyDiv w:val="1"/>
      <w:marLeft w:val="0"/>
      <w:marRight w:val="0"/>
      <w:marTop w:val="0"/>
      <w:marBottom w:val="0"/>
      <w:divBdr>
        <w:top w:val="none" w:sz="0" w:space="0" w:color="auto"/>
        <w:left w:val="none" w:sz="0" w:space="0" w:color="auto"/>
        <w:bottom w:val="none" w:sz="0" w:space="0" w:color="auto"/>
        <w:right w:val="none" w:sz="0" w:space="0" w:color="auto"/>
      </w:divBdr>
    </w:div>
    <w:div w:id="1574315619">
      <w:bodyDiv w:val="1"/>
      <w:marLeft w:val="0"/>
      <w:marRight w:val="0"/>
      <w:marTop w:val="0"/>
      <w:marBottom w:val="0"/>
      <w:divBdr>
        <w:top w:val="none" w:sz="0" w:space="0" w:color="auto"/>
        <w:left w:val="none" w:sz="0" w:space="0" w:color="auto"/>
        <w:bottom w:val="none" w:sz="0" w:space="0" w:color="auto"/>
        <w:right w:val="none" w:sz="0" w:space="0" w:color="auto"/>
      </w:divBdr>
    </w:div>
    <w:div w:id="1675180399">
      <w:bodyDiv w:val="1"/>
      <w:marLeft w:val="0"/>
      <w:marRight w:val="0"/>
      <w:marTop w:val="0"/>
      <w:marBottom w:val="0"/>
      <w:divBdr>
        <w:top w:val="none" w:sz="0" w:space="0" w:color="auto"/>
        <w:left w:val="none" w:sz="0" w:space="0" w:color="auto"/>
        <w:bottom w:val="none" w:sz="0" w:space="0" w:color="auto"/>
        <w:right w:val="none" w:sz="0" w:space="0" w:color="auto"/>
      </w:divBdr>
    </w:div>
    <w:div w:id="1700466845">
      <w:bodyDiv w:val="1"/>
      <w:marLeft w:val="0"/>
      <w:marRight w:val="0"/>
      <w:marTop w:val="0"/>
      <w:marBottom w:val="0"/>
      <w:divBdr>
        <w:top w:val="none" w:sz="0" w:space="0" w:color="auto"/>
        <w:left w:val="none" w:sz="0" w:space="0" w:color="auto"/>
        <w:bottom w:val="none" w:sz="0" w:space="0" w:color="auto"/>
        <w:right w:val="none" w:sz="0" w:space="0" w:color="auto"/>
      </w:divBdr>
    </w:div>
    <w:div w:id="1746100013">
      <w:bodyDiv w:val="1"/>
      <w:marLeft w:val="0"/>
      <w:marRight w:val="0"/>
      <w:marTop w:val="0"/>
      <w:marBottom w:val="0"/>
      <w:divBdr>
        <w:top w:val="none" w:sz="0" w:space="0" w:color="auto"/>
        <w:left w:val="none" w:sz="0" w:space="0" w:color="auto"/>
        <w:bottom w:val="none" w:sz="0" w:space="0" w:color="auto"/>
        <w:right w:val="none" w:sz="0" w:space="0" w:color="auto"/>
      </w:divBdr>
    </w:div>
    <w:div w:id="1752458442">
      <w:bodyDiv w:val="1"/>
      <w:marLeft w:val="0"/>
      <w:marRight w:val="0"/>
      <w:marTop w:val="0"/>
      <w:marBottom w:val="0"/>
      <w:divBdr>
        <w:top w:val="none" w:sz="0" w:space="0" w:color="auto"/>
        <w:left w:val="none" w:sz="0" w:space="0" w:color="auto"/>
        <w:bottom w:val="none" w:sz="0" w:space="0" w:color="auto"/>
        <w:right w:val="none" w:sz="0" w:space="0" w:color="auto"/>
      </w:divBdr>
    </w:div>
    <w:div w:id="1759135643">
      <w:bodyDiv w:val="1"/>
      <w:marLeft w:val="0"/>
      <w:marRight w:val="0"/>
      <w:marTop w:val="0"/>
      <w:marBottom w:val="0"/>
      <w:divBdr>
        <w:top w:val="none" w:sz="0" w:space="0" w:color="auto"/>
        <w:left w:val="none" w:sz="0" w:space="0" w:color="auto"/>
        <w:bottom w:val="none" w:sz="0" w:space="0" w:color="auto"/>
        <w:right w:val="none" w:sz="0" w:space="0" w:color="auto"/>
      </w:divBdr>
    </w:div>
    <w:div w:id="1942373775">
      <w:bodyDiv w:val="1"/>
      <w:marLeft w:val="0"/>
      <w:marRight w:val="0"/>
      <w:marTop w:val="0"/>
      <w:marBottom w:val="0"/>
      <w:divBdr>
        <w:top w:val="none" w:sz="0" w:space="0" w:color="auto"/>
        <w:left w:val="none" w:sz="0" w:space="0" w:color="auto"/>
        <w:bottom w:val="none" w:sz="0" w:space="0" w:color="auto"/>
        <w:right w:val="none" w:sz="0" w:space="0" w:color="auto"/>
      </w:divBdr>
    </w:div>
    <w:div w:id="1942644811">
      <w:bodyDiv w:val="1"/>
      <w:marLeft w:val="0"/>
      <w:marRight w:val="0"/>
      <w:marTop w:val="0"/>
      <w:marBottom w:val="0"/>
      <w:divBdr>
        <w:top w:val="none" w:sz="0" w:space="0" w:color="auto"/>
        <w:left w:val="none" w:sz="0" w:space="0" w:color="auto"/>
        <w:bottom w:val="none" w:sz="0" w:space="0" w:color="auto"/>
        <w:right w:val="none" w:sz="0" w:space="0" w:color="auto"/>
      </w:divBdr>
    </w:div>
    <w:div w:id="2067803134">
      <w:bodyDiv w:val="1"/>
      <w:marLeft w:val="0"/>
      <w:marRight w:val="0"/>
      <w:marTop w:val="0"/>
      <w:marBottom w:val="0"/>
      <w:divBdr>
        <w:top w:val="none" w:sz="0" w:space="0" w:color="auto"/>
        <w:left w:val="none" w:sz="0" w:space="0" w:color="auto"/>
        <w:bottom w:val="none" w:sz="0" w:space="0" w:color="auto"/>
        <w:right w:val="none" w:sz="0" w:space="0" w:color="auto"/>
      </w:divBdr>
    </w:div>
    <w:div w:id="2072802054">
      <w:bodyDiv w:val="1"/>
      <w:marLeft w:val="0"/>
      <w:marRight w:val="0"/>
      <w:marTop w:val="0"/>
      <w:marBottom w:val="0"/>
      <w:divBdr>
        <w:top w:val="none" w:sz="0" w:space="0" w:color="auto"/>
        <w:left w:val="none" w:sz="0" w:space="0" w:color="auto"/>
        <w:bottom w:val="none" w:sz="0" w:space="0" w:color="auto"/>
        <w:right w:val="none" w:sz="0" w:space="0" w:color="auto"/>
      </w:divBdr>
    </w:div>
    <w:div w:id="2108428938">
      <w:bodyDiv w:val="1"/>
      <w:marLeft w:val="0"/>
      <w:marRight w:val="0"/>
      <w:marTop w:val="0"/>
      <w:marBottom w:val="0"/>
      <w:divBdr>
        <w:top w:val="none" w:sz="0" w:space="0" w:color="auto"/>
        <w:left w:val="none" w:sz="0" w:space="0" w:color="auto"/>
        <w:bottom w:val="none" w:sz="0" w:space="0" w:color="auto"/>
        <w:right w:val="none" w:sz="0" w:space="0" w:color="auto"/>
      </w:divBdr>
    </w:div>
    <w:div w:id="2144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Sch17</b:Tag>
    <b:SourceType>JournalArticle</b:SourceType>
    <b:Guid>{9AA97203-325E-4AC4-AFC6-CE4A60948602}</b:Guid>
    <b:Author>
      <b:Author>
        <b:NameList>
          <b:Person>
            <b:Last>Schwarz</b:Last>
            <b:First>T,</b:First>
            <b:Middle>Aggarwal,N, Moeckesch,B, Schenkenberger,I, Claeys,C, Douha,M,Godeaux,O</b:Middle>
          </b:Person>
        </b:NameList>
      </b:Author>
    </b:Author>
    <b:Title>Immunogenicity and Safety of an Adjuvanted Herpes</b:Title>
    <b:JournalName>Journal of Infectious Diseases</b:JournalName>
    <b:Year>2017</b:Year>
    <b:Pages>1352</b:Pages>
    <b:Volume>216</b:Volume>
    <b:RefOrder>49</b:RefOrder>
  </b:Source>
  <b:Source>
    <b:Tag>ZOS</b:Tag>
    <b:SourceType>Report</b:SourceType>
    <b:Guid>{8BF9833E-AC9E-4BF9-B7A2-4DF9D7EF5C74}</b:Guid>
    <b:Author>
      <b:Author>
        <b:NameList>
          <b:Person>
            <b:Last>ZOSTER-035</b:Last>
          </b:Person>
        </b:NameList>
      </b:Author>
    </b:Author>
    <b:Title>A phase III, randomized, open-label, multicenter clinical trial to assess the immunogenicity and safety of GSK HZ vaccine when co-administered with Pneumovax 23 in adults aged 50 years and older.Clinical study report for Study 116889, ZOSTER-035</b:Title>
    <b:Year>2017</b:Year>
    <b:RefOrder>50</b:RefOrder>
  </b:Source>
  <b:Source>
    <b:Tag>Dep17</b:Tag>
    <b:SourceType>DocumentFromInternetSite</b:SourceType>
    <b:Guid>{EFC7A9AC-B2A6-4FCA-A7B4-E39D73782F64}</b:Guid>
    <b:Author>
      <b:Author>
        <b:NameList>
          <b:Person>
            <b:Last>DoH</b:Last>
          </b:Person>
        </b:NameList>
      </b:Author>
    </b:Author>
    <b:Title>Herpes Zoster. Retrieved from THE AUSTRALIAN IMMUNISATION HANDBOOK 10TH EDITION</b:Title>
    <b:JournalName>4.10</b:JournalName>
    <b:Year>2017</b:Year>
    <b:URL>http://immunise.health.gov.au/internet/immunise/publishing.nsf/Content/Handbook10-home~handbook10part4~handbook10-4-10</b:URL>
    <b:YearAccessed>2017</b:YearAccessed>
    <b:RefOrder>27</b:RefOrder>
  </b:Source>
  <b:Source>
    <b:Tag>Yaw07</b:Tag>
    <b:SourceType>JournalArticle</b:SourceType>
    <b:Guid>{D240C076-9E69-44CB-B1E2-1DEF31C2D3D9}</b:Guid>
    <b:Author>
      <b:Author>
        <b:NameList>
          <b:Person>
            <b:Last>Yawn</b:Last>
            <b:First>B.</b:First>
            <b:Middle>P., Saddier, P., Wollan, P. C., St. Sauver, J. L., Kurland, M. J. &amp; Sy, L. S.</b:Middle>
          </b:Person>
        </b:NameList>
      </b:Author>
    </b:Author>
    <b:Title>A population-based study of the incidence and complication rates of herpes zoster before zoster vaccine introduction. </b:Title>
    <b:JournalName>Mayo Clinic Proceedings,</b:JournalName>
    <b:Year>2007</b:Year>
    <b:Pages> 82, 1341-1349.</b:Pages>
    <b:RefOrder>28</b:RefOrder>
  </b:Source>
  <b:Source>
    <b:Tag>Joh15</b:Tag>
    <b:SourceType>JournalArticle</b:SourceType>
    <b:Guid>{BB392EDD-4B5C-47C8-8F28-16F6CD2EC275}</b:Guid>
    <b:Title>Herpes zoster epidemiology, management, and disease and economic burden in Europe: a multidisciplinary perspective</b:Title>
    <b:Year>2015</b:Year>
    <b:Author>
      <b:Author>
        <b:NameList>
          <b:Person>
            <b:Last>Johnson</b:Last>
            <b:First>R.</b:First>
            <b:Middle>,Alvarez-Pasquin, M-J., Bijl, M. Franco, E., Gaillat, J.</b:Middle>
          </b:Person>
        </b:NameList>
      </b:Author>
    </b:Author>
    <b:JournalName>Therapeutic Advacnes in Vaccines</b:JournalName>
    <b:Pages>109-120</b:Pages>
    <b:Volume>3</b:Volume>
    <b:Issue>4</b:Issue>
    <b:RefOrder>29</b:RefOrder>
  </b:Source>
  <b:Source>
    <b:Tag>Kaw14</b:Tag>
    <b:SourceType>JournalArticle</b:SourceType>
    <b:Guid>{964CE2F5-518C-4446-9CA3-56F645BBFD0E}</b:Guid>
    <b:Author>
      <b:Author>
        <b:NameList>
          <b:Person>
            <b:Last>Kawai</b:Last>
            <b:First>K.,</b:First>
            <b:Middle>Gebremeskel, B. G. &amp; Acosta, C. J.</b:Middle>
          </b:Person>
        </b:NameList>
      </b:Author>
    </b:Author>
    <b:Title> Systematic review of incidence and complications of herpes zoster: Towards a global perspective. .</b:Title>
    <b:JournalName>BMJ OPen</b:JournalName>
    <b:Year>2014</b:Year>
    <b:Pages>4</b:Pages>
    <b:RefOrder>6</b:RefOrder>
  </b:Source>
  <b:Source>
    <b:Tag>Cur171</b:Tag>
    <b:SourceType>JournalArticle</b:SourceType>
    <b:Guid>{39015686-F730-461A-8095-A661EF0D050D}</b:Guid>
    <b:Author>
      <b:Author>
        <b:NameList>
          <b:Person>
            <b:Last>Curran</b:Last>
            <b:First>D,</b:First>
            <b:Middle>Van Oorschot, D, Varghese, L, Oostvogels,L,Mrkvan, T,</b:Middle>
          </b:Person>
        </b:NameList>
      </b:Author>
    </b:Author>
    <b:Title>Assessment of the potential public health impact of herpes Zoster vaccination in Germany</b:Title>
    <b:JournalName>Human Vaccines &amp; Immunotherapeutics</b:JournalName>
    <b:Year>2017</b:Year>
    <b:Pages>1-9</b:Pages>
    <b:RefOrder>68</b:RefOrder>
  </b:Source>
  <b:Source>
    <b:Tag>Chl14</b:Tag>
    <b:SourceType>JournalArticle</b:SourceType>
    <b:Guid>{D1AFF1F2-949A-4499-9A60-D474FE3CA728}</b:Guid>
    <b:Author>
      <b:Author>
        <b:NameList>
          <b:Person>
            <b:Last>Chlibek</b:Last>
            <b:First>R.,</b:First>
            <b:Middle>Smetana, J., Pauksens, K.,et al.</b:Middle>
          </b:Person>
        </b:NameList>
      </b:Author>
    </b:Author>
    <b:Title>Safety and immunogenicity of three different formulations of an adjuvanted varicell-zoster virus subunit candidate vaccine in older adults: a phase II, randomized controlled study.</b:Title>
    <b:JournalName>Vaccine</b:JournalName>
    <b:Year>2014</b:Year>
    <b:Pages>32:1745-1753.</b:Pages>
    <b:RefOrder>69</b:RefOrder>
  </b:Source>
  <b:Source>
    <b:Tag>Chl16</b:Tag>
    <b:SourceType>JournalArticle</b:SourceType>
    <b:Guid>{43C585C4-FC2B-4478-B018-95C37CEFEFAB}</b:Guid>
    <b:Author>
      <b:Author>
        <b:NameList>
          <b:Person>
            <b:Last>Chlibek</b:Last>
            <b:First>Pauksens,</b:First>
            <b:Middle>K, Rombo L, van Rijckevorsel G, Richardus JH, Plassmann G, Schwarz TF, Catteau G, Lal H, Heineman TC.</b:Middle>
          </b:Person>
        </b:NameList>
      </b:Author>
    </b:Author>
    <b:Title>Long-term immunogenicity and safety of an investigational herpes zoster subunit vaccine in older adults</b:Title>
    <b:JournalName>Vaccine</b:JournalName>
    <b:Year>2016</b:Year>
    <b:Pages>34:863-8.</b:Pages>
    <b:RefOrder>67</b:RefOrder>
  </b:Source>
  <b:Source>
    <b:Tag>Sch18</b:Tag>
    <b:SourceType>JournalArticle</b:SourceType>
    <b:Guid>{31C5D8FD-4A29-465A-A19A-B281E3074A79}</b:Guid>
    <b:Author>
      <b:Author>
        <b:NameList>
          <b:Person>
            <b:Last>Schwartz</b:Last>
            <b:First>T,</b:First>
            <b:Middle>Volpe, S, Catteau, G, Chilbeck,R,</b:Middle>
          </b:Person>
        </b:NameList>
      </b:Author>
    </b:Author>
    <b:Title>Persistence of immune response to an adjunvanted variecella-zoster virus subunit vaccine for up to year nine in older adults</b:Title>
    <b:JournalName>Hunan Vaccine &amp; Immunotherapeutics</b:JournalName>
    <b:Year>2018</b:Year>
    <b:Pages>1-8</b:Pages>
    <b:RefOrder>109</b:RefOrder>
  </b:Source>
  <b:Source>
    <b:Tag>Pau17</b:Tag>
    <b:SourceType>JournalArticle</b:SourceType>
    <b:Guid>{77415646-9939-485F-9EDF-2FF46F8B3C4D}</b:Guid>
    <b:Author>
      <b:Author>
        <b:NameList>
          <b:Person>
            <b:Last>Pauksens</b:Last>
            <b:First>K.</b:First>
            <b:Middle>Volpe, S. Schwarz, T. Smetana, J. Toursarkissian, N., Rombo, L. Ravault, S. David, M-P, Bastidas, A. Oostvogels, L.</b:Middle>
          </b:Person>
        </b:NameList>
      </b:Author>
    </b:Author>
    <b:Title>Persistence of Immune response to an adjuvanted varicella zoster virus subunit candidate vaccine for up to year 9 in older adults</b:Title>
    <b:JournalName>ID Week</b:JournalName>
    <b:Year>2017</b:Year>
    <b:RefOrder>112</b:RefOrder>
  </b:Source>
</b:Sources>
</file>

<file path=customXml/itemProps1.xml><?xml version="1.0" encoding="utf-8"?>
<ds:datastoreItem xmlns:ds="http://schemas.openxmlformats.org/officeDocument/2006/customXml" ds:itemID="{4FEBE8E9-C78D-47E2-BF87-E43FEF40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12883</Words>
  <Characters>74858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2019-03-04T06:36:00Z</dcterms:created>
  <dcterms:modified xsi:type="dcterms:W3CDTF">2019-03-04T06:48:00Z</dcterms:modified>
</cp:coreProperties>
</file>