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C3" w:rsidRPr="00557776" w:rsidRDefault="00944737" w:rsidP="00557776">
      <w:pPr>
        <w:widowControl/>
        <w:ind w:left="851" w:hanging="851"/>
        <w:jc w:val="left"/>
        <w:outlineLvl w:val="0"/>
        <w:rPr>
          <w:b/>
          <w:sz w:val="36"/>
          <w:szCs w:val="36"/>
        </w:rPr>
      </w:pPr>
      <w:bookmarkStart w:id="0" w:name="_GoBack"/>
      <w:bookmarkEnd w:id="0"/>
      <w:r w:rsidRPr="00A9117A">
        <w:rPr>
          <w:b/>
          <w:sz w:val="36"/>
          <w:szCs w:val="36"/>
        </w:rPr>
        <w:t>6.1</w:t>
      </w:r>
      <w:r w:rsidR="008F046D" w:rsidRPr="00A9117A">
        <w:rPr>
          <w:b/>
          <w:sz w:val="36"/>
          <w:szCs w:val="36"/>
        </w:rPr>
        <w:t>1</w:t>
      </w:r>
      <w:r w:rsidR="00B60939" w:rsidRPr="00A9117A">
        <w:rPr>
          <w:b/>
          <w:sz w:val="36"/>
          <w:szCs w:val="36"/>
        </w:rPr>
        <w:tab/>
      </w:r>
      <w:r w:rsidR="00A358CF" w:rsidRPr="00A9117A">
        <w:rPr>
          <w:b/>
          <w:sz w:val="36"/>
          <w:szCs w:val="36"/>
        </w:rPr>
        <w:t xml:space="preserve">TOFACITINIB, </w:t>
      </w:r>
      <w:r w:rsidR="00BD7B79" w:rsidRPr="00A9117A">
        <w:rPr>
          <w:b/>
          <w:sz w:val="36"/>
          <w:szCs w:val="36"/>
        </w:rPr>
        <w:br/>
      </w:r>
      <w:r w:rsidR="00A358CF" w:rsidRPr="00A9117A">
        <w:rPr>
          <w:b/>
          <w:sz w:val="36"/>
          <w:szCs w:val="36"/>
        </w:rPr>
        <w:t xml:space="preserve">Tablet 5 mg, </w:t>
      </w:r>
      <w:r w:rsidR="00BD7B79" w:rsidRPr="00A9117A">
        <w:rPr>
          <w:b/>
          <w:sz w:val="36"/>
          <w:szCs w:val="36"/>
        </w:rPr>
        <w:br/>
      </w:r>
      <w:r w:rsidR="00A358CF" w:rsidRPr="00A9117A">
        <w:rPr>
          <w:b/>
          <w:sz w:val="36"/>
          <w:szCs w:val="36"/>
        </w:rPr>
        <w:t>Xeljanz®, Pfizer</w:t>
      </w:r>
      <w:r w:rsidR="00120971" w:rsidRPr="00A9117A">
        <w:rPr>
          <w:b/>
          <w:sz w:val="36"/>
          <w:szCs w:val="36"/>
        </w:rPr>
        <w:t xml:space="preserve"> Australia Pty Ltd</w:t>
      </w:r>
    </w:p>
    <w:p w:rsidR="00B50DB8" w:rsidRPr="00A9117A" w:rsidRDefault="00B50DB8" w:rsidP="0011600D">
      <w:pPr>
        <w:pStyle w:val="PBACHeading1"/>
      </w:pPr>
      <w:bookmarkStart w:id="1" w:name="_Toc524526796"/>
      <w:r w:rsidRPr="00A9117A">
        <w:t>Purpose of Application</w:t>
      </w:r>
      <w:bookmarkEnd w:id="1"/>
    </w:p>
    <w:p w:rsidR="007E126B" w:rsidRPr="00A9117A" w:rsidRDefault="007E126B" w:rsidP="006530FE">
      <w:pPr>
        <w:pStyle w:val="ListParagraph"/>
        <w:widowControl/>
        <w:numPr>
          <w:ilvl w:val="1"/>
          <w:numId w:val="2"/>
        </w:numPr>
        <w:spacing w:after="120"/>
      </w:pPr>
      <w:r w:rsidRPr="00A9117A">
        <w:t>The submission requested an Authority Required listing for tofacitinib for the treatment</w:t>
      </w:r>
      <w:r w:rsidR="005C099A" w:rsidRPr="00A9117A">
        <w:t xml:space="preserve"> of</w:t>
      </w:r>
      <w:r w:rsidRPr="00A9117A">
        <w:t xml:space="preserve"> severe psoriatic arthritis (PsA) in patients meet</w:t>
      </w:r>
      <w:r w:rsidR="008C72F8">
        <w:t xml:space="preserve">ing specified criteria. This was </w:t>
      </w:r>
      <w:r w:rsidRPr="00A9117A">
        <w:t>the first submission for tofacitinib for PsA to be considered by the PBAC. Tofacitinib is listed on the PBS for the treatment of rheumatoid arthritis</w:t>
      </w:r>
      <w:r w:rsidR="00740779" w:rsidRPr="00A9117A">
        <w:t xml:space="preserve"> (RA)</w:t>
      </w:r>
      <w:r w:rsidRPr="00A9117A">
        <w:t xml:space="preserve">. </w:t>
      </w:r>
    </w:p>
    <w:p w:rsidR="00740779" w:rsidRPr="00A9117A" w:rsidRDefault="007E126B" w:rsidP="006530FE">
      <w:pPr>
        <w:pStyle w:val="ListParagraph"/>
        <w:widowControl/>
        <w:numPr>
          <w:ilvl w:val="1"/>
          <w:numId w:val="2"/>
        </w:numPr>
        <w:spacing w:after="120"/>
      </w:pPr>
      <w:r w:rsidRPr="00A9117A">
        <w:t>The basis for the requested listing was a cost-minimisation analysis to adalimumab, which was stated to be the most commonly prescribed therapy for the treatment of PsA in the requested patient population. While the nomination of adalimumab as the main comparator was considered reasonable, any of the current</w:t>
      </w:r>
      <w:r w:rsidR="00E5640D" w:rsidRPr="00A9117A">
        <w:t>ly</w:t>
      </w:r>
      <w:r w:rsidRPr="00A9117A">
        <w:t xml:space="preserve"> PBS-listed bDMARDs </w:t>
      </w:r>
      <w:r w:rsidR="00AD0A4F" w:rsidRPr="00A9117A">
        <w:t xml:space="preserve">for the treatment of PsA </w:t>
      </w:r>
      <w:r w:rsidRPr="00A9117A">
        <w:t xml:space="preserve">represent </w:t>
      </w:r>
      <w:r w:rsidR="00F63214" w:rsidRPr="00A9117A">
        <w:t xml:space="preserve">relevant </w:t>
      </w:r>
      <w:r w:rsidRPr="00A9117A">
        <w:t>comparators.</w:t>
      </w:r>
    </w:p>
    <w:p w:rsidR="008B1757" w:rsidRPr="00A9117A" w:rsidRDefault="00AE4CDB" w:rsidP="006530FE">
      <w:pPr>
        <w:pStyle w:val="TableHeading0"/>
        <w:keepNext/>
        <w:rPr>
          <w:rStyle w:val="CommentReference"/>
          <w:b/>
        </w:rPr>
      </w:pPr>
      <w:r w:rsidRPr="00A9117A">
        <w:t xml:space="preserve">Table </w:t>
      </w:r>
      <w:r w:rsidR="00AD4C07">
        <w:rPr>
          <w:noProof/>
        </w:rPr>
        <w:t>1</w:t>
      </w:r>
      <w:r w:rsidRPr="00A9117A">
        <w:rPr>
          <w:b w:val="0"/>
        </w:rPr>
        <w:t xml:space="preserve">: </w:t>
      </w:r>
      <w:r w:rsidR="008B1757" w:rsidRPr="00A9117A">
        <w:rPr>
          <w:rStyle w:val="CommentReference"/>
          <w:b/>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Pr>
      <w:tblGrid>
        <w:gridCol w:w="1668"/>
        <w:gridCol w:w="7488"/>
      </w:tblGrid>
      <w:tr w:rsidR="00E5640D" w:rsidRPr="00A9117A" w:rsidTr="00AD0A4F">
        <w:trPr>
          <w:tblHeader/>
        </w:trPr>
        <w:tc>
          <w:tcPr>
            <w:tcW w:w="1668" w:type="dxa"/>
            <w:vAlign w:val="center"/>
          </w:tcPr>
          <w:p w:rsidR="00E5640D" w:rsidRPr="00A9117A" w:rsidRDefault="00E5640D" w:rsidP="006530FE">
            <w:pPr>
              <w:pStyle w:val="Tabletext"/>
              <w:keepNext/>
              <w:spacing w:before="40" w:after="40"/>
              <w:rPr>
                <w:b/>
              </w:rPr>
            </w:pPr>
            <w:r w:rsidRPr="00A9117A">
              <w:rPr>
                <w:b/>
              </w:rPr>
              <w:t>Component</w:t>
            </w:r>
          </w:p>
        </w:tc>
        <w:tc>
          <w:tcPr>
            <w:tcW w:w="7488" w:type="dxa"/>
            <w:vAlign w:val="center"/>
          </w:tcPr>
          <w:p w:rsidR="00E5640D" w:rsidRPr="00A9117A" w:rsidRDefault="00E5640D" w:rsidP="006530FE">
            <w:pPr>
              <w:pStyle w:val="Tabletext"/>
              <w:keepNext/>
              <w:spacing w:before="40" w:after="40"/>
              <w:jc w:val="center"/>
              <w:rPr>
                <w:b/>
              </w:rPr>
            </w:pPr>
            <w:r w:rsidRPr="00A9117A">
              <w:rPr>
                <w:b/>
              </w:rPr>
              <w:t>Description</w:t>
            </w:r>
          </w:p>
        </w:tc>
      </w:tr>
      <w:tr w:rsidR="00E5640D" w:rsidRPr="00A9117A" w:rsidTr="00AD0A4F">
        <w:tc>
          <w:tcPr>
            <w:tcW w:w="1668" w:type="dxa"/>
            <w:vAlign w:val="center"/>
          </w:tcPr>
          <w:p w:rsidR="00E5640D" w:rsidRPr="00A9117A" w:rsidRDefault="00E5640D" w:rsidP="006530FE">
            <w:pPr>
              <w:pStyle w:val="Tabletext"/>
              <w:keepNext/>
              <w:spacing w:before="40" w:after="40"/>
            </w:pPr>
            <w:r w:rsidRPr="00A9117A">
              <w:t>Population</w:t>
            </w:r>
          </w:p>
        </w:tc>
        <w:tc>
          <w:tcPr>
            <w:tcW w:w="7488" w:type="dxa"/>
          </w:tcPr>
          <w:p w:rsidR="00E5640D" w:rsidRPr="00A9117A" w:rsidRDefault="00E5640D" w:rsidP="006530FE">
            <w:pPr>
              <w:pStyle w:val="Tabletext"/>
              <w:keepNext/>
              <w:spacing w:before="40" w:after="40"/>
            </w:pPr>
            <w:r w:rsidRPr="00A9117A">
              <w:t xml:space="preserve">Patients with severe psoriatic arthritis who have had an inadequate response to conventional synthetic disease modifying anti-rheumatic drugs (csDMARDs). </w:t>
            </w:r>
          </w:p>
        </w:tc>
      </w:tr>
      <w:tr w:rsidR="00E5640D" w:rsidRPr="00A9117A" w:rsidTr="00AD0A4F">
        <w:tc>
          <w:tcPr>
            <w:tcW w:w="1668" w:type="dxa"/>
            <w:vAlign w:val="center"/>
          </w:tcPr>
          <w:p w:rsidR="00E5640D" w:rsidRPr="00A9117A" w:rsidRDefault="00E5640D" w:rsidP="006530FE">
            <w:pPr>
              <w:pStyle w:val="Tabletext"/>
              <w:keepNext/>
              <w:spacing w:before="40" w:after="40"/>
            </w:pPr>
            <w:r w:rsidRPr="00A9117A">
              <w:t>Intervention</w:t>
            </w:r>
          </w:p>
        </w:tc>
        <w:tc>
          <w:tcPr>
            <w:tcW w:w="7488" w:type="dxa"/>
          </w:tcPr>
          <w:p w:rsidR="00E5640D" w:rsidRPr="00A9117A" w:rsidRDefault="00E5640D" w:rsidP="006530FE">
            <w:pPr>
              <w:pStyle w:val="Tabletext"/>
              <w:keepNext/>
              <w:spacing w:before="40" w:after="40"/>
            </w:pPr>
            <w:r w:rsidRPr="00A9117A">
              <w:t>Tofacitinib, 5mg, taken orally twice daily (bd) in combination with csDMARDs.</w:t>
            </w:r>
          </w:p>
        </w:tc>
      </w:tr>
      <w:tr w:rsidR="00E5640D" w:rsidRPr="00A9117A" w:rsidTr="00AD0A4F">
        <w:tc>
          <w:tcPr>
            <w:tcW w:w="1668" w:type="dxa"/>
            <w:vAlign w:val="center"/>
          </w:tcPr>
          <w:p w:rsidR="00E5640D" w:rsidRPr="00A9117A" w:rsidRDefault="00E5640D" w:rsidP="006530FE">
            <w:pPr>
              <w:pStyle w:val="Tabletext"/>
              <w:keepNext/>
              <w:spacing w:before="40" w:after="40"/>
            </w:pPr>
            <w:r w:rsidRPr="00A9117A">
              <w:t>Comparator</w:t>
            </w:r>
          </w:p>
        </w:tc>
        <w:tc>
          <w:tcPr>
            <w:tcW w:w="7488" w:type="dxa"/>
          </w:tcPr>
          <w:p w:rsidR="00E5640D" w:rsidRPr="00A9117A" w:rsidRDefault="00E5640D" w:rsidP="006530FE">
            <w:pPr>
              <w:pStyle w:val="Tabletext"/>
              <w:keepNext/>
              <w:spacing w:before="40" w:after="40"/>
            </w:pPr>
            <w:r w:rsidRPr="00A9117A">
              <w:t xml:space="preserve">Adalimumab, 40mg, administered subcutaneously, once a fortnight (main comparator) with or without concomitant csDMARDs. The nominated comparator was considered appropriate, however all other PBS-listed bDMARDs are also relevant comparators. </w:t>
            </w:r>
          </w:p>
        </w:tc>
      </w:tr>
      <w:tr w:rsidR="00E5640D" w:rsidRPr="00A9117A" w:rsidTr="00AD0A4F">
        <w:tc>
          <w:tcPr>
            <w:tcW w:w="1668" w:type="dxa"/>
            <w:vAlign w:val="center"/>
          </w:tcPr>
          <w:p w:rsidR="00E5640D" w:rsidRPr="00A9117A" w:rsidRDefault="00E5640D" w:rsidP="006530FE">
            <w:pPr>
              <w:pStyle w:val="Tabletext"/>
              <w:keepNext/>
              <w:spacing w:before="40" w:after="40"/>
            </w:pPr>
            <w:r w:rsidRPr="00A9117A">
              <w:t>Outcomes</w:t>
            </w:r>
          </w:p>
        </w:tc>
        <w:tc>
          <w:tcPr>
            <w:tcW w:w="7488" w:type="dxa"/>
          </w:tcPr>
          <w:p w:rsidR="00E5640D" w:rsidRPr="00A9117A" w:rsidRDefault="00E5640D" w:rsidP="006530FE">
            <w:pPr>
              <w:pStyle w:val="TableText0"/>
            </w:pPr>
            <w:r w:rsidRPr="00A9117A">
              <w:t>Main outcomes: ACR20 and ACR50 at Month 3 for the direct comparison using the OPAL BROADEN trial (comparison of tofacitinib, adalimumab and placebo); Supplementary outcome: PASI75</w:t>
            </w:r>
          </w:p>
          <w:p w:rsidR="00E5640D" w:rsidRPr="00A9117A" w:rsidRDefault="00E5640D" w:rsidP="006530FE">
            <w:pPr>
              <w:pStyle w:val="Tabletext"/>
              <w:keepNext/>
              <w:spacing w:before="40" w:after="40"/>
            </w:pPr>
            <w:r w:rsidRPr="00A9117A">
              <w:t>The PBAC previously considered that the outcome of most relevance is ACR50 given that it reflects to a greater degree the criteria for the current PBS eligibility for continuing treatment with a bDMARD. The assessment of outcomes at Month 3 was consistent with the timing of assessment on the PBS for adalimumab and the proposed timing of assessment for tofacitinib.</w:t>
            </w:r>
          </w:p>
        </w:tc>
      </w:tr>
      <w:tr w:rsidR="00E5640D" w:rsidRPr="00A9117A" w:rsidTr="00AD0A4F">
        <w:tc>
          <w:tcPr>
            <w:tcW w:w="1668" w:type="dxa"/>
            <w:vAlign w:val="center"/>
          </w:tcPr>
          <w:p w:rsidR="00E5640D" w:rsidRPr="00A9117A" w:rsidRDefault="00E5640D" w:rsidP="006530FE">
            <w:pPr>
              <w:pStyle w:val="Tabletext"/>
              <w:keepNext/>
              <w:spacing w:before="40" w:after="40"/>
            </w:pPr>
            <w:r w:rsidRPr="00A9117A">
              <w:t>Clinical claim</w:t>
            </w:r>
          </w:p>
        </w:tc>
        <w:tc>
          <w:tcPr>
            <w:tcW w:w="7488" w:type="dxa"/>
          </w:tcPr>
          <w:p w:rsidR="00E5640D" w:rsidRPr="00A9117A" w:rsidRDefault="00E5640D" w:rsidP="006530FE">
            <w:pPr>
              <w:pStyle w:val="Tabletext"/>
              <w:keepNext/>
              <w:spacing w:before="40" w:after="40"/>
            </w:pPr>
            <w:r w:rsidRPr="00A9117A">
              <w:t xml:space="preserve">Tofacitinib is non-inferior to adalimumab in terms of efficacy and safety for the treatment of psoriatic arthritis. Based on the data presented in the submission, the </w:t>
            </w:r>
            <w:r w:rsidRPr="00A9117A">
              <w:rPr>
                <w:iCs/>
              </w:rPr>
              <w:t>possibility that tofacitinib is inferior to adalimumab could not be excluded.</w:t>
            </w:r>
          </w:p>
        </w:tc>
      </w:tr>
    </w:tbl>
    <w:p w:rsidR="007E126B" w:rsidRPr="00A9117A" w:rsidRDefault="007E126B" w:rsidP="006530FE">
      <w:pPr>
        <w:pStyle w:val="TableFooter"/>
        <w:keepNext/>
        <w:widowControl/>
      </w:pPr>
      <w:r w:rsidRPr="00A9117A">
        <w:t>Abbreviations: ACR, American College of Rheumatology; ACR20, ≥20% improvement in tender and swollen joint counts and ≥20% improvement in 3 of 5 remaining ACR core set measures; ACR50, ≥50% improvement in tender and swollen joint counts and ≥50% improvement in 3 of 5 remaining ACR core set measures; PASI, Psoriasis Area and Severity Index; PASI75, ≥75% improvement from baseline PASI.</w:t>
      </w:r>
    </w:p>
    <w:p w:rsidR="007E126B" w:rsidRPr="00A9117A" w:rsidRDefault="007E126B" w:rsidP="006530FE">
      <w:pPr>
        <w:pStyle w:val="TableFooter"/>
        <w:keepNext/>
        <w:widowControl/>
      </w:pPr>
      <w:r w:rsidRPr="00A9117A">
        <w:t>Source: Table 1.1, p12 of the submission</w:t>
      </w:r>
    </w:p>
    <w:p w:rsidR="004E43B2" w:rsidRPr="00A9117A" w:rsidRDefault="004E43B2" w:rsidP="006530FE">
      <w:pPr>
        <w:widowControl/>
      </w:pPr>
    </w:p>
    <w:p w:rsidR="00D80FC3" w:rsidRDefault="00D80FC3">
      <w:pPr>
        <w:widowControl/>
        <w:jc w:val="left"/>
        <w:rPr>
          <w:b/>
          <w:sz w:val="32"/>
        </w:rPr>
      </w:pPr>
      <w:bookmarkStart w:id="2" w:name="_Toc524526797"/>
      <w:r>
        <w:br w:type="page"/>
      </w:r>
    </w:p>
    <w:p w:rsidR="00B60939" w:rsidRDefault="00B50DB8" w:rsidP="0011600D">
      <w:pPr>
        <w:pStyle w:val="PBACHeading1"/>
      </w:pPr>
      <w:r w:rsidRPr="00A9117A">
        <w:lastRenderedPageBreak/>
        <w:t>Requested listing</w:t>
      </w:r>
      <w:bookmarkEnd w:id="2"/>
    </w:p>
    <w:p w:rsidR="0014609B" w:rsidRDefault="0014609B" w:rsidP="0014609B">
      <w:pPr>
        <w:pStyle w:val="ListParagraph"/>
        <w:widowControl/>
        <w:numPr>
          <w:ilvl w:val="1"/>
          <w:numId w:val="2"/>
        </w:numPr>
        <w:spacing w:after="120"/>
      </w:pPr>
      <w:r w:rsidRPr="00A9117A">
        <w:t>An abbreviated form of the requested listing is detailed</w:t>
      </w:r>
      <w:r>
        <w:t xml:space="preserve"> below</w:t>
      </w:r>
      <w:r w:rsidRPr="00A9117A">
        <w:t>. In addition to the Initial 1 (new patient or patient recommencing treatment after a break of 5 years or more) and continuing treatment summarised in the table above, the submission also sought PBS listing for Initial 2 (patients changing or recommencing treatment), Initial 3 (grandfathering of patients on non-PBS tofacitinib) and balance of supply, consistent with existing bDMARD listings for PsA.</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1249"/>
        <w:gridCol w:w="1328"/>
        <w:gridCol w:w="947"/>
        <w:gridCol w:w="1680"/>
        <w:gridCol w:w="1764"/>
      </w:tblGrid>
      <w:tr w:rsidR="0014609B" w:rsidRPr="00A9117A" w:rsidTr="00497369">
        <w:tc>
          <w:tcPr>
            <w:tcW w:w="2268" w:type="dxa"/>
            <w:vAlign w:val="center"/>
          </w:tcPr>
          <w:p w:rsidR="0014609B" w:rsidRPr="00A9117A" w:rsidRDefault="0014609B" w:rsidP="00C93770">
            <w:pPr>
              <w:pStyle w:val="Tabletext"/>
              <w:rPr>
                <w:b/>
                <w:bCs/>
              </w:rPr>
            </w:pPr>
            <w:r w:rsidRPr="00A9117A">
              <w:rPr>
                <w:b/>
              </w:rPr>
              <w:t>Name, restriction, manner of administration, form</w:t>
            </w:r>
          </w:p>
        </w:tc>
        <w:tc>
          <w:tcPr>
            <w:tcW w:w="1249" w:type="dxa"/>
          </w:tcPr>
          <w:p w:rsidR="0014609B" w:rsidRPr="00A9117A" w:rsidRDefault="0014609B" w:rsidP="00C93770">
            <w:pPr>
              <w:pStyle w:val="Tabletext"/>
              <w:jc w:val="center"/>
              <w:rPr>
                <w:b/>
                <w:bCs/>
              </w:rPr>
            </w:pPr>
            <w:r w:rsidRPr="00A9117A">
              <w:rPr>
                <w:b/>
              </w:rPr>
              <w:t>Maximum quantity (packs)</w:t>
            </w:r>
          </w:p>
        </w:tc>
        <w:tc>
          <w:tcPr>
            <w:tcW w:w="0" w:type="auto"/>
          </w:tcPr>
          <w:p w:rsidR="0014609B" w:rsidRPr="00A9117A" w:rsidRDefault="0014609B" w:rsidP="00C93770">
            <w:pPr>
              <w:pStyle w:val="Tabletext"/>
              <w:jc w:val="center"/>
              <w:rPr>
                <w:b/>
                <w:bCs/>
              </w:rPr>
            </w:pPr>
            <w:r w:rsidRPr="00A9117A">
              <w:rPr>
                <w:b/>
              </w:rPr>
              <w:t>Maximum quantity (units)</w:t>
            </w:r>
          </w:p>
        </w:tc>
        <w:tc>
          <w:tcPr>
            <w:tcW w:w="0" w:type="auto"/>
            <w:vAlign w:val="center"/>
          </w:tcPr>
          <w:p w:rsidR="0014609B" w:rsidRPr="00A9117A" w:rsidRDefault="0014609B" w:rsidP="00C93770">
            <w:pPr>
              <w:pStyle w:val="Tabletext"/>
              <w:jc w:val="center"/>
              <w:rPr>
                <w:b/>
                <w:bCs/>
              </w:rPr>
            </w:pPr>
            <w:r w:rsidRPr="00A9117A">
              <w:rPr>
                <w:b/>
              </w:rPr>
              <w:t>No. of repeats</w:t>
            </w:r>
          </w:p>
        </w:tc>
        <w:tc>
          <w:tcPr>
            <w:tcW w:w="0" w:type="auto"/>
          </w:tcPr>
          <w:p w:rsidR="0014609B" w:rsidRPr="00A9117A" w:rsidRDefault="0014609B" w:rsidP="00C93770">
            <w:pPr>
              <w:pStyle w:val="Tabletext"/>
              <w:jc w:val="center"/>
              <w:rPr>
                <w:b/>
                <w:bCs/>
              </w:rPr>
            </w:pPr>
            <w:r w:rsidRPr="00A9117A">
              <w:rPr>
                <w:b/>
              </w:rPr>
              <w:t>Dispensed price for maximum quantity</w:t>
            </w:r>
          </w:p>
        </w:tc>
        <w:tc>
          <w:tcPr>
            <w:tcW w:w="0" w:type="auto"/>
            <w:vAlign w:val="center"/>
          </w:tcPr>
          <w:p w:rsidR="0014609B" w:rsidRPr="00A9117A" w:rsidRDefault="0014609B" w:rsidP="00C93770">
            <w:pPr>
              <w:pStyle w:val="Tabletext"/>
              <w:jc w:val="center"/>
              <w:rPr>
                <w:b/>
                <w:bCs/>
              </w:rPr>
            </w:pPr>
            <w:r w:rsidRPr="00A9117A">
              <w:rPr>
                <w:b/>
              </w:rPr>
              <w:t>Proprietary name and manufacturer</w:t>
            </w:r>
          </w:p>
        </w:tc>
      </w:tr>
      <w:tr w:rsidR="0014609B" w:rsidRPr="00A9117A" w:rsidTr="00497369">
        <w:tc>
          <w:tcPr>
            <w:tcW w:w="2268" w:type="dxa"/>
          </w:tcPr>
          <w:p w:rsidR="0014609B" w:rsidRPr="00A9117A" w:rsidRDefault="0014609B" w:rsidP="00C93770">
            <w:pPr>
              <w:pStyle w:val="Tabletext"/>
            </w:pPr>
            <w:r w:rsidRPr="00A9117A">
              <w:t>Initial</w:t>
            </w:r>
          </w:p>
          <w:p w:rsidR="0014609B" w:rsidRPr="00A9117A" w:rsidRDefault="0014609B" w:rsidP="00C93770">
            <w:pPr>
              <w:pStyle w:val="Tabletext"/>
              <w:rPr>
                <w:b/>
                <w:bCs/>
              </w:rPr>
            </w:pPr>
            <w:r w:rsidRPr="00A9117A">
              <w:t>TOFACITINIB, tablet, 5 mg</w:t>
            </w:r>
          </w:p>
        </w:tc>
        <w:tc>
          <w:tcPr>
            <w:tcW w:w="1249" w:type="dxa"/>
          </w:tcPr>
          <w:p w:rsidR="0014609B" w:rsidRPr="00A9117A" w:rsidRDefault="0014609B" w:rsidP="00C93770">
            <w:pPr>
              <w:pStyle w:val="Tabletext"/>
              <w:jc w:val="center"/>
            </w:pPr>
          </w:p>
          <w:p w:rsidR="0014609B" w:rsidRPr="00A9117A" w:rsidRDefault="0014609B" w:rsidP="00C93770">
            <w:pPr>
              <w:pStyle w:val="Tabletext"/>
              <w:jc w:val="center"/>
            </w:pPr>
            <w:r w:rsidRPr="00A9117A">
              <w:t>1</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56</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3</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$1,764.24*</w:t>
            </w:r>
          </w:p>
        </w:tc>
        <w:tc>
          <w:tcPr>
            <w:tcW w:w="0" w:type="auto"/>
            <w:vAlign w:val="center"/>
          </w:tcPr>
          <w:p w:rsidR="0014609B" w:rsidRPr="00A9117A" w:rsidRDefault="0014609B" w:rsidP="00C93770">
            <w:pPr>
              <w:pStyle w:val="Tabletext"/>
              <w:jc w:val="center"/>
            </w:pPr>
            <w:r w:rsidRPr="00A9117A">
              <w:t>Xeljanz®, Pfizer Australia Pty Ltd</w:t>
            </w:r>
          </w:p>
        </w:tc>
      </w:tr>
      <w:tr w:rsidR="0014609B" w:rsidRPr="00A9117A" w:rsidTr="00497369">
        <w:tc>
          <w:tcPr>
            <w:tcW w:w="2268" w:type="dxa"/>
          </w:tcPr>
          <w:p w:rsidR="0014609B" w:rsidRPr="00A9117A" w:rsidRDefault="0014609B" w:rsidP="00C93770">
            <w:pPr>
              <w:pStyle w:val="Tabletext"/>
            </w:pPr>
            <w:r w:rsidRPr="00A9117A">
              <w:t>Continuing</w:t>
            </w:r>
          </w:p>
          <w:p w:rsidR="0014609B" w:rsidRPr="00A9117A" w:rsidRDefault="0014609B" w:rsidP="00C93770">
            <w:pPr>
              <w:pStyle w:val="Tabletext"/>
            </w:pPr>
            <w:r w:rsidRPr="00A9117A">
              <w:t>TOFACITINIB, tablet, 5mg</w:t>
            </w:r>
          </w:p>
        </w:tc>
        <w:tc>
          <w:tcPr>
            <w:tcW w:w="1249" w:type="dxa"/>
          </w:tcPr>
          <w:p w:rsidR="0014609B" w:rsidRPr="00A9117A" w:rsidRDefault="0014609B" w:rsidP="00C93770">
            <w:pPr>
              <w:pStyle w:val="Tabletext"/>
              <w:jc w:val="center"/>
            </w:pPr>
          </w:p>
          <w:p w:rsidR="0014609B" w:rsidRPr="00A9117A" w:rsidRDefault="0014609B" w:rsidP="00C93770">
            <w:pPr>
              <w:pStyle w:val="Tabletext"/>
              <w:jc w:val="center"/>
            </w:pPr>
            <w:r w:rsidRPr="00A9117A">
              <w:t>1</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56</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5</w:t>
            </w:r>
          </w:p>
        </w:tc>
        <w:tc>
          <w:tcPr>
            <w:tcW w:w="0" w:type="auto"/>
          </w:tcPr>
          <w:p w:rsidR="0014609B" w:rsidRPr="00A9117A" w:rsidRDefault="0014609B" w:rsidP="00C93770">
            <w:pPr>
              <w:pStyle w:val="Tabletext"/>
              <w:jc w:val="center"/>
            </w:pPr>
          </w:p>
          <w:p w:rsidR="0014609B" w:rsidRPr="00A9117A" w:rsidRDefault="0014609B" w:rsidP="00C93770">
            <w:pPr>
              <w:pStyle w:val="Tabletext"/>
              <w:jc w:val="center"/>
            </w:pPr>
            <w:r w:rsidRPr="00A9117A">
              <w:t>$1,764.24*</w:t>
            </w:r>
          </w:p>
        </w:tc>
        <w:tc>
          <w:tcPr>
            <w:tcW w:w="0" w:type="auto"/>
            <w:vAlign w:val="center"/>
          </w:tcPr>
          <w:p w:rsidR="0014609B" w:rsidRPr="00A9117A" w:rsidRDefault="0014609B" w:rsidP="00C93770">
            <w:pPr>
              <w:pStyle w:val="Tabletext"/>
              <w:jc w:val="center"/>
            </w:pPr>
            <w:r w:rsidRPr="00A9117A">
              <w:t>Xeljanz®, Pfizer Australia Pty Ltd</w:t>
            </w:r>
          </w:p>
        </w:tc>
      </w:tr>
    </w:tbl>
    <w:p w:rsidR="0014609B" w:rsidRDefault="0014609B" w:rsidP="00C93770">
      <w:pPr>
        <w:widowControl/>
        <w:jc w:val="left"/>
        <w:rPr>
          <w:rFonts w:ascii="Arial Narrow" w:hAnsi="Arial Narrow"/>
          <w:sz w:val="18"/>
          <w:szCs w:val="18"/>
        </w:rP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0"/>
        <w:gridCol w:w="6780"/>
      </w:tblGrid>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Category/Program:</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rPr>
                <w:lang w:eastAsia="en-AU"/>
              </w:rPr>
              <w:t>General Schedule</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PBS indication:</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rPr>
                <w:lang w:eastAsia="en-AU"/>
              </w:rPr>
              <w:t>Severe active psoriatic arthritis</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Treatment phase:</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t>Initial treatment – initial 1 (new patient or patient recommencing treatment after a break of 5 years or more)</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Restriction:</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rPr>
                <w:lang w:eastAsia="en-AU"/>
              </w:rPr>
              <w:t>Authority required</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Clinical criteria:</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pPr>
            <w:r w:rsidRPr="00A9117A">
              <w:t>Patient must have severe active psoriatic arthritis,</w:t>
            </w:r>
          </w:p>
          <w:p w:rsidR="0014609B" w:rsidRPr="00A9117A" w:rsidRDefault="0014609B" w:rsidP="00C93770">
            <w:pPr>
              <w:pStyle w:val="Tabletext"/>
            </w:pPr>
            <w:r w:rsidRPr="00A9117A">
              <w:t>AND</w:t>
            </w:r>
          </w:p>
          <w:p w:rsidR="0014609B" w:rsidRPr="00A9117A" w:rsidRDefault="0014609B" w:rsidP="00C93770">
            <w:pPr>
              <w:pStyle w:val="Tabletext"/>
            </w:pPr>
            <w:r w:rsidRPr="00A9117A">
              <w:t xml:space="preserve">Patient must have received no prior PBS-subsidised treatment with a biological agent for this condition; OR </w:t>
            </w:r>
          </w:p>
          <w:p w:rsidR="0014609B" w:rsidRPr="00A9117A" w:rsidRDefault="0014609B" w:rsidP="00C93770">
            <w:pPr>
              <w:pStyle w:val="Tabletext"/>
            </w:pPr>
            <w:r w:rsidRPr="00A9117A">
              <w:t xml:space="preserve">Patient must have received no PBS-subsidised treatment with a biological agent for at least 5 years if they have previously received PBS-subsidised treatment with a biological agent for this condition, </w:t>
            </w:r>
          </w:p>
          <w:p w:rsidR="0014609B" w:rsidRPr="00A9117A" w:rsidRDefault="0014609B" w:rsidP="00C93770">
            <w:pPr>
              <w:pStyle w:val="Tabletext"/>
            </w:pPr>
            <w:r w:rsidRPr="00A9117A">
              <w:t>AND</w:t>
            </w:r>
          </w:p>
          <w:p w:rsidR="0014609B" w:rsidRPr="00A9117A" w:rsidRDefault="0014609B" w:rsidP="00C93770">
            <w:pPr>
              <w:pStyle w:val="Tabletext"/>
            </w:pPr>
            <w:r w:rsidRPr="00A9117A">
              <w:t xml:space="preserve">Patient must have failed to achieve an adequate response to methotrexate at a dose of at least 20 mg weekly for a minimum period of 3 months, </w:t>
            </w:r>
          </w:p>
          <w:p w:rsidR="0014609B" w:rsidRPr="00A9117A" w:rsidRDefault="0014609B" w:rsidP="00C93770">
            <w:pPr>
              <w:pStyle w:val="Tabletext"/>
            </w:pPr>
            <w:r w:rsidRPr="00A9117A">
              <w:t>AND</w:t>
            </w:r>
          </w:p>
          <w:p w:rsidR="0014609B" w:rsidRPr="00A9117A" w:rsidRDefault="0014609B" w:rsidP="00C93770">
            <w:pPr>
              <w:pStyle w:val="Tabletext"/>
            </w:pPr>
            <w:r w:rsidRPr="00A9117A">
              <w:t xml:space="preserve">Patient must have failed to achieve an adequate response to sulfasalazine at a dose of at least 2 g per day for a minimum period of 3 months; OR </w:t>
            </w:r>
          </w:p>
          <w:p w:rsidR="0014609B" w:rsidRPr="00A9117A" w:rsidRDefault="0014609B" w:rsidP="00C93770">
            <w:pPr>
              <w:pStyle w:val="Tabletext"/>
            </w:pPr>
            <w:r w:rsidRPr="00A9117A">
              <w:t xml:space="preserve">Patient must have failed to achieve an adequate response to leflunomide at a dose of up to 20 mg daily for a minimum period of 3 months, </w:t>
            </w:r>
          </w:p>
          <w:p w:rsidR="0014609B" w:rsidRPr="00A9117A" w:rsidRDefault="0014609B" w:rsidP="00C93770">
            <w:pPr>
              <w:pStyle w:val="Tabletext"/>
            </w:pPr>
            <w:r w:rsidRPr="00A9117A">
              <w:t>AND</w:t>
            </w:r>
          </w:p>
          <w:p w:rsidR="0014609B" w:rsidRPr="00A9117A" w:rsidRDefault="0014609B" w:rsidP="00C93770">
            <w:pPr>
              <w:pStyle w:val="Tabletext"/>
              <w:rPr>
                <w:lang w:eastAsia="en-AU"/>
              </w:rPr>
            </w:pPr>
            <w:r w:rsidRPr="00A9117A">
              <w:t>Patient must not receive more than 16 weeks of treatment under this restriction.</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hideMark/>
          </w:tcPr>
          <w:p w:rsidR="0014609B" w:rsidRPr="00A9117A" w:rsidRDefault="0014609B" w:rsidP="00C93770">
            <w:pPr>
              <w:pStyle w:val="Tabletext"/>
              <w:rPr>
                <w:lang w:eastAsia="en-AU"/>
              </w:rPr>
            </w:pPr>
            <w:r w:rsidRPr="00A9117A">
              <w:rPr>
                <w:lang w:eastAsia="en-AU"/>
              </w:rPr>
              <w:t>Treatment criteria:</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rPr>
                <w:lang w:eastAsia="en-AU"/>
              </w:rPr>
              <w:t>Continuing treatment</w:t>
            </w:r>
          </w:p>
        </w:tc>
      </w:tr>
      <w:tr w:rsidR="0014609B" w:rsidRPr="00A9117A" w:rsidTr="00497369">
        <w:trPr>
          <w:trHeight w:val="20"/>
        </w:trPr>
        <w:tc>
          <w:tcPr>
            <w:tcW w:w="1254"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
              <w:rPr>
                <w:lang w:eastAsia="en-AU"/>
              </w:rPr>
            </w:pPr>
            <w:r w:rsidRPr="00A9117A">
              <w:rPr>
                <w:lang w:eastAsia="en-AU"/>
              </w:rPr>
              <w:t>Clinical criteria:</w:t>
            </w:r>
          </w:p>
        </w:tc>
        <w:tc>
          <w:tcPr>
            <w:tcW w:w="3746" w:type="pct"/>
            <w:tcBorders>
              <w:top w:val="single" w:sz="4" w:space="0" w:color="auto"/>
              <w:left w:val="single" w:sz="4" w:space="0" w:color="auto"/>
              <w:bottom w:val="single" w:sz="4" w:space="0" w:color="auto"/>
              <w:right w:val="single" w:sz="4" w:space="0" w:color="auto"/>
            </w:tcBorders>
          </w:tcPr>
          <w:p w:rsidR="0014609B" w:rsidRPr="00A9117A" w:rsidRDefault="0014609B" w:rsidP="00C93770">
            <w:pPr>
              <w:pStyle w:val="TableText1"/>
              <w:keepNext w:val="0"/>
              <w:rPr>
                <w:rFonts w:cs="Arial"/>
              </w:rPr>
            </w:pPr>
            <w:r w:rsidRPr="00A9117A">
              <w:rPr>
                <w:rFonts w:cs="Arial"/>
              </w:rPr>
              <w:t>Patient must have a documented history of severe active psoriatic arthritis,</w:t>
            </w:r>
          </w:p>
          <w:p w:rsidR="0014609B" w:rsidRPr="00A9117A" w:rsidRDefault="0014609B" w:rsidP="00C93770">
            <w:pPr>
              <w:pStyle w:val="TableText1"/>
              <w:keepNext w:val="0"/>
              <w:rPr>
                <w:rFonts w:cs="Arial"/>
              </w:rPr>
            </w:pPr>
            <w:r w:rsidRPr="00A9117A">
              <w:rPr>
                <w:rFonts w:cs="Arial"/>
              </w:rPr>
              <w:t>AND</w:t>
            </w:r>
          </w:p>
          <w:p w:rsidR="0014609B" w:rsidRPr="00A9117A" w:rsidRDefault="0014609B" w:rsidP="00C93770">
            <w:pPr>
              <w:pStyle w:val="TableText1"/>
              <w:keepNext w:val="0"/>
              <w:rPr>
                <w:rFonts w:cs="Arial"/>
              </w:rPr>
            </w:pPr>
            <w:r w:rsidRPr="00A9117A">
              <w:rPr>
                <w:rFonts w:cs="Arial"/>
              </w:rPr>
              <w:t xml:space="preserve">Patient must have received this drug as their most recent course of PBS-subsidised treatment with a biological agent for this condition in the current Treatment Cycle, </w:t>
            </w:r>
          </w:p>
          <w:p w:rsidR="0014609B" w:rsidRPr="00A9117A" w:rsidRDefault="0014609B" w:rsidP="00C93770">
            <w:pPr>
              <w:pStyle w:val="TableText1"/>
              <w:keepNext w:val="0"/>
              <w:rPr>
                <w:rFonts w:cs="Arial"/>
              </w:rPr>
            </w:pPr>
            <w:r w:rsidRPr="00A9117A">
              <w:rPr>
                <w:rFonts w:cs="Arial"/>
              </w:rPr>
              <w:t>AND</w:t>
            </w:r>
          </w:p>
          <w:p w:rsidR="0014609B" w:rsidRPr="00A9117A" w:rsidRDefault="0014609B" w:rsidP="00C93770">
            <w:pPr>
              <w:pStyle w:val="TableText1"/>
              <w:keepNext w:val="0"/>
              <w:rPr>
                <w:rFonts w:cs="Arial"/>
              </w:rPr>
            </w:pPr>
            <w:r w:rsidRPr="00A9117A">
              <w:rPr>
                <w:rFonts w:cs="Arial"/>
              </w:rPr>
              <w:t xml:space="preserve">Patient must demonstrate, at the time of application, an adequate response to treatment with this drug, </w:t>
            </w:r>
          </w:p>
          <w:p w:rsidR="0014609B" w:rsidRPr="00A9117A" w:rsidRDefault="0014609B" w:rsidP="00C93770">
            <w:pPr>
              <w:pStyle w:val="TableText1"/>
              <w:keepNext w:val="0"/>
              <w:rPr>
                <w:rFonts w:cs="Arial"/>
              </w:rPr>
            </w:pPr>
            <w:r w:rsidRPr="00A9117A">
              <w:rPr>
                <w:rFonts w:cs="Arial"/>
              </w:rPr>
              <w:t>AND</w:t>
            </w:r>
          </w:p>
          <w:p w:rsidR="0014609B" w:rsidRPr="00A9117A" w:rsidRDefault="0014609B" w:rsidP="00C93770">
            <w:pPr>
              <w:pStyle w:val="Tabletext"/>
              <w:rPr>
                <w:color w:val="000000"/>
                <w:szCs w:val="24"/>
                <w:lang w:eastAsia="en-AU"/>
              </w:rPr>
            </w:pPr>
            <w:r w:rsidRPr="00A9117A">
              <w:rPr>
                <w:rFonts w:cs="Arial"/>
              </w:rPr>
              <w:t>Patient must not receive more than 24 weeks of treatment per continuing treatment course authorised under this restriction</w:t>
            </w:r>
          </w:p>
        </w:tc>
      </w:tr>
    </w:tbl>
    <w:p w:rsidR="0014609B" w:rsidRPr="00A9117A" w:rsidRDefault="0014609B" w:rsidP="00C93770">
      <w:pPr>
        <w:pStyle w:val="TableFooter"/>
        <w:widowControl/>
      </w:pPr>
      <w:r w:rsidRPr="00A9117A">
        <w:t>Source: Table 1.9, p28 and Section 1.4.2 and 1.4.3, pp28-38 of the submission</w:t>
      </w:r>
    </w:p>
    <w:p w:rsidR="0014609B" w:rsidRPr="00A9117A" w:rsidRDefault="0014609B" w:rsidP="00C93770">
      <w:pPr>
        <w:widowControl/>
        <w:rPr>
          <w:rFonts w:ascii="Arial Narrow" w:hAnsi="Arial Narrow"/>
          <w:sz w:val="18"/>
          <w:szCs w:val="18"/>
        </w:rPr>
      </w:pPr>
      <w:r w:rsidRPr="00A9117A">
        <w:rPr>
          <w:rFonts w:ascii="Arial Narrow" w:hAnsi="Arial Narrow"/>
          <w:sz w:val="18"/>
          <w:szCs w:val="18"/>
        </w:rPr>
        <w:t>* The submission requested the indication specific price for PsA for etanercept that was in place prior to the application of relevant F1 and F2 statutory price cuts. The current published price for tofacitinib 5mg tablets with a maximum quantity of 56 is $1,267.64.</w:t>
      </w:r>
    </w:p>
    <w:p w:rsidR="0014609B" w:rsidRPr="00A9117A" w:rsidRDefault="0014609B" w:rsidP="00C93770">
      <w:pPr>
        <w:widowControl/>
        <w:rPr>
          <w:rFonts w:ascii="Arial Narrow" w:hAnsi="Arial Narrow"/>
          <w:sz w:val="18"/>
          <w:szCs w:val="18"/>
        </w:rPr>
      </w:pPr>
      <w:r w:rsidRPr="00A9117A">
        <w:rPr>
          <w:rFonts w:ascii="Arial Narrow" w:hAnsi="Arial Narrow"/>
          <w:sz w:val="18"/>
          <w:szCs w:val="18"/>
        </w:rPr>
        <w:t>Note: For the purposes of this restriction 'biological agent' means adalimumab, certolizumab pegol, etanercept, golimumab, infliximab, secukinumab, tofacitinib, or ustekinumab.</w:t>
      </w:r>
    </w:p>
    <w:p w:rsidR="00D80FC3" w:rsidRDefault="00D80FC3" w:rsidP="006530FE">
      <w:pPr>
        <w:keepNext/>
        <w:widowControl/>
        <w:rPr>
          <w:rFonts w:ascii="Arial Narrow" w:hAnsi="Arial Narrow"/>
          <w:sz w:val="18"/>
          <w:szCs w:val="18"/>
        </w:rPr>
      </w:pPr>
    </w:p>
    <w:p w:rsidR="00733555" w:rsidRPr="00A9117A" w:rsidRDefault="006D36B9" w:rsidP="006530FE">
      <w:pPr>
        <w:pStyle w:val="ListParagraph"/>
        <w:widowControl/>
        <w:numPr>
          <w:ilvl w:val="1"/>
          <w:numId w:val="2"/>
        </w:numPr>
        <w:spacing w:after="120"/>
      </w:pPr>
      <w:r w:rsidRPr="00A9117A">
        <w:t>The requested listing for tofacitinib would provide a suff</w:t>
      </w:r>
      <w:r w:rsidR="006530FE" w:rsidRPr="00A9117A">
        <w:t>icient quantity for initial (16 </w:t>
      </w:r>
      <w:r w:rsidRPr="00A9117A">
        <w:t xml:space="preserve">weeks) and continuing (24 weeks) treatment for patients who meet the specified clinical criteria, consistent with the current listing of adalimumab and the other bDMARDs. </w:t>
      </w:r>
    </w:p>
    <w:p w:rsidR="00E22257" w:rsidRPr="00A9117A" w:rsidRDefault="00E22257" w:rsidP="006530FE">
      <w:pPr>
        <w:pStyle w:val="ListParagraph"/>
        <w:widowControl/>
        <w:numPr>
          <w:ilvl w:val="1"/>
          <w:numId w:val="2"/>
        </w:numPr>
        <w:spacing w:after="120"/>
      </w:pPr>
      <w:r w:rsidRPr="00A9117A">
        <w:t>The clinical evidence for tofacitinib for this PBAC application came solely from the OPAL BROADEN trial, where patients were TNF inhibitor naïve. While the TGA</w:t>
      </w:r>
      <w:r w:rsidR="003A1515">
        <w:t xml:space="preserve"> Round One Clinical Evaluation R</w:t>
      </w:r>
      <w:r w:rsidRPr="00A9117A">
        <w:t xml:space="preserve">eport indicated that there was sufficient evidence of efficacy for tofacitinib in patients who had previously used TNF inhibitors, given the lack of comparative evidence against </w:t>
      </w:r>
      <w:r w:rsidRPr="003A1515">
        <w:t xml:space="preserve">adalimumab, </w:t>
      </w:r>
      <w:r w:rsidR="003A1515" w:rsidRPr="003A1515">
        <w:t xml:space="preserve">the evaluator considered </w:t>
      </w:r>
      <w:r w:rsidRPr="003A1515">
        <w:t>whether it would be appropriate to limit treatment with tofacitinib to the TNF inhibitor naïve patient population. The P</w:t>
      </w:r>
      <w:r w:rsidR="00D1031F" w:rsidRPr="003A1515">
        <w:t>re-Sub-Committee Response (PSCR)</w:t>
      </w:r>
      <w:r w:rsidRPr="003A1515">
        <w:t xml:space="preserve"> disagreed with the </w:t>
      </w:r>
      <w:r w:rsidR="00DE1F06" w:rsidRPr="003A1515">
        <w:t>evaluation</w:t>
      </w:r>
      <w:r w:rsidRPr="003A1515">
        <w:t xml:space="preserve"> and argued the OPAL BROADEN trial</w:t>
      </w:r>
      <w:r w:rsidRPr="00A9117A">
        <w:t xml:space="preserve"> was included as it provided a common reference to allow an indirect comparison with adalimumab</w:t>
      </w:r>
      <w:r w:rsidR="00DE1F06" w:rsidRPr="00A9117A">
        <w:t xml:space="preserve"> and the included ad</w:t>
      </w:r>
      <w:r w:rsidR="004D6EC9" w:rsidRPr="00A9117A">
        <w:t>alimumab trials. The PSCR noted</w:t>
      </w:r>
      <w:r w:rsidRPr="00A9117A">
        <w:t xml:space="preserve"> a similar approach was used for the application for tofacitinib for rheumatoid arthritis, which was accepted by the TGA and PBAC. The ESC </w:t>
      </w:r>
      <w:r w:rsidR="001462C1">
        <w:t xml:space="preserve">and PBAC </w:t>
      </w:r>
      <w:r w:rsidRPr="00A9117A">
        <w:t xml:space="preserve">agreed with the </w:t>
      </w:r>
      <w:r w:rsidR="00CF6793" w:rsidRPr="00A9117A">
        <w:t>PSCR and considered the approach taken by the submission was appropriate</w:t>
      </w:r>
      <w:r w:rsidR="004D6EC9" w:rsidRPr="00A9117A">
        <w:t>. The ESC</w:t>
      </w:r>
      <w:r w:rsidR="00CF6793" w:rsidRPr="00A9117A">
        <w:t xml:space="preserve"> </w:t>
      </w:r>
      <w:r w:rsidR="00426290">
        <w:t xml:space="preserve">and PBAC </w:t>
      </w:r>
      <w:r w:rsidR="00CF6793" w:rsidRPr="00A9117A">
        <w:t>further considered there may be an argument for a role for tofacitinib in patients who have previou</w:t>
      </w:r>
      <w:r w:rsidR="006530FE" w:rsidRPr="00A9117A">
        <w:t>sly failed treatment with a TNF</w:t>
      </w:r>
      <w:r w:rsidR="006530FE" w:rsidRPr="00A9117A">
        <w:noBreakHyphen/>
      </w:r>
      <w:r w:rsidR="00CF6793" w:rsidRPr="00A9117A">
        <w:t>inhibitor</w:t>
      </w:r>
      <w:r w:rsidR="00823823" w:rsidRPr="00A9117A">
        <w:t xml:space="preserve">. </w:t>
      </w:r>
    </w:p>
    <w:p w:rsidR="004B4046" w:rsidRDefault="006D36B9" w:rsidP="006530FE">
      <w:pPr>
        <w:pStyle w:val="ListParagraph"/>
        <w:widowControl/>
        <w:numPr>
          <w:ilvl w:val="1"/>
          <w:numId w:val="2"/>
        </w:numPr>
        <w:spacing w:after="120"/>
      </w:pPr>
      <w:r w:rsidRPr="00A9117A">
        <w:t xml:space="preserve">No special pricing arrangement </w:t>
      </w:r>
      <w:r w:rsidR="00AF148C">
        <w:t xml:space="preserve">(SPA) </w:t>
      </w:r>
      <w:r w:rsidRPr="00A9117A">
        <w:t>was proposed</w:t>
      </w:r>
      <w:r w:rsidR="004B4046">
        <w:t xml:space="preserve"> in the submission. However, the pre-PBAC response requested the consideration of a </w:t>
      </w:r>
      <w:r w:rsidR="00AF148C">
        <w:t xml:space="preserve">SPA </w:t>
      </w:r>
      <w:r w:rsidR="004B4046">
        <w:t>if the PBAC recommended tofacitinib at a price lower than that requested in the submission</w:t>
      </w:r>
      <w:r w:rsidR="00D80FC3">
        <w:t>.</w:t>
      </w:r>
    </w:p>
    <w:p w:rsidR="006D36B9" w:rsidRPr="00A9117A" w:rsidRDefault="006D36B9" w:rsidP="006530FE">
      <w:pPr>
        <w:pStyle w:val="ListParagraph"/>
        <w:widowControl/>
        <w:numPr>
          <w:ilvl w:val="1"/>
          <w:numId w:val="2"/>
        </w:numPr>
        <w:spacing w:after="120"/>
      </w:pPr>
      <w:r w:rsidRPr="00A9117A">
        <w:t xml:space="preserve">The price requested was based on </w:t>
      </w:r>
      <w:r w:rsidR="00E5640D" w:rsidRPr="00A9117A">
        <w:t>a</w:t>
      </w:r>
      <w:r w:rsidRPr="00A9117A">
        <w:t xml:space="preserve"> cost-minimisation analysis </w:t>
      </w:r>
      <w:r w:rsidR="00E5640D" w:rsidRPr="00A9117A">
        <w:t>versus adalimumab</w:t>
      </w:r>
      <w:r w:rsidRPr="00A9117A">
        <w:t>, with the submission requesting the indication specific price for PsA for etanercept that was in place prior to the application of relevant F1 and F2 statutory price cuts</w:t>
      </w:r>
      <w:r w:rsidR="00671F01" w:rsidRPr="00A9117A">
        <w:t xml:space="preserve"> and other price changes</w:t>
      </w:r>
      <w:r w:rsidRPr="00A9117A">
        <w:t>.</w:t>
      </w:r>
      <w:r w:rsidR="00E5640D" w:rsidRPr="00A9117A">
        <w:t xml:space="preserve"> </w:t>
      </w:r>
    </w:p>
    <w:p w:rsidR="006D36B9" w:rsidRPr="00A9117A" w:rsidRDefault="006D36B9" w:rsidP="006530FE">
      <w:pPr>
        <w:pStyle w:val="ListParagraph"/>
        <w:widowControl/>
        <w:numPr>
          <w:ilvl w:val="1"/>
          <w:numId w:val="2"/>
        </w:numPr>
        <w:spacing w:after="120"/>
      </w:pPr>
      <w:r w:rsidRPr="00A9117A">
        <w:t>As tofacitinib is currently PBS listed for RA, a weighted price based on the two indications (RA and PsA) would be necessary</w:t>
      </w:r>
      <w:r w:rsidR="007B3B4F" w:rsidRPr="00A9117A">
        <w:t xml:space="preserve"> if listed for PsA</w:t>
      </w:r>
      <w:r w:rsidR="008C72F8">
        <w:t xml:space="preserve"> without a SPA</w:t>
      </w:r>
      <w:r w:rsidRPr="00A9117A">
        <w:t>. The 5mg tablet with a maximum quantity of 56</w:t>
      </w:r>
      <w:r w:rsidR="007B3B4F" w:rsidRPr="00A9117A">
        <w:t xml:space="preserve"> (four weeks’ supply)</w:t>
      </w:r>
      <w:r w:rsidRPr="00A9117A">
        <w:t xml:space="preserve"> is currently listed on the PBS for RA with a published price</w:t>
      </w:r>
      <w:r w:rsidR="008C72F8">
        <w:t xml:space="preserve"> (DPMQ)</w:t>
      </w:r>
      <w:r w:rsidRPr="00A9117A">
        <w:t xml:space="preserve"> of $1,267.64.</w:t>
      </w:r>
      <w:r w:rsidR="001B391A">
        <w:t xml:space="preserve">  </w:t>
      </w:r>
    </w:p>
    <w:p w:rsidR="00260973" w:rsidRPr="0059670D" w:rsidRDefault="00260973" w:rsidP="0059670D">
      <w:pPr>
        <w:pStyle w:val="ListParagraph"/>
        <w:ind w:left="709"/>
        <w:rPr>
          <w:rFonts w:asciiTheme="minorHAnsi" w:hAnsiTheme="minorHAnsi"/>
          <w:i/>
        </w:rPr>
      </w:pPr>
      <w:r w:rsidRPr="00A9117A">
        <w:rPr>
          <w:rFonts w:asciiTheme="minorHAnsi" w:hAnsiTheme="minorHAnsi"/>
          <w:i/>
        </w:rPr>
        <w:t>For more detail on PBAC’s view, see section 7 PBAC outcome.</w:t>
      </w:r>
    </w:p>
    <w:p w:rsidR="00B50DB8" w:rsidRPr="00A9117A" w:rsidRDefault="00B50DB8" w:rsidP="0011600D">
      <w:pPr>
        <w:pStyle w:val="PBACHeading1"/>
      </w:pPr>
      <w:bookmarkStart w:id="3" w:name="_Toc524526798"/>
      <w:r w:rsidRPr="00A9117A">
        <w:t>Background</w:t>
      </w:r>
      <w:bookmarkEnd w:id="3"/>
    </w:p>
    <w:p w:rsidR="00B60939" w:rsidRPr="0011600D" w:rsidRDefault="00591957" w:rsidP="0011600D">
      <w:pPr>
        <w:pStyle w:val="Heading2"/>
      </w:pPr>
      <w:r w:rsidRPr="0011600D">
        <w:t>Registration status</w:t>
      </w:r>
    </w:p>
    <w:p w:rsidR="00C27ACA" w:rsidRPr="00D80FC3" w:rsidRDefault="001C2994" w:rsidP="006530FE">
      <w:pPr>
        <w:pStyle w:val="ListParagraph"/>
        <w:widowControl/>
        <w:numPr>
          <w:ilvl w:val="1"/>
          <w:numId w:val="2"/>
        </w:numPr>
        <w:spacing w:after="120"/>
        <w:rPr>
          <w:rFonts w:eastAsiaTheme="minorHAnsi"/>
        </w:rPr>
      </w:pPr>
      <w:r w:rsidRPr="00D80FC3">
        <w:rPr>
          <w:rFonts w:eastAsiaTheme="minorHAnsi"/>
        </w:rPr>
        <w:t xml:space="preserve">TGA status at the time of </w:t>
      </w:r>
      <w:r w:rsidR="00B65E3A" w:rsidRPr="00D80FC3">
        <w:rPr>
          <w:rFonts w:eastAsiaTheme="minorHAnsi"/>
        </w:rPr>
        <w:t>PBAC consideration</w:t>
      </w:r>
      <w:r w:rsidRPr="00D80FC3">
        <w:rPr>
          <w:rFonts w:eastAsiaTheme="minorHAnsi"/>
        </w:rPr>
        <w:t xml:space="preserve">: </w:t>
      </w:r>
      <w:r w:rsidR="00EF798B" w:rsidRPr="00D80FC3">
        <w:rPr>
          <w:rFonts w:eastAsiaTheme="minorHAnsi"/>
        </w:rPr>
        <w:t>The submission was made un</w:t>
      </w:r>
      <w:r w:rsidR="00E5640D" w:rsidRPr="00D80FC3">
        <w:rPr>
          <w:rFonts w:eastAsiaTheme="minorHAnsi"/>
        </w:rPr>
        <w:t xml:space="preserve">der TGA/PBAC Parallel Process. </w:t>
      </w:r>
      <w:r w:rsidR="00EF798B" w:rsidRPr="00D80FC3">
        <w:rPr>
          <w:rFonts w:eastAsiaTheme="minorHAnsi"/>
        </w:rPr>
        <w:t xml:space="preserve">At the time of </w:t>
      </w:r>
      <w:r w:rsidR="00B65E3A" w:rsidRPr="00D80FC3">
        <w:rPr>
          <w:rFonts w:eastAsiaTheme="minorHAnsi"/>
        </w:rPr>
        <w:t>PBAC consideration</w:t>
      </w:r>
      <w:r w:rsidR="00EF798B" w:rsidRPr="00D80FC3">
        <w:rPr>
          <w:rFonts w:eastAsiaTheme="minorHAnsi"/>
        </w:rPr>
        <w:t xml:space="preserve">, the </w:t>
      </w:r>
      <w:r w:rsidR="00B65E3A" w:rsidRPr="00D80FC3">
        <w:rPr>
          <w:rFonts w:eastAsiaTheme="minorHAnsi"/>
        </w:rPr>
        <w:t>ACM advice was available</w:t>
      </w:r>
      <w:r w:rsidR="00EF798B" w:rsidRPr="00D80FC3">
        <w:rPr>
          <w:rFonts w:eastAsiaTheme="minorHAnsi"/>
        </w:rPr>
        <w:t>. The proposed TGA ind</w:t>
      </w:r>
      <w:r w:rsidR="00E5640D" w:rsidRPr="00D80FC3">
        <w:rPr>
          <w:rFonts w:eastAsiaTheme="minorHAnsi"/>
        </w:rPr>
        <w:t xml:space="preserve">ication, </w:t>
      </w:r>
      <w:r w:rsidRPr="00D80FC3">
        <w:rPr>
          <w:rFonts w:eastAsiaTheme="minorHAnsi"/>
        </w:rPr>
        <w:t xml:space="preserve">is </w:t>
      </w:r>
      <w:r w:rsidR="00E5640D" w:rsidRPr="00D80FC3">
        <w:rPr>
          <w:rFonts w:eastAsiaTheme="minorHAnsi"/>
        </w:rPr>
        <w:t>“[</w:t>
      </w:r>
      <w:r w:rsidR="00EF798B" w:rsidRPr="00D80FC3">
        <w:rPr>
          <w:rFonts w:eastAsiaTheme="minorHAnsi"/>
        </w:rPr>
        <w:t>tofacitinib</w:t>
      </w:r>
      <w:r w:rsidR="00E5640D" w:rsidRPr="00D80FC3">
        <w:rPr>
          <w:rFonts w:eastAsiaTheme="minorHAnsi"/>
        </w:rPr>
        <w:t xml:space="preserve">] </w:t>
      </w:r>
      <w:r w:rsidR="00EF798B" w:rsidRPr="00D80FC3">
        <w:rPr>
          <w:rFonts w:eastAsiaTheme="minorHAnsi"/>
        </w:rPr>
        <w:t xml:space="preserve">in combination with non-biological DMARDs is indicated for the treatment of active psoriatic arthritis in adult patients who have had an inadequate to response to a prior DMARD therapy”. </w:t>
      </w:r>
    </w:p>
    <w:p w:rsidR="00260973" w:rsidRPr="0059670D" w:rsidRDefault="00EF798B" w:rsidP="00260973">
      <w:pPr>
        <w:pStyle w:val="ListParagraph"/>
        <w:widowControl/>
        <w:numPr>
          <w:ilvl w:val="1"/>
          <w:numId w:val="2"/>
        </w:numPr>
        <w:spacing w:after="120"/>
        <w:rPr>
          <w:rFonts w:eastAsiaTheme="minorHAnsi"/>
        </w:rPr>
      </w:pPr>
      <w:r w:rsidRPr="00A9117A">
        <w:rPr>
          <w:rFonts w:eastAsiaTheme="minorHAnsi"/>
        </w:rPr>
        <w:t xml:space="preserve">Tofacitinib is TGA registered for patients with moderate to severe active rheumatoid arthritis and listed on the PBS for the treatment of patients with severe active rheumatoid arthritis. </w:t>
      </w:r>
    </w:p>
    <w:p w:rsidR="00B50DB8" w:rsidRPr="00A9117A" w:rsidRDefault="00203181" w:rsidP="0011600D">
      <w:pPr>
        <w:pStyle w:val="PBACHeading1"/>
      </w:pPr>
      <w:bookmarkStart w:id="4" w:name="_Toc524526799"/>
      <w:r w:rsidRPr="00A9117A">
        <w:t xml:space="preserve">Population and </w:t>
      </w:r>
      <w:r w:rsidR="008E0D3C" w:rsidRPr="00A9117A">
        <w:t>d</w:t>
      </w:r>
      <w:r w:rsidRPr="00A9117A">
        <w:t>isease</w:t>
      </w:r>
      <w:bookmarkEnd w:id="4"/>
    </w:p>
    <w:p w:rsidR="009E298B" w:rsidRPr="00A9117A" w:rsidRDefault="009E298B" w:rsidP="006530FE">
      <w:pPr>
        <w:pStyle w:val="ListParagraph"/>
        <w:widowControl/>
        <w:numPr>
          <w:ilvl w:val="1"/>
          <w:numId w:val="2"/>
        </w:numPr>
        <w:spacing w:after="120"/>
      </w:pPr>
      <w:r w:rsidRPr="00A9117A">
        <w:t xml:space="preserve">PsA is a chronic progressive inflammatory arthritis, characterised by pain, stiffness and swelling of joints that can affect the whole body. If left untreated, it may result in permanent joint damage and disability. It can present in several clinical manifestations, including a combination of; peripheral joint inflammation and damage leading to arthritis, psoriasis (in the skin and nails), enthesitis, dactylitis, and spondylitis. This can lead to progressive damage, disability and adverse effects on quality of life, which include fatigue and impaired physical function. </w:t>
      </w:r>
    </w:p>
    <w:p w:rsidR="009E298B" w:rsidRPr="00A9117A" w:rsidRDefault="009E298B" w:rsidP="006530FE">
      <w:pPr>
        <w:pStyle w:val="ListParagraph"/>
        <w:widowControl/>
        <w:numPr>
          <w:ilvl w:val="1"/>
          <w:numId w:val="2"/>
        </w:numPr>
        <w:spacing w:after="120"/>
      </w:pPr>
      <w:r w:rsidRPr="00A9117A">
        <w:t>Tofacitinib is a potent, selective inhibitor of the Janus-associated kinase (JAK) family of kinases with a high degree of selectivity against other kinases in the human genome. It has a different mechanism of action to the other therapies listed for the requested indication, and a different method of administration, being administered orally.</w:t>
      </w:r>
    </w:p>
    <w:p w:rsidR="009E298B" w:rsidRPr="00A9117A" w:rsidRDefault="009E298B" w:rsidP="006530FE">
      <w:pPr>
        <w:pStyle w:val="ListParagraph"/>
        <w:widowControl/>
        <w:numPr>
          <w:ilvl w:val="1"/>
          <w:numId w:val="2"/>
        </w:numPr>
        <w:spacing w:after="120"/>
      </w:pPr>
      <w:r w:rsidRPr="00A9117A">
        <w:t xml:space="preserve">Tofacitinib </w:t>
      </w:r>
      <w:r w:rsidR="00021AE1" w:rsidRPr="00A9117A">
        <w:t>would</w:t>
      </w:r>
      <w:r w:rsidRPr="00A9117A">
        <w:t xml:space="preserve"> be the </w:t>
      </w:r>
      <w:r w:rsidR="00D8136C" w:rsidRPr="00A9117A">
        <w:t>nin</w:t>
      </w:r>
      <w:r w:rsidRPr="00A9117A">
        <w:t xml:space="preserve">th therapy to join </w:t>
      </w:r>
      <w:r w:rsidR="00D8136C" w:rsidRPr="00A9117A">
        <w:t>eight</w:t>
      </w:r>
      <w:r w:rsidRPr="00A9117A">
        <w:t xml:space="preserve"> bDMARDs </w:t>
      </w:r>
      <w:r w:rsidR="00D8136C" w:rsidRPr="00A9117A">
        <w:t xml:space="preserve">currently </w:t>
      </w:r>
      <w:r w:rsidRPr="00A9117A">
        <w:t xml:space="preserve">listed </w:t>
      </w:r>
      <w:r w:rsidR="00D8136C" w:rsidRPr="00A9117A">
        <w:t xml:space="preserve">(or recommended for listing in the case of ixekizumab) </w:t>
      </w:r>
      <w:r w:rsidRPr="00A9117A">
        <w:t xml:space="preserve">on the PBS for the treatment of patients with severe active PsA who have failed to achieve an adequate response to non-biologic DMARDS. The addition of tofacitinib to the clinical management algorithm is not expected to alter clinical practice, but it would allow for an additional non-parenteral option. </w:t>
      </w:r>
    </w:p>
    <w:p w:rsidR="00260973" w:rsidRPr="00A9117A" w:rsidRDefault="00260973" w:rsidP="00260973">
      <w:pPr>
        <w:pStyle w:val="ListParagraph"/>
        <w:ind w:left="709"/>
        <w:rPr>
          <w:rFonts w:asciiTheme="minorHAnsi" w:hAnsiTheme="minorHAnsi"/>
          <w:i/>
        </w:rPr>
      </w:pPr>
      <w:r w:rsidRPr="00A9117A">
        <w:rPr>
          <w:rFonts w:asciiTheme="minorHAnsi" w:hAnsiTheme="minorHAnsi"/>
          <w:i/>
        </w:rPr>
        <w:t>For more detail on PBAC’s view, see section 7 PBAC outcome.</w:t>
      </w:r>
    </w:p>
    <w:p w:rsidR="00B50DB8" w:rsidRPr="00A9117A" w:rsidRDefault="00B50DB8" w:rsidP="0011600D">
      <w:pPr>
        <w:pStyle w:val="PBACHeading1"/>
      </w:pPr>
      <w:bookmarkStart w:id="5" w:name="_Toc524526800"/>
      <w:r w:rsidRPr="00A9117A">
        <w:t>Comparator</w:t>
      </w:r>
      <w:bookmarkEnd w:id="5"/>
    </w:p>
    <w:p w:rsidR="001C2994" w:rsidRPr="00A9117A" w:rsidRDefault="00EE0E3D" w:rsidP="006530FE">
      <w:pPr>
        <w:pStyle w:val="ListParagraph"/>
        <w:widowControl/>
        <w:numPr>
          <w:ilvl w:val="1"/>
          <w:numId w:val="2"/>
        </w:numPr>
        <w:spacing w:after="120"/>
      </w:pPr>
      <w:r w:rsidRPr="00A9117A">
        <w:t>The submission nominated adalimumab as the main comparator, based on a 10% sample of PBS data that showed it</w:t>
      </w:r>
      <w:r w:rsidR="00E5640D" w:rsidRPr="00A9117A">
        <w:t xml:space="preserve"> was most commonly prescribed. </w:t>
      </w:r>
      <w:r w:rsidR="00D94F17" w:rsidRPr="00A9117A">
        <w:t xml:space="preserve">The ESC agreed that </w:t>
      </w:r>
      <w:r w:rsidR="00E5640D" w:rsidRPr="00A9117A">
        <w:t>adalimumab is a</w:t>
      </w:r>
      <w:r w:rsidR="00D94F17" w:rsidRPr="00A9117A">
        <w:t>n</w:t>
      </w:r>
      <w:r w:rsidR="00E5640D" w:rsidRPr="00A9117A">
        <w:t xml:space="preserve"> </w:t>
      </w:r>
      <w:r w:rsidR="00D94F17" w:rsidRPr="00A9117A">
        <w:t>appropriate</w:t>
      </w:r>
      <w:r w:rsidR="00E5640D" w:rsidRPr="00A9117A">
        <w:t xml:space="preserve"> </w:t>
      </w:r>
      <w:r w:rsidR="00FE2730" w:rsidRPr="00A9117A">
        <w:t xml:space="preserve">clinical </w:t>
      </w:r>
      <w:r w:rsidR="00E5640D" w:rsidRPr="00A9117A">
        <w:t>comparator</w:t>
      </w:r>
      <w:r w:rsidRPr="00A9117A">
        <w:t xml:space="preserve">, </w:t>
      </w:r>
      <w:r w:rsidR="00D94F17" w:rsidRPr="00A9117A">
        <w:t xml:space="preserve">but noted that </w:t>
      </w:r>
      <w:r w:rsidR="008E3B6B" w:rsidRPr="00A9117A">
        <w:t>other bDMARDs</w:t>
      </w:r>
      <w:r w:rsidRPr="00A9117A">
        <w:t xml:space="preserve"> currently listed for PsA</w:t>
      </w:r>
      <w:r w:rsidR="008E3B6B" w:rsidRPr="00A9117A">
        <w:t>, including certolizumab pegol, etanercept, golimumab, infliximab, secukinumab and ustekinumab</w:t>
      </w:r>
      <w:r w:rsidR="00FE2730" w:rsidRPr="00A9117A">
        <w:t>, may also be replaced by tofacitinib and</w:t>
      </w:r>
      <w:r w:rsidRPr="00A9117A">
        <w:t xml:space="preserve"> </w:t>
      </w:r>
      <w:r w:rsidR="00FC7E19" w:rsidRPr="00A9117A">
        <w:t>are</w:t>
      </w:r>
      <w:r w:rsidR="00FE2730" w:rsidRPr="00A9117A">
        <w:t xml:space="preserve"> therefore also</w:t>
      </w:r>
      <w:r w:rsidRPr="00A9117A">
        <w:t xml:space="preserve"> relevant comparators. </w:t>
      </w:r>
      <w:r w:rsidR="001C2994" w:rsidRPr="00A9117A">
        <w:rPr>
          <w:szCs w:val="24"/>
        </w:rPr>
        <w:t>The PSCR acknowledged that tofacitinib could replace any of the bDMARDs in PsA, but reiterated that adalimumab is the appropri</w:t>
      </w:r>
      <w:r w:rsidR="004D6EC9" w:rsidRPr="00A9117A">
        <w:rPr>
          <w:szCs w:val="24"/>
        </w:rPr>
        <w:t>ate main comparator as it is</w:t>
      </w:r>
      <w:r w:rsidR="001C2994" w:rsidRPr="00A9117A">
        <w:rPr>
          <w:szCs w:val="24"/>
        </w:rPr>
        <w:t xml:space="preserve"> the therapy that </w:t>
      </w:r>
      <w:r w:rsidR="001C2994" w:rsidRPr="00A9117A">
        <w:rPr>
          <w:iCs/>
          <w:szCs w:val="24"/>
        </w:rPr>
        <w:t>prescribers would most replace with tofacitinib</w:t>
      </w:r>
      <w:r w:rsidR="00D94F17" w:rsidRPr="00A9117A">
        <w:rPr>
          <w:iCs/>
          <w:szCs w:val="24"/>
        </w:rPr>
        <w:t xml:space="preserve"> (with a market share of 44%)</w:t>
      </w:r>
      <w:r w:rsidR="001C2994" w:rsidRPr="00A9117A">
        <w:rPr>
          <w:iCs/>
          <w:szCs w:val="24"/>
        </w:rPr>
        <w:t xml:space="preserve">. </w:t>
      </w:r>
      <w:r w:rsidR="00D94F17" w:rsidRPr="00A9117A">
        <w:rPr>
          <w:iCs/>
          <w:szCs w:val="24"/>
        </w:rPr>
        <w:t xml:space="preserve">The PSCR further stated that </w:t>
      </w:r>
      <w:r w:rsidR="00D94F17" w:rsidRPr="00A9117A">
        <w:rPr>
          <w:szCs w:val="24"/>
        </w:rPr>
        <w:t xml:space="preserve">certolizumab pegol and ustekinumab are not relevant main comparators for tofacitinib on the basis that these bDMARDs are unlikely to be replaced with tofacitinib in any large extent (with a market share of 4% and 2% respectively). </w:t>
      </w:r>
    </w:p>
    <w:p w:rsidR="002C2775" w:rsidRPr="00A9117A" w:rsidRDefault="00EE0E3D" w:rsidP="006530FE">
      <w:pPr>
        <w:pStyle w:val="ListParagraph"/>
        <w:widowControl/>
        <w:numPr>
          <w:ilvl w:val="1"/>
          <w:numId w:val="2"/>
        </w:numPr>
        <w:spacing w:after="120"/>
      </w:pPr>
      <w:r w:rsidRPr="00A9117A">
        <w:rPr>
          <w:rFonts w:cs="Calibri"/>
          <w:snapToGrid/>
          <w:szCs w:val="24"/>
          <w:lang w:val="en-US" w:eastAsia="en-AU"/>
        </w:rPr>
        <w:t xml:space="preserve">Although nominating adalimumab as the main comparator, it </w:t>
      </w:r>
      <w:r w:rsidR="00021AE1" w:rsidRPr="00A9117A">
        <w:rPr>
          <w:rFonts w:cs="Calibri"/>
          <w:snapToGrid/>
          <w:szCs w:val="24"/>
          <w:lang w:val="en-US" w:eastAsia="en-AU"/>
        </w:rPr>
        <w:t>wa</w:t>
      </w:r>
      <w:r w:rsidRPr="00A9117A">
        <w:rPr>
          <w:rFonts w:cs="Calibri"/>
          <w:snapToGrid/>
          <w:szCs w:val="24"/>
          <w:lang w:val="en-US" w:eastAsia="en-AU"/>
        </w:rPr>
        <w:t xml:space="preserve">s noted that for the requested population, a number of bDMARDs are less costly than adalimumab (see </w:t>
      </w:r>
      <w:r w:rsidR="00AD4C07" w:rsidRPr="00A9117A">
        <w:t xml:space="preserve">Table </w:t>
      </w:r>
      <w:r w:rsidR="00AD4C07">
        <w:rPr>
          <w:noProof/>
        </w:rPr>
        <w:t>2</w:t>
      </w:r>
      <w:r w:rsidRPr="00A9117A">
        <w:rPr>
          <w:rFonts w:cs="Calibri"/>
          <w:snapToGrid/>
          <w:szCs w:val="24"/>
          <w:lang w:val="en-US" w:eastAsia="en-AU"/>
        </w:rPr>
        <w:t>); and subsequently the requested price for tofacitinib</w:t>
      </w:r>
      <w:r w:rsidR="0005103B" w:rsidRPr="00A9117A">
        <w:rPr>
          <w:rFonts w:cs="Calibri"/>
          <w:snapToGrid/>
          <w:szCs w:val="24"/>
          <w:lang w:val="en-US" w:eastAsia="en-AU"/>
        </w:rPr>
        <w:t xml:space="preserve"> </w:t>
      </w:r>
      <w:r w:rsidR="00497369">
        <w:rPr>
          <w:rFonts w:cs="Calibri"/>
          <w:snapToGrid/>
          <w:szCs w:val="24"/>
          <w:lang w:val="en-US" w:eastAsia="en-AU"/>
        </w:rPr>
        <w:t xml:space="preserve">was </w:t>
      </w:r>
      <w:r w:rsidR="0005103B" w:rsidRPr="00A9117A">
        <w:rPr>
          <w:rFonts w:cs="Calibri"/>
          <w:snapToGrid/>
          <w:szCs w:val="24"/>
          <w:lang w:val="en-US" w:eastAsia="en-AU"/>
        </w:rPr>
        <w:t>higher than the potentially lowest cost comparator</w:t>
      </w:r>
      <w:r w:rsidRPr="00A9117A">
        <w:rPr>
          <w:rFonts w:cs="Calibri"/>
          <w:snapToGrid/>
          <w:szCs w:val="24"/>
          <w:lang w:val="en-US" w:eastAsia="en-AU"/>
        </w:rPr>
        <w:t xml:space="preserve"> (</w:t>
      </w:r>
      <w:r w:rsidR="0005103B" w:rsidRPr="00A9117A">
        <w:rPr>
          <w:rFonts w:cs="Calibri"/>
          <w:snapToGrid/>
          <w:szCs w:val="24"/>
          <w:lang w:val="en-US" w:eastAsia="en-AU"/>
        </w:rPr>
        <w:t xml:space="preserve">and </w:t>
      </w:r>
      <w:r w:rsidR="00497369">
        <w:rPr>
          <w:rFonts w:cs="Calibri"/>
          <w:snapToGrid/>
          <w:szCs w:val="24"/>
          <w:lang w:val="en-US" w:eastAsia="en-AU"/>
        </w:rPr>
        <w:t xml:space="preserve">as noted in Section 1.4 </w:t>
      </w:r>
      <w:r w:rsidRPr="00A9117A">
        <w:rPr>
          <w:rFonts w:cs="Calibri"/>
          <w:snapToGrid/>
          <w:szCs w:val="24"/>
          <w:lang w:val="en-US" w:eastAsia="en-AU"/>
        </w:rPr>
        <w:t>a higher price</w:t>
      </w:r>
      <w:r w:rsidR="0005103B" w:rsidRPr="00A9117A">
        <w:rPr>
          <w:rFonts w:cs="Calibri"/>
          <w:snapToGrid/>
          <w:szCs w:val="24"/>
          <w:lang w:val="en-US" w:eastAsia="en-AU"/>
        </w:rPr>
        <w:t xml:space="preserve"> than the current adalimumab price</w:t>
      </w:r>
      <w:r w:rsidR="00497369">
        <w:rPr>
          <w:rFonts w:cs="Calibri"/>
          <w:snapToGrid/>
          <w:szCs w:val="24"/>
          <w:lang w:val="en-US" w:eastAsia="en-AU"/>
        </w:rPr>
        <w:t xml:space="preserve"> is requested</w:t>
      </w:r>
      <w:r w:rsidRPr="00A9117A">
        <w:rPr>
          <w:rFonts w:cs="Calibri"/>
          <w:snapToGrid/>
          <w:szCs w:val="24"/>
          <w:lang w:val="en-US" w:eastAsia="en-AU"/>
        </w:rPr>
        <w:t>).</w:t>
      </w:r>
      <w:r w:rsidR="008E3B6B" w:rsidRPr="00A9117A">
        <w:rPr>
          <w:rFonts w:cs="Calibri"/>
          <w:snapToGrid/>
          <w:szCs w:val="24"/>
          <w:lang w:val="en-US" w:eastAsia="en-AU"/>
        </w:rPr>
        <w:t xml:space="preserve"> Under Section 101(3B) of the National Health Act 1953,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 shall not recommend to the Minister that the drug, preparation or class be made available as pharmaceutical benefits under this Part unless the Committee is satisfied that the first-mentioned therapy, for some patients, provides a significant improvement in efficacy or reduction of toxicity over the alternative therapy or therapies. </w:t>
      </w:r>
    </w:p>
    <w:p w:rsidR="00EE0E3D" w:rsidRPr="00A9117A" w:rsidRDefault="00FC7E19" w:rsidP="006530FE">
      <w:pPr>
        <w:pStyle w:val="TableHeading0"/>
        <w:keepNext/>
        <w:rPr>
          <w:b w:val="0"/>
        </w:rPr>
      </w:pPr>
      <w:bookmarkStart w:id="6" w:name="_Ref523780962"/>
      <w:r w:rsidRPr="00A9117A">
        <w:t xml:space="preserve">Table </w:t>
      </w:r>
      <w:r w:rsidR="00AD4C07">
        <w:rPr>
          <w:noProof/>
        </w:rPr>
        <w:t>2</w:t>
      </w:r>
      <w:bookmarkEnd w:id="6"/>
      <w:r w:rsidRPr="00A9117A">
        <w:t xml:space="preserve">: </w:t>
      </w:r>
      <w:r w:rsidR="00EE0E3D" w:rsidRPr="00A9117A">
        <w:t>Dispensed price for maximum quantities and bases of listings for the currently PBS-listed bDMARDs for PsA</w:t>
      </w:r>
    </w:p>
    <w:tbl>
      <w:tblPr>
        <w:tblStyle w:val="TableGrid"/>
        <w:tblW w:w="0" w:type="auto"/>
        <w:tblCellMar>
          <w:left w:w="28" w:type="dxa"/>
          <w:right w:w="28" w:type="dxa"/>
        </w:tblCellMar>
        <w:tblLook w:val="04A0" w:firstRow="1" w:lastRow="0" w:firstColumn="1" w:lastColumn="0" w:noHBand="0" w:noVBand="1"/>
        <w:tblCaption w:val="Dispensed price for maximum quantities and bases of listings for the currently PBS-listed bDMARDs for PsA"/>
      </w:tblPr>
      <w:tblGrid>
        <w:gridCol w:w="2405"/>
        <w:gridCol w:w="2977"/>
        <w:gridCol w:w="3635"/>
      </w:tblGrid>
      <w:tr w:rsidR="00EE0E3D" w:rsidRPr="00A9117A" w:rsidTr="00BE2A84">
        <w:trPr>
          <w:tblHeader/>
        </w:trPr>
        <w:tc>
          <w:tcPr>
            <w:tcW w:w="2405" w:type="dxa"/>
            <w:vAlign w:val="center"/>
          </w:tcPr>
          <w:p w:rsidR="00EE0E3D" w:rsidRPr="00A9117A" w:rsidRDefault="00EE0E3D" w:rsidP="006530FE">
            <w:pPr>
              <w:keepNext/>
              <w:widowControl/>
              <w:spacing w:before="40" w:after="40"/>
              <w:jc w:val="left"/>
              <w:rPr>
                <w:rFonts w:ascii="Arial Narrow" w:hAnsi="Arial Narrow"/>
                <w:b/>
                <w:sz w:val="20"/>
              </w:rPr>
            </w:pPr>
            <w:r w:rsidRPr="00A9117A">
              <w:rPr>
                <w:rFonts w:ascii="Arial Narrow" w:hAnsi="Arial Narrow"/>
                <w:b/>
                <w:sz w:val="20"/>
              </w:rPr>
              <w:t>bDMARD</w:t>
            </w:r>
          </w:p>
        </w:tc>
        <w:tc>
          <w:tcPr>
            <w:tcW w:w="2977" w:type="dxa"/>
          </w:tcPr>
          <w:p w:rsidR="00EE0E3D" w:rsidRPr="00A9117A" w:rsidRDefault="00EE0E3D" w:rsidP="006530FE">
            <w:pPr>
              <w:keepNext/>
              <w:widowControl/>
              <w:spacing w:before="40" w:after="40"/>
              <w:jc w:val="center"/>
              <w:rPr>
                <w:rFonts w:ascii="Arial Narrow" w:hAnsi="Arial Narrow"/>
                <w:b/>
                <w:sz w:val="20"/>
              </w:rPr>
            </w:pPr>
            <w:r w:rsidRPr="00A9117A">
              <w:rPr>
                <w:rFonts w:ascii="Arial Narrow" w:hAnsi="Arial Narrow"/>
                <w:b/>
                <w:sz w:val="20"/>
              </w:rPr>
              <w:t xml:space="preserve">Dispensed price maximum quantity </w:t>
            </w:r>
            <w:r w:rsidRPr="00A9117A">
              <w:rPr>
                <w:rFonts w:ascii="Arial Narrow" w:hAnsi="Arial Narrow"/>
                <w:b/>
                <w:sz w:val="20"/>
              </w:rPr>
              <w:br/>
              <w:t>(as of 31 Aug 2018)</w:t>
            </w:r>
          </w:p>
        </w:tc>
        <w:tc>
          <w:tcPr>
            <w:tcW w:w="3635" w:type="dxa"/>
            <w:vAlign w:val="center"/>
          </w:tcPr>
          <w:p w:rsidR="00EE0E3D" w:rsidRPr="00A9117A" w:rsidRDefault="00EE0E3D" w:rsidP="006530FE">
            <w:pPr>
              <w:keepNext/>
              <w:widowControl/>
              <w:spacing w:before="40" w:after="40"/>
              <w:jc w:val="center"/>
              <w:rPr>
                <w:rFonts w:ascii="Arial Narrow" w:hAnsi="Arial Narrow"/>
                <w:b/>
                <w:sz w:val="20"/>
              </w:rPr>
            </w:pPr>
            <w:r w:rsidRPr="00A9117A">
              <w:rPr>
                <w:rFonts w:ascii="Arial Narrow" w:hAnsi="Arial Narrow"/>
                <w:b/>
                <w:sz w:val="20"/>
              </w:rPr>
              <w:t>Basis of listing</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Etanercept</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$1,049.54 (SPA applies)</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CE versus placebo</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 xml:space="preserve">Infliximab </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$507.42 (public) or $535.01 (private)</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CM versus etanercept</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 xml:space="preserve">Adalimumab </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$1,269.60</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CM versus etanercept</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 xml:space="preserve">Golimumab </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$1,318.17</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CM versus etanercept and adalimumab</w:t>
            </w:r>
          </w:p>
        </w:tc>
      </w:tr>
      <w:tr w:rsidR="00EE0E3D" w:rsidRPr="00A9117A" w:rsidTr="00620DE7">
        <w:tc>
          <w:tcPr>
            <w:tcW w:w="2405" w:type="dxa"/>
          </w:tcPr>
          <w:p w:rsidR="00EE0E3D" w:rsidRPr="00A9117A" w:rsidRDefault="00620DE7" w:rsidP="006530FE">
            <w:pPr>
              <w:keepNext/>
              <w:widowControl/>
              <w:spacing w:before="40" w:after="40"/>
              <w:rPr>
                <w:rFonts w:ascii="Arial Narrow" w:hAnsi="Arial Narrow"/>
                <w:sz w:val="20"/>
              </w:rPr>
            </w:pPr>
            <w:r w:rsidRPr="00A9117A">
              <w:rPr>
                <w:rFonts w:ascii="Arial Narrow" w:hAnsi="Arial Narrow"/>
                <w:sz w:val="20"/>
              </w:rPr>
              <w:t>Certolizumab pegol</w:t>
            </w:r>
            <w:r w:rsidR="00EE0E3D" w:rsidRPr="00A9117A">
              <w:rPr>
                <w:rFonts w:ascii="Arial Narrow" w:hAnsi="Arial Narrow"/>
                <w:sz w:val="20"/>
              </w:rPr>
              <w:t xml:space="preserve"> (continuing)</w:t>
            </w:r>
          </w:p>
        </w:tc>
        <w:tc>
          <w:tcPr>
            <w:tcW w:w="2977" w:type="dxa"/>
          </w:tcPr>
          <w:p w:rsidR="00EE0E3D" w:rsidRPr="00A9117A" w:rsidRDefault="00EE0E3D" w:rsidP="006530FE">
            <w:pPr>
              <w:keepNext/>
              <w:widowControl/>
              <w:spacing w:before="40" w:after="40"/>
              <w:jc w:val="center"/>
              <w:rPr>
                <w:rFonts w:ascii="Arial Narrow" w:hAnsi="Arial Narrow"/>
                <w:sz w:val="20"/>
                <w:vertAlign w:val="superscript"/>
              </w:rPr>
            </w:pPr>
            <w:r w:rsidRPr="00A9117A">
              <w:rPr>
                <w:rFonts w:ascii="Arial Narrow" w:hAnsi="Arial Narrow"/>
                <w:sz w:val="20"/>
              </w:rPr>
              <w:t>$1,014.61</w:t>
            </w:r>
            <w:r w:rsidRPr="00A9117A">
              <w:rPr>
                <w:rFonts w:ascii="Arial Narrow" w:hAnsi="Arial Narrow"/>
                <w:sz w:val="20"/>
                <w:vertAlign w:val="superscript"/>
              </w:rPr>
              <w:t xml:space="preserve"> </w:t>
            </w:r>
            <w:r w:rsidRPr="00A9117A">
              <w:rPr>
                <w:rFonts w:ascii="Arial Narrow" w:hAnsi="Arial Narrow"/>
                <w:sz w:val="20"/>
              </w:rPr>
              <w:t>(SPA applies)</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Compared to adalimumab, at a lower price</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Ustekinumab (continuing)</w:t>
            </w:r>
          </w:p>
        </w:tc>
        <w:tc>
          <w:tcPr>
            <w:tcW w:w="2977" w:type="dxa"/>
          </w:tcPr>
          <w:p w:rsidR="00EE0E3D" w:rsidRPr="00A9117A" w:rsidRDefault="00EE0E3D" w:rsidP="006530FE">
            <w:pPr>
              <w:keepNext/>
              <w:widowControl/>
              <w:spacing w:before="40" w:after="40"/>
              <w:jc w:val="center"/>
              <w:rPr>
                <w:rFonts w:ascii="Arial Narrow" w:hAnsi="Arial Narrow"/>
                <w:sz w:val="20"/>
                <w:vertAlign w:val="superscript"/>
              </w:rPr>
            </w:pPr>
            <w:r w:rsidRPr="00A9117A">
              <w:rPr>
                <w:rFonts w:ascii="Arial Narrow" w:hAnsi="Arial Narrow"/>
                <w:sz w:val="20"/>
              </w:rPr>
              <w:t>$4,348.38 (SPA applies)</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 xml:space="preserve">CM versus </w:t>
            </w:r>
            <w:r w:rsidR="00620DE7" w:rsidRPr="00A9117A">
              <w:rPr>
                <w:rFonts w:ascii="Arial Narrow" w:hAnsi="Arial Narrow"/>
                <w:sz w:val="20"/>
              </w:rPr>
              <w:t>certolizumab pegol</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Secukinumab (continuing)</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$1,586.52</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 xml:space="preserve">CM versus </w:t>
            </w:r>
            <w:r w:rsidR="00620DE7" w:rsidRPr="00A9117A">
              <w:rPr>
                <w:rFonts w:ascii="Arial Narrow" w:hAnsi="Arial Narrow"/>
                <w:sz w:val="20"/>
              </w:rPr>
              <w:t>certolizumab pegol</w:t>
            </w:r>
            <w:r w:rsidRPr="00A9117A">
              <w:rPr>
                <w:rFonts w:ascii="Arial Narrow" w:hAnsi="Arial Narrow"/>
                <w:sz w:val="20"/>
              </w:rPr>
              <w:t xml:space="preserve"> and ustekinumab</w:t>
            </w:r>
          </w:p>
        </w:tc>
      </w:tr>
      <w:tr w:rsidR="00EE0E3D" w:rsidRPr="00A9117A" w:rsidTr="00620DE7">
        <w:tc>
          <w:tcPr>
            <w:tcW w:w="2405" w:type="dxa"/>
          </w:tcPr>
          <w:p w:rsidR="00EE0E3D" w:rsidRPr="00A9117A" w:rsidRDefault="00EE0E3D" w:rsidP="006530FE">
            <w:pPr>
              <w:keepNext/>
              <w:widowControl/>
              <w:spacing w:before="40" w:after="40"/>
              <w:rPr>
                <w:rFonts w:ascii="Arial Narrow" w:hAnsi="Arial Narrow"/>
                <w:sz w:val="20"/>
              </w:rPr>
            </w:pPr>
            <w:r w:rsidRPr="00A9117A">
              <w:rPr>
                <w:rFonts w:ascii="Arial Narrow" w:hAnsi="Arial Narrow"/>
                <w:sz w:val="20"/>
              </w:rPr>
              <w:t xml:space="preserve">Ixekizumab </w:t>
            </w:r>
          </w:p>
        </w:tc>
        <w:tc>
          <w:tcPr>
            <w:tcW w:w="2977"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Not applicable</w:t>
            </w:r>
          </w:p>
        </w:tc>
        <w:tc>
          <w:tcPr>
            <w:tcW w:w="3635" w:type="dxa"/>
          </w:tcPr>
          <w:p w:rsidR="00EE0E3D" w:rsidRPr="00A9117A" w:rsidRDefault="00EE0E3D" w:rsidP="006530FE">
            <w:pPr>
              <w:keepNext/>
              <w:widowControl/>
              <w:spacing w:before="40" w:after="40"/>
              <w:jc w:val="center"/>
              <w:rPr>
                <w:rFonts w:ascii="Arial Narrow" w:hAnsi="Arial Narrow"/>
                <w:sz w:val="20"/>
              </w:rPr>
            </w:pPr>
            <w:r w:rsidRPr="00A9117A">
              <w:rPr>
                <w:rFonts w:ascii="Arial Narrow" w:hAnsi="Arial Narrow"/>
                <w:sz w:val="20"/>
              </w:rPr>
              <w:t>CM to least costly bDMARD</w:t>
            </w:r>
          </w:p>
        </w:tc>
      </w:tr>
    </w:tbl>
    <w:p w:rsidR="006530FE" w:rsidRPr="00A9117A" w:rsidRDefault="00EE0E3D" w:rsidP="008305B7">
      <w:pPr>
        <w:widowControl/>
        <w:spacing w:after="240"/>
        <w:rPr>
          <w:rFonts w:ascii="Arial Narrow" w:hAnsi="Arial Narrow"/>
          <w:sz w:val="18"/>
        </w:rPr>
      </w:pPr>
      <w:r w:rsidRPr="00A9117A">
        <w:rPr>
          <w:rFonts w:ascii="Arial Narrow" w:hAnsi="Arial Narrow"/>
          <w:sz w:val="18"/>
        </w:rPr>
        <w:t>CE = cost-effectiveness analysis; CM = cost-minimisation analysis; SPA = special pricing arrangement</w:t>
      </w:r>
    </w:p>
    <w:p w:rsidR="00B60939" w:rsidRDefault="00FC7E19" w:rsidP="006530FE">
      <w:pPr>
        <w:pStyle w:val="ListParagraph"/>
        <w:widowControl/>
        <w:numPr>
          <w:ilvl w:val="1"/>
          <w:numId w:val="2"/>
        </w:numPr>
        <w:spacing w:after="120"/>
      </w:pPr>
      <w:r w:rsidRPr="00A9117A">
        <w:t>It was also noted that certolizumab</w:t>
      </w:r>
      <w:r w:rsidR="00BD09B3" w:rsidRPr="00A9117A">
        <w:t xml:space="preserve"> pegol</w:t>
      </w:r>
      <w:r w:rsidRPr="00A9117A">
        <w:t xml:space="preserve">, ustekinumab and secukinumab are considered to represent the ‘lower tier’ of alternatives for the treatment of </w:t>
      </w:r>
      <w:r w:rsidR="008305B7">
        <w:t>PsA on the PBS (paragraph 5.1, a</w:t>
      </w:r>
      <w:r w:rsidRPr="00A9117A">
        <w:t>ba</w:t>
      </w:r>
      <w:r w:rsidR="005829A7" w:rsidRPr="00A9117A">
        <w:t>ta</w:t>
      </w:r>
      <w:r w:rsidRPr="00A9117A">
        <w:t xml:space="preserve">cept March 2018 PSD). </w:t>
      </w:r>
    </w:p>
    <w:p w:rsidR="00A9117A" w:rsidRPr="00CF372C" w:rsidRDefault="00A9117A" w:rsidP="00CF372C">
      <w:pPr>
        <w:pStyle w:val="ListParagraph"/>
        <w:ind w:left="709"/>
        <w:rPr>
          <w:rFonts w:asciiTheme="minorHAnsi" w:hAnsiTheme="minorHAnsi"/>
          <w:i/>
        </w:rPr>
      </w:pPr>
      <w:r w:rsidRPr="00A9117A">
        <w:rPr>
          <w:rFonts w:asciiTheme="minorHAnsi" w:hAnsiTheme="minorHAnsi"/>
          <w:i/>
        </w:rPr>
        <w:t>For more detail on PBAC’s vi</w:t>
      </w:r>
      <w:r w:rsidR="001926F0">
        <w:rPr>
          <w:rFonts w:asciiTheme="minorHAnsi" w:hAnsiTheme="minorHAnsi"/>
          <w:i/>
        </w:rPr>
        <w:t>ew, see section 7 PBAC outcome.</w:t>
      </w:r>
    </w:p>
    <w:p w:rsidR="00B50DB8" w:rsidRPr="00A9117A" w:rsidRDefault="00BD6CF3" w:rsidP="0011600D">
      <w:pPr>
        <w:pStyle w:val="PBACHeading1"/>
      </w:pPr>
      <w:bookmarkStart w:id="7" w:name="_Toc524526801"/>
      <w:r w:rsidRPr="00A9117A">
        <w:t>C</w:t>
      </w:r>
      <w:r w:rsidR="00B50DB8" w:rsidRPr="00A9117A">
        <w:t>onsideration of the evidence</w:t>
      </w:r>
      <w:bookmarkEnd w:id="7"/>
    </w:p>
    <w:p w:rsidR="00260973" w:rsidRPr="00A9117A" w:rsidRDefault="00260973" w:rsidP="0011600D">
      <w:pPr>
        <w:pStyle w:val="Heading2"/>
      </w:pPr>
      <w:bookmarkStart w:id="8" w:name="_Toc524526802"/>
      <w:r w:rsidRPr="00A9117A">
        <w:t>Sponsor hearing</w:t>
      </w:r>
    </w:p>
    <w:p w:rsidR="00260973" w:rsidRPr="0076437D" w:rsidRDefault="00E371D6" w:rsidP="00260973">
      <w:pPr>
        <w:numPr>
          <w:ilvl w:val="1"/>
          <w:numId w:val="2"/>
        </w:numPr>
        <w:spacing w:after="120"/>
        <w:rPr>
          <w:rFonts w:asciiTheme="minorHAnsi" w:hAnsiTheme="minorHAnsi"/>
          <w:bCs/>
        </w:rPr>
      </w:pPr>
      <w:r w:rsidRPr="0076437D">
        <w:rPr>
          <w:rFonts w:asciiTheme="minorHAnsi" w:hAnsiTheme="minorHAnsi"/>
          <w:bCs/>
        </w:rPr>
        <w:t xml:space="preserve">The sponsor requested a hearing for this item. The clinician clarified the likely use of tofacitinib in PsA, including for patients with a preference for oral agents or who may be intolerant/contraindicated to a TNF-inhibitor. </w:t>
      </w:r>
    </w:p>
    <w:p w:rsidR="00260973" w:rsidRPr="00A9117A" w:rsidRDefault="00260973" w:rsidP="0011600D">
      <w:pPr>
        <w:pStyle w:val="Heading2"/>
      </w:pPr>
      <w:r w:rsidRPr="00A9117A">
        <w:t>Consumer comments</w:t>
      </w:r>
    </w:p>
    <w:p w:rsidR="00260973" w:rsidRPr="00A9117A" w:rsidRDefault="00260973" w:rsidP="00260973">
      <w:pPr>
        <w:numPr>
          <w:ilvl w:val="1"/>
          <w:numId w:val="2"/>
        </w:numPr>
        <w:spacing w:after="120"/>
        <w:rPr>
          <w:rFonts w:asciiTheme="minorHAnsi" w:hAnsiTheme="minorHAnsi"/>
          <w:bCs/>
        </w:rPr>
      </w:pPr>
      <w:r w:rsidRPr="00A9117A">
        <w:rPr>
          <w:rFonts w:asciiTheme="minorHAnsi" w:hAnsiTheme="minorHAnsi"/>
          <w:bCs/>
        </w:rPr>
        <w:t>The PBAC noted that no consumer comme</w:t>
      </w:r>
      <w:r w:rsidR="00A9117A" w:rsidRPr="00A9117A">
        <w:rPr>
          <w:rFonts w:asciiTheme="minorHAnsi" w:hAnsiTheme="minorHAnsi"/>
          <w:bCs/>
        </w:rPr>
        <w:t>nts were received for this item</w:t>
      </w:r>
      <w:r w:rsidRPr="00A9117A">
        <w:rPr>
          <w:rFonts w:asciiTheme="minorHAnsi" w:hAnsiTheme="minorHAnsi"/>
          <w:bCs/>
        </w:rPr>
        <w:t>.</w:t>
      </w:r>
    </w:p>
    <w:p w:rsidR="00B60939" w:rsidRPr="00A9117A" w:rsidRDefault="00B60939" w:rsidP="0011600D">
      <w:pPr>
        <w:pStyle w:val="Heading2"/>
      </w:pPr>
      <w:r w:rsidRPr="00A9117A">
        <w:t>Clinical trials</w:t>
      </w:r>
      <w:bookmarkEnd w:id="8"/>
    </w:p>
    <w:p w:rsidR="004D7F4A" w:rsidRPr="00A9117A" w:rsidRDefault="004D7F4A" w:rsidP="006530FE">
      <w:pPr>
        <w:pStyle w:val="ListParagraph"/>
        <w:widowControl/>
        <w:numPr>
          <w:ilvl w:val="1"/>
          <w:numId w:val="2"/>
        </w:numPr>
        <w:spacing w:after="120"/>
      </w:pPr>
      <w:r w:rsidRPr="00A9117A">
        <w:t xml:space="preserve">The submission was based on one direct head-to-head trial comparing tofacitinib 5mg orally twice daily and adalimumab 40mg subcutaneously every second week to placebo (the OPAL-BROADEN trial). The trial also included a tofacitinib 10mg twice daily treatment group, however as this dose is not proposed for registration in Australia, results for the treatment group were </w:t>
      </w:r>
      <w:r w:rsidR="00FC7E19" w:rsidRPr="00A9117A">
        <w:t xml:space="preserve">reasonably </w:t>
      </w:r>
      <w:r w:rsidRPr="00A9117A">
        <w:t xml:space="preserve">not presented in the submission. </w:t>
      </w:r>
    </w:p>
    <w:p w:rsidR="004D7F4A" w:rsidRPr="00A9117A" w:rsidRDefault="00FC7E19" w:rsidP="006530FE">
      <w:pPr>
        <w:pStyle w:val="ListParagraph"/>
        <w:widowControl/>
        <w:numPr>
          <w:ilvl w:val="1"/>
          <w:numId w:val="2"/>
        </w:numPr>
        <w:spacing w:after="120"/>
      </w:pPr>
      <w:r w:rsidRPr="00A9117A">
        <w:t>The OPAL BROADEN</w:t>
      </w:r>
      <w:r w:rsidR="004D7F4A" w:rsidRPr="00A9117A">
        <w:t xml:space="preserve"> trial</w:t>
      </w:r>
      <w:r w:rsidRPr="00A9117A">
        <w:t xml:space="preserve">, while including </w:t>
      </w:r>
      <w:r w:rsidR="004D7F4A" w:rsidRPr="00A9117A">
        <w:t xml:space="preserve">an </w:t>
      </w:r>
      <w:r w:rsidRPr="00A9117A">
        <w:t>adalimumab treatment</w:t>
      </w:r>
      <w:r w:rsidR="004D7F4A" w:rsidRPr="00A9117A">
        <w:t xml:space="preserve"> arm</w:t>
      </w:r>
      <w:r w:rsidRPr="00A9117A">
        <w:t xml:space="preserve">, </w:t>
      </w:r>
      <w:r w:rsidR="004D7F4A" w:rsidRPr="00A9117A">
        <w:t xml:space="preserve">was </w:t>
      </w:r>
      <w:r w:rsidR="00FC2290" w:rsidRPr="00A9117A">
        <w:t xml:space="preserve">not designed </w:t>
      </w:r>
      <w:r w:rsidR="00CD75B2">
        <w:t xml:space="preserve">or powered </w:t>
      </w:r>
      <w:r w:rsidR="00FC2290" w:rsidRPr="00A9117A">
        <w:t>to establish non-inferiority</w:t>
      </w:r>
      <w:r w:rsidR="004D7F4A" w:rsidRPr="00A9117A">
        <w:t xml:space="preserve"> of tofacitinib to adalimumab</w:t>
      </w:r>
      <w:r w:rsidRPr="00A9117A">
        <w:t>. Thus</w:t>
      </w:r>
      <w:r w:rsidR="004D7F4A" w:rsidRPr="00A9117A">
        <w:t>, the submission also presented two supplementary analyses: an indirect comparison of tofacitinib to adalimumab via the common reference of placebo (unadjusted placebo arm), and a network meta-analysis (</w:t>
      </w:r>
      <w:r w:rsidR="00C27ACA" w:rsidRPr="00A9117A">
        <w:t xml:space="preserve">NMA; </w:t>
      </w:r>
      <w:r w:rsidR="004D7F4A" w:rsidRPr="00A9117A">
        <w:t xml:space="preserve">which adjusted for </w:t>
      </w:r>
      <w:r w:rsidR="00F63214" w:rsidRPr="00A9117A">
        <w:t>placebo response rates</w:t>
      </w:r>
      <w:r w:rsidR="004D7F4A" w:rsidRPr="00A9117A">
        <w:t>).</w:t>
      </w:r>
    </w:p>
    <w:p w:rsidR="004D7F4A" w:rsidRPr="00A9117A" w:rsidRDefault="004D7F4A" w:rsidP="006530FE">
      <w:pPr>
        <w:pStyle w:val="ListParagraph"/>
        <w:widowControl/>
        <w:numPr>
          <w:ilvl w:val="1"/>
          <w:numId w:val="2"/>
        </w:numPr>
        <w:spacing w:after="120"/>
      </w:pPr>
      <w:r w:rsidRPr="00A9117A">
        <w:t xml:space="preserve">Details of the trials presented in the submission </w:t>
      </w:r>
      <w:r w:rsidR="00AE4CDB" w:rsidRPr="00A9117A">
        <w:t xml:space="preserve">for the direct and indirect comparisons are provided in </w:t>
      </w:r>
      <w:r w:rsidR="00AD4C07" w:rsidRPr="00A9117A">
        <w:t xml:space="preserve">Table </w:t>
      </w:r>
      <w:r w:rsidR="00AD4C07">
        <w:rPr>
          <w:noProof/>
        </w:rPr>
        <w:t>3</w:t>
      </w:r>
      <w:r w:rsidRPr="00A9117A">
        <w:t xml:space="preserve">. </w:t>
      </w:r>
    </w:p>
    <w:p w:rsidR="008E0D3C" w:rsidRPr="00A9117A" w:rsidRDefault="00FC7E19" w:rsidP="006530FE">
      <w:pPr>
        <w:pStyle w:val="TableHeading0"/>
        <w:keepNext/>
        <w:rPr>
          <w:rStyle w:val="CommentReference"/>
        </w:rPr>
      </w:pPr>
      <w:bookmarkStart w:id="9" w:name="_Ref523781066"/>
      <w:r w:rsidRPr="00A9117A">
        <w:t xml:space="preserve">Table </w:t>
      </w:r>
      <w:r w:rsidR="00AD4C07">
        <w:rPr>
          <w:noProof/>
        </w:rPr>
        <w:t>3</w:t>
      </w:r>
      <w:bookmarkEnd w:id="9"/>
      <w:r w:rsidRPr="00A9117A">
        <w:t xml:space="preserve">: </w:t>
      </w:r>
      <w:r w:rsidR="008E0D3C" w:rsidRPr="00A9117A">
        <w:rPr>
          <w:rStyle w:val="CommentReference"/>
          <w:b/>
        </w:rPr>
        <w:t xml:space="preserve">Trials and associated reports presented in the </w:t>
      </w:r>
      <w:r w:rsidR="000721C0" w:rsidRPr="00A9117A">
        <w:rPr>
          <w:rStyle w:val="CommentReference"/>
          <w:b/>
        </w:rPr>
        <w:t xml:space="preserve">direct comparison provided in the </w:t>
      </w:r>
      <w:r w:rsidR="008E0D3C" w:rsidRPr="00A9117A">
        <w:rPr>
          <w:rStyle w:val="CommentReference"/>
          <w:b/>
        </w:rPr>
        <w:t>submission</w:t>
      </w:r>
    </w:p>
    <w:tbl>
      <w:tblPr>
        <w:tblStyle w:val="TableGrid"/>
        <w:tblW w:w="0" w:type="auto"/>
        <w:tblCellMar>
          <w:left w:w="28" w:type="dxa"/>
          <w:right w:w="28" w:type="dxa"/>
        </w:tblCellMar>
        <w:tblLook w:val="04A0" w:firstRow="1" w:lastRow="0" w:firstColumn="1" w:lastColumn="0" w:noHBand="0" w:noVBand="1"/>
        <w:tblCaption w:val="Trials and associated reports presented in the direct comparison provided in the submission"/>
      </w:tblPr>
      <w:tblGrid>
        <w:gridCol w:w="1696"/>
        <w:gridCol w:w="4820"/>
        <w:gridCol w:w="2501"/>
      </w:tblGrid>
      <w:tr w:rsidR="000721C0" w:rsidRPr="00A9117A" w:rsidTr="00FC7E19">
        <w:trPr>
          <w:tblHeader/>
        </w:trPr>
        <w:tc>
          <w:tcPr>
            <w:tcW w:w="1696" w:type="dxa"/>
          </w:tcPr>
          <w:p w:rsidR="000721C0" w:rsidRPr="00A9117A" w:rsidRDefault="000721C0" w:rsidP="006530FE">
            <w:pPr>
              <w:keepNext/>
              <w:widowControl/>
              <w:spacing w:before="40" w:after="40"/>
              <w:rPr>
                <w:rFonts w:ascii="Arial Narrow" w:hAnsi="Arial Narrow"/>
                <w:sz w:val="20"/>
              </w:rPr>
            </w:pPr>
            <w:r w:rsidRPr="00A9117A">
              <w:rPr>
                <w:rFonts w:ascii="Arial Narrow" w:hAnsi="Arial Narrow"/>
                <w:b/>
                <w:sz w:val="20"/>
                <w:szCs w:val="16"/>
              </w:rPr>
              <w:t>Trial ID</w:t>
            </w:r>
          </w:p>
        </w:tc>
        <w:tc>
          <w:tcPr>
            <w:tcW w:w="4820" w:type="dxa"/>
            <w:vAlign w:val="center"/>
          </w:tcPr>
          <w:p w:rsidR="000721C0" w:rsidRPr="00A9117A" w:rsidRDefault="000721C0" w:rsidP="006530FE">
            <w:pPr>
              <w:keepNext/>
              <w:widowControl/>
              <w:spacing w:before="40" w:after="40"/>
              <w:jc w:val="center"/>
              <w:rPr>
                <w:rFonts w:ascii="Arial Narrow" w:hAnsi="Arial Narrow"/>
                <w:sz w:val="20"/>
              </w:rPr>
            </w:pPr>
            <w:r w:rsidRPr="00A9117A">
              <w:rPr>
                <w:rFonts w:ascii="Arial Narrow" w:hAnsi="Arial Narrow"/>
                <w:b/>
                <w:sz w:val="20"/>
                <w:szCs w:val="16"/>
              </w:rPr>
              <w:t>Protocol title/ Publication title</w:t>
            </w:r>
          </w:p>
        </w:tc>
        <w:tc>
          <w:tcPr>
            <w:tcW w:w="2501" w:type="dxa"/>
            <w:vAlign w:val="center"/>
          </w:tcPr>
          <w:p w:rsidR="000721C0" w:rsidRPr="00A9117A" w:rsidRDefault="000721C0" w:rsidP="006530FE">
            <w:pPr>
              <w:keepNext/>
              <w:widowControl/>
              <w:spacing w:before="40" w:after="40"/>
              <w:jc w:val="center"/>
              <w:rPr>
                <w:rFonts w:ascii="Arial Narrow" w:hAnsi="Arial Narrow"/>
                <w:sz w:val="20"/>
              </w:rPr>
            </w:pPr>
            <w:r w:rsidRPr="00A9117A">
              <w:rPr>
                <w:rFonts w:ascii="Arial Narrow" w:hAnsi="Arial Narrow"/>
                <w:b/>
                <w:sz w:val="20"/>
                <w:szCs w:val="16"/>
              </w:rPr>
              <w:t>Publication citation</w:t>
            </w:r>
          </w:p>
        </w:tc>
      </w:tr>
      <w:tr w:rsidR="000721C0" w:rsidRPr="00A9117A" w:rsidTr="00A85876">
        <w:tc>
          <w:tcPr>
            <w:tcW w:w="9017" w:type="dxa"/>
            <w:gridSpan w:val="3"/>
          </w:tcPr>
          <w:p w:rsidR="000721C0" w:rsidRPr="00A9117A" w:rsidRDefault="00AE4CDB" w:rsidP="006530FE">
            <w:pPr>
              <w:keepNext/>
              <w:widowControl/>
              <w:spacing w:before="40" w:after="40"/>
              <w:rPr>
                <w:rFonts w:ascii="Arial Narrow" w:hAnsi="Arial Narrow"/>
                <w:sz w:val="20"/>
              </w:rPr>
            </w:pPr>
            <w:r w:rsidRPr="00A9117A">
              <w:rPr>
                <w:rFonts w:ascii="Arial Narrow" w:hAnsi="Arial Narrow"/>
                <w:sz w:val="20"/>
              </w:rPr>
              <w:t xml:space="preserve">Tofacitinib versus adalimumab, </w:t>
            </w:r>
            <w:r w:rsidR="000721C0" w:rsidRPr="00A9117A">
              <w:rPr>
                <w:rFonts w:ascii="Arial Narrow" w:hAnsi="Arial Narrow"/>
                <w:sz w:val="20"/>
              </w:rPr>
              <w:t>Tofacitinib versus placebo</w:t>
            </w:r>
            <w:r w:rsidRPr="00A9117A">
              <w:rPr>
                <w:rFonts w:ascii="Arial Narrow" w:hAnsi="Arial Narrow"/>
                <w:sz w:val="20"/>
              </w:rPr>
              <w:t>; Adalimumab versus placebo – used in the direct and indirect comparisons and the network meta-analysis</w:t>
            </w:r>
          </w:p>
        </w:tc>
      </w:tr>
      <w:tr w:rsidR="000721C0" w:rsidRPr="00A9117A" w:rsidTr="00A85876">
        <w:tc>
          <w:tcPr>
            <w:tcW w:w="1696" w:type="dxa"/>
            <w:vMerge w:val="restart"/>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OPAL BROADEN</w:t>
            </w:r>
          </w:p>
        </w:tc>
        <w:tc>
          <w:tcPr>
            <w:tcW w:w="4820" w:type="dxa"/>
            <w:tcBorders>
              <w:bottom w:val="nil"/>
            </w:tcBorders>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A Phase 3, Randomized, Double-Blind, Placebo-Controlled Study of the Efficacy and Safety of 2 Doses of Tofacitinib (CP-690,550) or Adalimumab in Subjects With Active</w:t>
            </w:r>
          </w:p>
        </w:tc>
        <w:tc>
          <w:tcPr>
            <w:tcW w:w="2501" w:type="dxa"/>
            <w:tcBorders>
              <w:bottom w:val="nil"/>
            </w:tcBorders>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Clinical Study Report: 31 August 2017</w:t>
            </w:r>
          </w:p>
        </w:tc>
      </w:tr>
      <w:tr w:rsidR="000721C0" w:rsidRPr="00A9117A" w:rsidTr="00A85876">
        <w:tc>
          <w:tcPr>
            <w:tcW w:w="1696" w:type="dxa"/>
            <w:vMerge/>
          </w:tcPr>
          <w:p w:rsidR="000721C0" w:rsidRPr="00A9117A" w:rsidRDefault="000721C0" w:rsidP="006530FE">
            <w:pPr>
              <w:keepNext/>
              <w:widowControl/>
              <w:spacing w:before="40" w:after="40"/>
              <w:jc w:val="left"/>
              <w:rPr>
                <w:rFonts w:ascii="Arial Narrow" w:hAnsi="Arial Narrow"/>
                <w:sz w:val="20"/>
                <w:szCs w:val="20"/>
              </w:rPr>
            </w:pPr>
          </w:p>
        </w:tc>
        <w:tc>
          <w:tcPr>
            <w:tcW w:w="4820" w:type="dxa"/>
            <w:tcBorders>
              <w:top w:val="nil"/>
            </w:tcBorders>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Mease, PJ et al. Tofacitinib or Adalimumab versus Placebo for Psoriatic Arthritis.</w:t>
            </w:r>
          </w:p>
        </w:tc>
        <w:tc>
          <w:tcPr>
            <w:tcW w:w="2501" w:type="dxa"/>
            <w:tcBorders>
              <w:top w:val="nil"/>
            </w:tcBorders>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New England Journal of Medicine 2017a; 377(16):1537-1550</w:t>
            </w:r>
          </w:p>
        </w:tc>
      </w:tr>
      <w:tr w:rsidR="000721C0" w:rsidRPr="00A9117A" w:rsidTr="00A85876">
        <w:tc>
          <w:tcPr>
            <w:tcW w:w="9017" w:type="dxa"/>
            <w:gridSpan w:val="3"/>
          </w:tcPr>
          <w:p w:rsidR="000721C0" w:rsidRPr="00A9117A" w:rsidRDefault="000721C0" w:rsidP="006530FE">
            <w:pPr>
              <w:keepNext/>
              <w:widowControl/>
              <w:spacing w:before="40" w:after="40"/>
              <w:jc w:val="left"/>
              <w:rPr>
                <w:rFonts w:ascii="Arial Narrow" w:hAnsi="Arial Narrow"/>
                <w:sz w:val="20"/>
                <w:szCs w:val="20"/>
              </w:rPr>
            </w:pPr>
            <w:r w:rsidRPr="00A9117A">
              <w:rPr>
                <w:rFonts w:ascii="Arial Narrow" w:hAnsi="Arial Narrow"/>
                <w:sz w:val="20"/>
                <w:szCs w:val="20"/>
              </w:rPr>
              <w:t>Adalimumab versus placebo</w:t>
            </w:r>
            <w:r w:rsidR="00AE4CDB" w:rsidRPr="00A9117A">
              <w:rPr>
                <w:rFonts w:ascii="Arial Narrow" w:hAnsi="Arial Narrow"/>
                <w:sz w:val="20"/>
                <w:szCs w:val="20"/>
              </w:rPr>
              <w:t xml:space="preserve"> – used in the indirect comparison and the network meta-analysis</w:t>
            </w:r>
          </w:p>
        </w:tc>
      </w:tr>
      <w:tr w:rsidR="000721C0" w:rsidRPr="00A9117A" w:rsidTr="00A85876">
        <w:tc>
          <w:tcPr>
            <w:tcW w:w="1696"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SPIRIT-P1</w:t>
            </w:r>
          </w:p>
        </w:tc>
        <w:tc>
          <w:tcPr>
            <w:tcW w:w="4820"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Mease, P.J., et al. “Ixekizumab, an interleukin-17A specific monoclonal antibody, for the treatment of biologic-naïve patients with active psoriatic arthritis: results from the 24-week randomised, double-blind, placebo controlled and active (adalimumab)-controlled period of the phase III trial SPIRIT-P1</w:t>
            </w:r>
          </w:p>
        </w:tc>
        <w:tc>
          <w:tcPr>
            <w:tcW w:w="2501"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Annals of the Rheumatic Diseases. 2017b; 76(1): 79-87</w:t>
            </w:r>
          </w:p>
        </w:tc>
      </w:tr>
      <w:tr w:rsidR="000721C0" w:rsidRPr="00A9117A" w:rsidTr="00A85876">
        <w:tc>
          <w:tcPr>
            <w:tcW w:w="1696" w:type="dxa"/>
            <w:vMerge w:val="restart"/>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ADEPT</w:t>
            </w:r>
          </w:p>
        </w:tc>
        <w:tc>
          <w:tcPr>
            <w:tcW w:w="4820" w:type="dxa"/>
            <w:tcBorders>
              <w:bottom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Mease, PJ et al. Adalimumab for the treatment of patients with moderately to severely active Psoriatic Arthritis.</w:t>
            </w:r>
          </w:p>
        </w:tc>
        <w:tc>
          <w:tcPr>
            <w:tcW w:w="2501" w:type="dxa"/>
            <w:tcBorders>
              <w:bottom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Arthritis &amp; Rheumatism 2005; 52(10):3279-3289</w:t>
            </w:r>
          </w:p>
        </w:tc>
      </w:tr>
      <w:tr w:rsidR="000721C0" w:rsidRPr="00A9117A" w:rsidTr="00A85876">
        <w:tc>
          <w:tcPr>
            <w:tcW w:w="1696" w:type="dxa"/>
            <w:vMerge/>
          </w:tcPr>
          <w:p w:rsidR="000721C0" w:rsidRPr="00A9117A" w:rsidRDefault="000721C0" w:rsidP="006530FE">
            <w:pPr>
              <w:keepNext/>
              <w:widowControl/>
              <w:spacing w:before="40" w:after="40"/>
              <w:jc w:val="left"/>
              <w:rPr>
                <w:rFonts w:ascii="Arial Narrow" w:hAnsi="Arial Narrow"/>
                <w:sz w:val="20"/>
              </w:rPr>
            </w:pPr>
          </w:p>
        </w:tc>
        <w:tc>
          <w:tcPr>
            <w:tcW w:w="4820" w:type="dxa"/>
            <w:tcBorders>
              <w:top w:val="nil"/>
              <w:bottom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Gladman, DD et al. Adalimumab for long-term treatment of Psoriatic Arthritis.</w:t>
            </w:r>
          </w:p>
        </w:tc>
        <w:tc>
          <w:tcPr>
            <w:tcW w:w="2501" w:type="dxa"/>
            <w:tcBorders>
              <w:top w:val="nil"/>
              <w:bottom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Arthritis &amp; Rheumatism 2007; 56(2): 476-488</w:t>
            </w:r>
          </w:p>
        </w:tc>
      </w:tr>
      <w:tr w:rsidR="000721C0" w:rsidRPr="00A9117A" w:rsidTr="00A85876">
        <w:tc>
          <w:tcPr>
            <w:tcW w:w="1696" w:type="dxa"/>
            <w:vMerge/>
          </w:tcPr>
          <w:p w:rsidR="000721C0" w:rsidRPr="00A9117A" w:rsidRDefault="000721C0" w:rsidP="006530FE">
            <w:pPr>
              <w:keepNext/>
              <w:widowControl/>
              <w:spacing w:before="40" w:after="40"/>
              <w:jc w:val="left"/>
              <w:rPr>
                <w:rFonts w:ascii="Arial Narrow" w:hAnsi="Arial Narrow"/>
                <w:sz w:val="20"/>
              </w:rPr>
            </w:pPr>
          </w:p>
        </w:tc>
        <w:tc>
          <w:tcPr>
            <w:tcW w:w="4820" w:type="dxa"/>
            <w:tcBorders>
              <w:top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 xml:space="preserve">Mease, PJ et al. Adalimumab for long-term treatment of psoriatic arthritis: 2-year data from the Adalimumab Effectiveness in </w:t>
            </w:r>
            <w:r w:rsidR="005829A7" w:rsidRPr="00A9117A">
              <w:rPr>
                <w:rFonts w:ascii="Arial Narrow" w:hAnsi="Arial Narrow"/>
                <w:sz w:val="20"/>
              </w:rPr>
              <w:t>Psoriatic</w:t>
            </w:r>
            <w:r w:rsidRPr="00A9117A">
              <w:rPr>
                <w:rFonts w:ascii="Arial Narrow" w:hAnsi="Arial Narrow"/>
                <w:sz w:val="20"/>
              </w:rPr>
              <w:t xml:space="preserve"> Arthritis Trial (ADEPT).</w:t>
            </w:r>
          </w:p>
        </w:tc>
        <w:tc>
          <w:tcPr>
            <w:tcW w:w="2501" w:type="dxa"/>
            <w:tcBorders>
              <w:top w:val="nil"/>
            </w:tcBorders>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Annuals of the Rheumatic Diseases 2009; 68: 702-709</w:t>
            </w:r>
          </w:p>
        </w:tc>
      </w:tr>
      <w:tr w:rsidR="000721C0" w:rsidRPr="00A9117A" w:rsidTr="00A85876">
        <w:tc>
          <w:tcPr>
            <w:tcW w:w="1696"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Genovese 2007</w:t>
            </w:r>
          </w:p>
        </w:tc>
        <w:tc>
          <w:tcPr>
            <w:tcW w:w="4820"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Genovese, MC et al. Safety and Efficacy of Adalimumab in Treatment of Patients with Psoriatic Arthritis Who Had Failed Disease Modifying Antirheumatic Drug Therapy.</w:t>
            </w:r>
          </w:p>
        </w:tc>
        <w:tc>
          <w:tcPr>
            <w:tcW w:w="2501" w:type="dxa"/>
          </w:tcPr>
          <w:p w:rsidR="000721C0" w:rsidRPr="00A9117A" w:rsidRDefault="000721C0" w:rsidP="006530FE">
            <w:pPr>
              <w:keepNext/>
              <w:widowControl/>
              <w:spacing w:before="40" w:after="40"/>
              <w:jc w:val="left"/>
              <w:rPr>
                <w:rFonts w:ascii="Arial Narrow" w:hAnsi="Arial Narrow"/>
                <w:sz w:val="20"/>
              </w:rPr>
            </w:pPr>
            <w:r w:rsidRPr="00A9117A">
              <w:rPr>
                <w:rFonts w:ascii="Arial Narrow" w:hAnsi="Arial Narrow"/>
                <w:sz w:val="20"/>
              </w:rPr>
              <w:t>Journal of Rheumatology 2007; 34(5): 1040-1050</w:t>
            </w:r>
          </w:p>
        </w:tc>
      </w:tr>
    </w:tbl>
    <w:p w:rsidR="000721C0" w:rsidRPr="00A9117A" w:rsidRDefault="000721C0" w:rsidP="006530FE">
      <w:pPr>
        <w:keepNext/>
        <w:widowControl/>
        <w:rPr>
          <w:rFonts w:ascii="Arial Narrow" w:hAnsi="Arial Narrow"/>
          <w:sz w:val="18"/>
        </w:rPr>
      </w:pPr>
      <w:r w:rsidRPr="00A9117A">
        <w:rPr>
          <w:rFonts w:ascii="Arial Narrow" w:hAnsi="Arial Narrow"/>
          <w:sz w:val="18"/>
        </w:rPr>
        <w:t>Source: Table 2.4 and 2.5, pp44-45 of the submission</w:t>
      </w:r>
    </w:p>
    <w:p w:rsidR="006530FE" w:rsidRPr="00A9117A" w:rsidRDefault="006530FE" w:rsidP="006530FE">
      <w:pPr>
        <w:keepNext/>
        <w:widowControl/>
        <w:rPr>
          <w:rFonts w:ascii="Arial Narrow" w:hAnsi="Arial Narrow"/>
          <w:sz w:val="18"/>
        </w:rPr>
      </w:pPr>
    </w:p>
    <w:p w:rsidR="00AE4CDB" w:rsidRPr="00A9117A" w:rsidRDefault="00576AF5" w:rsidP="006530FE">
      <w:pPr>
        <w:pStyle w:val="ListParagraph"/>
        <w:widowControl/>
        <w:numPr>
          <w:ilvl w:val="1"/>
          <w:numId w:val="2"/>
        </w:numPr>
        <w:spacing w:after="120"/>
      </w:pPr>
      <w:r w:rsidRPr="00A9117A">
        <w:t>Although t</w:t>
      </w:r>
      <w:r w:rsidR="00AE4CDB" w:rsidRPr="00A9117A">
        <w:t xml:space="preserve">he submission also provided the results of a network meta-analysis (NMA) including 13 placebo-controlled trials of tofacitinib (OPAL BROADEN), adalimumab (OPAL BROADEN, Genovese 2007, ADEPT, SPIRIT-P1), certolizumab </w:t>
      </w:r>
      <w:r w:rsidR="00BD09B3" w:rsidRPr="00A9117A">
        <w:t xml:space="preserve">pegol </w:t>
      </w:r>
      <w:r w:rsidR="00AE4CDB" w:rsidRPr="00A9117A">
        <w:t xml:space="preserve">(RAPID-PsA), etanercept (Mease 2000, 2004), golimumab (GO-REVEAL), infliximab (IMPACT, IMPACT-2), secukinumab (FUTURE 2) </w:t>
      </w:r>
      <w:r w:rsidRPr="00A9117A">
        <w:t>and ustekinumab (PSUMMIT-1, -2), t</w:t>
      </w:r>
      <w:r w:rsidR="00AE4CDB" w:rsidRPr="00A9117A">
        <w:t xml:space="preserve">he submission did not provide the citation </w:t>
      </w:r>
      <w:r w:rsidR="00C27ACA" w:rsidRPr="00A9117A">
        <w:t xml:space="preserve">or trial </w:t>
      </w:r>
      <w:r w:rsidR="00AE4CDB" w:rsidRPr="00A9117A">
        <w:t>details</w:t>
      </w:r>
      <w:r w:rsidRPr="00A9117A">
        <w:t xml:space="preserve">. However, the PBAC has previously considered all 13 of these trials in prior bDMARD submissions for PsA. </w:t>
      </w:r>
    </w:p>
    <w:p w:rsidR="000721C0" w:rsidRPr="00A9117A" w:rsidRDefault="000721C0" w:rsidP="006530FE">
      <w:pPr>
        <w:pStyle w:val="ListParagraph"/>
        <w:widowControl/>
        <w:numPr>
          <w:ilvl w:val="1"/>
          <w:numId w:val="2"/>
        </w:numPr>
        <w:spacing w:after="120"/>
      </w:pPr>
      <w:r w:rsidRPr="00A9117A">
        <w:t xml:space="preserve">The key features of the </w:t>
      </w:r>
      <w:r w:rsidR="00576AF5" w:rsidRPr="00A9117A">
        <w:t xml:space="preserve">trials included in the </w:t>
      </w:r>
      <w:r w:rsidRPr="00A9117A">
        <w:t xml:space="preserve">direct </w:t>
      </w:r>
      <w:r w:rsidR="00576AF5" w:rsidRPr="00A9117A">
        <w:t>and indirect comparisons are</w:t>
      </w:r>
      <w:r w:rsidRPr="00A9117A">
        <w:t xml:space="preserve"> summarised in </w:t>
      </w:r>
      <w:r w:rsidR="00AD4C07" w:rsidRPr="00A9117A">
        <w:t xml:space="preserve">Table </w:t>
      </w:r>
      <w:r w:rsidR="00AD4C07">
        <w:rPr>
          <w:noProof/>
        </w:rPr>
        <w:t>4</w:t>
      </w:r>
      <w:r w:rsidRPr="00A9117A">
        <w:t xml:space="preserve">. </w:t>
      </w:r>
      <w:r w:rsidR="00576AF5" w:rsidRPr="00A9117A">
        <w:rPr>
          <w:iCs/>
        </w:rPr>
        <w:t xml:space="preserve">Treatment arms in the trials that were not relevant to the analysis were excluded from the </w:t>
      </w:r>
      <w:r w:rsidR="006D2D3C" w:rsidRPr="00A9117A">
        <w:rPr>
          <w:iCs/>
        </w:rPr>
        <w:t>evaluation</w:t>
      </w:r>
      <w:r w:rsidR="00576AF5" w:rsidRPr="00A9117A">
        <w:rPr>
          <w:iCs/>
        </w:rPr>
        <w:t>.</w:t>
      </w:r>
    </w:p>
    <w:p w:rsidR="00A0750B" w:rsidRPr="00A9117A" w:rsidRDefault="00576AF5" w:rsidP="006530FE">
      <w:pPr>
        <w:pStyle w:val="TableHeading0"/>
        <w:keepNext/>
        <w:rPr>
          <w:b w:val="0"/>
        </w:rPr>
      </w:pPr>
      <w:bookmarkStart w:id="10" w:name="_Ref523782002"/>
      <w:r w:rsidRPr="00A9117A">
        <w:t xml:space="preserve">Table </w:t>
      </w:r>
      <w:r w:rsidR="00AD4C07">
        <w:rPr>
          <w:noProof/>
        </w:rPr>
        <w:t>4</w:t>
      </w:r>
      <w:bookmarkEnd w:id="10"/>
      <w:r w:rsidRPr="00A9117A">
        <w:t xml:space="preserve">: </w:t>
      </w:r>
      <w:r w:rsidR="00A0750B" w:rsidRPr="00A9117A">
        <w:t xml:space="preserve">Key features of the included trials for the </w:t>
      </w:r>
      <w:r w:rsidRPr="00A9117A">
        <w:t xml:space="preserve">direct and </w:t>
      </w:r>
      <w:r w:rsidR="00A0750B" w:rsidRPr="00A9117A">
        <w:t>indirect comparison</w:t>
      </w:r>
      <w:r w:rsidRPr="00A9117A">
        <w:t>s</w:t>
      </w:r>
    </w:p>
    <w:tbl>
      <w:tblPr>
        <w:tblStyle w:val="TableGrid"/>
        <w:tblW w:w="0" w:type="auto"/>
        <w:tblCellMar>
          <w:left w:w="28" w:type="dxa"/>
          <w:right w:w="28" w:type="dxa"/>
        </w:tblCellMar>
        <w:tblLook w:val="04A0" w:firstRow="1" w:lastRow="0" w:firstColumn="1" w:lastColumn="0" w:noHBand="0" w:noVBand="1"/>
        <w:tblCaption w:val="Key features of the included trials for the direct and indirect comparisons"/>
      </w:tblPr>
      <w:tblGrid>
        <w:gridCol w:w="1288"/>
        <w:gridCol w:w="550"/>
        <w:gridCol w:w="1435"/>
        <w:gridCol w:w="1542"/>
        <w:gridCol w:w="850"/>
        <w:gridCol w:w="1134"/>
        <w:gridCol w:w="2218"/>
      </w:tblGrid>
      <w:tr w:rsidR="00A0750B" w:rsidRPr="00A9117A" w:rsidTr="00BF51D6">
        <w:trPr>
          <w:tblHeader/>
        </w:trPr>
        <w:tc>
          <w:tcPr>
            <w:tcW w:w="1288" w:type="dxa"/>
            <w:vAlign w:val="center"/>
          </w:tcPr>
          <w:p w:rsidR="00A0750B" w:rsidRPr="00A9117A" w:rsidRDefault="00A0750B" w:rsidP="00BF51D6">
            <w:pPr>
              <w:keepNext/>
              <w:widowControl/>
              <w:spacing w:before="40" w:after="40"/>
              <w:jc w:val="center"/>
              <w:rPr>
                <w:rFonts w:ascii="Arial Narrow" w:hAnsi="Arial Narrow"/>
                <w:b/>
                <w:sz w:val="20"/>
              </w:rPr>
            </w:pPr>
            <w:r w:rsidRPr="00A9117A">
              <w:rPr>
                <w:rFonts w:ascii="Arial Narrow" w:hAnsi="Arial Narrow"/>
                <w:b/>
                <w:sz w:val="20"/>
              </w:rPr>
              <w:t>Trial</w:t>
            </w:r>
          </w:p>
        </w:tc>
        <w:tc>
          <w:tcPr>
            <w:tcW w:w="550" w:type="dxa"/>
            <w:vAlign w:val="center"/>
          </w:tcPr>
          <w:p w:rsidR="00A0750B" w:rsidRPr="00A9117A" w:rsidRDefault="00A0750B" w:rsidP="00BF51D6">
            <w:pPr>
              <w:keepNext/>
              <w:widowControl/>
              <w:spacing w:before="40" w:after="40"/>
              <w:jc w:val="center"/>
              <w:rPr>
                <w:rFonts w:ascii="Arial Narrow" w:hAnsi="Arial Narrow"/>
                <w:b/>
                <w:sz w:val="20"/>
                <w:vertAlign w:val="superscript"/>
              </w:rPr>
            </w:pPr>
            <w:r w:rsidRPr="00A9117A">
              <w:rPr>
                <w:rFonts w:ascii="Arial Narrow" w:hAnsi="Arial Narrow"/>
                <w:b/>
                <w:sz w:val="20"/>
              </w:rPr>
              <w:t>N</w:t>
            </w:r>
            <w:r w:rsidRPr="00A9117A">
              <w:rPr>
                <w:rFonts w:ascii="Arial Narrow" w:hAnsi="Arial Narrow"/>
                <w:b/>
                <w:sz w:val="20"/>
                <w:vertAlign w:val="superscript"/>
              </w:rPr>
              <w:t>a</w:t>
            </w:r>
          </w:p>
        </w:tc>
        <w:tc>
          <w:tcPr>
            <w:tcW w:w="1435" w:type="dxa"/>
            <w:vAlign w:val="center"/>
          </w:tcPr>
          <w:p w:rsidR="00A0750B" w:rsidRPr="00A9117A" w:rsidRDefault="00A0750B" w:rsidP="006530FE">
            <w:pPr>
              <w:keepNext/>
              <w:widowControl/>
              <w:spacing w:before="40" w:after="40"/>
              <w:jc w:val="center"/>
              <w:rPr>
                <w:rFonts w:ascii="Arial Narrow" w:hAnsi="Arial Narrow"/>
                <w:b/>
                <w:sz w:val="20"/>
              </w:rPr>
            </w:pPr>
            <w:r w:rsidRPr="00A9117A">
              <w:rPr>
                <w:rFonts w:ascii="Arial Narrow" w:hAnsi="Arial Narrow"/>
                <w:b/>
                <w:sz w:val="20"/>
              </w:rPr>
              <w:t>Design / duration</w:t>
            </w:r>
          </w:p>
        </w:tc>
        <w:tc>
          <w:tcPr>
            <w:tcW w:w="1542" w:type="dxa"/>
            <w:vAlign w:val="center"/>
          </w:tcPr>
          <w:p w:rsidR="00A0750B" w:rsidRPr="00A9117A" w:rsidRDefault="00A0750B" w:rsidP="006530FE">
            <w:pPr>
              <w:keepNext/>
              <w:widowControl/>
              <w:spacing w:before="40" w:after="40"/>
              <w:jc w:val="center"/>
              <w:rPr>
                <w:rFonts w:ascii="Arial Narrow" w:hAnsi="Arial Narrow"/>
                <w:b/>
                <w:sz w:val="20"/>
              </w:rPr>
            </w:pPr>
            <w:r w:rsidRPr="00A9117A">
              <w:rPr>
                <w:rFonts w:ascii="Arial Narrow" w:hAnsi="Arial Narrow"/>
                <w:b/>
                <w:sz w:val="20"/>
              </w:rPr>
              <w:t>Relevant comparison</w:t>
            </w:r>
          </w:p>
        </w:tc>
        <w:tc>
          <w:tcPr>
            <w:tcW w:w="850" w:type="dxa"/>
            <w:vAlign w:val="center"/>
          </w:tcPr>
          <w:p w:rsidR="00A0750B" w:rsidRPr="00A9117A" w:rsidRDefault="00A0750B" w:rsidP="006530FE">
            <w:pPr>
              <w:keepNext/>
              <w:widowControl/>
              <w:spacing w:before="40" w:after="40"/>
              <w:jc w:val="center"/>
              <w:rPr>
                <w:rFonts w:ascii="Arial Narrow" w:hAnsi="Arial Narrow"/>
                <w:b/>
                <w:sz w:val="20"/>
              </w:rPr>
            </w:pPr>
            <w:r w:rsidRPr="00A9117A">
              <w:rPr>
                <w:rFonts w:ascii="Arial Narrow" w:hAnsi="Arial Narrow"/>
                <w:b/>
                <w:sz w:val="20"/>
              </w:rPr>
              <w:t>Risk of bias</w:t>
            </w:r>
          </w:p>
        </w:tc>
        <w:tc>
          <w:tcPr>
            <w:tcW w:w="1134" w:type="dxa"/>
            <w:vAlign w:val="center"/>
          </w:tcPr>
          <w:p w:rsidR="00A0750B" w:rsidRPr="00A9117A" w:rsidRDefault="00A0750B" w:rsidP="006530FE">
            <w:pPr>
              <w:keepNext/>
              <w:widowControl/>
              <w:spacing w:before="40" w:after="40"/>
              <w:jc w:val="center"/>
              <w:rPr>
                <w:rFonts w:ascii="Arial Narrow" w:hAnsi="Arial Narrow"/>
                <w:b/>
                <w:sz w:val="20"/>
              </w:rPr>
            </w:pPr>
            <w:r w:rsidRPr="00A9117A">
              <w:rPr>
                <w:rFonts w:ascii="Arial Narrow" w:hAnsi="Arial Narrow"/>
                <w:b/>
                <w:sz w:val="20"/>
              </w:rPr>
              <w:t>Patient population</w:t>
            </w:r>
          </w:p>
        </w:tc>
        <w:tc>
          <w:tcPr>
            <w:tcW w:w="2218" w:type="dxa"/>
            <w:vAlign w:val="center"/>
          </w:tcPr>
          <w:p w:rsidR="00A0750B" w:rsidRPr="00A9117A" w:rsidRDefault="00A0750B" w:rsidP="006530FE">
            <w:pPr>
              <w:keepNext/>
              <w:widowControl/>
              <w:spacing w:before="40" w:after="40"/>
              <w:jc w:val="center"/>
              <w:rPr>
                <w:rFonts w:ascii="Arial Narrow" w:hAnsi="Arial Narrow"/>
                <w:b/>
                <w:sz w:val="20"/>
              </w:rPr>
            </w:pPr>
            <w:r w:rsidRPr="00A9117A">
              <w:rPr>
                <w:rFonts w:ascii="Arial Narrow" w:hAnsi="Arial Narrow"/>
                <w:b/>
                <w:sz w:val="20"/>
              </w:rPr>
              <w:t>Key outcomes</w:t>
            </w:r>
          </w:p>
        </w:tc>
      </w:tr>
      <w:tr w:rsidR="00A0750B" w:rsidRPr="00A9117A" w:rsidTr="00A85876">
        <w:tc>
          <w:tcPr>
            <w:tcW w:w="1288" w:type="dxa"/>
            <w:vAlign w:val="center"/>
          </w:tcPr>
          <w:p w:rsidR="00A0750B" w:rsidRPr="00A9117A" w:rsidRDefault="00A0750B" w:rsidP="006530FE">
            <w:pPr>
              <w:keepNext/>
              <w:widowControl/>
              <w:spacing w:before="40" w:after="40"/>
              <w:jc w:val="left"/>
              <w:rPr>
                <w:rFonts w:ascii="Arial Narrow" w:hAnsi="Arial Narrow"/>
                <w:sz w:val="20"/>
              </w:rPr>
            </w:pPr>
            <w:r w:rsidRPr="00A9117A">
              <w:rPr>
                <w:rFonts w:ascii="Arial Narrow" w:hAnsi="Arial Narrow"/>
                <w:sz w:val="20"/>
              </w:rPr>
              <w:t>OPAL BROADEN</w:t>
            </w:r>
          </w:p>
        </w:tc>
        <w:tc>
          <w:tcPr>
            <w:tcW w:w="5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213</w:t>
            </w:r>
          </w:p>
        </w:tc>
        <w:tc>
          <w:tcPr>
            <w:tcW w:w="1435"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Phase 3, MC, R, DB; 52 weeks with placebo patients crossing over after 3 months.</w:t>
            </w:r>
          </w:p>
        </w:tc>
        <w:tc>
          <w:tcPr>
            <w:tcW w:w="1542"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 xml:space="preserve">Tofacitinib 5mg bd; Adalimumab 40mg injection Q2W; </w:t>
            </w:r>
            <w:r w:rsidRPr="00A9117A">
              <w:rPr>
                <w:rFonts w:ascii="Arial Narrow" w:hAnsi="Arial Narrow"/>
                <w:sz w:val="20"/>
              </w:rPr>
              <w:br/>
              <w:t>vs PBO</w:t>
            </w:r>
          </w:p>
        </w:tc>
        <w:tc>
          <w:tcPr>
            <w:tcW w:w="8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Low</w:t>
            </w:r>
          </w:p>
        </w:tc>
        <w:tc>
          <w:tcPr>
            <w:tcW w:w="1134"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Active PsA, TNF-i naïve</w:t>
            </w:r>
          </w:p>
        </w:tc>
        <w:tc>
          <w:tcPr>
            <w:tcW w:w="2218"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 xml:space="preserve">Primary ACR20 and ΔHAQ-DI month 3; </w:t>
            </w:r>
          </w:p>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Secondary ACR50 and PASI75</w:t>
            </w:r>
          </w:p>
        </w:tc>
      </w:tr>
      <w:tr w:rsidR="00A0750B" w:rsidRPr="00A9117A" w:rsidTr="00A85876">
        <w:tc>
          <w:tcPr>
            <w:tcW w:w="1288" w:type="dxa"/>
            <w:vAlign w:val="center"/>
          </w:tcPr>
          <w:p w:rsidR="00A0750B" w:rsidRPr="00A9117A" w:rsidRDefault="00A0750B" w:rsidP="006530FE">
            <w:pPr>
              <w:keepNext/>
              <w:widowControl/>
              <w:spacing w:before="40" w:after="40"/>
              <w:jc w:val="left"/>
              <w:rPr>
                <w:rFonts w:ascii="Arial Narrow" w:hAnsi="Arial Narrow"/>
                <w:sz w:val="20"/>
              </w:rPr>
            </w:pPr>
            <w:r w:rsidRPr="00A9117A">
              <w:rPr>
                <w:rFonts w:ascii="Arial Narrow" w:hAnsi="Arial Narrow"/>
                <w:sz w:val="20"/>
              </w:rPr>
              <w:t>Genovese 2007</w:t>
            </w:r>
          </w:p>
        </w:tc>
        <w:tc>
          <w:tcPr>
            <w:tcW w:w="5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100</w:t>
            </w:r>
          </w:p>
        </w:tc>
        <w:tc>
          <w:tcPr>
            <w:tcW w:w="1435"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Phase 3, MC, R, DB for 12 wks. OL from 12-24wks.</w:t>
            </w:r>
          </w:p>
        </w:tc>
        <w:tc>
          <w:tcPr>
            <w:tcW w:w="1542"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ADA 40 mg Q2W; vs PBO</w:t>
            </w:r>
          </w:p>
        </w:tc>
        <w:tc>
          <w:tcPr>
            <w:tcW w:w="8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Low</w:t>
            </w:r>
          </w:p>
        </w:tc>
        <w:tc>
          <w:tcPr>
            <w:tcW w:w="1134"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Active PsA, TNF-i naïve</w:t>
            </w:r>
          </w:p>
        </w:tc>
        <w:tc>
          <w:tcPr>
            <w:tcW w:w="2218"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Primary: ACR20 Wk 12, Secondary: ACR 50</w:t>
            </w:r>
          </w:p>
        </w:tc>
      </w:tr>
      <w:tr w:rsidR="00A0750B" w:rsidRPr="00A9117A" w:rsidTr="00A85876">
        <w:tc>
          <w:tcPr>
            <w:tcW w:w="1288" w:type="dxa"/>
            <w:vAlign w:val="center"/>
          </w:tcPr>
          <w:p w:rsidR="00A0750B" w:rsidRPr="00A9117A" w:rsidRDefault="00A0750B" w:rsidP="006530FE">
            <w:pPr>
              <w:keepNext/>
              <w:widowControl/>
              <w:spacing w:before="40" w:after="40"/>
              <w:jc w:val="left"/>
              <w:rPr>
                <w:rFonts w:ascii="Arial Narrow" w:hAnsi="Arial Narrow"/>
                <w:sz w:val="20"/>
              </w:rPr>
            </w:pPr>
            <w:r w:rsidRPr="00A9117A">
              <w:rPr>
                <w:rFonts w:ascii="Arial Narrow" w:hAnsi="Arial Narrow"/>
                <w:sz w:val="20"/>
              </w:rPr>
              <w:t>ADEPT</w:t>
            </w:r>
          </w:p>
        </w:tc>
        <w:tc>
          <w:tcPr>
            <w:tcW w:w="5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313</w:t>
            </w:r>
          </w:p>
        </w:tc>
        <w:tc>
          <w:tcPr>
            <w:tcW w:w="1435"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Phase 3, MC, R, DB for 24 wks. OL from 12-120wks.</w:t>
            </w:r>
          </w:p>
        </w:tc>
        <w:tc>
          <w:tcPr>
            <w:tcW w:w="1542"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ADA 40 mg Q2W; vs PBO</w:t>
            </w:r>
          </w:p>
        </w:tc>
        <w:tc>
          <w:tcPr>
            <w:tcW w:w="8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Low</w:t>
            </w:r>
          </w:p>
        </w:tc>
        <w:tc>
          <w:tcPr>
            <w:tcW w:w="1134"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Active PsA, TNF-i naïve</w:t>
            </w:r>
          </w:p>
        </w:tc>
        <w:tc>
          <w:tcPr>
            <w:tcW w:w="2218"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 xml:space="preserve">Primary: ACR20 Wk 12 &amp; ΔmTSS Wk 24, </w:t>
            </w:r>
          </w:p>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Secondary: ACR50</w:t>
            </w:r>
          </w:p>
        </w:tc>
      </w:tr>
      <w:tr w:rsidR="00A0750B" w:rsidRPr="00A9117A" w:rsidTr="00A85876">
        <w:tc>
          <w:tcPr>
            <w:tcW w:w="1288" w:type="dxa"/>
            <w:vAlign w:val="center"/>
          </w:tcPr>
          <w:p w:rsidR="00A0750B" w:rsidRPr="00A9117A" w:rsidRDefault="00A0750B" w:rsidP="006530FE">
            <w:pPr>
              <w:keepNext/>
              <w:widowControl/>
              <w:spacing w:before="40" w:after="40"/>
              <w:jc w:val="left"/>
              <w:rPr>
                <w:rFonts w:ascii="Arial Narrow" w:hAnsi="Arial Narrow"/>
                <w:sz w:val="20"/>
              </w:rPr>
            </w:pPr>
            <w:r w:rsidRPr="00A9117A">
              <w:rPr>
                <w:rFonts w:ascii="Arial Narrow" w:hAnsi="Arial Narrow"/>
                <w:sz w:val="20"/>
              </w:rPr>
              <w:t>SPIRIT-P1</w:t>
            </w:r>
          </w:p>
        </w:tc>
        <w:tc>
          <w:tcPr>
            <w:tcW w:w="5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207</w:t>
            </w:r>
            <w:r w:rsidRPr="00A9117A">
              <w:rPr>
                <w:rFonts w:ascii="Arial Narrow" w:hAnsi="Arial Narrow"/>
                <w:sz w:val="20"/>
                <w:vertAlign w:val="superscript"/>
              </w:rPr>
              <w:t>b</w:t>
            </w:r>
          </w:p>
        </w:tc>
        <w:tc>
          <w:tcPr>
            <w:tcW w:w="1435"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Phase 3, MC, R, DB for 24wks.</w:t>
            </w:r>
          </w:p>
        </w:tc>
        <w:tc>
          <w:tcPr>
            <w:tcW w:w="1542"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ADA 40mg Q2W; vs PBO</w:t>
            </w:r>
          </w:p>
        </w:tc>
        <w:tc>
          <w:tcPr>
            <w:tcW w:w="850"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Low</w:t>
            </w:r>
          </w:p>
        </w:tc>
        <w:tc>
          <w:tcPr>
            <w:tcW w:w="1134"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Active PsA, TNF-i naïve</w:t>
            </w:r>
          </w:p>
        </w:tc>
        <w:tc>
          <w:tcPr>
            <w:tcW w:w="2218" w:type="dxa"/>
            <w:vAlign w:val="center"/>
          </w:tcPr>
          <w:p w:rsidR="00A0750B" w:rsidRPr="00A9117A" w:rsidRDefault="00A0750B" w:rsidP="006530FE">
            <w:pPr>
              <w:keepNext/>
              <w:widowControl/>
              <w:spacing w:before="40" w:after="40"/>
              <w:jc w:val="center"/>
              <w:rPr>
                <w:rFonts w:ascii="Arial Narrow" w:hAnsi="Arial Narrow"/>
                <w:sz w:val="20"/>
              </w:rPr>
            </w:pPr>
            <w:r w:rsidRPr="00A9117A">
              <w:rPr>
                <w:rFonts w:ascii="Arial Narrow" w:hAnsi="Arial Narrow"/>
                <w:sz w:val="20"/>
              </w:rPr>
              <w:t>Primary: ACR20 Wk24; Secondary: ACR50</w:t>
            </w:r>
          </w:p>
        </w:tc>
      </w:tr>
    </w:tbl>
    <w:p w:rsidR="00A07384" w:rsidRPr="00A9117A" w:rsidRDefault="00A07384" w:rsidP="006530FE">
      <w:pPr>
        <w:keepNext/>
        <w:widowControl/>
        <w:tabs>
          <w:tab w:val="left" w:pos="284"/>
        </w:tabs>
        <w:jc w:val="left"/>
        <w:rPr>
          <w:rFonts w:ascii="Arial Narrow" w:hAnsi="Arial Narrow"/>
          <w:sz w:val="18"/>
        </w:rPr>
      </w:pPr>
      <w:r w:rsidRPr="00A9117A">
        <w:rPr>
          <w:rFonts w:ascii="Arial Narrow" w:hAnsi="Arial Narrow"/>
          <w:sz w:val="18"/>
        </w:rPr>
        <w:t>Source: compiled during the evaluation</w:t>
      </w:r>
    </w:p>
    <w:p w:rsidR="00A0750B" w:rsidRPr="00A9117A" w:rsidRDefault="00A0750B" w:rsidP="006530FE">
      <w:pPr>
        <w:keepNext/>
        <w:widowControl/>
        <w:jc w:val="left"/>
        <w:rPr>
          <w:rFonts w:ascii="Arial Narrow" w:hAnsi="Arial Narrow"/>
          <w:sz w:val="18"/>
        </w:rPr>
      </w:pPr>
      <w:r w:rsidRPr="00A9117A">
        <w:rPr>
          <w:rFonts w:ascii="Arial Narrow" w:hAnsi="Arial Narrow"/>
          <w:sz w:val="18"/>
        </w:rPr>
        <w:t>MC = multi-centre; R= randomised, DB = double-blind; PBO=placebo; OL = open-label; ACR20/50 = ≥20% /50% improvement on the American College of Rheumatology Criteria; bd = twice daily; Q2W = every second week</w:t>
      </w:r>
    </w:p>
    <w:p w:rsidR="00A0750B" w:rsidRPr="00A9117A" w:rsidRDefault="00A0750B" w:rsidP="006530FE">
      <w:pPr>
        <w:keepNext/>
        <w:widowControl/>
        <w:tabs>
          <w:tab w:val="left" w:pos="284"/>
        </w:tabs>
        <w:jc w:val="left"/>
        <w:rPr>
          <w:rFonts w:ascii="Arial Narrow" w:hAnsi="Arial Narrow"/>
          <w:sz w:val="18"/>
        </w:rPr>
      </w:pPr>
      <w:r w:rsidRPr="00A9117A">
        <w:rPr>
          <w:rFonts w:ascii="Arial Narrow" w:hAnsi="Arial Narrow"/>
          <w:sz w:val="18"/>
          <w:vertAlign w:val="superscript"/>
        </w:rPr>
        <w:t>a</w:t>
      </w:r>
      <w:r w:rsidRPr="00A9117A">
        <w:rPr>
          <w:rFonts w:ascii="Arial Narrow" w:hAnsi="Arial Narrow"/>
          <w:sz w:val="18"/>
        </w:rPr>
        <w:tab/>
        <w:t>Number of patients analysed</w:t>
      </w:r>
    </w:p>
    <w:p w:rsidR="006530FE" w:rsidRDefault="00A0750B" w:rsidP="006530FE">
      <w:pPr>
        <w:keepNext/>
        <w:widowControl/>
        <w:tabs>
          <w:tab w:val="left" w:pos="284"/>
        </w:tabs>
        <w:jc w:val="left"/>
        <w:rPr>
          <w:rFonts w:ascii="Arial Narrow" w:hAnsi="Arial Narrow"/>
          <w:sz w:val="18"/>
        </w:rPr>
      </w:pPr>
      <w:r w:rsidRPr="00A9117A">
        <w:rPr>
          <w:rFonts w:ascii="Arial Narrow" w:hAnsi="Arial Narrow"/>
          <w:sz w:val="18"/>
          <w:vertAlign w:val="superscript"/>
        </w:rPr>
        <w:t>b</w:t>
      </w:r>
      <w:r w:rsidRPr="00A9117A">
        <w:rPr>
          <w:rFonts w:ascii="Arial Narrow" w:hAnsi="Arial Narrow"/>
          <w:sz w:val="18"/>
        </w:rPr>
        <w:tab/>
        <w:t>Excluding patients from treatment arms not relevant for the analysis</w:t>
      </w:r>
    </w:p>
    <w:p w:rsidR="009E0E95" w:rsidRPr="00A9117A" w:rsidRDefault="009E0E95" w:rsidP="006530FE">
      <w:pPr>
        <w:keepNext/>
        <w:widowControl/>
        <w:tabs>
          <w:tab w:val="left" w:pos="284"/>
        </w:tabs>
        <w:jc w:val="left"/>
        <w:rPr>
          <w:rFonts w:ascii="Arial Narrow" w:hAnsi="Arial Narrow"/>
          <w:sz w:val="18"/>
        </w:rPr>
      </w:pPr>
    </w:p>
    <w:p w:rsidR="00B60939" w:rsidRPr="00A9117A" w:rsidRDefault="00B60939" w:rsidP="0011600D">
      <w:pPr>
        <w:pStyle w:val="Heading2"/>
      </w:pPr>
      <w:bookmarkStart w:id="11" w:name="_Toc524526803"/>
      <w:r w:rsidRPr="00A9117A">
        <w:t>Comparative effectiveness</w:t>
      </w:r>
      <w:bookmarkEnd w:id="11"/>
    </w:p>
    <w:p w:rsidR="00A07384" w:rsidRPr="00A9117A" w:rsidRDefault="00A07384" w:rsidP="006530FE">
      <w:pPr>
        <w:pStyle w:val="ListParagraph"/>
        <w:widowControl/>
        <w:numPr>
          <w:ilvl w:val="1"/>
          <w:numId w:val="2"/>
        </w:numPr>
        <w:spacing w:after="120"/>
        <w:rPr>
          <w:iCs/>
        </w:rPr>
      </w:pPr>
      <w:r w:rsidRPr="00A9117A">
        <w:rPr>
          <w:iCs/>
        </w:rPr>
        <w:t xml:space="preserve">Response to bDMARDs on the PBS </w:t>
      </w:r>
      <w:r w:rsidR="005653E8" w:rsidRPr="00A9117A">
        <w:rPr>
          <w:iCs/>
        </w:rPr>
        <w:t xml:space="preserve">has </w:t>
      </w:r>
      <w:r w:rsidR="00A167A7" w:rsidRPr="00A9117A">
        <w:rPr>
          <w:iCs/>
        </w:rPr>
        <w:t xml:space="preserve">previously </w:t>
      </w:r>
      <w:r w:rsidR="005653E8" w:rsidRPr="00A9117A">
        <w:rPr>
          <w:iCs/>
        </w:rPr>
        <w:t xml:space="preserve">been </w:t>
      </w:r>
      <w:r w:rsidRPr="00A9117A">
        <w:rPr>
          <w:iCs/>
        </w:rPr>
        <w:t>assessed using a combination of the American College of Rheumatology 20% and 50% improvement criteria (A</w:t>
      </w:r>
      <w:r w:rsidR="00350170" w:rsidRPr="00A9117A">
        <w:rPr>
          <w:iCs/>
        </w:rPr>
        <w:t xml:space="preserve">CR20 and ACR50, respectively). </w:t>
      </w:r>
      <w:r w:rsidRPr="00A9117A">
        <w:rPr>
          <w:iCs/>
        </w:rPr>
        <w:t>The</w:t>
      </w:r>
      <w:r w:rsidRPr="00A9117A">
        <w:rPr>
          <w:rFonts w:cs="Calibri"/>
          <w:iCs/>
          <w:szCs w:val="24"/>
          <w:lang w:val="en-US" w:eastAsia="en-AU"/>
        </w:rPr>
        <w:t xml:space="preserve"> </w:t>
      </w:r>
      <w:r w:rsidRPr="00A9117A">
        <w:rPr>
          <w:iCs/>
        </w:rPr>
        <w:t>PBAC had previously considered that ACR50 was more relevant than ACR20 because it better reflected the current PBS criteria for response to initial therapy (see Ustekinumab PSD, November 2014). However, ACR20 has also been used to support non-inferiority (see Secukinumab PSD, March 2016).</w:t>
      </w:r>
    </w:p>
    <w:p w:rsidR="00A07384" w:rsidRPr="00A9117A" w:rsidRDefault="00A07384" w:rsidP="006530FE">
      <w:pPr>
        <w:pStyle w:val="ListParagraph"/>
        <w:widowControl/>
        <w:numPr>
          <w:ilvl w:val="1"/>
          <w:numId w:val="2"/>
        </w:numPr>
        <w:spacing w:after="120"/>
        <w:rPr>
          <w:iCs/>
        </w:rPr>
      </w:pPr>
      <w:r w:rsidRPr="00A9117A">
        <w:rPr>
          <w:iCs/>
        </w:rPr>
        <w:t xml:space="preserve">Non-inferiority margins for ACR20 and ACR50 were nominated based on the PBAC’s previous considerations (see Golimumab PSD, March 2010 and Secukinumab PSD, March 2016). </w:t>
      </w:r>
      <w:r w:rsidRPr="00A9117A">
        <w:t xml:space="preserve">For non-inferiority to be demonstrated, the submission stated that the </w:t>
      </w:r>
      <w:r w:rsidRPr="00A9117A">
        <w:rPr>
          <w:iCs/>
        </w:rPr>
        <w:t>lower</w:t>
      </w:r>
      <w:r w:rsidRPr="00A9117A">
        <w:t xml:space="preserve"> bound of the 95% confidence interval (CI) around the relative risk (RR) must exceed 0.29 for ACR50 and 0.46 for ACR20.  </w:t>
      </w:r>
    </w:p>
    <w:p w:rsidR="00A07384" w:rsidRPr="00A9117A" w:rsidRDefault="00A07384" w:rsidP="006530FE">
      <w:pPr>
        <w:pStyle w:val="ListParagraph"/>
        <w:widowControl/>
        <w:numPr>
          <w:ilvl w:val="1"/>
          <w:numId w:val="2"/>
        </w:numPr>
        <w:spacing w:after="120"/>
        <w:rPr>
          <w:iCs/>
        </w:rPr>
      </w:pPr>
      <w:r w:rsidRPr="00A9117A">
        <w:rPr>
          <w:iCs/>
        </w:rPr>
        <w:t>The results for each of the three analyses are presented below: Firstly from the directly comparative trial, OPAL BROADEN, followed by the indirect comparison (unadjusted) and the network meta-analysis.</w:t>
      </w:r>
    </w:p>
    <w:p w:rsidR="00A07384" w:rsidRPr="00A9117A" w:rsidRDefault="00A07384" w:rsidP="006530FE">
      <w:pPr>
        <w:widowControl/>
        <w:spacing w:after="160"/>
        <w:rPr>
          <w:rFonts w:cs="Calibri"/>
          <w:b/>
          <w:snapToGrid/>
          <w:szCs w:val="24"/>
          <w:lang w:val="en-US" w:eastAsia="en-AU"/>
        </w:rPr>
      </w:pPr>
      <w:r w:rsidRPr="00A9117A">
        <w:rPr>
          <w:rFonts w:cs="Calibri"/>
          <w:b/>
          <w:snapToGrid/>
          <w:szCs w:val="24"/>
          <w:lang w:val="en-US" w:eastAsia="en-AU"/>
        </w:rPr>
        <w:t>Direct analysis from OPAL BROADEN</w:t>
      </w:r>
    </w:p>
    <w:p w:rsidR="00A07384" w:rsidRPr="00A9117A" w:rsidRDefault="00A07384" w:rsidP="006530FE">
      <w:pPr>
        <w:pStyle w:val="ListParagraph"/>
        <w:widowControl/>
        <w:numPr>
          <w:ilvl w:val="1"/>
          <w:numId w:val="2"/>
        </w:numPr>
        <w:rPr>
          <w:rFonts w:cs="Calibri"/>
          <w:snapToGrid/>
          <w:szCs w:val="24"/>
          <w:lang w:val="en-US" w:eastAsia="en-AU"/>
        </w:rPr>
      </w:pPr>
      <w:r w:rsidRPr="00A9117A">
        <w:rPr>
          <w:rFonts w:cs="Calibri"/>
          <w:snapToGrid/>
          <w:szCs w:val="24"/>
          <w:lang w:val="en-US" w:eastAsia="en-AU"/>
        </w:rPr>
        <w:t xml:space="preserve">The results for ACR20, ACR50 and PASI75 </w:t>
      </w:r>
      <w:r w:rsidR="00C27ACA" w:rsidRPr="00A9117A">
        <w:rPr>
          <w:rFonts w:cs="Calibri"/>
          <w:snapToGrid/>
          <w:szCs w:val="24"/>
          <w:lang w:val="en-US" w:eastAsia="en-AU"/>
        </w:rPr>
        <w:t>f</w:t>
      </w:r>
      <w:r w:rsidRPr="00A9117A">
        <w:rPr>
          <w:rFonts w:cs="Calibri"/>
          <w:snapToGrid/>
          <w:szCs w:val="24"/>
          <w:lang w:val="en-US" w:eastAsia="en-AU"/>
        </w:rPr>
        <w:t xml:space="preserve">rom OPAL BROADEN are detailed in </w:t>
      </w:r>
      <w:r w:rsidR="00AD4C07" w:rsidRPr="00A9117A">
        <w:t xml:space="preserve">Table </w:t>
      </w:r>
      <w:r w:rsidR="00AD4C07">
        <w:rPr>
          <w:noProof/>
        </w:rPr>
        <w:t>5</w:t>
      </w:r>
      <w:r w:rsidRPr="00A9117A">
        <w:rPr>
          <w:rFonts w:cs="Calibri"/>
          <w:snapToGrid/>
          <w:szCs w:val="24"/>
          <w:lang w:val="en-US" w:eastAsia="en-AU"/>
        </w:rPr>
        <w:t>.</w:t>
      </w:r>
    </w:p>
    <w:p w:rsidR="00A07384" w:rsidRPr="00A9117A" w:rsidRDefault="00CF247D" w:rsidP="006530FE">
      <w:pPr>
        <w:pStyle w:val="TableHeading0"/>
        <w:keepNext/>
      </w:pPr>
      <w:bookmarkStart w:id="12" w:name="_Ref523782585"/>
      <w:r w:rsidRPr="00A9117A">
        <w:t xml:space="preserve">Table </w:t>
      </w:r>
      <w:r w:rsidR="00AD4C07">
        <w:rPr>
          <w:noProof/>
        </w:rPr>
        <w:t>5</w:t>
      </w:r>
      <w:bookmarkEnd w:id="12"/>
      <w:r w:rsidRPr="00A9117A">
        <w:t xml:space="preserve">: </w:t>
      </w:r>
      <w:r w:rsidR="00A07384" w:rsidRPr="00A9117A">
        <w:t>Results of ACR20, ACR50 and PASI75 from OPAL BROADEN at Month 3</w:t>
      </w:r>
      <w:r w:rsidRPr="00A9117A">
        <w:t xml:space="preserve"> - TNF inhibitor naïve population</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ACR20, ACR50 and PASI75 from OPAL BROADEN at Month 3 - TNF inhibitor naïve population"/>
      </w:tblPr>
      <w:tblGrid>
        <w:gridCol w:w="853"/>
        <w:gridCol w:w="1427"/>
        <w:gridCol w:w="2284"/>
        <w:gridCol w:w="2235"/>
        <w:gridCol w:w="2235"/>
      </w:tblGrid>
      <w:tr w:rsidR="00A07384" w:rsidRPr="00A9117A" w:rsidTr="00A85876">
        <w:trPr>
          <w:tblHeader/>
        </w:trPr>
        <w:tc>
          <w:tcPr>
            <w:tcW w:w="472" w:type="pct"/>
            <w:vAlign w:val="center"/>
          </w:tcPr>
          <w:p w:rsidR="00A07384" w:rsidRPr="00A9117A" w:rsidRDefault="00A07384" w:rsidP="006530FE">
            <w:pPr>
              <w:pStyle w:val="Tabletext"/>
              <w:keepNext/>
              <w:spacing w:before="40" w:after="40"/>
              <w:rPr>
                <w:b/>
              </w:rPr>
            </w:pPr>
            <w:r w:rsidRPr="00A9117A">
              <w:rPr>
                <w:b/>
              </w:rPr>
              <w:t xml:space="preserve">Outcome </w:t>
            </w:r>
          </w:p>
        </w:tc>
        <w:tc>
          <w:tcPr>
            <w:tcW w:w="790" w:type="pct"/>
            <w:vAlign w:val="center"/>
          </w:tcPr>
          <w:p w:rsidR="00A07384" w:rsidRPr="00A9117A" w:rsidRDefault="00A07384" w:rsidP="006530FE">
            <w:pPr>
              <w:pStyle w:val="Tabletext"/>
              <w:keepNext/>
              <w:spacing w:before="40" w:after="40"/>
              <w:jc w:val="center"/>
              <w:rPr>
                <w:b/>
              </w:rPr>
            </w:pPr>
            <w:r w:rsidRPr="00A9117A">
              <w:rPr>
                <w:b/>
              </w:rPr>
              <w:t xml:space="preserve">Tofacitinib </w:t>
            </w:r>
          </w:p>
        </w:tc>
        <w:tc>
          <w:tcPr>
            <w:tcW w:w="1264" w:type="pct"/>
            <w:vAlign w:val="center"/>
          </w:tcPr>
          <w:p w:rsidR="00A07384" w:rsidRPr="00A9117A" w:rsidRDefault="00A07384" w:rsidP="006530FE">
            <w:pPr>
              <w:pStyle w:val="Tabletext"/>
              <w:keepNext/>
              <w:spacing w:before="40" w:after="40"/>
              <w:jc w:val="center"/>
              <w:rPr>
                <w:b/>
              </w:rPr>
            </w:pPr>
            <w:r w:rsidRPr="00A9117A">
              <w:rPr>
                <w:b/>
              </w:rPr>
              <w:t>Comparator</w:t>
            </w:r>
          </w:p>
        </w:tc>
        <w:tc>
          <w:tcPr>
            <w:tcW w:w="1237" w:type="pct"/>
            <w:vAlign w:val="center"/>
          </w:tcPr>
          <w:p w:rsidR="00A07384" w:rsidRPr="00A9117A" w:rsidRDefault="00A07384" w:rsidP="006530FE">
            <w:pPr>
              <w:pStyle w:val="Tabletext"/>
              <w:keepNext/>
              <w:spacing w:before="40" w:after="40"/>
              <w:jc w:val="center"/>
              <w:rPr>
                <w:b/>
              </w:rPr>
            </w:pPr>
            <w:r w:rsidRPr="00A9117A">
              <w:rPr>
                <w:b/>
              </w:rPr>
              <w:t>Relative risk (95% CI)</w:t>
            </w:r>
          </w:p>
        </w:tc>
        <w:tc>
          <w:tcPr>
            <w:tcW w:w="1237" w:type="pct"/>
            <w:vAlign w:val="center"/>
          </w:tcPr>
          <w:p w:rsidR="00A07384" w:rsidRPr="00A9117A" w:rsidRDefault="00A07384" w:rsidP="006530FE">
            <w:pPr>
              <w:pStyle w:val="Tabletext"/>
              <w:keepNext/>
              <w:spacing w:before="40" w:after="40"/>
              <w:jc w:val="center"/>
              <w:rPr>
                <w:b/>
              </w:rPr>
            </w:pPr>
            <w:r w:rsidRPr="00A9117A">
              <w:rPr>
                <w:b/>
              </w:rPr>
              <w:t>Risk difference (95% CI)</w:t>
            </w:r>
          </w:p>
        </w:tc>
      </w:tr>
      <w:tr w:rsidR="00A07384" w:rsidRPr="00A9117A" w:rsidTr="00A85876">
        <w:tc>
          <w:tcPr>
            <w:tcW w:w="472" w:type="pct"/>
            <w:vAlign w:val="center"/>
          </w:tcPr>
          <w:p w:rsidR="00A07384" w:rsidRPr="00A9117A" w:rsidRDefault="00A07384" w:rsidP="006530FE">
            <w:pPr>
              <w:pStyle w:val="Tabletext"/>
              <w:keepNext/>
              <w:spacing w:before="40" w:after="40"/>
            </w:pPr>
            <w:r w:rsidRPr="00A9117A">
              <w:t>ACR20</w:t>
            </w:r>
          </w:p>
        </w:tc>
        <w:tc>
          <w:tcPr>
            <w:tcW w:w="790" w:type="pct"/>
            <w:vAlign w:val="center"/>
          </w:tcPr>
          <w:p w:rsidR="00A07384" w:rsidRPr="00A9117A" w:rsidRDefault="00A07384" w:rsidP="006530FE">
            <w:pPr>
              <w:pStyle w:val="Tabletext"/>
              <w:keepNext/>
              <w:spacing w:before="40" w:after="40"/>
              <w:jc w:val="center"/>
            </w:pPr>
            <w:r w:rsidRPr="00A9117A">
              <w:t>54/107 (50.5)</w:t>
            </w:r>
          </w:p>
        </w:tc>
        <w:tc>
          <w:tcPr>
            <w:tcW w:w="1264" w:type="pct"/>
            <w:vAlign w:val="center"/>
          </w:tcPr>
          <w:p w:rsidR="00A07384" w:rsidRPr="00A9117A" w:rsidRDefault="00A07384" w:rsidP="006530FE">
            <w:pPr>
              <w:pStyle w:val="Tabletext"/>
              <w:keepNext/>
              <w:spacing w:before="40" w:after="40"/>
              <w:jc w:val="center"/>
            </w:pPr>
            <w:r w:rsidRPr="00A9117A">
              <w:t>Adalimumab: 55/106 (51.9)</w:t>
            </w:r>
          </w:p>
          <w:p w:rsidR="00A07384" w:rsidRPr="00A9117A" w:rsidRDefault="00A07384" w:rsidP="006530FE">
            <w:pPr>
              <w:pStyle w:val="Tabletext"/>
              <w:keepNext/>
              <w:spacing w:before="40" w:after="40"/>
              <w:jc w:val="center"/>
            </w:pPr>
            <w:r w:rsidRPr="00A9117A">
              <w:t>Placebo: 35/105 (33.3)</w:t>
            </w:r>
          </w:p>
        </w:tc>
        <w:tc>
          <w:tcPr>
            <w:tcW w:w="1237" w:type="pct"/>
            <w:vAlign w:val="center"/>
          </w:tcPr>
          <w:p w:rsidR="00A07384" w:rsidRPr="00A9117A" w:rsidRDefault="00A07384" w:rsidP="006530FE">
            <w:pPr>
              <w:pStyle w:val="Tabletext"/>
              <w:keepNext/>
              <w:spacing w:before="40" w:after="40"/>
              <w:jc w:val="center"/>
            </w:pPr>
            <w:r w:rsidRPr="00A9117A">
              <w:t>0.97 (</w:t>
            </w:r>
            <w:r w:rsidRPr="00A9117A">
              <w:rPr>
                <w:u w:val="single"/>
              </w:rPr>
              <w:t>0.75</w:t>
            </w:r>
            <w:r w:rsidRPr="00A9117A">
              <w:t>, 1.26); p=0.84</w:t>
            </w:r>
          </w:p>
          <w:p w:rsidR="00A07384" w:rsidRPr="00A9117A" w:rsidRDefault="00A07384" w:rsidP="006530FE">
            <w:pPr>
              <w:pStyle w:val="Tabletext"/>
              <w:keepNext/>
              <w:spacing w:before="40" w:after="40"/>
              <w:jc w:val="center"/>
              <w:rPr>
                <w:b/>
              </w:rPr>
            </w:pPr>
            <w:r w:rsidRPr="00A9117A">
              <w:rPr>
                <w:b/>
              </w:rPr>
              <w:t>1.51 (1.09, 2.10); p=0.01</w:t>
            </w:r>
          </w:p>
        </w:tc>
        <w:tc>
          <w:tcPr>
            <w:tcW w:w="1237" w:type="pct"/>
            <w:vAlign w:val="center"/>
          </w:tcPr>
          <w:p w:rsidR="00A07384" w:rsidRPr="00A9117A" w:rsidRDefault="00A07384" w:rsidP="006530FE">
            <w:pPr>
              <w:pStyle w:val="Tabletext"/>
              <w:keepNext/>
              <w:spacing w:before="40" w:after="40"/>
              <w:jc w:val="center"/>
            </w:pPr>
            <w:r w:rsidRPr="00A9117A">
              <w:t>-0.01 (</w:t>
            </w:r>
            <w:r w:rsidR="000C5E38">
              <w:t>-</w:t>
            </w:r>
            <w:r w:rsidRPr="00A9117A">
              <w:t>0.15, 0.12); p=0.84</w:t>
            </w:r>
          </w:p>
          <w:p w:rsidR="00A07384" w:rsidRPr="00A9117A" w:rsidRDefault="00A07384" w:rsidP="006530FE">
            <w:pPr>
              <w:pStyle w:val="Tabletext"/>
              <w:keepNext/>
              <w:spacing w:before="40" w:after="40"/>
              <w:jc w:val="center"/>
              <w:rPr>
                <w:b/>
              </w:rPr>
            </w:pPr>
            <w:r w:rsidRPr="00A9117A">
              <w:rPr>
                <w:b/>
              </w:rPr>
              <w:t>0.17 (0.04, 0.30); p=0.01</w:t>
            </w:r>
          </w:p>
        </w:tc>
      </w:tr>
      <w:tr w:rsidR="00A07384" w:rsidRPr="00A9117A" w:rsidTr="00A85876">
        <w:tc>
          <w:tcPr>
            <w:tcW w:w="472" w:type="pct"/>
            <w:vAlign w:val="center"/>
          </w:tcPr>
          <w:p w:rsidR="00A07384" w:rsidRPr="00A9117A" w:rsidRDefault="00A07384" w:rsidP="006530FE">
            <w:pPr>
              <w:pStyle w:val="Tabletext"/>
              <w:keepNext/>
              <w:spacing w:before="40" w:after="40"/>
            </w:pPr>
            <w:r w:rsidRPr="00A9117A">
              <w:t>ACR50</w:t>
            </w:r>
          </w:p>
        </w:tc>
        <w:tc>
          <w:tcPr>
            <w:tcW w:w="790" w:type="pct"/>
            <w:vAlign w:val="center"/>
          </w:tcPr>
          <w:p w:rsidR="00A07384" w:rsidRPr="00A9117A" w:rsidRDefault="00A07384" w:rsidP="006530FE">
            <w:pPr>
              <w:pStyle w:val="Tabletext"/>
              <w:keepNext/>
              <w:spacing w:before="40" w:after="40"/>
              <w:jc w:val="center"/>
            </w:pPr>
            <w:r w:rsidRPr="00A9117A">
              <w:t>30/107 (28.0)</w:t>
            </w:r>
          </w:p>
        </w:tc>
        <w:tc>
          <w:tcPr>
            <w:tcW w:w="1264" w:type="pct"/>
            <w:vAlign w:val="center"/>
          </w:tcPr>
          <w:p w:rsidR="00A07384" w:rsidRPr="00A9117A" w:rsidRDefault="00A07384" w:rsidP="006530FE">
            <w:pPr>
              <w:pStyle w:val="Tabletext"/>
              <w:keepNext/>
              <w:spacing w:before="40" w:after="40"/>
              <w:jc w:val="center"/>
            </w:pPr>
            <w:r w:rsidRPr="00A9117A">
              <w:t>Adalimumab: 35/106 (33.0)</w:t>
            </w:r>
          </w:p>
          <w:p w:rsidR="00A07384" w:rsidRPr="00A9117A" w:rsidRDefault="00A07384" w:rsidP="006530FE">
            <w:pPr>
              <w:pStyle w:val="Tabletext"/>
              <w:keepNext/>
              <w:spacing w:before="40" w:after="40"/>
              <w:jc w:val="center"/>
            </w:pPr>
            <w:r w:rsidRPr="00A9117A">
              <w:t>Placebo: 10/105 (9.5)</w:t>
            </w:r>
          </w:p>
        </w:tc>
        <w:tc>
          <w:tcPr>
            <w:tcW w:w="1237" w:type="pct"/>
            <w:vAlign w:val="center"/>
          </w:tcPr>
          <w:p w:rsidR="00A07384" w:rsidRPr="00A9117A" w:rsidRDefault="00A07384" w:rsidP="006530FE">
            <w:pPr>
              <w:pStyle w:val="Tabletext"/>
              <w:keepNext/>
              <w:spacing w:before="40" w:after="40"/>
              <w:jc w:val="center"/>
            </w:pPr>
            <w:r w:rsidRPr="00A9117A">
              <w:t>0.85 (</w:t>
            </w:r>
            <w:r w:rsidRPr="00A9117A">
              <w:rPr>
                <w:u w:val="single"/>
              </w:rPr>
              <w:t>0.57</w:t>
            </w:r>
            <w:r w:rsidRPr="00A9117A">
              <w:t>, 1.28); p=0.43</w:t>
            </w:r>
          </w:p>
          <w:p w:rsidR="00A07384" w:rsidRPr="00A9117A" w:rsidRDefault="00A07384" w:rsidP="006530FE">
            <w:pPr>
              <w:pStyle w:val="Tabletext"/>
              <w:keepNext/>
              <w:spacing w:before="40" w:after="40"/>
              <w:jc w:val="center"/>
              <w:rPr>
                <w:b/>
              </w:rPr>
            </w:pPr>
            <w:r w:rsidRPr="00A9117A">
              <w:rPr>
                <w:b/>
              </w:rPr>
              <w:t>2.94 (1.52, 5.71); p=0.001</w:t>
            </w:r>
          </w:p>
        </w:tc>
        <w:tc>
          <w:tcPr>
            <w:tcW w:w="1237" w:type="pct"/>
            <w:vAlign w:val="center"/>
          </w:tcPr>
          <w:p w:rsidR="00A07384" w:rsidRPr="00A9117A" w:rsidRDefault="00A07384" w:rsidP="006530FE">
            <w:pPr>
              <w:pStyle w:val="Tabletext"/>
              <w:keepNext/>
              <w:spacing w:before="40" w:after="40"/>
              <w:jc w:val="center"/>
            </w:pPr>
            <w:r w:rsidRPr="00A9117A">
              <w:t>-0.05 (-0.17, 0.07); p=0.43</w:t>
            </w:r>
          </w:p>
          <w:p w:rsidR="00A07384" w:rsidRPr="00A9117A" w:rsidRDefault="00A07384" w:rsidP="006530FE">
            <w:pPr>
              <w:pStyle w:val="Tabletext"/>
              <w:keepNext/>
              <w:spacing w:before="40" w:after="40"/>
              <w:jc w:val="center"/>
              <w:rPr>
                <w:b/>
              </w:rPr>
            </w:pPr>
            <w:r w:rsidRPr="00A9117A">
              <w:rPr>
                <w:b/>
              </w:rPr>
              <w:t>0.19 (0.08, 0.29); p=0.0004</w:t>
            </w:r>
          </w:p>
        </w:tc>
      </w:tr>
      <w:tr w:rsidR="00A07384" w:rsidRPr="00A9117A" w:rsidTr="00A85876">
        <w:tc>
          <w:tcPr>
            <w:tcW w:w="472" w:type="pct"/>
            <w:vAlign w:val="center"/>
          </w:tcPr>
          <w:p w:rsidR="00A07384" w:rsidRPr="00A9117A" w:rsidRDefault="00A07384" w:rsidP="006530FE">
            <w:pPr>
              <w:pStyle w:val="Tabletext"/>
              <w:keepNext/>
              <w:spacing w:before="40" w:after="40"/>
            </w:pPr>
            <w:r w:rsidRPr="00A9117A">
              <w:t>PASI75</w:t>
            </w:r>
          </w:p>
        </w:tc>
        <w:tc>
          <w:tcPr>
            <w:tcW w:w="790" w:type="pct"/>
            <w:vAlign w:val="center"/>
          </w:tcPr>
          <w:p w:rsidR="00A07384" w:rsidRPr="00A9117A" w:rsidRDefault="00A07384" w:rsidP="006530FE">
            <w:pPr>
              <w:pStyle w:val="Tabletext"/>
              <w:keepNext/>
              <w:spacing w:before="40" w:after="40"/>
              <w:jc w:val="center"/>
            </w:pPr>
            <w:r w:rsidRPr="00A9117A">
              <w:t>35/82 (42.7)</w:t>
            </w:r>
          </w:p>
        </w:tc>
        <w:tc>
          <w:tcPr>
            <w:tcW w:w="1264" w:type="pct"/>
            <w:vAlign w:val="center"/>
          </w:tcPr>
          <w:p w:rsidR="00A07384" w:rsidRPr="00A9117A" w:rsidRDefault="00A07384" w:rsidP="006530FE">
            <w:pPr>
              <w:pStyle w:val="Tabletext"/>
              <w:keepNext/>
              <w:spacing w:before="40" w:after="40"/>
              <w:jc w:val="center"/>
            </w:pPr>
            <w:r w:rsidRPr="00A9117A">
              <w:t>Adalimumab: 30/77 (39.0)</w:t>
            </w:r>
          </w:p>
          <w:p w:rsidR="00A07384" w:rsidRPr="00A9117A" w:rsidRDefault="00A07384" w:rsidP="006530FE">
            <w:pPr>
              <w:pStyle w:val="Tabletext"/>
              <w:keepNext/>
              <w:spacing w:before="40" w:after="40"/>
              <w:jc w:val="center"/>
            </w:pPr>
            <w:r w:rsidRPr="00A9117A">
              <w:t>Placebo: 12/82 (14.6)</w:t>
            </w:r>
          </w:p>
        </w:tc>
        <w:tc>
          <w:tcPr>
            <w:tcW w:w="1237" w:type="pct"/>
            <w:vAlign w:val="center"/>
          </w:tcPr>
          <w:p w:rsidR="00A07384" w:rsidRPr="00A9117A" w:rsidRDefault="00A07384" w:rsidP="006530FE">
            <w:pPr>
              <w:pStyle w:val="Tabletext"/>
              <w:keepNext/>
              <w:spacing w:before="40" w:after="40"/>
              <w:jc w:val="center"/>
            </w:pPr>
            <w:r w:rsidRPr="00A9117A">
              <w:t>1.10 (0.75, 1.59); p=0.63</w:t>
            </w:r>
          </w:p>
          <w:p w:rsidR="00A07384" w:rsidRPr="00A9117A" w:rsidRDefault="00A07384" w:rsidP="006530FE">
            <w:pPr>
              <w:pStyle w:val="Tabletext"/>
              <w:keepNext/>
              <w:spacing w:before="40" w:after="40"/>
              <w:jc w:val="center"/>
              <w:rPr>
                <w:b/>
              </w:rPr>
            </w:pPr>
            <w:r w:rsidRPr="00A9117A">
              <w:rPr>
                <w:b/>
              </w:rPr>
              <w:t>2.92 (1.63, 5.21); p=0.0003</w:t>
            </w:r>
          </w:p>
        </w:tc>
        <w:tc>
          <w:tcPr>
            <w:tcW w:w="1237" w:type="pct"/>
            <w:vAlign w:val="center"/>
          </w:tcPr>
          <w:p w:rsidR="00A07384" w:rsidRPr="00A9117A" w:rsidRDefault="00A07384" w:rsidP="006530FE">
            <w:pPr>
              <w:pStyle w:val="Tabletext"/>
              <w:keepNext/>
              <w:spacing w:before="40" w:after="40"/>
              <w:jc w:val="center"/>
            </w:pPr>
            <w:r w:rsidRPr="00A9117A">
              <w:t>0.04 (-0.12, 0.19); p=0.63</w:t>
            </w:r>
          </w:p>
          <w:p w:rsidR="00A07384" w:rsidRPr="00A9117A" w:rsidRDefault="00A07384" w:rsidP="006530FE">
            <w:pPr>
              <w:pStyle w:val="Tabletext"/>
              <w:keepNext/>
              <w:spacing w:before="40" w:after="40"/>
              <w:jc w:val="center"/>
              <w:rPr>
                <w:b/>
              </w:rPr>
            </w:pPr>
            <w:r w:rsidRPr="00A9117A">
              <w:rPr>
                <w:b/>
              </w:rPr>
              <w:t>0.28 (0.15, 0.41); p&lt;0.0001</w:t>
            </w:r>
          </w:p>
        </w:tc>
      </w:tr>
    </w:tbl>
    <w:p w:rsidR="00A07384" w:rsidRPr="00A9117A" w:rsidRDefault="00A07384" w:rsidP="006530FE">
      <w:pPr>
        <w:pStyle w:val="TableFooter"/>
        <w:keepNext/>
        <w:widowControl/>
      </w:pPr>
      <w:r w:rsidRPr="00A9117A">
        <w:t>Source: Tables 2.14 – 2.22, pp81-85 of the submission</w:t>
      </w:r>
    </w:p>
    <w:p w:rsidR="00CF247D" w:rsidRPr="00A9117A" w:rsidRDefault="00CF247D" w:rsidP="006530FE">
      <w:pPr>
        <w:pStyle w:val="TableFooter"/>
        <w:keepNext/>
        <w:widowControl/>
      </w:pPr>
      <w:r w:rsidRPr="00A9117A">
        <w:t>Bold values statistically significant differences between treatments</w:t>
      </w:r>
    </w:p>
    <w:p w:rsidR="00CF247D" w:rsidRPr="00A9117A" w:rsidRDefault="00CF247D" w:rsidP="006530FE">
      <w:pPr>
        <w:widowControl/>
        <w:tabs>
          <w:tab w:val="left" w:pos="0"/>
        </w:tabs>
        <w:rPr>
          <w:rFonts w:ascii="Arial Narrow" w:hAnsi="Arial Narrow"/>
          <w:sz w:val="18"/>
        </w:rPr>
      </w:pPr>
      <w:r w:rsidRPr="00A9117A">
        <w:rPr>
          <w:rFonts w:ascii="Arial Narrow" w:hAnsi="Arial Narrow"/>
          <w:sz w:val="18"/>
        </w:rPr>
        <w:t>Underlined values represent the values compared against the non-inferiority margin of 0.46 for ACR20 or 0.29 for ACR50</w:t>
      </w:r>
    </w:p>
    <w:p w:rsidR="00A07384" w:rsidRPr="00A9117A" w:rsidRDefault="00A07384" w:rsidP="006530FE">
      <w:pPr>
        <w:pStyle w:val="TableFooter"/>
        <w:widowControl/>
      </w:pPr>
      <w:r w:rsidRPr="00A9117A">
        <w:t>CI = confidence interval; n = number of participants with event; N = total participants in group; ACR = American College of Rheumatology; PASI = Psoriasis Area Severity Index</w:t>
      </w:r>
    </w:p>
    <w:p w:rsidR="006530FE" w:rsidRPr="00A9117A" w:rsidRDefault="006530FE" w:rsidP="006530FE">
      <w:pPr>
        <w:pStyle w:val="TableFooter"/>
        <w:widowControl/>
        <w:rPr>
          <w:rFonts w:eastAsia="Calibri"/>
        </w:rPr>
      </w:pPr>
    </w:p>
    <w:p w:rsidR="00A07384" w:rsidRPr="00A9117A" w:rsidRDefault="00A07384" w:rsidP="006530FE">
      <w:pPr>
        <w:pStyle w:val="ListParagraph"/>
        <w:widowControl/>
        <w:numPr>
          <w:ilvl w:val="1"/>
          <w:numId w:val="2"/>
        </w:numPr>
        <w:spacing w:after="120"/>
        <w:jc w:val="left"/>
        <w:rPr>
          <w:rFonts w:cs="Calibri"/>
          <w:snapToGrid/>
          <w:szCs w:val="24"/>
          <w:lang w:val="en-US" w:eastAsia="en-AU"/>
        </w:rPr>
      </w:pPr>
      <w:r w:rsidRPr="00A9117A">
        <w:rPr>
          <w:rFonts w:cs="Calibri"/>
          <w:snapToGrid/>
          <w:szCs w:val="24"/>
          <w:lang w:val="en-US" w:eastAsia="en-AU"/>
        </w:rPr>
        <w:t xml:space="preserve">The results at Month 3 demonstrated that tofacitinib was more effective than placebo at producing a response. </w:t>
      </w:r>
      <w:r w:rsidRPr="00A9117A">
        <w:t xml:space="preserve">While the results also showed a trend towards suggesting that adalimumab treated patients would be more likely to be ACR20 and ACR50 responders compared to tofacitinib at Month 3, the differences were not statistically significant. The results indicate that the specified non-inferiority margins were met (lower bounds of the 95% CI surrounding relative risk being higher than the minimum values accepted by the PBAC previously of 0.46 and 0.29 for ACR20 and ACR50, respectively). </w:t>
      </w:r>
      <w:r w:rsidRPr="00A9117A">
        <w:rPr>
          <w:rFonts w:cs="Calibri"/>
          <w:snapToGrid/>
          <w:szCs w:val="24"/>
          <w:lang w:val="en-US" w:eastAsia="en-AU"/>
        </w:rPr>
        <w:t xml:space="preserve">However, given that the trial was </w:t>
      </w:r>
      <w:r w:rsidR="00FC2290" w:rsidRPr="00A9117A">
        <w:rPr>
          <w:rFonts w:cs="Calibri"/>
          <w:snapToGrid/>
          <w:szCs w:val="24"/>
          <w:lang w:val="en-US" w:eastAsia="en-AU"/>
        </w:rPr>
        <w:t>not designed to establish non-inferiority</w:t>
      </w:r>
      <w:r w:rsidRPr="00A9117A">
        <w:rPr>
          <w:rFonts w:cs="Calibri"/>
          <w:snapToGrid/>
          <w:szCs w:val="24"/>
          <w:lang w:val="en-US" w:eastAsia="en-AU"/>
        </w:rPr>
        <w:t xml:space="preserve">, the possibility that tofacitinib is inferior to adalimumab </w:t>
      </w:r>
      <w:r w:rsidR="00CF247D" w:rsidRPr="00A9117A">
        <w:rPr>
          <w:rFonts w:cs="Calibri"/>
          <w:snapToGrid/>
          <w:szCs w:val="24"/>
          <w:lang w:val="en-US" w:eastAsia="en-AU"/>
        </w:rPr>
        <w:t>could not</w:t>
      </w:r>
      <w:r w:rsidRPr="00A9117A">
        <w:rPr>
          <w:rFonts w:cs="Calibri"/>
          <w:snapToGrid/>
          <w:szCs w:val="24"/>
          <w:lang w:val="en-US" w:eastAsia="en-AU"/>
        </w:rPr>
        <w:t xml:space="preserve"> be ruled out.</w:t>
      </w:r>
    </w:p>
    <w:p w:rsidR="00A07384" w:rsidRPr="00A9117A" w:rsidRDefault="00A07384" w:rsidP="006530FE">
      <w:pPr>
        <w:widowControl/>
        <w:spacing w:after="160"/>
        <w:rPr>
          <w:rFonts w:cs="Calibri"/>
          <w:b/>
          <w:snapToGrid/>
          <w:szCs w:val="24"/>
          <w:lang w:val="en-US" w:eastAsia="en-AU"/>
        </w:rPr>
      </w:pPr>
      <w:r w:rsidRPr="00A9117A">
        <w:rPr>
          <w:rFonts w:cs="Calibri"/>
          <w:b/>
          <w:snapToGrid/>
          <w:szCs w:val="24"/>
          <w:lang w:val="en-US" w:eastAsia="en-AU"/>
        </w:rPr>
        <w:t>Indirect comparison</w:t>
      </w:r>
      <w:r w:rsidR="00CF247D" w:rsidRPr="00A9117A">
        <w:rPr>
          <w:rFonts w:cs="Calibri"/>
          <w:b/>
          <w:snapToGrid/>
          <w:szCs w:val="24"/>
          <w:lang w:val="en-US" w:eastAsia="en-AU"/>
        </w:rPr>
        <w:t xml:space="preserve"> and results of the NMA</w:t>
      </w:r>
    </w:p>
    <w:p w:rsidR="00A07384" w:rsidRPr="00A9117A" w:rsidRDefault="00A07384" w:rsidP="006530FE">
      <w:pPr>
        <w:pStyle w:val="ListParagraph"/>
        <w:widowControl/>
        <w:numPr>
          <w:ilvl w:val="1"/>
          <w:numId w:val="2"/>
        </w:numPr>
        <w:spacing w:after="120"/>
        <w:rPr>
          <w:rFonts w:cs="Calibri"/>
          <w:snapToGrid/>
          <w:szCs w:val="24"/>
          <w:lang w:val="en-US" w:eastAsia="en-AU"/>
        </w:rPr>
      </w:pPr>
      <w:r w:rsidRPr="00A9117A">
        <w:rPr>
          <w:rFonts w:cs="Calibri"/>
          <w:snapToGrid/>
          <w:szCs w:val="24"/>
          <w:lang w:val="en-US" w:eastAsia="en-AU"/>
        </w:rPr>
        <w:t>The indirect comparison (with no placebo adjustment) used the standard frequentist method, as described by Bucher et al, 1997 to compare tofacitinib to adalimumab using the OPAL BROADEN, ADEPT, Genovese 2007 and SPIRIT-P1 trials. The time point for both the ACR20 and the ACR50 analyses was stated to be Week 13 for tofacitinib and Week 12 for adalimumab. It appeared</w:t>
      </w:r>
      <w:r w:rsidR="00A167A7" w:rsidRPr="00A9117A">
        <w:rPr>
          <w:rFonts w:cs="Calibri"/>
          <w:snapToGrid/>
          <w:szCs w:val="24"/>
          <w:lang w:val="en-US" w:eastAsia="en-AU"/>
        </w:rPr>
        <w:t>,</w:t>
      </w:r>
      <w:r w:rsidRPr="00A9117A">
        <w:rPr>
          <w:rFonts w:cs="Calibri"/>
          <w:snapToGrid/>
          <w:szCs w:val="24"/>
          <w:lang w:val="en-US" w:eastAsia="en-AU"/>
        </w:rPr>
        <w:t xml:space="preserve"> however, that the adalimumab response in OPAL BROADEN was assessed at Month 3 (Week 13) rather than Week 12. It was unclear what effect this may have had on the overall analysis, however as ACR20 and ACR50 response rates have been shown to increase over this time period there may have been some bias associated with an analysis comparing response rates for tofacitinib at Month 3 to adalimumab at Weeks 12 to Month 3, with this bias being in </w:t>
      </w:r>
      <w:r w:rsidRPr="00A9117A">
        <w:rPr>
          <w:rFonts w:cs="Calibri"/>
          <w:snapToGrid/>
          <w:szCs w:val="24"/>
          <w:lang w:eastAsia="en-AU"/>
        </w:rPr>
        <w:t>favour</w:t>
      </w:r>
      <w:r w:rsidRPr="00A9117A">
        <w:rPr>
          <w:rFonts w:cs="Calibri"/>
          <w:snapToGrid/>
          <w:szCs w:val="24"/>
          <w:lang w:val="en-US" w:eastAsia="en-AU"/>
        </w:rPr>
        <w:t xml:space="preserve"> of tofacitinib.  </w:t>
      </w:r>
    </w:p>
    <w:p w:rsidR="0080334A" w:rsidRPr="00A9117A" w:rsidRDefault="0080334A" w:rsidP="006530FE">
      <w:pPr>
        <w:pStyle w:val="ListParagraph"/>
        <w:widowControl/>
        <w:numPr>
          <w:ilvl w:val="1"/>
          <w:numId w:val="2"/>
        </w:numPr>
        <w:spacing w:after="120"/>
        <w:rPr>
          <w:rFonts w:cs="Calibri"/>
          <w:snapToGrid/>
          <w:szCs w:val="24"/>
          <w:lang w:val="en-US" w:eastAsia="en-AU"/>
        </w:rPr>
      </w:pPr>
      <w:r w:rsidRPr="00A9117A">
        <w:rPr>
          <w:rFonts w:cs="Calibri"/>
          <w:snapToGrid/>
          <w:szCs w:val="24"/>
          <w:lang w:val="en-US" w:eastAsia="en-AU"/>
        </w:rPr>
        <w:t>While the NMA was conducted to support the submission's clinical claim, the submission inappropriately did not:</w:t>
      </w:r>
    </w:p>
    <w:p w:rsidR="0080334A" w:rsidRPr="00A9117A" w:rsidRDefault="0080334A" w:rsidP="006530FE">
      <w:pPr>
        <w:pStyle w:val="ListParagraph"/>
        <w:widowControl/>
        <w:numPr>
          <w:ilvl w:val="1"/>
          <w:numId w:val="9"/>
        </w:numPr>
        <w:spacing w:after="120"/>
        <w:ind w:left="993" w:hanging="284"/>
        <w:rPr>
          <w:rFonts w:cs="Calibri"/>
          <w:snapToGrid/>
          <w:szCs w:val="24"/>
          <w:lang w:val="en-US" w:eastAsia="en-AU"/>
        </w:rPr>
      </w:pPr>
      <w:r w:rsidRPr="00A9117A">
        <w:rPr>
          <w:rFonts w:cs="Calibri"/>
          <w:snapToGrid/>
          <w:szCs w:val="24"/>
          <w:lang w:val="en-US" w:eastAsia="en-AU"/>
        </w:rPr>
        <w:t>perform a risk of bias assessment of all included trials;</w:t>
      </w:r>
    </w:p>
    <w:p w:rsidR="0080334A" w:rsidRPr="00A9117A" w:rsidRDefault="0080334A" w:rsidP="006530FE">
      <w:pPr>
        <w:pStyle w:val="ListParagraph"/>
        <w:widowControl/>
        <w:numPr>
          <w:ilvl w:val="1"/>
          <w:numId w:val="9"/>
        </w:numPr>
        <w:spacing w:after="120"/>
        <w:ind w:left="993" w:hanging="284"/>
        <w:rPr>
          <w:rFonts w:cs="Calibri"/>
          <w:snapToGrid/>
          <w:szCs w:val="24"/>
          <w:lang w:val="en-US" w:eastAsia="en-AU"/>
        </w:rPr>
      </w:pPr>
      <w:r w:rsidRPr="00A9117A">
        <w:rPr>
          <w:rFonts w:cs="Calibri"/>
          <w:snapToGrid/>
          <w:szCs w:val="24"/>
          <w:lang w:val="en-US" w:eastAsia="en-AU"/>
        </w:rPr>
        <w:t>provide the baseline characteristics of the patients enrolled in the trials (other than specifying all patients were bDMARD-naïve) to assess comparability between patients in the trials, or any potential biases; or</w:t>
      </w:r>
    </w:p>
    <w:p w:rsidR="0080334A" w:rsidRPr="00A9117A" w:rsidRDefault="0080334A" w:rsidP="006530FE">
      <w:pPr>
        <w:pStyle w:val="ListParagraph"/>
        <w:widowControl/>
        <w:numPr>
          <w:ilvl w:val="1"/>
          <w:numId w:val="9"/>
        </w:numPr>
        <w:spacing w:after="120"/>
        <w:ind w:left="993" w:hanging="284"/>
        <w:rPr>
          <w:rFonts w:cs="Calibri"/>
          <w:snapToGrid/>
          <w:szCs w:val="24"/>
          <w:lang w:val="en-US" w:eastAsia="en-AU"/>
        </w:rPr>
      </w:pPr>
      <w:r w:rsidRPr="00A9117A">
        <w:rPr>
          <w:rFonts w:cs="Calibri"/>
          <w:snapToGrid/>
          <w:szCs w:val="24"/>
          <w:lang w:val="en-US" w:eastAsia="en-AU"/>
        </w:rPr>
        <w:t>report the primary and secondary outcomes of all of the trials (to get a sense of the power of the trials to make assessments regarding the results).</w:t>
      </w:r>
    </w:p>
    <w:p w:rsidR="0080334A" w:rsidRPr="00A9117A" w:rsidRDefault="0080334A" w:rsidP="006530FE">
      <w:pPr>
        <w:pStyle w:val="ListParagraph"/>
        <w:widowControl/>
        <w:spacing w:after="120"/>
        <w:rPr>
          <w:rFonts w:cs="Calibri"/>
          <w:snapToGrid/>
          <w:szCs w:val="24"/>
          <w:lang w:val="en-US" w:eastAsia="en-AU"/>
        </w:rPr>
      </w:pPr>
      <w:r w:rsidRPr="00A9117A">
        <w:rPr>
          <w:rFonts w:cs="Calibri"/>
          <w:snapToGrid/>
          <w:szCs w:val="24"/>
          <w:lang w:val="en-US" w:eastAsia="en-AU"/>
        </w:rPr>
        <w:t>The submission additionally reported only selected results from the NMA</w:t>
      </w:r>
      <w:r w:rsidR="008D5DB9" w:rsidRPr="00A9117A">
        <w:rPr>
          <w:rFonts w:cs="Calibri"/>
          <w:snapToGrid/>
          <w:szCs w:val="24"/>
          <w:lang w:val="en-US" w:eastAsia="en-AU"/>
        </w:rPr>
        <w:t xml:space="preserve"> – results only from the fixed effects (and not random effects) model and only for the comparison of tofacitinib and adalimumab (and not for any of the other bDMARDs included in the analysis).</w:t>
      </w:r>
    </w:p>
    <w:p w:rsidR="00A07384" w:rsidRPr="00A9117A" w:rsidRDefault="00A07384" w:rsidP="00CF372C">
      <w:pPr>
        <w:pStyle w:val="ListParagraph"/>
        <w:numPr>
          <w:ilvl w:val="1"/>
          <w:numId w:val="2"/>
        </w:numPr>
        <w:spacing w:after="120"/>
      </w:pPr>
      <w:r w:rsidRPr="00A9117A">
        <w:rPr>
          <w:rFonts w:cs="Calibri"/>
          <w:snapToGrid/>
          <w:szCs w:val="24"/>
          <w:lang w:val="en-US" w:eastAsia="en-AU"/>
        </w:rPr>
        <w:t>The results of th</w:t>
      </w:r>
      <w:r w:rsidR="008D5DB9" w:rsidRPr="00A9117A">
        <w:rPr>
          <w:rFonts w:cs="Calibri"/>
          <w:snapToGrid/>
          <w:szCs w:val="24"/>
          <w:lang w:val="en-US" w:eastAsia="en-AU"/>
        </w:rPr>
        <w:t xml:space="preserve">e standard indirect comparison (“Trial [Bucher]”, </w:t>
      </w:r>
      <w:r w:rsidRPr="00A9117A">
        <w:rPr>
          <w:rFonts w:cs="Calibri"/>
          <w:snapToGrid/>
          <w:szCs w:val="24"/>
          <w:lang w:val="en-US" w:eastAsia="en-AU"/>
        </w:rPr>
        <w:t xml:space="preserve">with no placebo adjustment) </w:t>
      </w:r>
      <w:r w:rsidR="0080334A" w:rsidRPr="00A9117A">
        <w:rPr>
          <w:rFonts w:cs="Calibri"/>
          <w:snapToGrid/>
          <w:szCs w:val="24"/>
          <w:lang w:val="en-US" w:eastAsia="en-AU"/>
        </w:rPr>
        <w:t>and network meta-analyses (with placebo adjustment</w:t>
      </w:r>
      <w:r w:rsidR="008D5DB9" w:rsidRPr="00A9117A">
        <w:rPr>
          <w:rFonts w:cs="Calibri"/>
          <w:snapToGrid/>
          <w:szCs w:val="24"/>
          <w:lang w:val="en-US" w:eastAsia="en-AU"/>
        </w:rPr>
        <w:t>, reported using a fixed [NMA FE] and random [NMA RE] effects model</w:t>
      </w:r>
      <w:r w:rsidR="0080334A" w:rsidRPr="00A9117A">
        <w:rPr>
          <w:rFonts w:cs="Calibri"/>
          <w:snapToGrid/>
          <w:szCs w:val="24"/>
          <w:lang w:val="en-US" w:eastAsia="en-AU"/>
        </w:rPr>
        <w:t xml:space="preserve">) for ACR20 and ACR50 </w:t>
      </w:r>
      <w:r w:rsidRPr="00A9117A">
        <w:rPr>
          <w:rFonts w:cs="Calibri"/>
          <w:snapToGrid/>
          <w:szCs w:val="24"/>
          <w:lang w:val="en-US" w:eastAsia="en-AU"/>
        </w:rPr>
        <w:t xml:space="preserve">are provided in </w:t>
      </w:r>
      <w:r w:rsidR="00AD4C07" w:rsidRPr="00A9117A">
        <w:rPr>
          <w:noProof/>
        </w:rPr>
        <w:t>Table</w:t>
      </w:r>
      <w:r w:rsidR="00AD4C07" w:rsidRPr="00A9117A">
        <w:t xml:space="preserve"> </w:t>
      </w:r>
      <w:r w:rsidR="00AD4C07">
        <w:rPr>
          <w:noProof/>
        </w:rPr>
        <w:t>6</w:t>
      </w:r>
      <w:r w:rsidRPr="00A9117A">
        <w:rPr>
          <w:rFonts w:cs="Calibri"/>
          <w:snapToGrid/>
          <w:szCs w:val="24"/>
          <w:lang w:val="en-US" w:eastAsia="en-AU"/>
        </w:rPr>
        <w:t xml:space="preserve"> and </w:t>
      </w:r>
      <w:r w:rsidR="00AD4C07" w:rsidRPr="00A9117A">
        <w:rPr>
          <w:noProof/>
        </w:rPr>
        <w:t xml:space="preserve">Table </w:t>
      </w:r>
      <w:r w:rsidR="00AD4C07">
        <w:rPr>
          <w:noProof/>
        </w:rPr>
        <w:t>7</w:t>
      </w:r>
      <w:r w:rsidR="0080334A" w:rsidRPr="00CF372C">
        <w:rPr>
          <w:rFonts w:cs="Calibri"/>
          <w:snapToGrid/>
          <w:szCs w:val="24"/>
          <w:lang w:val="en-US" w:eastAsia="en-AU"/>
        </w:rPr>
        <w:t>, respectively</w:t>
      </w:r>
      <w:r w:rsidRPr="00CF372C">
        <w:rPr>
          <w:rFonts w:cs="Calibri"/>
          <w:snapToGrid/>
          <w:szCs w:val="24"/>
          <w:lang w:val="en-US" w:eastAsia="en-AU"/>
        </w:rPr>
        <w:t xml:space="preserve">. </w:t>
      </w:r>
    </w:p>
    <w:p w:rsidR="0080334A" w:rsidRPr="00A9117A" w:rsidRDefault="0080334A" w:rsidP="006530FE">
      <w:pPr>
        <w:pStyle w:val="TableHeading0"/>
        <w:keepNext/>
        <w:jc w:val="both"/>
      </w:pPr>
      <w:bookmarkStart w:id="13" w:name="_Ref523782966"/>
      <w:r w:rsidRPr="00A9117A">
        <w:t xml:space="preserve">Table </w:t>
      </w:r>
      <w:r w:rsidR="00AD4C07">
        <w:rPr>
          <w:noProof/>
        </w:rPr>
        <w:t>6</w:t>
      </w:r>
      <w:bookmarkEnd w:id="13"/>
      <w:r w:rsidRPr="00A9117A">
        <w:t>: ACR20 response for the unadjusted (Trial [Bucher]) and adjusted (NMA FE and NMA RE) indirect comparisons of tofacitinib to adalimumab - TNF inhibitor naïve population</w:t>
      </w:r>
    </w:p>
    <w:tbl>
      <w:tblPr>
        <w:tblStyle w:val="TableGrid"/>
        <w:tblW w:w="0" w:type="auto"/>
        <w:tblCellMar>
          <w:left w:w="28" w:type="dxa"/>
          <w:right w:w="28" w:type="dxa"/>
        </w:tblCellMar>
        <w:tblLook w:val="04A0" w:firstRow="1" w:lastRow="0" w:firstColumn="1" w:lastColumn="0" w:noHBand="0" w:noVBand="1"/>
        <w:tblCaption w:val="ACR20 response for the unadjusted (Trial [Bucher]) and adjusted (NMA FE and NMA RE) indirect comparisons of tofacitinib to adalimumab - TNF inhibitor naïve population"/>
      </w:tblPr>
      <w:tblGrid>
        <w:gridCol w:w="1001"/>
        <w:gridCol w:w="1002"/>
        <w:gridCol w:w="1002"/>
        <w:gridCol w:w="1002"/>
        <w:gridCol w:w="1002"/>
        <w:gridCol w:w="1002"/>
        <w:gridCol w:w="1002"/>
        <w:gridCol w:w="1002"/>
        <w:gridCol w:w="1002"/>
      </w:tblGrid>
      <w:tr w:rsidR="0080334A" w:rsidRPr="00A9117A" w:rsidTr="00BE2A84">
        <w:trPr>
          <w:tblHeader/>
        </w:trPr>
        <w:tc>
          <w:tcPr>
            <w:tcW w:w="1001" w:type="dxa"/>
            <w:vMerge w:val="restart"/>
            <w:vAlign w:val="center"/>
          </w:tcPr>
          <w:p w:rsidR="0080334A" w:rsidRPr="00A9117A" w:rsidRDefault="0080334A" w:rsidP="006530FE">
            <w:pPr>
              <w:keepNext/>
              <w:widowControl/>
              <w:spacing w:before="40" w:after="40"/>
              <w:jc w:val="left"/>
              <w:rPr>
                <w:rFonts w:ascii="Arial Narrow" w:hAnsi="Arial Narrow"/>
                <w:b/>
                <w:sz w:val="20"/>
              </w:rPr>
            </w:pPr>
            <w:r w:rsidRPr="00A9117A">
              <w:rPr>
                <w:rFonts w:ascii="Arial Narrow" w:hAnsi="Arial Narrow"/>
                <w:b/>
                <w:sz w:val="20"/>
              </w:rPr>
              <w:t>Trial ID</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bDMARD</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Placebo</w:t>
            </w:r>
          </w:p>
        </w:tc>
        <w:tc>
          <w:tcPr>
            <w:tcW w:w="3006" w:type="dxa"/>
            <w:gridSpan w:val="3"/>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OR (95% CI) or (95% CrI)</w:t>
            </w:r>
          </w:p>
        </w:tc>
        <w:tc>
          <w:tcPr>
            <w:tcW w:w="3006" w:type="dxa"/>
            <w:gridSpan w:val="3"/>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RR (95% CI) or (95% CrI)</w:t>
            </w:r>
          </w:p>
        </w:tc>
      </w:tr>
      <w:tr w:rsidR="0080334A" w:rsidRPr="00A9117A" w:rsidTr="00BE2A84">
        <w:trPr>
          <w:tblHeader/>
        </w:trPr>
        <w:tc>
          <w:tcPr>
            <w:tcW w:w="1001" w:type="dxa"/>
            <w:vMerge/>
          </w:tcPr>
          <w:p w:rsidR="0080334A" w:rsidRPr="00A9117A" w:rsidRDefault="0080334A" w:rsidP="006530FE">
            <w:pPr>
              <w:keepNext/>
              <w:widowControl/>
              <w:spacing w:before="40" w:after="40"/>
              <w:rPr>
                <w:rFonts w:ascii="Arial Narrow" w:hAnsi="Arial Narrow"/>
                <w:b/>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b/>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b/>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Trial</w:t>
            </w:r>
            <w:r w:rsidR="008D5DB9" w:rsidRPr="00A9117A">
              <w:rPr>
                <w:rFonts w:ascii="Arial Narrow" w:hAnsi="Arial Narrow"/>
                <w:b/>
                <w:sz w:val="20"/>
              </w:rPr>
              <w:t xml:space="preserve"> [Bucher]</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FE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RE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Trial</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FE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RE</w:t>
            </w:r>
          </w:p>
        </w:tc>
      </w:tr>
      <w:tr w:rsidR="0080334A" w:rsidRPr="00A9117A" w:rsidTr="00AD0A4F">
        <w:tc>
          <w:tcPr>
            <w:tcW w:w="9017" w:type="dxa"/>
            <w:gridSpan w:val="9"/>
          </w:tcPr>
          <w:p w:rsidR="0080334A" w:rsidRPr="00A9117A" w:rsidRDefault="0080334A" w:rsidP="006530FE">
            <w:pPr>
              <w:keepNext/>
              <w:widowControl/>
              <w:spacing w:before="40" w:after="40"/>
              <w:rPr>
                <w:rFonts w:ascii="Arial Narrow" w:hAnsi="Arial Narrow"/>
                <w:b/>
                <w:sz w:val="20"/>
              </w:rPr>
            </w:pPr>
            <w:r w:rsidRPr="00A9117A">
              <w:rPr>
                <w:rFonts w:ascii="Arial Narrow" w:hAnsi="Arial Narrow"/>
                <w:b/>
                <w:sz w:val="20"/>
              </w:rPr>
              <w:t>Tofacitinib 5mg bd versus placebo (month 3)</w:t>
            </w:r>
          </w:p>
        </w:tc>
      </w:tr>
      <w:tr w:rsidR="0080334A" w:rsidRPr="00A9117A" w:rsidTr="00AD0A4F">
        <w:tc>
          <w:tcPr>
            <w:tcW w:w="1001" w:type="dxa"/>
          </w:tcPr>
          <w:p w:rsidR="0080334A" w:rsidRPr="00A9117A" w:rsidRDefault="0080334A" w:rsidP="006530FE">
            <w:pPr>
              <w:keepNext/>
              <w:widowControl/>
              <w:spacing w:before="40" w:after="40"/>
              <w:rPr>
                <w:rFonts w:ascii="Arial Narrow" w:hAnsi="Arial Narrow"/>
                <w:sz w:val="20"/>
              </w:rPr>
            </w:pPr>
            <w:r w:rsidRPr="00A9117A">
              <w:rPr>
                <w:rFonts w:ascii="Arial Narrow" w:hAnsi="Arial Narrow"/>
                <w:sz w:val="20"/>
              </w:rPr>
              <w:t>OPAL BROADEN</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54/107 (50)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35/105 (33)</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2.04 </w:t>
            </w:r>
            <w:r w:rsidRPr="00A9117A">
              <w:rPr>
                <w:rFonts w:ascii="Arial Narrow" w:hAnsi="Arial Narrow"/>
                <w:b/>
                <w:sz w:val="20"/>
              </w:rPr>
              <w:br/>
              <w:t>(1.17, 3.55)</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2.72</w:t>
            </w:r>
            <w:r w:rsidRPr="00A9117A">
              <w:rPr>
                <w:rFonts w:ascii="Arial Narrow" w:hAnsi="Arial Narrow"/>
                <w:b/>
                <w:sz w:val="20"/>
              </w:rPr>
              <w:br/>
              <w:t>(1.65, 4.55)</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2.63</w:t>
            </w:r>
            <w:r w:rsidRPr="00A9117A">
              <w:rPr>
                <w:rFonts w:ascii="Arial Narrow" w:hAnsi="Arial Narrow"/>
                <w:sz w:val="20"/>
              </w:rPr>
              <w:br/>
              <w:t>(0.67, 10.08)</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1.51 </w:t>
            </w:r>
            <w:r w:rsidRPr="00A9117A">
              <w:rPr>
                <w:rFonts w:ascii="Arial Narrow" w:hAnsi="Arial Narrow"/>
                <w:b/>
                <w:sz w:val="20"/>
              </w:rPr>
              <w:br/>
              <w:t>(1.09, 2.10)</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2.02</w:t>
            </w:r>
            <w:r w:rsidRPr="00A9117A">
              <w:rPr>
                <w:rFonts w:ascii="Arial Narrow" w:hAnsi="Arial Narrow"/>
                <w:b/>
                <w:sz w:val="20"/>
              </w:rPr>
              <w:br/>
              <w:t>(1.40, 3.07)</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1.95 </w:t>
            </w:r>
            <w:r w:rsidRPr="00A9117A">
              <w:rPr>
                <w:rFonts w:ascii="Arial Narrow" w:hAnsi="Arial Narrow"/>
                <w:sz w:val="20"/>
              </w:rPr>
              <w:br/>
              <w:t>(0.72, 4.25)</w:t>
            </w:r>
          </w:p>
        </w:tc>
      </w:tr>
      <w:tr w:rsidR="0080334A" w:rsidRPr="00A9117A" w:rsidTr="00AD0A4F">
        <w:tc>
          <w:tcPr>
            <w:tcW w:w="9017" w:type="dxa"/>
            <w:gridSpan w:val="9"/>
          </w:tcPr>
          <w:p w:rsidR="0080334A" w:rsidRPr="00A9117A" w:rsidRDefault="0080334A" w:rsidP="006530FE">
            <w:pPr>
              <w:keepNext/>
              <w:widowControl/>
              <w:spacing w:before="40" w:after="40"/>
              <w:rPr>
                <w:rFonts w:ascii="Arial Narrow" w:hAnsi="Arial Narrow"/>
                <w:b/>
                <w:sz w:val="20"/>
              </w:rPr>
            </w:pPr>
            <w:r w:rsidRPr="00A9117A">
              <w:rPr>
                <w:rFonts w:ascii="Arial Narrow" w:hAnsi="Arial Narrow"/>
                <w:b/>
                <w:sz w:val="20"/>
              </w:rPr>
              <w:t>Adalimumab 40mg Q2W versus placebo (week 12)</w:t>
            </w: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OPAL BROADEN</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55/106 (52)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35/105 (33)</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2.16 </w:t>
            </w:r>
            <w:r w:rsidRPr="00A9117A">
              <w:rPr>
                <w:rFonts w:ascii="Arial Narrow" w:hAnsi="Arial Narrow"/>
                <w:b/>
                <w:sz w:val="20"/>
              </w:rPr>
              <w:br/>
              <w:t>(1.17, 3.56)</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3.67</w:t>
            </w:r>
            <w:r w:rsidRPr="00A9117A">
              <w:rPr>
                <w:rFonts w:ascii="Arial Narrow" w:hAnsi="Arial Narrow"/>
                <w:b/>
                <w:sz w:val="20"/>
              </w:rPr>
              <w:br/>
              <w:t>(2.72, 4.98)</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3.52</w:t>
            </w:r>
            <w:r w:rsidRPr="00A9117A">
              <w:rPr>
                <w:rFonts w:ascii="Arial Narrow" w:hAnsi="Arial Narrow"/>
                <w:b/>
                <w:sz w:val="20"/>
              </w:rPr>
              <w:br/>
              <w:t>(1.64, 7.50)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1.56 </w:t>
            </w:r>
            <w:r w:rsidRPr="00A9117A">
              <w:rPr>
                <w:rFonts w:ascii="Arial Narrow" w:hAnsi="Arial Narrow"/>
                <w:b/>
                <w:sz w:val="20"/>
              </w:rPr>
              <w:br/>
              <w:t>(1.12, 2.16)</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2.44</w:t>
            </w:r>
            <w:r w:rsidRPr="00A9117A">
              <w:rPr>
                <w:rFonts w:ascii="Arial Narrow" w:hAnsi="Arial Narrow"/>
                <w:b/>
                <w:sz w:val="20"/>
              </w:rPr>
              <w:br/>
              <w:t>(1.70, 3.42)</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2.33</w:t>
            </w:r>
            <w:r w:rsidRPr="00A9117A">
              <w:rPr>
                <w:rFonts w:ascii="Arial Narrow" w:hAnsi="Arial Narrow"/>
                <w:b/>
                <w:sz w:val="20"/>
              </w:rPr>
              <w:br/>
              <w:t>(1.41, 3.96)</w:t>
            </w: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SPIRIT-P1</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52/101 (52)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33/106 (31)</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2.35 </w:t>
            </w:r>
            <w:r w:rsidRPr="00A9117A">
              <w:rPr>
                <w:rFonts w:ascii="Arial Narrow" w:hAnsi="Arial Narrow"/>
                <w:b/>
                <w:sz w:val="20"/>
              </w:rPr>
              <w:br/>
              <w:t>(1.33, 4.14)</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1.65</w:t>
            </w:r>
            <w:r w:rsidRPr="00A9117A">
              <w:rPr>
                <w:rFonts w:ascii="Arial Narrow" w:hAnsi="Arial Narrow"/>
                <w:b/>
                <w:sz w:val="20"/>
              </w:rPr>
              <w:br/>
              <w:t xml:space="preserve"> (1.18, 2.32)</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Genovese 2007</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20/51 (39)</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8/49 (16)</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3.31 </w:t>
            </w:r>
            <w:r w:rsidRPr="00A9117A">
              <w:rPr>
                <w:rFonts w:ascii="Arial Narrow" w:hAnsi="Arial Narrow"/>
                <w:b/>
                <w:sz w:val="20"/>
              </w:rPr>
              <w:br/>
              <w:t>(1.29, 8.49)</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2.40</w:t>
            </w:r>
            <w:r w:rsidRPr="00A9117A">
              <w:rPr>
                <w:rFonts w:ascii="Arial Narrow" w:hAnsi="Arial Narrow"/>
                <w:b/>
                <w:sz w:val="20"/>
              </w:rPr>
              <w:br/>
              <w:t xml:space="preserve"> (1.17, 4.94)</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ADEPT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87/151 (58)</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23/162 (14)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8.22 </w:t>
            </w:r>
            <w:r w:rsidRPr="00A9117A">
              <w:rPr>
                <w:rFonts w:ascii="Arial Narrow" w:hAnsi="Arial Narrow"/>
                <w:b/>
                <w:sz w:val="20"/>
              </w:rPr>
              <w:br/>
              <w:t>(4.76, 14.19)</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4.06 </w:t>
            </w:r>
            <w:r w:rsidRPr="00A9117A">
              <w:rPr>
                <w:rFonts w:ascii="Arial Narrow" w:hAnsi="Arial Narrow"/>
                <w:b/>
                <w:sz w:val="20"/>
              </w:rPr>
              <w:br/>
              <w:t>(2.71, 6.07)</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tabs>
                <w:tab w:val="left" w:pos="0"/>
              </w:tabs>
              <w:spacing w:before="40" w:after="40"/>
              <w:jc w:val="right"/>
              <w:rPr>
                <w:rFonts w:ascii="Arial Narrow" w:hAnsi="Arial Narrow"/>
                <w:sz w:val="20"/>
              </w:rPr>
            </w:pPr>
            <w:r w:rsidRPr="00A9117A">
              <w:rPr>
                <w:rFonts w:ascii="Arial Narrow" w:hAnsi="Arial Narrow"/>
                <w:sz w:val="20"/>
              </w:rPr>
              <w:t>Meta-analysis</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214/409 (52)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99/422 (24)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3.44 </w:t>
            </w:r>
            <w:r w:rsidRPr="00A9117A">
              <w:rPr>
                <w:rFonts w:ascii="Arial Narrow" w:hAnsi="Arial Narrow"/>
                <w:b/>
                <w:sz w:val="20"/>
              </w:rPr>
              <w:br/>
              <w:t>(1.74, 6.81)</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2.20 </w:t>
            </w:r>
            <w:r w:rsidRPr="00A9117A">
              <w:rPr>
                <w:rFonts w:ascii="Arial Narrow" w:hAnsi="Arial Narrow"/>
                <w:b/>
                <w:sz w:val="20"/>
              </w:rPr>
              <w:br/>
              <w:t>(1.36, 3.56)</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r>
      <w:tr w:rsidR="0080334A" w:rsidRPr="00A9117A" w:rsidTr="00AD0A4F">
        <w:tc>
          <w:tcPr>
            <w:tcW w:w="3005" w:type="dxa"/>
            <w:gridSpan w:val="3"/>
            <w:shd w:val="clear" w:color="auto" w:fill="D9D9D9" w:themeFill="background1" w:themeFillShade="D9"/>
            <w:vAlign w:val="center"/>
          </w:tcPr>
          <w:p w:rsidR="0080334A" w:rsidRPr="00A9117A" w:rsidRDefault="0080334A" w:rsidP="006530FE">
            <w:pPr>
              <w:keepNext/>
              <w:widowControl/>
              <w:spacing w:before="40" w:after="40"/>
              <w:jc w:val="right"/>
              <w:rPr>
                <w:rFonts w:ascii="Arial Narrow" w:hAnsi="Arial Narrow"/>
                <w:sz w:val="20"/>
              </w:rPr>
            </w:pPr>
            <w:r w:rsidRPr="00A9117A">
              <w:rPr>
                <w:rFonts w:ascii="Arial Narrow" w:hAnsi="Arial Narrow"/>
                <w:sz w:val="20"/>
              </w:rPr>
              <w:t>Indirect comparison</w:t>
            </w:r>
            <w:r w:rsidRPr="00A9117A">
              <w:rPr>
                <w:rFonts w:ascii="Arial Narrow" w:hAnsi="Arial Narrow"/>
                <w:sz w:val="20"/>
              </w:rPr>
              <w:br/>
              <w:t>(tofacitinib versus adalimumab)</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0.59</w:t>
            </w:r>
            <w:r w:rsidRPr="00A9117A">
              <w:rPr>
                <w:rFonts w:ascii="Arial Narrow" w:hAnsi="Arial Narrow"/>
                <w:sz w:val="20"/>
              </w:rPr>
              <w:br/>
              <w:t>(0.25, 1.43)</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0.74</w:t>
            </w:r>
            <w:r w:rsidRPr="00A9117A">
              <w:rPr>
                <w:rFonts w:ascii="Arial Narrow" w:hAnsi="Arial Narrow"/>
                <w:sz w:val="20"/>
              </w:rPr>
              <w:br/>
              <w:t>(0.45, 1.22)</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0.74</w:t>
            </w:r>
            <w:r w:rsidRPr="00A9117A">
              <w:rPr>
                <w:rFonts w:ascii="Arial Narrow" w:hAnsi="Arial Narrow"/>
                <w:sz w:val="20"/>
              </w:rPr>
              <w:br/>
              <w:t>(0.19, 2.88)</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0.69</w:t>
            </w:r>
            <w:r w:rsidRPr="00A9117A">
              <w:rPr>
                <w:rFonts w:ascii="Arial Narrow" w:hAnsi="Arial Narrow"/>
                <w:sz w:val="20"/>
              </w:rPr>
              <w:br/>
              <w:t>(</w:t>
            </w:r>
            <w:r w:rsidRPr="00A9117A">
              <w:rPr>
                <w:rFonts w:ascii="Arial Narrow" w:hAnsi="Arial Narrow"/>
                <w:sz w:val="20"/>
                <w:u w:val="single"/>
              </w:rPr>
              <w:t>0.38</w:t>
            </w:r>
            <w:r w:rsidRPr="00A9117A">
              <w:rPr>
                <w:rFonts w:ascii="Arial Narrow" w:hAnsi="Arial Narrow"/>
                <w:sz w:val="20"/>
              </w:rPr>
              <w:t>, 1.23)</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0.85</w:t>
            </w:r>
            <w:r w:rsidRPr="00A9117A">
              <w:rPr>
                <w:rFonts w:ascii="Arial Narrow" w:hAnsi="Arial Narrow"/>
                <w:sz w:val="20"/>
              </w:rPr>
              <w:br/>
              <w:t>(</w:t>
            </w:r>
            <w:r w:rsidRPr="00A9117A">
              <w:rPr>
                <w:rFonts w:ascii="Arial Narrow" w:hAnsi="Arial Narrow"/>
                <w:sz w:val="20"/>
                <w:u w:val="single"/>
              </w:rPr>
              <w:t>0.59</w:t>
            </w:r>
            <w:r w:rsidRPr="00A9117A">
              <w:rPr>
                <w:rFonts w:ascii="Arial Narrow" w:hAnsi="Arial Narrow"/>
                <w:sz w:val="20"/>
              </w:rPr>
              <w:t>, 1.11)</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0.85</w:t>
            </w:r>
            <w:r w:rsidRPr="00A9117A">
              <w:rPr>
                <w:rFonts w:ascii="Arial Narrow" w:hAnsi="Arial Narrow"/>
                <w:sz w:val="20"/>
              </w:rPr>
              <w:br/>
              <w:t>(</w:t>
            </w:r>
            <w:r w:rsidRPr="00A9117A">
              <w:rPr>
                <w:rFonts w:ascii="Arial Narrow" w:hAnsi="Arial Narrow"/>
                <w:sz w:val="20"/>
                <w:u w:val="single"/>
              </w:rPr>
              <w:t>0.31</w:t>
            </w:r>
            <w:r w:rsidRPr="00A9117A">
              <w:rPr>
                <w:rFonts w:ascii="Arial Narrow" w:hAnsi="Arial Narrow"/>
                <w:sz w:val="20"/>
              </w:rPr>
              <w:t>, 1.70)</w:t>
            </w:r>
          </w:p>
        </w:tc>
      </w:tr>
    </w:tbl>
    <w:p w:rsidR="0080334A" w:rsidRPr="00A9117A" w:rsidRDefault="0080334A" w:rsidP="006530FE">
      <w:pPr>
        <w:pStyle w:val="TableFooter"/>
        <w:widowControl/>
      </w:pPr>
      <w:r w:rsidRPr="00A9117A">
        <w:t>ACR – American College of Rheumatology; bd – twice daily; CI - Confidence Interval; Crl – Credible interval; FE - Fixed Effect;  n -  number of participants with event; N - total number of participants in group; NMA - Network meta-analysis; OR - Odds Ratio; Q2W – once every 2 week; RE – Random Effect; RR - Relative Risk.</w:t>
      </w:r>
    </w:p>
    <w:p w:rsidR="0080334A" w:rsidRPr="00A9117A" w:rsidRDefault="0080334A" w:rsidP="006530FE">
      <w:pPr>
        <w:pStyle w:val="TableFooter"/>
        <w:widowControl/>
      </w:pPr>
      <w:r w:rsidRPr="00A9117A">
        <w:t>Bold typography indicates statistically significant differences between treatments</w:t>
      </w:r>
    </w:p>
    <w:p w:rsidR="0080334A" w:rsidRPr="00A9117A" w:rsidRDefault="0080334A" w:rsidP="006530FE">
      <w:pPr>
        <w:pStyle w:val="TableFooter"/>
        <w:widowControl/>
      </w:pPr>
      <w:r w:rsidRPr="00A9117A">
        <w:t xml:space="preserve">Underlined values represent the values compared against the non-inferiority margin of 0.46 for ACR20 </w:t>
      </w:r>
    </w:p>
    <w:p w:rsidR="00EE2B84" w:rsidRPr="00A9117A" w:rsidRDefault="0080334A" w:rsidP="006530FE">
      <w:pPr>
        <w:pStyle w:val="TableFooter"/>
        <w:widowControl/>
      </w:pPr>
      <w:r w:rsidRPr="00A9117A">
        <w:t>Source: Table 2.44, p114 of the submission &amp; Attachment 3 Appendix D (Network Meta-analysis Results) Excel Spreadsheet</w:t>
      </w:r>
    </w:p>
    <w:p w:rsidR="008540A8" w:rsidRPr="00A9117A" w:rsidRDefault="008540A8" w:rsidP="006530FE">
      <w:pPr>
        <w:widowControl/>
      </w:pPr>
      <w:bookmarkStart w:id="14" w:name="_Ref523783028"/>
    </w:p>
    <w:p w:rsidR="0080334A" w:rsidRPr="00A9117A" w:rsidRDefault="0080334A" w:rsidP="006530FE">
      <w:pPr>
        <w:pStyle w:val="TableHeading0"/>
        <w:keepNext/>
        <w:jc w:val="both"/>
      </w:pPr>
      <w:r w:rsidRPr="00A9117A">
        <w:t xml:space="preserve">Table </w:t>
      </w:r>
      <w:r w:rsidR="00AD4C07">
        <w:rPr>
          <w:noProof/>
        </w:rPr>
        <w:t>7</w:t>
      </w:r>
      <w:bookmarkEnd w:id="14"/>
      <w:r w:rsidRPr="00A9117A">
        <w:t>: ACR50 response for the unadjusted (Trial [Bucher]) and adjusted (NMA FE and NMA RE) indirect comparisons of tofacitinib to adalimumab - TNF inhibitor naïve population</w:t>
      </w:r>
    </w:p>
    <w:tbl>
      <w:tblPr>
        <w:tblStyle w:val="TableGrid"/>
        <w:tblW w:w="0" w:type="auto"/>
        <w:tblCellMar>
          <w:left w:w="28" w:type="dxa"/>
          <w:right w:w="28" w:type="dxa"/>
        </w:tblCellMar>
        <w:tblLook w:val="04A0" w:firstRow="1" w:lastRow="0" w:firstColumn="1" w:lastColumn="0" w:noHBand="0" w:noVBand="1"/>
        <w:tblCaption w:val="ACR50 response for the unadjusted (Trial [Bucher]) and adjusted (NMA FE and NMA RE) indirect comparisons of tofacitinib to adalimumab - TNF inhibitor naïve population"/>
      </w:tblPr>
      <w:tblGrid>
        <w:gridCol w:w="1001"/>
        <w:gridCol w:w="1002"/>
        <w:gridCol w:w="1002"/>
        <w:gridCol w:w="1002"/>
        <w:gridCol w:w="1002"/>
        <w:gridCol w:w="1002"/>
        <w:gridCol w:w="1002"/>
        <w:gridCol w:w="1002"/>
        <w:gridCol w:w="1002"/>
      </w:tblGrid>
      <w:tr w:rsidR="0080334A" w:rsidRPr="00A9117A" w:rsidTr="00BE2A84">
        <w:trPr>
          <w:tblHeader/>
        </w:trPr>
        <w:tc>
          <w:tcPr>
            <w:tcW w:w="1001" w:type="dxa"/>
            <w:vMerge w:val="restart"/>
            <w:vAlign w:val="center"/>
          </w:tcPr>
          <w:p w:rsidR="0080334A" w:rsidRPr="00A9117A" w:rsidRDefault="0080334A" w:rsidP="006530FE">
            <w:pPr>
              <w:keepNext/>
              <w:widowControl/>
              <w:spacing w:before="40" w:after="40"/>
              <w:jc w:val="left"/>
              <w:rPr>
                <w:rFonts w:ascii="Arial Narrow" w:hAnsi="Arial Narrow"/>
                <w:b/>
                <w:sz w:val="20"/>
              </w:rPr>
            </w:pPr>
            <w:r w:rsidRPr="00A9117A">
              <w:rPr>
                <w:rFonts w:ascii="Arial Narrow" w:hAnsi="Arial Narrow"/>
                <w:b/>
                <w:sz w:val="20"/>
              </w:rPr>
              <w:t>Trial ID</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bDMARD</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Placebo</w:t>
            </w:r>
          </w:p>
        </w:tc>
        <w:tc>
          <w:tcPr>
            <w:tcW w:w="3006" w:type="dxa"/>
            <w:gridSpan w:val="3"/>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OR (95% CI) or (95% CrI)</w:t>
            </w:r>
          </w:p>
        </w:tc>
        <w:tc>
          <w:tcPr>
            <w:tcW w:w="3006" w:type="dxa"/>
            <w:gridSpan w:val="3"/>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RR (95% CI) or (95% CrI)</w:t>
            </w:r>
          </w:p>
        </w:tc>
      </w:tr>
      <w:tr w:rsidR="0080334A" w:rsidRPr="00A9117A" w:rsidTr="00BE2A84">
        <w:trPr>
          <w:tblHeader/>
        </w:trPr>
        <w:tc>
          <w:tcPr>
            <w:tcW w:w="1001" w:type="dxa"/>
            <w:vMerge/>
          </w:tcPr>
          <w:p w:rsidR="0080334A" w:rsidRPr="00A9117A" w:rsidRDefault="0080334A" w:rsidP="006530FE">
            <w:pPr>
              <w:keepNext/>
              <w:widowControl/>
              <w:spacing w:before="40" w:after="40"/>
              <w:rPr>
                <w:rFonts w:ascii="Arial Narrow" w:hAnsi="Arial Narrow"/>
                <w:b/>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b/>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b/>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Trial</w:t>
            </w:r>
            <w:r w:rsidR="008D5DB9" w:rsidRPr="00A9117A">
              <w:rPr>
                <w:rFonts w:ascii="Arial Narrow" w:hAnsi="Arial Narrow"/>
                <w:b/>
                <w:sz w:val="20"/>
              </w:rPr>
              <w:t xml:space="preserve"> [Bucher]</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FE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RE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Trial</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FE</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NMA RE</w:t>
            </w:r>
          </w:p>
        </w:tc>
      </w:tr>
      <w:tr w:rsidR="0080334A" w:rsidRPr="00A9117A" w:rsidTr="00AD0A4F">
        <w:tc>
          <w:tcPr>
            <w:tcW w:w="9017" w:type="dxa"/>
            <w:gridSpan w:val="9"/>
          </w:tcPr>
          <w:p w:rsidR="0080334A" w:rsidRPr="00A9117A" w:rsidRDefault="0080334A" w:rsidP="006530FE">
            <w:pPr>
              <w:keepNext/>
              <w:widowControl/>
              <w:spacing w:before="40" w:after="40"/>
              <w:rPr>
                <w:rFonts w:ascii="Arial Narrow" w:hAnsi="Arial Narrow"/>
                <w:b/>
                <w:sz w:val="20"/>
              </w:rPr>
            </w:pPr>
            <w:r w:rsidRPr="00A9117A">
              <w:rPr>
                <w:rFonts w:ascii="Arial Narrow" w:hAnsi="Arial Narrow"/>
                <w:b/>
                <w:sz w:val="20"/>
              </w:rPr>
              <w:t>Tofacitinib 5mg bd versus placebo (month 3)</w:t>
            </w:r>
          </w:p>
        </w:tc>
      </w:tr>
      <w:tr w:rsidR="0080334A" w:rsidRPr="00A9117A" w:rsidTr="00AD0A4F">
        <w:tc>
          <w:tcPr>
            <w:tcW w:w="1001" w:type="dxa"/>
          </w:tcPr>
          <w:p w:rsidR="0080334A" w:rsidRPr="00A9117A" w:rsidRDefault="0080334A" w:rsidP="006530FE">
            <w:pPr>
              <w:keepNext/>
              <w:widowControl/>
              <w:spacing w:before="40" w:after="40"/>
              <w:rPr>
                <w:rFonts w:ascii="Arial Narrow" w:hAnsi="Arial Narrow"/>
                <w:sz w:val="20"/>
              </w:rPr>
            </w:pPr>
            <w:r w:rsidRPr="00A9117A">
              <w:rPr>
                <w:rFonts w:ascii="Arial Narrow" w:hAnsi="Arial Narrow"/>
                <w:sz w:val="20"/>
              </w:rPr>
              <w:t>OPAL BROADEN</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30/107 (28)</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10/105 (10)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3.70 </w:t>
            </w:r>
            <w:r w:rsidRPr="00A9117A">
              <w:rPr>
                <w:rFonts w:ascii="Arial Narrow" w:hAnsi="Arial Narrow"/>
                <w:b/>
                <w:sz w:val="20"/>
              </w:rPr>
              <w:br/>
              <w:t>(1.70, 8.04)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6.08</w:t>
            </w:r>
            <w:r w:rsidRPr="00A9117A">
              <w:rPr>
                <w:rFonts w:ascii="Arial Narrow" w:hAnsi="Arial Narrow"/>
                <w:b/>
                <w:sz w:val="20"/>
              </w:rPr>
              <w:br/>
              <w:t>(3.14, 12.10)</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5.79</w:t>
            </w:r>
            <w:r w:rsidRPr="00A9117A">
              <w:rPr>
                <w:rFonts w:ascii="Arial Narrow" w:hAnsi="Arial Narrow"/>
                <w:b/>
                <w:sz w:val="20"/>
              </w:rPr>
              <w:br/>
              <w:t>(1.39, 12.12)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2.94 </w:t>
            </w:r>
            <w:r w:rsidRPr="00A9117A">
              <w:rPr>
                <w:rFonts w:ascii="Arial Narrow" w:hAnsi="Arial Narrow"/>
                <w:b/>
                <w:sz w:val="20"/>
              </w:rPr>
              <w:br/>
              <w:t>(1.52, 5.71)</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4.64</w:t>
            </w:r>
            <w:r w:rsidRPr="00A9117A">
              <w:rPr>
                <w:rFonts w:ascii="Arial Narrow" w:hAnsi="Arial Narrow"/>
                <w:b/>
                <w:sz w:val="20"/>
              </w:rPr>
              <w:br/>
              <w:t>(2.61, 8.54)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4.44 </w:t>
            </w:r>
            <w:r w:rsidRPr="00A9117A">
              <w:rPr>
                <w:rFonts w:ascii="Arial Narrow" w:hAnsi="Arial Narrow"/>
                <w:b/>
                <w:sz w:val="20"/>
              </w:rPr>
              <w:br/>
              <w:t>(1.36, 11.78)</w:t>
            </w:r>
          </w:p>
        </w:tc>
      </w:tr>
      <w:tr w:rsidR="0080334A" w:rsidRPr="00A9117A" w:rsidTr="00AD0A4F">
        <w:tc>
          <w:tcPr>
            <w:tcW w:w="9017" w:type="dxa"/>
            <w:gridSpan w:val="9"/>
          </w:tcPr>
          <w:p w:rsidR="0080334A" w:rsidRPr="00A9117A" w:rsidRDefault="0080334A" w:rsidP="006530FE">
            <w:pPr>
              <w:keepNext/>
              <w:widowControl/>
              <w:spacing w:before="40" w:after="40"/>
              <w:rPr>
                <w:rFonts w:ascii="Arial Narrow" w:hAnsi="Arial Narrow"/>
                <w:b/>
                <w:sz w:val="20"/>
              </w:rPr>
            </w:pPr>
            <w:r w:rsidRPr="00A9117A">
              <w:rPr>
                <w:rFonts w:ascii="Arial Narrow" w:hAnsi="Arial Narrow"/>
                <w:b/>
                <w:sz w:val="20"/>
              </w:rPr>
              <w:t>Adalimumab 40mg Q2W versus placebo (week 12)</w:t>
            </w: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OPAL BROADEN</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35/106 (33)</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10/105 (10)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4.68 </w:t>
            </w:r>
            <w:r w:rsidRPr="00A9117A">
              <w:rPr>
                <w:rFonts w:ascii="Arial Narrow" w:hAnsi="Arial Narrow"/>
                <w:b/>
                <w:sz w:val="20"/>
              </w:rPr>
              <w:br/>
              <w:t>(1.72, 7.97)</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8.95</w:t>
            </w:r>
            <w:r w:rsidRPr="00A9117A">
              <w:rPr>
                <w:rFonts w:ascii="Arial Narrow" w:hAnsi="Arial Narrow"/>
                <w:b/>
                <w:sz w:val="20"/>
              </w:rPr>
              <w:br/>
              <w:t>(5.65, 14.81)</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9.21 </w:t>
            </w:r>
            <w:r w:rsidRPr="00A9117A">
              <w:rPr>
                <w:rFonts w:ascii="Arial Narrow" w:hAnsi="Arial Narrow"/>
                <w:b/>
                <w:sz w:val="20"/>
              </w:rPr>
              <w:br/>
              <w:t>(4.24, 23.65)</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3.47 </w:t>
            </w:r>
            <w:r w:rsidRPr="00A9117A">
              <w:rPr>
                <w:rFonts w:ascii="Arial Narrow" w:hAnsi="Arial Narrow"/>
                <w:b/>
                <w:sz w:val="20"/>
              </w:rPr>
              <w:br/>
              <w:t>(1.81, 6.63)</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6.21</w:t>
            </w:r>
            <w:r w:rsidRPr="00A9117A">
              <w:rPr>
                <w:rFonts w:ascii="Arial Narrow" w:hAnsi="Arial Narrow"/>
                <w:b/>
                <w:sz w:val="20"/>
              </w:rPr>
              <w:br/>
              <w:t>(3.50, 10.30)</w:t>
            </w:r>
          </w:p>
        </w:tc>
        <w:tc>
          <w:tcPr>
            <w:tcW w:w="1002"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6.24</w:t>
            </w:r>
            <w:r w:rsidRPr="00A9117A">
              <w:rPr>
                <w:rFonts w:ascii="Arial Narrow" w:hAnsi="Arial Narrow"/>
                <w:b/>
                <w:sz w:val="20"/>
              </w:rPr>
              <w:br/>
              <w:t>(3.09, 12.77)</w:t>
            </w: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SPIRIT-P1</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30/101 (30)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5/106 (4.7)</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8.54 </w:t>
            </w:r>
            <w:r w:rsidRPr="00A9117A">
              <w:rPr>
                <w:rFonts w:ascii="Arial Narrow" w:hAnsi="Arial Narrow"/>
                <w:b/>
                <w:sz w:val="20"/>
              </w:rPr>
              <w:br/>
              <w:t>(3.16, 23.07)</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6.30</w:t>
            </w:r>
            <w:r w:rsidRPr="00A9117A">
              <w:rPr>
                <w:rFonts w:ascii="Arial Narrow" w:hAnsi="Arial Narrow"/>
                <w:b/>
                <w:sz w:val="20"/>
              </w:rPr>
              <w:br/>
              <w:t>(2.54, 15.59)</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Genovese 2007</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13/51 (25)</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1/49 (2)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16.42 </w:t>
            </w:r>
            <w:r w:rsidRPr="00A9117A">
              <w:rPr>
                <w:rFonts w:ascii="Arial Narrow" w:hAnsi="Arial Narrow"/>
                <w:b/>
                <w:sz w:val="20"/>
              </w:rPr>
              <w:br/>
              <w:t>(1.29, 8.49)</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12.49 </w:t>
            </w:r>
            <w:r w:rsidRPr="00A9117A">
              <w:rPr>
                <w:rFonts w:ascii="Arial Narrow" w:hAnsi="Arial Narrow"/>
                <w:b/>
                <w:sz w:val="20"/>
              </w:rPr>
              <w:br/>
              <w:t>(1.70, 91.91)</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ADEPT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87/151 (58)</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23/162 (14)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14.47</w:t>
            </w:r>
            <w:r w:rsidRPr="00A9117A">
              <w:rPr>
                <w:rFonts w:ascii="Arial Narrow" w:hAnsi="Arial Narrow"/>
                <w:b/>
                <w:sz w:val="20"/>
              </w:rPr>
              <w:br/>
              <w:t>(6.00, 34.92)</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b/>
                <w:sz w:val="20"/>
              </w:rPr>
              <w:t xml:space="preserve">9.66 </w:t>
            </w:r>
            <w:r w:rsidRPr="00A9117A">
              <w:rPr>
                <w:rFonts w:ascii="Arial Narrow" w:hAnsi="Arial Narrow"/>
                <w:b/>
                <w:sz w:val="20"/>
              </w:rPr>
              <w:br/>
              <w:t>(4.28, 21.79)</w:t>
            </w: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c>
          <w:tcPr>
            <w:tcW w:w="1002" w:type="dxa"/>
            <w:vMerge/>
            <w:vAlign w:val="center"/>
          </w:tcPr>
          <w:p w:rsidR="0080334A" w:rsidRPr="00A9117A" w:rsidRDefault="0080334A" w:rsidP="006530FE">
            <w:pPr>
              <w:keepNext/>
              <w:widowControl/>
              <w:spacing w:before="40" w:after="40"/>
              <w:jc w:val="center"/>
              <w:rPr>
                <w:rFonts w:ascii="Arial Narrow" w:hAnsi="Arial Narrow"/>
                <w:sz w:val="20"/>
              </w:rPr>
            </w:pPr>
          </w:p>
        </w:tc>
      </w:tr>
      <w:tr w:rsidR="0080334A" w:rsidRPr="00A9117A" w:rsidTr="00AD0A4F">
        <w:tc>
          <w:tcPr>
            <w:tcW w:w="1001" w:type="dxa"/>
            <w:vAlign w:val="center"/>
          </w:tcPr>
          <w:p w:rsidR="0080334A" w:rsidRPr="00A9117A" w:rsidRDefault="0080334A" w:rsidP="006530FE">
            <w:pPr>
              <w:keepNext/>
              <w:widowControl/>
              <w:tabs>
                <w:tab w:val="left" w:pos="0"/>
              </w:tabs>
              <w:spacing w:before="40" w:after="40"/>
              <w:jc w:val="right"/>
              <w:rPr>
                <w:rFonts w:ascii="Arial Narrow" w:hAnsi="Arial Narrow"/>
                <w:sz w:val="20"/>
              </w:rPr>
            </w:pPr>
            <w:r w:rsidRPr="00A9117A">
              <w:rPr>
                <w:rFonts w:ascii="Arial Narrow" w:hAnsi="Arial Narrow"/>
                <w:sz w:val="20"/>
              </w:rPr>
              <w:t>Meta-analysis</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214/409 (52)</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99/422 (24)</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8.47 </w:t>
            </w:r>
            <w:r w:rsidRPr="00A9117A">
              <w:rPr>
                <w:rFonts w:ascii="Arial Narrow" w:hAnsi="Arial Narrow"/>
                <w:b/>
                <w:sz w:val="20"/>
              </w:rPr>
              <w:br/>
              <w:t>(4.67, 15.39)</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6.01 </w:t>
            </w:r>
            <w:r w:rsidRPr="00A9117A">
              <w:rPr>
                <w:rFonts w:ascii="Arial Narrow" w:hAnsi="Arial Narrow"/>
                <w:b/>
                <w:sz w:val="20"/>
              </w:rPr>
              <w:br/>
              <w:t>(3.38, 10.70)</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c>
          <w:tcPr>
            <w:tcW w:w="1002"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w:t>
            </w:r>
          </w:p>
        </w:tc>
      </w:tr>
      <w:tr w:rsidR="0080334A" w:rsidRPr="00A9117A" w:rsidTr="00AD0A4F">
        <w:tc>
          <w:tcPr>
            <w:tcW w:w="3005" w:type="dxa"/>
            <w:gridSpan w:val="3"/>
            <w:shd w:val="clear" w:color="auto" w:fill="D9D9D9" w:themeFill="background1" w:themeFillShade="D9"/>
            <w:vAlign w:val="center"/>
          </w:tcPr>
          <w:p w:rsidR="0080334A" w:rsidRPr="00A9117A" w:rsidRDefault="0080334A" w:rsidP="006530FE">
            <w:pPr>
              <w:keepNext/>
              <w:widowControl/>
              <w:spacing w:before="40" w:after="40"/>
              <w:jc w:val="right"/>
              <w:rPr>
                <w:rFonts w:ascii="Arial Narrow" w:hAnsi="Arial Narrow"/>
                <w:sz w:val="20"/>
              </w:rPr>
            </w:pPr>
            <w:r w:rsidRPr="00A9117A">
              <w:rPr>
                <w:rFonts w:ascii="Arial Narrow" w:hAnsi="Arial Narrow"/>
                <w:sz w:val="20"/>
              </w:rPr>
              <w:t>Indirect comparison</w:t>
            </w:r>
            <w:r w:rsidRPr="00A9117A">
              <w:rPr>
                <w:rFonts w:ascii="Arial Narrow" w:hAnsi="Arial Narrow"/>
                <w:sz w:val="20"/>
              </w:rPr>
              <w:br/>
              <w:t>(tofacitinib versus adalimumab)</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0.44 </w:t>
            </w:r>
            <w:r w:rsidRPr="00A9117A">
              <w:rPr>
                <w:rFonts w:ascii="Arial Narrow" w:hAnsi="Arial Narrow"/>
                <w:sz w:val="20"/>
              </w:rPr>
              <w:br/>
              <w:t>(0.16, 1.16)</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0.68</w:t>
            </w:r>
            <w:r w:rsidRPr="00A9117A">
              <w:rPr>
                <w:rFonts w:ascii="Arial Narrow" w:hAnsi="Arial Narrow"/>
                <w:sz w:val="20"/>
              </w:rPr>
              <w:br/>
              <w:t>(0.39, 1.19)</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0.63</w:t>
            </w:r>
            <w:r w:rsidRPr="00A9117A">
              <w:rPr>
                <w:rFonts w:ascii="Arial Narrow" w:hAnsi="Arial Narrow"/>
                <w:sz w:val="20"/>
              </w:rPr>
              <w:br/>
              <w:t>(0.14, 2.21)</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0.49 </w:t>
            </w:r>
            <w:r w:rsidRPr="00A9117A">
              <w:rPr>
                <w:rFonts w:ascii="Arial Narrow" w:hAnsi="Arial Narrow"/>
                <w:sz w:val="20"/>
              </w:rPr>
              <w:br/>
              <w:t>(</w:t>
            </w:r>
            <w:r w:rsidRPr="00A9117A">
              <w:rPr>
                <w:rFonts w:ascii="Arial Narrow" w:hAnsi="Arial Narrow"/>
                <w:sz w:val="20"/>
                <w:u w:val="single"/>
              </w:rPr>
              <w:t>0.20</w:t>
            </w:r>
            <w:r w:rsidRPr="00A9117A">
              <w:rPr>
                <w:rFonts w:ascii="Arial Narrow" w:hAnsi="Arial Narrow"/>
                <w:sz w:val="20"/>
              </w:rPr>
              <w:t>, 1.18)</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0.77</w:t>
            </w:r>
            <w:r w:rsidRPr="00A9117A">
              <w:rPr>
                <w:rFonts w:ascii="Arial Narrow" w:hAnsi="Arial Narrow"/>
                <w:sz w:val="20"/>
              </w:rPr>
              <w:br/>
              <w:t>(</w:t>
            </w:r>
            <w:r w:rsidRPr="00A9117A">
              <w:rPr>
                <w:rFonts w:ascii="Arial Narrow" w:hAnsi="Arial Narrow"/>
                <w:sz w:val="20"/>
                <w:u w:val="single"/>
              </w:rPr>
              <w:t>0.47</w:t>
            </w:r>
            <w:r w:rsidRPr="00A9117A">
              <w:rPr>
                <w:rFonts w:ascii="Arial Narrow" w:hAnsi="Arial Narrow"/>
                <w:sz w:val="20"/>
              </w:rPr>
              <w:t>, 1.12)</w:t>
            </w:r>
          </w:p>
        </w:tc>
        <w:tc>
          <w:tcPr>
            <w:tcW w:w="1002" w:type="dxa"/>
            <w:shd w:val="clear" w:color="auto" w:fill="D9D9D9" w:themeFill="background1" w:themeFillShade="D9"/>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0.74</w:t>
            </w:r>
            <w:r w:rsidRPr="00A9117A">
              <w:rPr>
                <w:rFonts w:ascii="Arial Narrow" w:hAnsi="Arial Narrow"/>
                <w:sz w:val="20"/>
              </w:rPr>
              <w:br/>
              <w:t>(</w:t>
            </w:r>
            <w:r w:rsidRPr="00A9117A">
              <w:rPr>
                <w:rFonts w:ascii="Arial Narrow" w:hAnsi="Arial Narrow"/>
                <w:sz w:val="20"/>
                <w:u w:val="single"/>
              </w:rPr>
              <w:t>0.22</w:t>
            </w:r>
            <w:r w:rsidRPr="00A9117A">
              <w:rPr>
                <w:rFonts w:ascii="Arial Narrow" w:hAnsi="Arial Narrow"/>
                <w:sz w:val="20"/>
              </w:rPr>
              <w:t>, 1.60)</w:t>
            </w:r>
          </w:p>
        </w:tc>
      </w:tr>
    </w:tbl>
    <w:p w:rsidR="0080334A" w:rsidRPr="00A9117A" w:rsidRDefault="0080334A" w:rsidP="006530FE">
      <w:pPr>
        <w:keepNext/>
        <w:widowControl/>
        <w:tabs>
          <w:tab w:val="left" w:pos="284"/>
        </w:tabs>
        <w:rPr>
          <w:rFonts w:ascii="Arial Narrow" w:hAnsi="Arial Narrow"/>
          <w:sz w:val="18"/>
        </w:rPr>
      </w:pPr>
      <w:r w:rsidRPr="00A9117A">
        <w:rPr>
          <w:rFonts w:ascii="Arial Narrow" w:hAnsi="Arial Narrow"/>
          <w:sz w:val="18"/>
        </w:rPr>
        <w:t>ACR – American College of Rheumatology; bd – twice daily; CI - Confidence Interval; Crl – Credible interval ; FE - Fixed Effect;  n -  number of participants with event; N - total number of participants in group; NMA - Network meta-analysis; OR -  Odds Ratio; Q2W – once every 2 week; RE – Random Effects; RR - Relative risk.</w:t>
      </w:r>
    </w:p>
    <w:p w:rsidR="0080334A" w:rsidRPr="00A9117A" w:rsidRDefault="0080334A" w:rsidP="006530FE">
      <w:pPr>
        <w:keepNext/>
        <w:widowControl/>
        <w:tabs>
          <w:tab w:val="left" w:pos="284"/>
        </w:tabs>
        <w:rPr>
          <w:rFonts w:ascii="Arial Narrow" w:hAnsi="Arial Narrow"/>
          <w:sz w:val="18"/>
        </w:rPr>
      </w:pPr>
      <w:r w:rsidRPr="00A9117A">
        <w:rPr>
          <w:rFonts w:ascii="Arial Narrow" w:hAnsi="Arial Narrow"/>
          <w:sz w:val="18"/>
        </w:rPr>
        <w:t>Bold typography indicates statistically significant differences between treatments</w:t>
      </w:r>
    </w:p>
    <w:p w:rsidR="0080334A" w:rsidRPr="00A9117A" w:rsidRDefault="0080334A" w:rsidP="006530FE">
      <w:pPr>
        <w:keepNext/>
        <w:widowControl/>
        <w:tabs>
          <w:tab w:val="left" w:pos="0"/>
        </w:tabs>
        <w:rPr>
          <w:rFonts w:ascii="Arial Narrow" w:hAnsi="Arial Narrow"/>
          <w:sz w:val="18"/>
        </w:rPr>
      </w:pPr>
      <w:r w:rsidRPr="00A9117A">
        <w:rPr>
          <w:rFonts w:ascii="Arial Narrow" w:hAnsi="Arial Narrow"/>
          <w:sz w:val="18"/>
        </w:rPr>
        <w:t>Underlined values represent the values compared against the non-inferiority margin of 0.29 for ACR50</w:t>
      </w:r>
    </w:p>
    <w:p w:rsidR="0080334A" w:rsidRPr="00A9117A" w:rsidRDefault="0080334A" w:rsidP="006530FE">
      <w:pPr>
        <w:keepNext/>
        <w:widowControl/>
        <w:tabs>
          <w:tab w:val="left" w:pos="284"/>
        </w:tabs>
        <w:rPr>
          <w:rFonts w:ascii="Arial Narrow" w:hAnsi="Arial Narrow"/>
          <w:sz w:val="18"/>
        </w:rPr>
      </w:pPr>
      <w:r w:rsidRPr="00A9117A">
        <w:rPr>
          <w:rFonts w:ascii="Arial Narrow" w:hAnsi="Arial Narrow"/>
          <w:sz w:val="18"/>
        </w:rPr>
        <w:t>Source: Table 2.45, p115 of the submission &amp; Attachment 3 Appendix D (Network Meta-analysis Results) Excel Spreadsheet</w:t>
      </w:r>
    </w:p>
    <w:p w:rsidR="006530FE" w:rsidRPr="00A9117A" w:rsidRDefault="006530FE" w:rsidP="006530FE">
      <w:pPr>
        <w:keepNext/>
        <w:widowControl/>
        <w:tabs>
          <w:tab w:val="left" w:pos="284"/>
        </w:tabs>
        <w:rPr>
          <w:rFonts w:ascii="Arial Narrow" w:hAnsi="Arial Narrow"/>
          <w:sz w:val="18"/>
        </w:rPr>
      </w:pPr>
    </w:p>
    <w:p w:rsidR="0080334A" w:rsidRPr="00A9117A" w:rsidRDefault="00C31431" w:rsidP="006530FE">
      <w:pPr>
        <w:pStyle w:val="ListParagraph"/>
        <w:widowControl/>
        <w:numPr>
          <w:ilvl w:val="1"/>
          <w:numId w:val="2"/>
        </w:numPr>
        <w:spacing w:after="120"/>
      </w:pPr>
      <w:r w:rsidRPr="00A9117A">
        <w:rPr>
          <w:rFonts w:cs="Calibri"/>
          <w:snapToGrid/>
          <w:szCs w:val="24"/>
          <w:lang w:val="en-US" w:eastAsia="en-AU"/>
        </w:rPr>
        <w:t xml:space="preserve">The results of the </w:t>
      </w:r>
      <w:r w:rsidR="0080334A" w:rsidRPr="00A9117A">
        <w:rPr>
          <w:rFonts w:cs="Calibri"/>
          <w:snapToGrid/>
          <w:szCs w:val="24"/>
          <w:lang w:val="en-US" w:eastAsia="en-AU"/>
        </w:rPr>
        <w:t>unadjusted (</w:t>
      </w:r>
      <w:r w:rsidR="008D5DB9" w:rsidRPr="00A9117A">
        <w:rPr>
          <w:rFonts w:cs="Calibri"/>
          <w:snapToGrid/>
          <w:szCs w:val="24"/>
          <w:lang w:val="en-US" w:eastAsia="en-AU"/>
        </w:rPr>
        <w:t>Trial [</w:t>
      </w:r>
      <w:r w:rsidR="0080334A" w:rsidRPr="00A9117A">
        <w:rPr>
          <w:rFonts w:cs="Calibri"/>
          <w:snapToGrid/>
          <w:szCs w:val="24"/>
          <w:lang w:val="en-US" w:eastAsia="en-AU"/>
        </w:rPr>
        <w:t>Bucher</w:t>
      </w:r>
      <w:r w:rsidR="008D5DB9" w:rsidRPr="00A9117A">
        <w:rPr>
          <w:rFonts w:cs="Calibri"/>
          <w:snapToGrid/>
          <w:szCs w:val="24"/>
          <w:lang w:val="en-US" w:eastAsia="en-AU"/>
        </w:rPr>
        <w:t>]</w:t>
      </w:r>
      <w:r w:rsidR="0080334A" w:rsidRPr="00A9117A">
        <w:rPr>
          <w:rFonts w:cs="Calibri"/>
          <w:snapToGrid/>
          <w:szCs w:val="24"/>
          <w:lang w:val="en-US" w:eastAsia="en-AU"/>
        </w:rPr>
        <w:t>) and adjusted (NMA</w:t>
      </w:r>
      <w:r w:rsidR="008D5DB9" w:rsidRPr="00A9117A">
        <w:rPr>
          <w:rFonts w:cs="Calibri"/>
          <w:snapToGrid/>
          <w:szCs w:val="24"/>
          <w:lang w:val="en-US" w:eastAsia="en-AU"/>
        </w:rPr>
        <w:t xml:space="preserve"> FE and RE</w:t>
      </w:r>
      <w:r w:rsidR="0080334A" w:rsidRPr="00A9117A">
        <w:rPr>
          <w:rFonts w:cs="Calibri"/>
          <w:snapToGrid/>
          <w:szCs w:val="24"/>
          <w:lang w:val="en-US" w:eastAsia="en-AU"/>
        </w:rPr>
        <w:t xml:space="preserve">) </w:t>
      </w:r>
      <w:r w:rsidRPr="00A9117A">
        <w:rPr>
          <w:rFonts w:cs="Calibri"/>
          <w:snapToGrid/>
          <w:szCs w:val="24"/>
          <w:lang w:val="en-US" w:eastAsia="en-AU"/>
        </w:rPr>
        <w:t>indirect comparison</w:t>
      </w:r>
      <w:r w:rsidR="0080334A" w:rsidRPr="00A9117A">
        <w:rPr>
          <w:rFonts w:cs="Calibri"/>
          <w:snapToGrid/>
          <w:szCs w:val="24"/>
          <w:lang w:val="en-US" w:eastAsia="en-AU"/>
        </w:rPr>
        <w:t>s</w:t>
      </w:r>
      <w:r w:rsidRPr="00A9117A">
        <w:rPr>
          <w:rFonts w:cs="Calibri"/>
          <w:snapToGrid/>
          <w:szCs w:val="24"/>
          <w:lang w:val="en-US" w:eastAsia="en-AU"/>
        </w:rPr>
        <w:t xml:space="preserve"> showed that there was no statistically significant difference between tofacitinib and adalimumab based on ACR20 </w:t>
      </w:r>
      <w:r w:rsidR="0080334A" w:rsidRPr="00A9117A">
        <w:rPr>
          <w:rFonts w:cs="Calibri"/>
          <w:snapToGrid/>
          <w:szCs w:val="24"/>
          <w:lang w:val="en-US" w:eastAsia="en-AU"/>
        </w:rPr>
        <w:t>and ACR50 outcomes</w:t>
      </w:r>
      <w:r w:rsidRPr="00A9117A">
        <w:rPr>
          <w:rFonts w:cs="Calibri"/>
          <w:snapToGrid/>
          <w:szCs w:val="24"/>
          <w:lang w:val="en-US" w:eastAsia="en-AU"/>
        </w:rPr>
        <w:t>. However,</w:t>
      </w:r>
      <w:r w:rsidR="0080334A" w:rsidRPr="00A9117A">
        <w:rPr>
          <w:rFonts w:cs="Calibri"/>
          <w:snapToGrid/>
          <w:szCs w:val="24"/>
          <w:lang w:val="en-US" w:eastAsia="en-AU"/>
        </w:rPr>
        <w:t xml:space="preserve"> differences were noted between the comparisons with respect to whether the nominated non-inferiority margins of 0.46 for ACR20 and 0.29 for ACR50 were met</w:t>
      </w:r>
      <w:r w:rsidR="008349CF" w:rsidRPr="00A9117A">
        <w:rPr>
          <w:rFonts w:cs="Calibri"/>
          <w:snapToGrid/>
          <w:szCs w:val="24"/>
          <w:lang w:val="en-US" w:eastAsia="en-AU"/>
        </w:rPr>
        <w:t>.</w:t>
      </w:r>
    </w:p>
    <w:p w:rsidR="00A1030C" w:rsidRPr="00A9117A" w:rsidRDefault="00A1030C" w:rsidP="006530FE">
      <w:pPr>
        <w:pStyle w:val="TableHeading0"/>
        <w:keepNext/>
        <w:jc w:val="both"/>
      </w:pPr>
      <w:r w:rsidRPr="00A9117A">
        <w:t xml:space="preserve">Table </w:t>
      </w:r>
      <w:r w:rsidR="00AD4C07">
        <w:rPr>
          <w:noProof/>
        </w:rPr>
        <w:t>8</w:t>
      </w:r>
      <w:r w:rsidRPr="00A9117A">
        <w:t>: Summary of non-inferiority outcomes by analysis method</w:t>
      </w:r>
    </w:p>
    <w:tbl>
      <w:tblPr>
        <w:tblStyle w:val="TableGrid"/>
        <w:tblW w:w="9100" w:type="dxa"/>
        <w:tblCellMar>
          <w:left w:w="28" w:type="dxa"/>
          <w:right w:w="28" w:type="dxa"/>
        </w:tblCellMar>
        <w:tblLook w:val="04A0" w:firstRow="1" w:lastRow="0" w:firstColumn="1" w:lastColumn="0" w:noHBand="0" w:noVBand="1"/>
        <w:tblCaption w:val="Summary of non-inferiority outcomes by analysis method"/>
      </w:tblPr>
      <w:tblGrid>
        <w:gridCol w:w="1701"/>
        <w:gridCol w:w="850"/>
        <w:gridCol w:w="851"/>
        <w:gridCol w:w="5698"/>
      </w:tblGrid>
      <w:tr w:rsidR="0080334A" w:rsidRPr="00A9117A" w:rsidTr="006D2D3C">
        <w:trPr>
          <w:tblHeader/>
        </w:trPr>
        <w:tc>
          <w:tcPr>
            <w:tcW w:w="1701" w:type="dxa"/>
            <w:vMerge w:val="restart"/>
            <w:vAlign w:val="bottom"/>
          </w:tcPr>
          <w:p w:rsidR="0080334A" w:rsidRPr="00A9117A" w:rsidRDefault="0080334A" w:rsidP="006530FE">
            <w:pPr>
              <w:keepNext/>
              <w:widowControl/>
              <w:spacing w:before="40" w:after="40"/>
              <w:jc w:val="left"/>
              <w:rPr>
                <w:rFonts w:ascii="Arial Narrow" w:hAnsi="Arial Narrow"/>
                <w:b/>
                <w:sz w:val="20"/>
              </w:rPr>
            </w:pPr>
            <w:r w:rsidRPr="00A9117A">
              <w:rPr>
                <w:rFonts w:ascii="Arial Narrow" w:hAnsi="Arial Narrow"/>
                <w:b/>
                <w:sz w:val="20"/>
              </w:rPr>
              <w:t xml:space="preserve">Comparison </w:t>
            </w:r>
          </w:p>
        </w:tc>
        <w:tc>
          <w:tcPr>
            <w:tcW w:w="1701" w:type="dxa"/>
            <w:gridSpan w:val="2"/>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NI met</w:t>
            </w:r>
          </w:p>
        </w:tc>
        <w:tc>
          <w:tcPr>
            <w:tcW w:w="5698" w:type="dxa"/>
            <w:vMerge w:val="restart"/>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 xml:space="preserve">Comment </w:t>
            </w:r>
          </w:p>
        </w:tc>
      </w:tr>
      <w:tr w:rsidR="0080334A" w:rsidRPr="00A9117A" w:rsidTr="006D2D3C">
        <w:trPr>
          <w:tblHeader/>
        </w:trPr>
        <w:tc>
          <w:tcPr>
            <w:tcW w:w="1701" w:type="dxa"/>
            <w:vMerge/>
          </w:tcPr>
          <w:p w:rsidR="0080334A" w:rsidRPr="00A9117A" w:rsidRDefault="0080334A" w:rsidP="006530FE">
            <w:pPr>
              <w:keepNext/>
              <w:widowControl/>
              <w:spacing w:before="40" w:after="40"/>
              <w:rPr>
                <w:rFonts w:ascii="Arial Narrow" w:hAnsi="Arial Narrow"/>
                <w:b/>
                <w:sz w:val="20"/>
              </w:rPr>
            </w:pPr>
          </w:p>
        </w:tc>
        <w:tc>
          <w:tcPr>
            <w:tcW w:w="850"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ACR20</w:t>
            </w:r>
          </w:p>
        </w:tc>
        <w:tc>
          <w:tcPr>
            <w:tcW w:w="851" w:type="dxa"/>
            <w:vAlign w:val="center"/>
          </w:tcPr>
          <w:p w:rsidR="0080334A" w:rsidRPr="00A9117A" w:rsidRDefault="0080334A" w:rsidP="006530FE">
            <w:pPr>
              <w:keepNext/>
              <w:widowControl/>
              <w:spacing w:before="40" w:after="40"/>
              <w:jc w:val="center"/>
              <w:rPr>
                <w:rFonts w:ascii="Arial Narrow" w:hAnsi="Arial Narrow"/>
                <w:b/>
                <w:sz w:val="20"/>
              </w:rPr>
            </w:pPr>
            <w:r w:rsidRPr="00A9117A">
              <w:rPr>
                <w:rFonts w:ascii="Arial Narrow" w:hAnsi="Arial Narrow"/>
                <w:b/>
                <w:sz w:val="20"/>
              </w:rPr>
              <w:t>ACR50</w:t>
            </w:r>
          </w:p>
        </w:tc>
        <w:tc>
          <w:tcPr>
            <w:tcW w:w="5698" w:type="dxa"/>
            <w:vMerge/>
          </w:tcPr>
          <w:p w:rsidR="0080334A" w:rsidRPr="00A9117A" w:rsidRDefault="0080334A" w:rsidP="006530FE">
            <w:pPr>
              <w:keepNext/>
              <w:widowControl/>
              <w:spacing w:before="40" w:after="40"/>
              <w:rPr>
                <w:rFonts w:ascii="Arial Narrow" w:hAnsi="Arial Narrow"/>
                <w:sz w:val="20"/>
              </w:rPr>
            </w:pPr>
          </w:p>
        </w:tc>
      </w:tr>
      <w:tr w:rsidR="000C5E38" w:rsidRPr="00A9117A" w:rsidTr="000C5E38">
        <w:tc>
          <w:tcPr>
            <w:tcW w:w="1701" w:type="dxa"/>
          </w:tcPr>
          <w:p w:rsidR="000C5E38" w:rsidRPr="00A9117A" w:rsidRDefault="000C5E38" w:rsidP="006530FE">
            <w:pPr>
              <w:keepNext/>
              <w:widowControl/>
              <w:spacing w:before="40" w:after="40"/>
              <w:jc w:val="left"/>
              <w:rPr>
                <w:rFonts w:ascii="Arial Narrow" w:hAnsi="Arial Narrow"/>
                <w:sz w:val="20"/>
              </w:rPr>
            </w:pPr>
            <w:r w:rsidRPr="00BD7B79">
              <w:rPr>
                <w:rFonts w:ascii="Arial Narrow" w:hAnsi="Arial Narrow"/>
                <w:sz w:val="20"/>
              </w:rPr>
              <w:t>Head-to-head</w:t>
            </w:r>
          </w:p>
        </w:tc>
        <w:tc>
          <w:tcPr>
            <w:tcW w:w="850" w:type="dxa"/>
            <w:vAlign w:val="center"/>
          </w:tcPr>
          <w:p w:rsidR="000C5E38" w:rsidRPr="00A9117A" w:rsidRDefault="000C5E38" w:rsidP="006530FE">
            <w:pPr>
              <w:keepNext/>
              <w:widowControl/>
              <w:spacing w:before="40" w:after="40"/>
              <w:jc w:val="center"/>
              <w:rPr>
                <w:rFonts w:ascii="Arial Narrow" w:hAnsi="Arial Narrow"/>
                <w:sz w:val="20"/>
              </w:rPr>
            </w:pPr>
            <w:r w:rsidRPr="00BD7B79">
              <w:rPr>
                <w:rFonts w:ascii="Arial Narrow" w:hAnsi="Arial Narrow"/>
                <w:sz w:val="20"/>
              </w:rPr>
              <w:t xml:space="preserve">Yes </w:t>
            </w:r>
          </w:p>
        </w:tc>
        <w:tc>
          <w:tcPr>
            <w:tcW w:w="851" w:type="dxa"/>
            <w:vAlign w:val="center"/>
          </w:tcPr>
          <w:p w:rsidR="000C5E38" w:rsidRPr="00A9117A" w:rsidRDefault="000C5E38" w:rsidP="006530FE">
            <w:pPr>
              <w:keepNext/>
              <w:widowControl/>
              <w:spacing w:before="40" w:after="40"/>
              <w:jc w:val="center"/>
              <w:rPr>
                <w:rFonts w:ascii="Arial Narrow" w:hAnsi="Arial Narrow"/>
                <w:sz w:val="20"/>
              </w:rPr>
            </w:pPr>
            <w:r w:rsidRPr="00BD7B79">
              <w:rPr>
                <w:rFonts w:ascii="Arial Narrow" w:hAnsi="Arial Narrow"/>
                <w:sz w:val="20"/>
              </w:rPr>
              <w:t xml:space="preserve">Yes </w:t>
            </w:r>
          </w:p>
        </w:tc>
        <w:tc>
          <w:tcPr>
            <w:tcW w:w="5698" w:type="dxa"/>
            <w:vAlign w:val="center"/>
          </w:tcPr>
          <w:p w:rsidR="000C5E38" w:rsidRPr="00A9117A" w:rsidRDefault="000C5E38" w:rsidP="006530FE">
            <w:pPr>
              <w:keepNext/>
              <w:widowControl/>
              <w:spacing w:before="40" w:after="40"/>
              <w:jc w:val="left"/>
              <w:rPr>
                <w:rFonts w:ascii="Arial Narrow" w:hAnsi="Arial Narrow"/>
                <w:sz w:val="20"/>
              </w:rPr>
            </w:pPr>
            <w:r w:rsidRPr="00BD7B79">
              <w:rPr>
                <w:rFonts w:ascii="Arial Narrow" w:hAnsi="Arial Narrow"/>
                <w:sz w:val="20"/>
              </w:rPr>
              <w:t>Trial not designed to demonstrate non-inferiority</w:t>
            </w:r>
          </w:p>
        </w:tc>
      </w:tr>
      <w:tr w:rsidR="0080334A" w:rsidRPr="00A9117A" w:rsidTr="006D2D3C">
        <w:tc>
          <w:tcPr>
            <w:tcW w:w="1701"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Indirect (Bucher)</w:t>
            </w:r>
          </w:p>
        </w:tc>
        <w:tc>
          <w:tcPr>
            <w:tcW w:w="850"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No </w:t>
            </w:r>
          </w:p>
        </w:tc>
        <w:tc>
          <w:tcPr>
            <w:tcW w:w="851"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No </w:t>
            </w:r>
          </w:p>
        </w:tc>
        <w:tc>
          <w:tcPr>
            <w:tcW w:w="5698" w:type="dxa"/>
            <w:vAlign w:val="center"/>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The high level of statistical heterogeneity in the meta-analyses of the adalimumab trials and variation in placebo response rates across the trials compromised the validity of the indirect comparison.</w:t>
            </w:r>
          </w:p>
        </w:tc>
      </w:tr>
      <w:tr w:rsidR="0080334A" w:rsidRPr="00A9117A" w:rsidTr="006D2D3C">
        <w:trPr>
          <w:trHeight w:val="379"/>
        </w:trPr>
        <w:tc>
          <w:tcPr>
            <w:tcW w:w="1701" w:type="dxa"/>
          </w:tcPr>
          <w:p w:rsidR="0080334A" w:rsidRPr="00A9117A" w:rsidRDefault="0080334A" w:rsidP="006530FE">
            <w:pPr>
              <w:keepNext/>
              <w:widowControl/>
              <w:spacing w:before="40" w:after="40"/>
              <w:rPr>
                <w:rFonts w:ascii="Arial Narrow" w:hAnsi="Arial Narrow"/>
                <w:sz w:val="20"/>
              </w:rPr>
            </w:pPr>
            <w:r w:rsidRPr="00A9117A">
              <w:rPr>
                <w:rFonts w:ascii="Arial Narrow" w:hAnsi="Arial Narrow"/>
                <w:sz w:val="20"/>
              </w:rPr>
              <w:t>NMA (fixed effects)</w:t>
            </w:r>
          </w:p>
        </w:tc>
        <w:tc>
          <w:tcPr>
            <w:tcW w:w="850"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Yes </w:t>
            </w:r>
          </w:p>
        </w:tc>
        <w:tc>
          <w:tcPr>
            <w:tcW w:w="851"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Yes </w:t>
            </w:r>
          </w:p>
        </w:tc>
        <w:tc>
          <w:tcPr>
            <w:tcW w:w="5698" w:type="dxa"/>
            <w:vMerge w:val="restart"/>
          </w:tcPr>
          <w:p w:rsidR="0080334A" w:rsidRPr="00A9117A" w:rsidRDefault="0080334A" w:rsidP="006530FE">
            <w:pPr>
              <w:keepNext/>
              <w:widowControl/>
              <w:spacing w:before="40" w:after="40"/>
              <w:jc w:val="left"/>
              <w:rPr>
                <w:rFonts w:ascii="Arial Narrow" w:hAnsi="Arial Narrow"/>
                <w:sz w:val="20"/>
              </w:rPr>
            </w:pPr>
            <w:r w:rsidRPr="00A9117A">
              <w:rPr>
                <w:rFonts w:ascii="Arial Narrow" w:hAnsi="Arial Narrow"/>
                <w:sz w:val="20"/>
              </w:rPr>
              <w:t>Cannot be considered a reliable source of evidence to inform the clinical claim of the submission due to issues regarding the validity and reliability of the methods and results.</w:t>
            </w:r>
          </w:p>
        </w:tc>
      </w:tr>
      <w:tr w:rsidR="0080334A" w:rsidRPr="00A9117A" w:rsidTr="006D2D3C">
        <w:trPr>
          <w:trHeight w:val="379"/>
        </w:trPr>
        <w:tc>
          <w:tcPr>
            <w:tcW w:w="1701" w:type="dxa"/>
          </w:tcPr>
          <w:p w:rsidR="0080334A" w:rsidRPr="00A9117A" w:rsidRDefault="0080334A" w:rsidP="006530FE">
            <w:pPr>
              <w:keepNext/>
              <w:widowControl/>
              <w:spacing w:before="40" w:after="40"/>
              <w:rPr>
                <w:rFonts w:ascii="Arial Narrow" w:hAnsi="Arial Narrow"/>
                <w:sz w:val="20"/>
              </w:rPr>
            </w:pPr>
            <w:r w:rsidRPr="00A9117A">
              <w:rPr>
                <w:rFonts w:ascii="Arial Narrow" w:hAnsi="Arial Narrow"/>
                <w:sz w:val="20"/>
              </w:rPr>
              <w:t>NMA (random effects)</w:t>
            </w:r>
          </w:p>
        </w:tc>
        <w:tc>
          <w:tcPr>
            <w:tcW w:w="850"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No </w:t>
            </w:r>
          </w:p>
        </w:tc>
        <w:tc>
          <w:tcPr>
            <w:tcW w:w="851" w:type="dxa"/>
            <w:vAlign w:val="center"/>
          </w:tcPr>
          <w:p w:rsidR="0080334A" w:rsidRPr="00A9117A" w:rsidRDefault="0080334A" w:rsidP="006530FE">
            <w:pPr>
              <w:keepNext/>
              <w:widowControl/>
              <w:spacing w:before="40" w:after="40"/>
              <w:jc w:val="center"/>
              <w:rPr>
                <w:rFonts w:ascii="Arial Narrow" w:hAnsi="Arial Narrow"/>
                <w:sz w:val="20"/>
              </w:rPr>
            </w:pPr>
            <w:r w:rsidRPr="00A9117A">
              <w:rPr>
                <w:rFonts w:ascii="Arial Narrow" w:hAnsi="Arial Narrow"/>
                <w:sz w:val="20"/>
              </w:rPr>
              <w:t xml:space="preserve">No </w:t>
            </w:r>
          </w:p>
        </w:tc>
        <w:tc>
          <w:tcPr>
            <w:tcW w:w="5698" w:type="dxa"/>
            <w:vMerge/>
          </w:tcPr>
          <w:p w:rsidR="0080334A" w:rsidRPr="00A9117A" w:rsidRDefault="0080334A" w:rsidP="006530FE">
            <w:pPr>
              <w:keepNext/>
              <w:widowControl/>
              <w:spacing w:before="40" w:after="40"/>
              <w:rPr>
                <w:rFonts w:ascii="Arial Narrow" w:hAnsi="Arial Narrow"/>
                <w:sz w:val="20"/>
              </w:rPr>
            </w:pPr>
          </w:p>
        </w:tc>
      </w:tr>
    </w:tbl>
    <w:p w:rsidR="0096618C" w:rsidRPr="00A9117A" w:rsidRDefault="0096618C" w:rsidP="006530FE">
      <w:pPr>
        <w:widowControl/>
        <w:rPr>
          <w:rFonts w:ascii="Arial Narrow" w:hAnsi="Arial Narrow"/>
          <w:sz w:val="18"/>
        </w:rPr>
      </w:pPr>
      <w:r w:rsidRPr="00A9117A">
        <w:rPr>
          <w:rFonts w:ascii="Arial Narrow" w:hAnsi="Arial Narrow"/>
          <w:sz w:val="18"/>
        </w:rPr>
        <w:t>Source: Compiled during the evaluation</w:t>
      </w:r>
      <w:r w:rsidR="006530FE" w:rsidRPr="00A9117A">
        <w:rPr>
          <w:rFonts w:ascii="Arial Narrow" w:hAnsi="Arial Narrow"/>
          <w:sz w:val="18"/>
        </w:rPr>
        <w:t>.</w:t>
      </w:r>
    </w:p>
    <w:p w:rsidR="006530FE" w:rsidRPr="00A9117A" w:rsidRDefault="006530FE" w:rsidP="006530FE">
      <w:pPr>
        <w:widowControl/>
      </w:pPr>
    </w:p>
    <w:p w:rsidR="00AD0A4F" w:rsidRPr="00A9117A" w:rsidRDefault="00AD0A4F" w:rsidP="006530FE">
      <w:pPr>
        <w:pStyle w:val="ListParagraph"/>
        <w:widowControl/>
        <w:numPr>
          <w:ilvl w:val="1"/>
          <w:numId w:val="2"/>
        </w:numPr>
        <w:spacing w:after="120"/>
      </w:pPr>
      <w:r w:rsidRPr="00A9117A">
        <w:t xml:space="preserve">Notably, ranking of the bDMARDs was also an output of the NMA, with tofacitinib fairly consistently being ranked as one of the least effective therapies (alongside certolizumab </w:t>
      </w:r>
      <w:r w:rsidR="008540A8" w:rsidRPr="00A9117A">
        <w:t xml:space="preserve">pegol </w:t>
      </w:r>
      <w:r w:rsidRPr="00A9117A">
        <w:t>and ustekinumab), with infliximab and golimumab being consistently ranked among the better treatments.</w:t>
      </w:r>
    </w:p>
    <w:p w:rsidR="00D1031F" w:rsidRPr="00A9117A" w:rsidRDefault="00D1031F" w:rsidP="006530FE">
      <w:pPr>
        <w:pStyle w:val="ListParagraph"/>
        <w:widowControl/>
        <w:numPr>
          <w:ilvl w:val="1"/>
          <w:numId w:val="2"/>
        </w:numPr>
        <w:spacing w:after="120"/>
      </w:pPr>
      <w:r w:rsidRPr="00A9117A">
        <w:t>The PSCR</w:t>
      </w:r>
      <w:r w:rsidR="008349CF" w:rsidRPr="00A9117A">
        <w:t xml:space="preserve"> </w:t>
      </w:r>
      <w:r w:rsidR="00D300D6" w:rsidRPr="00A9117A">
        <w:t>argued there was sufficient evidence to support the non-inferiority of tofacitinib to adalimumab</w:t>
      </w:r>
      <w:r w:rsidR="00266858" w:rsidRPr="00A9117A">
        <w:t xml:space="preserve">, noting that the </w:t>
      </w:r>
      <w:r w:rsidR="00D300D6" w:rsidRPr="00A9117A">
        <w:t xml:space="preserve">minimally </w:t>
      </w:r>
      <w:r w:rsidR="00A74857" w:rsidRPr="00A9117A">
        <w:t xml:space="preserve">clinically </w:t>
      </w:r>
      <w:r w:rsidR="00D300D6" w:rsidRPr="00A9117A">
        <w:t xml:space="preserve">important difference (MCID) </w:t>
      </w:r>
      <w:r w:rsidR="00266858" w:rsidRPr="00A9117A">
        <w:t xml:space="preserve">was </w:t>
      </w:r>
      <w:r w:rsidR="00D300D6" w:rsidRPr="00A9117A">
        <w:t>met for ACR50 in the head-to-head comparison</w:t>
      </w:r>
      <w:r w:rsidR="00266858" w:rsidRPr="00A9117A">
        <w:t xml:space="preserve">. The PSCR acknowledged that </w:t>
      </w:r>
      <w:r w:rsidR="00D300D6" w:rsidRPr="00A9117A">
        <w:t xml:space="preserve">the OPAL BROADEN trial was not powered to demonstrate non-inferiority, </w:t>
      </w:r>
      <w:r w:rsidR="00266858" w:rsidRPr="00A9117A">
        <w:t xml:space="preserve">but considered </w:t>
      </w:r>
      <w:r w:rsidR="00D300D6" w:rsidRPr="00A9117A">
        <w:t xml:space="preserve">it informs the relative efficacy of tofacitinib and adalimumab under the same controlled conditions. The PSCR also argued that, as noted by the evaluation, the results of the indirect comparison using the Bucher method were not reliable, and in the case of the network meta-analyses, </w:t>
      </w:r>
      <w:r w:rsidR="00266858" w:rsidRPr="00A9117A">
        <w:t>stated that</w:t>
      </w:r>
      <w:r w:rsidR="00D300D6" w:rsidRPr="00A9117A">
        <w:t xml:space="preserve"> </w:t>
      </w:r>
      <w:r w:rsidR="00266858" w:rsidRPr="00A9117A">
        <w:t xml:space="preserve">while there </w:t>
      </w:r>
      <w:r w:rsidR="00D300D6" w:rsidRPr="00A9117A">
        <w:t xml:space="preserve">was insufficient data to inform the random effects model </w:t>
      </w:r>
      <w:r w:rsidR="00266858" w:rsidRPr="00A9117A">
        <w:t>there was no meaningful difference in model fit between the random effects model</w:t>
      </w:r>
      <w:r w:rsidR="00F24040" w:rsidRPr="00A9117A">
        <w:t xml:space="preserve"> and the</w:t>
      </w:r>
      <w:r w:rsidR="00266858" w:rsidRPr="00A9117A">
        <w:t xml:space="preserve"> </w:t>
      </w:r>
      <w:r w:rsidR="00D300D6" w:rsidRPr="00A9117A">
        <w:t>fixed effects model (which met the MCID)</w:t>
      </w:r>
      <w:r w:rsidR="00266858" w:rsidRPr="00A9117A">
        <w:t>, therefore the claim of non-inferiority is reasonable</w:t>
      </w:r>
      <w:r w:rsidR="00D300D6" w:rsidRPr="00A9117A">
        <w:t>.</w:t>
      </w:r>
      <w:r w:rsidR="00A11B14">
        <w:t xml:space="preserve"> The pre-PBAC response maintain</w:t>
      </w:r>
      <w:r w:rsidR="000C5E38">
        <w:t>ed</w:t>
      </w:r>
      <w:r w:rsidR="00A11B14">
        <w:t xml:space="preserve"> there is sufficient evidence to support the non-inferiority of tofacitinib to adalimumab. </w:t>
      </w:r>
    </w:p>
    <w:p w:rsidR="00D300D6" w:rsidRPr="00A9117A" w:rsidRDefault="00D300D6" w:rsidP="006530FE">
      <w:pPr>
        <w:pStyle w:val="ListParagraph"/>
        <w:widowControl/>
        <w:numPr>
          <w:ilvl w:val="1"/>
          <w:numId w:val="2"/>
        </w:numPr>
        <w:spacing w:after="120"/>
      </w:pPr>
      <w:r w:rsidRPr="00A9117A">
        <w:t>The ESC noted the results of the four analyses presented in the</w:t>
      </w:r>
      <w:r w:rsidR="00266858" w:rsidRPr="00A9117A">
        <w:t xml:space="preserve"> evaluation</w:t>
      </w:r>
      <w:r w:rsidR="00F24040" w:rsidRPr="00A9117A">
        <w:t xml:space="preserve"> and the</w:t>
      </w:r>
      <w:r w:rsidRPr="00A9117A">
        <w:t xml:space="preserve"> arguments</w:t>
      </w:r>
      <w:r w:rsidR="00266858" w:rsidRPr="00A9117A">
        <w:t xml:space="preserve"> in the PSCR. Overall, ESC</w:t>
      </w:r>
      <w:r w:rsidRPr="00A9117A">
        <w:t xml:space="preserve"> </w:t>
      </w:r>
      <w:r w:rsidR="00F24040" w:rsidRPr="00A9117A">
        <w:t>considered there was</w:t>
      </w:r>
      <w:r w:rsidRPr="00A9117A">
        <w:t xml:space="preserve"> uncertainty regarding whether tofacitinib had satisfactorily established non-inferiority </w:t>
      </w:r>
      <w:r w:rsidR="00266858" w:rsidRPr="00A9117A">
        <w:t>to</w:t>
      </w:r>
      <w:r w:rsidRPr="00A9117A">
        <w:t xml:space="preserve"> adalimumab with regards to comparative effectiveness</w:t>
      </w:r>
      <w:r w:rsidR="007F0F25" w:rsidRPr="00A9117A">
        <w:t xml:space="preserve"> due to the variable outcomes of the methods used</w:t>
      </w:r>
      <w:r w:rsidRPr="00A9117A">
        <w:t xml:space="preserve">. </w:t>
      </w:r>
      <w:r w:rsidR="00D620A9" w:rsidRPr="00A9117A">
        <w:t>The ESC considered there was a trend towards tofacitinib being inferior to adalimumab.</w:t>
      </w:r>
      <w:r w:rsidR="003C7095">
        <w:t xml:space="preserve"> </w:t>
      </w:r>
    </w:p>
    <w:p w:rsidR="00C937DA" w:rsidRPr="00A9117A" w:rsidRDefault="00AD0A4F" w:rsidP="006530FE">
      <w:pPr>
        <w:pStyle w:val="ListParagraph"/>
        <w:widowControl/>
        <w:numPr>
          <w:ilvl w:val="1"/>
          <w:numId w:val="2"/>
        </w:numPr>
        <w:spacing w:after="120"/>
      </w:pPr>
      <w:r w:rsidRPr="00A9117A">
        <w:t>As noted above, certolizumab</w:t>
      </w:r>
      <w:r w:rsidR="008540A8" w:rsidRPr="00A9117A">
        <w:t xml:space="preserve"> pegol</w:t>
      </w:r>
      <w:r w:rsidRPr="00A9117A">
        <w:t xml:space="preserve">, ustekinumab and secukinumab are considered to represent </w:t>
      </w:r>
      <w:r w:rsidR="002E1154" w:rsidRPr="00A9117A">
        <w:t xml:space="preserve">a </w:t>
      </w:r>
      <w:r w:rsidRPr="00A9117A">
        <w:t xml:space="preserve">‘lower tier’ of alternatives for the treatment of PsA on the PBS. During the evaluation, indirect comparisons of tofacitinib versus </w:t>
      </w:r>
      <w:r w:rsidR="00620DE7" w:rsidRPr="00A9117A">
        <w:t>certolizumab pegol</w:t>
      </w:r>
      <w:r w:rsidRPr="00A9117A">
        <w:t xml:space="preserve"> and ustekinumab for ACR20 and ACR50 response indicated that the specified non-inferiority margin of 0.46 and 0.29, respectively, on the lower confidence interval of the relative risk statistic</w:t>
      </w:r>
      <w:r w:rsidR="008006DF" w:rsidRPr="00A9117A">
        <w:t>,</w:t>
      </w:r>
      <w:r w:rsidRPr="00A9117A">
        <w:t xml:space="preserve"> was met </w:t>
      </w:r>
      <w:r w:rsidR="008540A8" w:rsidRPr="00A9117A">
        <w:t>when including all available evidence for the comparators (i.e. the meta-analyses)</w:t>
      </w:r>
      <w:r w:rsidRPr="00A9117A">
        <w:t xml:space="preserve">. While slight differences in the placebo response rates were observed between the trials, the magnitude of the differences </w:t>
      </w:r>
      <w:r w:rsidR="008006DF" w:rsidRPr="00A9117A">
        <w:t>wa</w:t>
      </w:r>
      <w:r w:rsidRPr="00A9117A">
        <w:t>s far less than that observed in the indirect comparison versus adalimumab.</w:t>
      </w:r>
      <w:r w:rsidR="00A1030C" w:rsidRPr="00A9117A">
        <w:t xml:space="preserve"> The outcomes of the indirect comparisons with certolizumab pegol and ustekinumab undertaken during the evaluation are presented in the tables below for ACR20 and ACR50 outcomes, respectively.</w:t>
      </w:r>
    </w:p>
    <w:p w:rsidR="00A1030C" w:rsidRPr="00A9117A" w:rsidRDefault="00A1030C" w:rsidP="006530FE">
      <w:pPr>
        <w:pStyle w:val="TableHeading0"/>
        <w:keepNext/>
        <w:jc w:val="both"/>
      </w:pPr>
      <w:r w:rsidRPr="00A9117A">
        <w:t xml:space="preserve">Table </w:t>
      </w:r>
      <w:r w:rsidR="00AD4C07">
        <w:rPr>
          <w:noProof/>
        </w:rPr>
        <w:t>9</w:t>
      </w:r>
      <w:r w:rsidRPr="00A9117A">
        <w:t>: ACR20 response for the indirect comparison of tofacitinib to certolizumab pegol and ustekinumab - TNF inhibitor naïve population</w:t>
      </w:r>
    </w:p>
    <w:tbl>
      <w:tblPr>
        <w:tblW w:w="5000" w:type="pct"/>
        <w:tblCellMar>
          <w:left w:w="0" w:type="dxa"/>
          <w:right w:w="0" w:type="dxa"/>
        </w:tblCellMar>
        <w:tblLook w:val="04A0" w:firstRow="1" w:lastRow="0" w:firstColumn="1" w:lastColumn="0" w:noHBand="0" w:noVBand="1"/>
      </w:tblPr>
      <w:tblGrid>
        <w:gridCol w:w="1606"/>
        <w:gridCol w:w="1335"/>
        <w:gridCol w:w="1339"/>
        <w:gridCol w:w="1602"/>
        <w:gridCol w:w="1602"/>
        <w:gridCol w:w="1599"/>
      </w:tblGrid>
      <w:tr w:rsidR="00A1030C" w:rsidRPr="00A9117A" w:rsidTr="00A1030C">
        <w:tc>
          <w:tcPr>
            <w:tcW w:w="884" w:type="pct"/>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b/>
                <w:bCs/>
                <w:sz w:val="20"/>
                <w:szCs w:val="20"/>
              </w:rPr>
            </w:pPr>
            <w:r w:rsidRPr="00A9117A">
              <w:rPr>
                <w:rFonts w:ascii="Arial Narrow" w:hAnsi="Arial Narrow"/>
                <w:b/>
                <w:bCs/>
                <w:sz w:val="20"/>
                <w:szCs w:val="20"/>
              </w:rPr>
              <w:t xml:space="preserve">Trial </w:t>
            </w:r>
          </w:p>
        </w:tc>
        <w:tc>
          <w:tcPr>
            <w:tcW w:w="735"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bDMARD</w:t>
            </w:r>
          </w:p>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n/N (%)</w:t>
            </w:r>
          </w:p>
        </w:tc>
        <w:tc>
          <w:tcPr>
            <w:tcW w:w="737"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 xml:space="preserve">Placebo </w:t>
            </w:r>
          </w:p>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n/N (%)</w:t>
            </w:r>
          </w:p>
        </w:tc>
        <w:tc>
          <w:tcPr>
            <w:tcW w:w="882"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OR (95% CI)</w:t>
            </w:r>
          </w:p>
        </w:tc>
        <w:tc>
          <w:tcPr>
            <w:tcW w:w="882"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RR (95% CI)</w:t>
            </w:r>
          </w:p>
        </w:tc>
        <w:tc>
          <w:tcPr>
            <w:tcW w:w="881"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RD (95% CI)</w:t>
            </w:r>
          </w:p>
        </w:tc>
      </w:tr>
      <w:tr w:rsidR="00A1030C" w:rsidRPr="00A9117A" w:rsidTr="00517DF0">
        <w:tc>
          <w:tcPr>
            <w:tcW w:w="5000" w:type="pct"/>
            <w:gridSpan w:val="6"/>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b/>
                <w:bCs/>
                <w:sz w:val="20"/>
                <w:szCs w:val="20"/>
              </w:rPr>
            </w:pPr>
            <w:r w:rsidRPr="00A9117A">
              <w:rPr>
                <w:rFonts w:ascii="Arial Narrow" w:hAnsi="Arial Narrow"/>
                <w:b/>
                <w:bCs/>
                <w:sz w:val="20"/>
                <w:szCs w:val="20"/>
              </w:rPr>
              <w:t>Tofacitinib v placebo (13 weeks)</w:t>
            </w:r>
          </w:p>
        </w:tc>
      </w:tr>
      <w:tr w:rsidR="00A1030C" w:rsidRPr="00A9117A" w:rsidTr="00A1030C">
        <w:tc>
          <w:tcPr>
            <w:tcW w:w="88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OPAL-BROADEN</w:t>
            </w:r>
          </w:p>
        </w:tc>
        <w:tc>
          <w:tcPr>
            <w:tcW w:w="735"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54/107 (50.5)</w:t>
            </w:r>
          </w:p>
        </w:tc>
        <w:tc>
          <w:tcPr>
            <w:tcW w:w="73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35/105 (33.3)</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2.04 (1.17, 3.55)</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1.51 (1.09, 2.10)</w:t>
            </w:r>
          </w:p>
        </w:tc>
        <w:tc>
          <w:tcPr>
            <w:tcW w:w="881"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0.17 (0.04, 0.30)</w:t>
            </w:r>
          </w:p>
        </w:tc>
      </w:tr>
      <w:tr w:rsidR="00A1030C" w:rsidRPr="00A9117A" w:rsidTr="00517DF0">
        <w:tc>
          <w:tcPr>
            <w:tcW w:w="5000" w:type="pct"/>
            <w:gridSpan w:val="6"/>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b/>
                <w:bCs/>
                <w:sz w:val="20"/>
                <w:szCs w:val="20"/>
              </w:rPr>
            </w:pPr>
            <w:r w:rsidRPr="00A9117A">
              <w:rPr>
                <w:rFonts w:ascii="Arial Narrow" w:hAnsi="Arial Narrow"/>
                <w:b/>
                <w:bCs/>
                <w:sz w:val="20"/>
                <w:szCs w:val="20"/>
              </w:rPr>
              <w:t>Certolizumab pegol v placebo (12 weeks)</w:t>
            </w:r>
            <w:r w:rsidRPr="00A9117A">
              <w:rPr>
                <w:rFonts w:ascii="Arial Narrow" w:hAnsi="Arial Narrow"/>
                <w:b/>
                <w:bCs/>
                <w:sz w:val="20"/>
                <w:szCs w:val="20"/>
                <w:vertAlign w:val="superscript"/>
              </w:rPr>
              <w:t>a b</w:t>
            </w:r>
          </w:p>
        </w:tc>
      </w:tr>
      <w:tr w:rsidR="00A1030C" w:rsidRPr="00A9117A" w:rsidTr="00A1030C">
        <w:tc>
          <w:tcPr>
            <w:tcW w:w="88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RAPID-PsA 200mg</w:t>
            </w:r>
          </w:p>
        </w:tc>
        <w:tc>
          <w:tcPr>
            <w:tcW w:w="735"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66/107 (61.7)</w:t>
            </w:r>
          </w:p>
        </w:tc>
        <w:tc>
          <w:tcPr>
            <w:tcW w:w="737" w:type="pct"/>
            <w:vMerge w:val="restart"/>
            <w:tcBorders>
              <w:top w:val="nil"/>
              <w:left w:val="nil"/>
              <w:right w:val="single" w:sz="8" w:space="0" w:color="auto"/>
            </w:tcBorders>
            <w:shd w:val="clear" w:color="auto" w:fill="auto"/>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29/110 (26.4)</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4.50 (2.53, 8.00)</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2.34 (1.66, 3.31)</w:t>
            </w:r>
          </w:p>
        </w:tc>
        <w:tc>
          <w:tcPr>
            <w:tcW w:w="881"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0.35 (0.23, 0.48)</w:t>
            </w:r>
          </w:p>
        </w:tc>
      </w:tr>
      <w:tr w:rsidR="00A1030C" w:rsidRPr="00A9117A" w:rsidTr="00A1030C">
        <w:tc>
          <w:tcPr>
            <w:tcW w:w="88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RAPID-PsA 400mg</w:t>
            </w:r>
          </w:p>
        </w:tc>
        <w:tc>
          <w:tcPr>
            <w:tcW w:w="735"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55/112 (49.1)</w:t>
            </w:r>
          </w:p>
        </w:tc>
        <w:tc>
          <w:tcPr>
            <w:tcW w:w="737" w:type="pct"/>
            <w:vMerge/>
            <w:tcBorders>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2.70 (2.56, 7.90)</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1.86 (1.29, 2.68)</w:t>
            </w:r>
          </w:p>
        </w:tc>
        <w:tc>
          <w:tcPr>
            <w:tcW w:w="881"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0.23 (0.10, 0.35)</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Meta-analysis results</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3.46 (2.32, 5.17)</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2.10 (1.63, 2.70)</w:t>
            </w:r>
          </w:p>
        </w:tc>
        <w:tc>
          <w:tcPr>
            <w:tcW w:w="881"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0.29 (0.20, 0.38)</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hideMark/>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CZP 200mg)</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0.45 (0.20, 1.01)</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0.65 (</w:t>
            </w:r>
            <w:r w:rsidRPr="00A9117A">
              <w:rPr>
                <w:rFonts w:ascii="Arial Narrow" w:hAnsi="Arial Narrow"/>
                <w:sz w:val="20"/>
                <w:szCs w:val="20"/>
                <w:u w:val="single"/>
              </w:rPr>
              <w:t>0.40</w:t>
            </w:r>
            <w:r w:rsidRPr="00A9117A">
              <w:rPr>
                <w:rFonts w:ascii="Arial Narrow" w:hAnsi="Arial Narrow"/>
                <w:sz w:val="20"/>
                <w:szCs w:val="20"/>
              </w:rPr>
              <w:t>, 1.04)</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-0.18 (-0.36, 0.00)</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CZP 400mg)</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0.76 (0.34, 1.67)</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0.81 (</w:t>
            </w:r>
            <w:r w:rsidRPr="00A9117A">
              <w:rPr>
                <w:rFonts w:ascii="Arial Narrow" w:hAnsi="Arial Narrow"/>
                <w:sz w:val="20"/>
                <w:szCs w:val="20"/>
                <w:u w:val="single"/>
              </w:rPr>
              <w:t>0.50</w:t>
            </w:r>
            <w:r w:rsidRPr="00A9117A">
              <w:rPr>
                <w:rFonts w:ascii="Arial Narrow" w:hAnsi="Arial Narrow"/>
                <w:sz w:val="20"/>
                <w:szCs w:val="20"/>
              </w:rPr>
              <w:t>, 1.33)</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-0.06 (-0.24, 0.12)</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vs CZP-meta-analysis)</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0.59 (0.30, 1.17)</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0.72 (</w:t>
            </w:r>
            <w:r w:rsidRPr="00A9117A">
              <w:rPr>
                <w:rFonts w:ascii="Arial Narrow" w:hAnsi="Arial Narrow"/>
                <w:sz w:val="20"/>
                <w:szCs w:val="20"/>
                <w:u w:val="single"/>
              </w:rPr>
              <w:t>0.48</w:t>
            </w:r>
            <w:r w:rsidRPr="00A9117A">
              <w:rPr>
                <w:rFonts w:ascii="Arial Narrow" w:hAnsi="Arial Narrow"/>
                <w:sz w:val="20"/>
                <w:szCs w:val="20"/>
              </w:rPr>
              <w:t>, 1.09)</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-0.12 (-0.28, 0.04)</w:t>
            </w:r>
          </w:p>
        </w:tc>
      </w:tr>
      <w:tr w:rsidR="00A1030C" w:rsidRPr="00A9117A" w:rsidTr="00517DF0">
        <w:tc>
          <w:tcPr>
            <w:tcW w:w="5000" w:type="pct"/>
            <w:gridSpan w:val="6"/>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rPr>
                <w:rFonts w:ascii="Arial Narrow" w:hAnsi="Arial Narrow"/>
                <w:b/>
                <w:bCs/>
                <w:sz w:val="20"/>
                <w:szCs w:val="20"/>
                <w:vertAlign w:val="superscript"/>
              </w:rPr>
            </w:pPr>
            <w:r w:rsidRPr="00A9117A">
              <w:rPr>
                <w:rFonts w:ascii="Arial Narrow" w:hAnsi="Arial Narrow"/>
                <w:b/>
                <w:bCs/>
                <w:sz w:val="20"/>
                <w:szCs w:val="20"/>
              </w:rPr>
              <w:t>Ustekinumab v placebo (24 weeks)</w:t>
            </w:r>
            <w:r w:rsidRPr="00A9117A">
              <w:rPr>
                <w:rFonts w:ascii="Arial Narrow" w:hAnsi="Arial Narrow"/>
                <w:b/>
                <w:bCs/>
                <w:sz w:val="20"/>
                <w:szCs w:val="20"/>
                <w:vertAlign w:val="superscript"/>
              </w:rPr>
              <w:t>c</w:t>
            </w:r>
            <w:r w:rsidRPr="00A9117A">
              <w:rPr>
                <w:rFonts w:ascii="Arial Narrow" w:hAnsi="Arial Narrow"/>
                <w:b/>
                <w:bCs/>
                <w:sz w:val="20"/>
                <w:szCs w:val="20"/>
              </w:rPr>
              <w:t xml:space="preserve"> </w:t>
            </w:r>
            <w:r w:rsidRPr="00A9117A">
              <w:rPr>
                <w:rFonts w:ascii="Arial Narrow" w:hAnsi="Arial Narrow"/>
                <w:b/>
                <w:bCs/>
                <w:sz w:val="20"/>
                <w:szCs w:val="20"/>
                <w:vertAlign w:val="superscript"/>
              </w:rPr>
              <w:t>d</w:t>
            </w:r>
          </w:p>
        </w:tc>
      </w:tr>
      <w:tr w:rsidR="00A1030C" w:rsidRPr="00A9117A" w:rsidTr="00A1030C">
        <w:tc>
          <w:tcPr>
            <w:tcW w:w="884"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PSUMMIT 1 45mg</w:t>
            </w:r>
          </w:p>
        </w:tc>
        <w:tc>
          <w:tcPr>
            <w:tcW w:w="735"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87/205 (42.4)</w:t>
            </w:r>
          </w:p>
        </w:tc>
        <w:tc>
          <w:tcPr>
            <w:tcW w:w="73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47/206 (22.8)</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2.49 (1.63, 3.82)</w:t>
            </w:r>
          </w:p>
        </w:tc>
        <w:tc>
          <w:tcPr>
            <w:tcW w:w="882"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1.86 (1.38, 2.50)</w:t>
            </w:r>
          </w:p>
        </w:tc>
        <w:tc>
          <w:tcPr>
            <w:tcW w:w="881"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0.20 (0.11, 0.28)</w:t>
            </w:r>
          </w:p>
        </w:tc>
      </w:tr>
      <w:tr w:rsidR="00A1030C" w:rsidRPr="00A9117A" w:rsidTr="00A1030C">
        <w:tc>
          <w:tcPr>
            <w:tcW w:w="884" w:type="pct"/>
            <w:tcBorders>
              <w:top w:val="single" w:sz="8" w:space="0" w:color="auto"/>
              <w:left w:val="single" w:sz="8" w:space="0" w:color="auto"/>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PSUMMIT 2 45mg</w:t>
            </w:r>
          </w:p>
        </w:tc>
        <w:tc>
          <w:tcPr>
            <w:tcW w:w="735" w:type="pct"/>
            <w:tcBorders>
              <w:top w:val="single" w:sz="8" w:space="0" w:color="auto"/>
              <w:left w:val="nil"/>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23/43 (53.5)</w:t>
            </w:r>
          </w:p>
        </w:tc>
        <w:tc>
          <w:tcPr>
            <w:tcW w:w="737" w:type="pct"/>
            <w:tcBorders>
              <w:top w:val="single" w:sz="8" w:space="0" w:color="auto"/>
              <w:left w:val="nil"/>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12/42 (28.6)</w:t>
            </w:r>
          </w:p>
        </w:tc>
        <w:tc>
          <w:tcPr>
            <w:tcW w:w="882" w:type="pct"/>
            <w:tcBorders>
              <w:top w:val="single" w:sz="8" w:space="0" w:color="auto"/>
              <w:left w:val="nil"/>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2.88 (1.17, 7.06)</w:t>
            </w:r>
          </w:p>
        </w:tc>
        <w:tc>
          <w:tcPr>
            <w:tcW w:w="882" w:type="pct"/>
            <w:tcBorders>
              <w:top w:val="single" w:sz="8" w:space="0" w:color="auto"/>
              <w:left w:val="nil"/>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1.87 (1.08, 3.26)</w:t>
            </w:r>
          </w:p>
        </w:tc>
        <w:tc>
          <w:tcPr>
            <w:tcW w:w="881" w:type="pct"/>
            <w:tcBorders>
              <w:top w:val="single" w:sz="8" w:space="0" w:color="auto"/>
              <w:left w:val="nil"/>
              <w:bottom w:val="single" w:sz="6"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0.25 (0.05, 0.45)</w:t>
            </w:r>
          </w:p>
        </w:tc>
      </w:tr>
      <w:tr w:rsidR="00A1030C" w:rsidRPr="00A9117A" w:rsidTr="00517DF0">
        <w:tc>
          <w:tcPr>
            <w:tcW w:w="2355" w:type="pct"/>
            <w:gridSpan w:val="3"/>
            <w:tcBorders>
              <w:top w:val="single" w:sz="6"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Meta-analysis results</w:t>
            </w:r>
          </w:p>
        </w:tc>
        <w:tc>
          <w:tcPr>
            <w:tcW w:w="882" w:type="pct"/>
            <w:tcBorders>
              <w:top w:val="single" w:sz="6" w:space="0" w:color="auto"/>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2.56 (1.74, 3.77)</w:t>
            </w:r>
          </w:p>
        </w:tc>
        <w:tc>
          <w:tcPr>
            <w:tcW w:w="882" w:type="pct"/>
            <w:tcBorders>
              <w:top w:val="single" w:sz="6" w:space="0" w:color="auto"/>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1.86 (1.43, 2.42)</w:t>
            </w:r>
          </w:p>
        </w:tc>
        <w:tc>
          <w:tcPr>
            <w:tcW w:w="881" w:type="pct"/>
            <w:tcBorders>
              <w:top w:val="single" w:sz="6" w:space="0" w:color="auto"/>
              <w:left w:val="nil"/>
              <w:bottom w:val="single" w:sz="8" w:space="0" w:color="auto"/>
              <w:right w:val="single" w:sz="8" w:space="0" w:color="auto"/>
            </w:tcBorders>
            <w:shd w:val="clear" w:color="auto" w:fill="auto"/>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0.21 (0.12, 0.29)</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UST 45mg PSUMMIT 1)</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0.82 (0.41, 1.65)</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0.81 (</w:t>
            </w:r>
            <w:r w:rsidRPr="00A9117A">
              <w:rPr>
                <w:rFonts w:ascii="Arial Narrow" w:hAnsi="Arial Narrow"/>
                <w:sz w:val="20"/>
                <w:szCs w:val="20"/>
                <w:u w:val="single"/>
              </w:rPr>
              <w:t>0.52</w:t>
            </w:r>
            <w:r w:rsidRPr="00A9117A">
              <w:rPr>
                <w:rFonts w:ascii="Arial Narrow" w:hAnsi="Arial Narrow"/>
                <w:sz w:val="20"/>
                <w:szCs w:val="20"/>
              </w:rPr>
              <w:t>, 1.26)</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-0.03 (-0.19, 0.13)</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UST 45mg PSUMMIT 2)</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0.71 (0.25, 2.04)</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0.81 (</w:t>
            </w:r>
            <w:r w:rsidRPr="00A9117A">
              <w:rPr>
                <w:rFonts w:ascii="Arial Narrow" w:hAnsi="Arial Narrow"/>
                <w:sz w:val="20"/>
                <w:szCs w:val="20"/>
                <w:u w:val="single"/>
              </w:rPr>
              <w:t>0.43</w:t>
            </w:r>
            <w:r w:rsidRPr="00A9117A">
              <w:rPr>
                <w:rFonts w:ascii="Arial Narrow" w:hAnsi="Arial Narrow"/>
                <w:sz w:val="20"/>
                <w:szCs w:val="20"/>
              </w:rPr>
              <w:t>, 1.54)</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-0.08 (-0.32, 0.16)</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vs UST-meta-analysis)</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0.80 (0.41, 1.57)</w:t>
            </w:r>
          </w:p>
        </w:tc>
        <w:tc>
          <w:tcPr>
            <w:tcW w:w="882"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0.81 (</w:t>
            </w:r>
            <w:r w:rsidRPr="00A9117A">
              <w:rPr>
                <w:rFonts w:ascii="Arial Narrow" w:hAnsi="Arial Narrow"/>
                <w:sz w:val="20"/>
                <w:szCs w:val="20"/>
                <w:u w:val="single"/>
              </w:rPr>
              <w:t>0.53</w:t>
            </w:r>
            <w:r w:rsidRPr="00A9117A">
              <w:rPr>
                <w:rFonts w:ascii="Arial Narrow" w:hAnsi="Arial Narrow"/>
                <w:sz w:val="20"/>
                <w:szCs w:val="20"/>
              </w:rPr>
              <w:t>, 1.24)</w:t>
            </w:r>
          </w:p>
        </w:tc>
        <w:tc>
          <w:tcPr>
            <w:tcW w:w="881" w:type="pct"/>
            <w:tcBorders>
              <w:top w:val="nil"/>
              <w:left w:val="nil"/>
              <w:bottom w:val="single" w:sz="8"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-0.05 (-0.20, 0.12)</w:t>
            </w:r>
          </w:p>
        </w:tc>
      </w:tr>
    </w:tbl>
    <w:p w:rsidR="00A1030C" w:rsidRPr="00A9117A" w:rsidRDefault="00A1030C" w:rsidP="006530FE">
      <w:pPr>
        <w:pStyle w:val="TableFooter"/>
        <w:widowControl/>
      </w:pPr>
      <w:r w:rsidRPr="00A9117A">
        <w:t>Source: Analyses conducted during evaluation based on data provided in NMA Excel Model (Attachment 3 Appendix D)</w:t>
      </w:r>
    </w:p>
    <w:p w:rsidR="00A1030C" w:rsidRPr="00A9117A" w:rsidRDefault="00A1030C" w:rsidP="006530FE">
      <w:pPr>
        <w:pStyle w:val="TableFooter"/>
        <w:widowControl/>
      </w:pPr>
      <w:r w:rsidRPr="00A9117A">
        <w:t>Bold typography indicates statistically significant differences between treatments</w:t>
      </w:r>
    </w:p>
    <w:p w:rsidR="00A1030C" w:rsidRPr="00A9117A" w:rsidRDefault="00A1030C" w:rsidP="006530FE">
      <w:pPr>
        <w:widowControl/>
        <w:tabs>
          <w:tab w:val="left" w:pos="0"/>
        </w:tabs>
        <w:rPr>
          <w:rFonts w:ascii="Arial Narrow" w:hAnsi="Arial Narrow"/>
          <w:sz w:val="18"/>
        </w:rPr>
      </w:pPr>
      <w:r w:rsidRPr="00A9117A">
        <w:rPr>
          <w:rFonts w:ascii="Arial Narrow" w:hAnsi="Arial Narrow"/>
          <w:sz w:val="18"/>
        </w:rPr>
        <w:t xml:space="preserve">Underlined values represent the values compared against the non-inferiority margin of 0.46 for ACR20 </w:t>
      </w:r>
    </w:p>
    <w:p w:rsidR="00A1030C" w:rsidRPr="00A9117A" w:rsidRDefault="00A1030C" w:rsidP="006530FE">
      <w:pPr>
        <w:pStyle w:val="TableFooter"/>
        <w:widowControl/>
        <w:tabs>
          <w:tab w:val="left" w:pos="284"/>
        </w:tabs>
      </w:pPr>
      <w:r w:rsidRPr="00A9117A">
        <w:rPr>
          <w:vertAlign w:val="superscript"/>
        </w:rPr>
        <w:t>a</w:t>
      </w:r>
      <w:r w:rsidRPr="00A9117A">
        <w:tab/>
        <w:t>Results from the TNF-naïve sub-population</w:t>
      </w:r>
    </w:p>
    <w:p w:rsidR="00A1030C" w:rsidRPr="00A9117A" w:rsidRDefault="00A1030C" w:rsidP="006530FE">
      <w:pPr>
        <w:pStyle w:val="TableFooter"/>
        <w:widowControl/>
        <w:tabs>
          <w:tab w:val="left" w:pos="284"/>
        </w:tabs>
        <w:ind w:left="284" w:hanging="284"/>
      </w:pPr>
      <w:r w:rsidRPr="00A9117A">
        <w:rPr>
          <w:vertAlign w:val="superscript"/>
        </w:rPr>
        <w:t>b</w:t>
      </w:r>
      <w:r w:rsidRPr="00A9117A">
        <w:tab/>
        <w:t>Assessment for initial response on the PBS for certolizumab pegol occurs at 14-16 weeks (must not receive more than 18-20 weeks of treatment under Initial 1 criteria)</w:t>
      </w:r>
    </w:p>
    <w:p w:rsidR="00A1030C" w:rsidRPr="00A9117A" w:rsidRDefault="00A1030C" w:rsidP="006530FE">
      <w:pPr>
        <w:pStyle w:val="TableFooter"/>
        <w:widowControl/>
        <w:tabs>
          <w:tab w:val="left" w:pos="284"/>
        </w:tabs>
        <w:ind w:left="284" w:hanging="284"/>
      </w:pPr>
      <w:r w:rsidRPr="00A9117A">
        <w:rPr>
          <w:vertAlign w:val="superscript"/>
        </w:rPr>
        <w:t>c</w:t>
      </w:r>
      <w:r w:rsidRPr="00A9117A">
        <w:tab/>
        <w:t>Results from the TNF-naïve sub-population of PSUMMIT 2; results from the total trial population of PSUMMIT 1 as all PSUMMIT 1 patients were TNF-naïve</w:t>
      </w:r>
    </w:p>
    <w:p w:rsidR="00A1030C" w:rsidRPr="00A9117A" w:rsidRDefault="00A1030C" w:rsidP="006530FE">
      <w:pPr>
        <w:pStyle w:val="TableFooter"/>
        <w:widowControl/>
        <w:tabs>
          <w:tab w:val="left" w:pos="284"/>
        </w:tabs>
        <w:ind w:left="284" w:hanging="284"/>
      </w:pPr>
      <w:r w:rsidRPr="00A9117A">
        <w:rPr>
          <w:vertAlign w:val="superscript"/>
        </w:rPr>
        <w:t>d</w:t>
      </w:r>
      <w:r w:rsidRPr="00A9117A">
        <w:tab/>
        <w:t>Assessment for initial response on the PBS for ustekinumab occurs at 24 weeks (must not receive more than 28 weeks of treatment under Initial 1 criteria)</w:t>
      </w:r>
    </w:p>
    <w:p w:rsidR="00A1030C" w:rsidRPr="00A9117A" w:rsidRDefault="00A1030C" w:rsidP="006530FE">
      <w:pPr>
        <w:pStyle w:val="TableFooter"/>
        <w:widowControl/>
        <w:tabs>
          <w:tab w:val="left" w:pos="284"/>
        </w:tabs>
      </w:pPr>
      <w:r w:rsidRPr="00A9117A">
        <w:t>Abbreviations: bDMARD – biological disease-modifying anti-rheumatic drug; CI = confidence interval; n = number; OR = odds ratio; RD = risk difference; RR = relative risk</w:t>
      </w:r>
    </w:p>
    <w:p w:rsidR="006530FE" w:rsidRPr="00A9117A" w:rsidRDefault="006530FE" w:rsidP="006530FE">
      <w:pPr>
        <w:pStyle w:val="TableFooter"/>
        <w:widowControl/>
        <w:tabs>
          <w:tab w:val="left" w:pos="284"/>
        </w:tabs>
      </w:pPr>
    </w:p>
    <w:p w:rsidR="00A1030C" w:rsidRPr="0059670D" w:rsidRDefault="00A1030C" w:rsidP="006530FE">
      <w:pPr>
        <w:pStyle w:val="ListParagraph"/>
        <w:widowControl/>
        <w:numPr>
          <w:ilvl w:val="1"/>
          <w:numId w:val="2"/>
        </w:numPr>
        <w:spacing w:after="120"/>
      </w:pPr>
      <w:r w:rsidRPr="00A9117A">
        <w:t xml:space="preserve">The indirect comparisons of tofacitinib versus certolizumab pegol and ustekinumab for ACR20 response indicated that the specified non-inferiority margin of 0.46 on the lower confidence interval of the relative risk statistic was met in </w:t>
      </w:r>
      <w:r w:rsidRPr="0059670D">
        <w:t xml:space="preserve">both instances. </w:t>
      </w:r>
    </w:p>
    <w:p w:rsidR="00A1030C" w:rsidRPr="00A9117A" w:rsidRDefault="00A1030C" w:rsidP="006530FE">
      <w:pPr>
        <w:widowControl/>
        <w:jc w:val="left"/>
        <w:rPr>
          <w:rFonts w:ascii="Arial Narrow" w:hAnsi="Arial Narrow"/>
          <w:b/>
          <w:sz w:val="20"/>
        </w:rPr>
      </w:pPr>
    </w:p>
    <w:p w:rsidR="00C937DA" w:rsidRPr="00A9117A" w:rsidRDefault="00C937DA" w:rsidP="006530FE">
      <w:pPr>
        <w:widowControl/>
        <w:jc w:val="left"/>
        <w:rPr>
          <w:rFonts w:ascii="Arial Narrow" w:eastAsiaTheme="minorHAnsi" w:hAnsi="Arial Narrow" w:cstheme="minorBidi"/>
          <w:b/>
          <w:snapToGrid/>
          <w:sz w:val="20"/>
        </w:rPr>
      </w:pPr>
      <w:r w:rsidRPr="00A9117A">
        <w:br w:type="page"/>
      </w:r>
    </w:p>
    <w:p w:rsidR="00A1030C" w:rsidRPr="00A9117A" w:rsidRDefault="00A1030C" w:rsidP="006530FE">
      <w:pPr>
        <w:pStyle w:val="TableHeading0"/>
        <w:keepNext/>
        <w:jc w:val="both"/>
      </w:pPr>
      <w:r w:rsidRPr="00A9117A">
        <w:t xml:space="preserve">Table </w:t>
      </w:r>
      <w:r w:rsidR="00AD4C07">
        <w:rPr>
          <w:noProof/>
        </w:rPr>
        <w:t>10</w:t>
      </w:r>
      <w:r w:rsidRPr="00A9117A">
        <w:t>: ACR50 response for the indirect comparison of tofacitinib to certolizumab pegol and ustekinumab</w:t>
      </w:r>
    </w:p>
    <w:tbl>
      <w:tblPr>
        <w:tblW w:w="5000" w:type="pct"/>
        <w:tblCellMar>
          <w:left w:w="0" w:type="dxa"/>
          <w:right w:w="0" w:type="dxa"/>
        </w:tblCellMar>
        <w:tblLook w:val="04A0" w:firstRow="1" w:lastRow="0" w:firstColumn="1" w:lastColumn="0" w:noHBand="0" w:noVBand="1"/>
      </w:tblPr>
      <w:tblGrid>
        <w:gridCol w:w="1574"/>
        <w:gridCol w:w="1419"/>
        <w:gridCol w:w="1286"/>
        <w:gridCol w:w="1602"/>
        <w:gridCol w:w="1602"/>
        <w:gridCol w:w="1600"/>
      </w:tblGrid>
      <w:tr w:rsidR="00A1030C" w:rsidRPr="00A9117A" w:rsidTr="00517DF0">
        <w:tc>
          <w:tcPr>
            <w:tcW w:w="86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left"/>
              <w:rPr>
                <w:rFonts w:ascii="Arial Narrow" w:hAnsi="Arial Narrow"/>
                <w:b/>
                <w:bCs/>
                <w:sz w:val="20"/>
                <w:szCs w:val="20"/>
              </w:rPr>
            </w:pPr>
            <w:r w:rsidRPr="00A9117A">
              <w:rPr>
                <w:rFonts w:ascii="Arial Narrow" w:hAnsi="Arial Narrow"/>
                <w:b/>
                <w:bCs/>
                <w:sz w:val="20"/>
                <w:szCs w:val="20"/>
              </w:rPr>
              <w:t xml:space="preserve">Trial </w:t>
            </w:r>
          </w:p>
        </w:tc>
        <w:tc>
          <w:tcPr>
            <w:tcW w:w="7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bDMARD</w:t>
            </w:r>
          </w:p>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n/N (%)</w:t>
            </w:r>
          </w:p>
        </w:tc>
        <w:tc>
          <w:tcPr>
            <w:tcW w:w="70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 xml:space="preserve">Placebo </w:t>
            </w:r>
          </w:p>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n/N (%)</w:t>
            </w:r>
          </w:p>
        </w:tc>
        <w:tc>
          <w:tcPr>
            <w:tcW w:w="88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OR (95% CI)</w:t>
            </w:r>
          </w:p>
        </w:tc>
        <w:tc>
          <w:tcPr>
            <w:tcW w:w="88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RR (95% CI)</w:t>
            </w:r>
          </w:p>
        </w:tc>
        <w:tc>
          <w:tcPr>
            <w:tcW w:w="88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1030C" w:rsidRPr="00A9117A" w:rsidRDefault="00A1030C" w:rsidP="006530FE">
            <w:pPr>
              <w:keepNext/>
              <w:widowControl/>
              <w:spacing w:before="40" w:after="40"/>
              <w:jc w:val="center"/>
              <w:rPr>
                <w:rFonts w:ascii="Arial Narrow" w:hAnsi="Arial Narrow"/>
                <w:b/>
                <w:bCs/>
                <w:sz w:val="20"/>
                <w:szCs w:val="20"/>
              </w:rPr>
            </w:pPr>
            <w:r w:rsidRPr="00A9117A">
              <w:rPr>
                <w:rFonts w:ascii="Arial Narrow" w:hAnsi="Arial Narrow"/>
                <w:b/>
                <w:bCs/>
                <w:sz w:val="20"/>
                <w:szCs w:val="20"/>
              </w:rPr>
              <w:t>RD (95% CI)</w:t>
            </w:r>
          </w:p>
        </w:tc>
      </w:tr>
      <w:tr w:rsidR="00A1030C" w:rsidRPr="00A9117A" w:rsidTr="00517DF0">
        <w:tc>
          <w:tcPr>
            <w:tcW w:w="5000" w:type="pct"/>
            <w:gridSpan w:val="6"/>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b/>
                <w:bCs/>
                <w:sz w:val="20"/>
                <w:szCs w:val="20"/>
              </w:rPr>
            </w:pPr>
            <w:r w:rsidRPr="00A9117A">
              <w:rPr>
                <w:rFonts w:ascii="Arial Narrow" w:hAnsi="Arial Narrow"/>
                <w:b/>
                <w:bCs/>
                <w:sz w:val="20"/>
                <w:szCs w:val="20"/>
              </w:rPr>
              <w:t>Tofacitinib v placebo (13 weeks)</w:t>
            </w:r>
          </w:p>
        </w:tc>
      </w:tr>
      <w:tr w:rsidR="00A1030C" w:rsidRPr="00A9117A" w:rsidTr="00517DF0">
        <w:tc>
          <w:tcPr>
            <w:tcW w:w="866"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OPAL-BROADEN</w:t>
            </w:r>
          </w:p>
        </w:tc>
        <w:tc>
          <w:tcPr>
            <w:tcW w:w="781"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30/107 (28.0)</w:t>
            </w:r>
          </w:p>
        </w:tc>
        <w:tc>
          <w:tcPr>
            <w:tcW w:w="708" w:type="pct"/>
            <w:tcBorders>
              <w:top w:val="nil"/>
              <w:left w:val="nil"/>
              <w:bottom w:val="single" w:sz="8"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10/105 (9.5)</w:t>
            </w:r>
          </w:p>
        </w:tc>
        <w:tc>
          <w:tcPr>
            <w:tcW w:w="882"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3.70 (1.70, 8.04)</w:t>
            </w:r>
          </w:p>
        </w:tc>
        <w:tc>
          <w:tcPr>
            <w:tcW w:w="882"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2.94 (1.52, 5.71)</w:t>
            </w:r>
          </w:p>
        </w:tc>
        <w:tc>
          <w:tcPr>
            <w:tcW w:w="881"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0.19 (0.08, 0.29)</w:t>
            </w:r>
          </w:p>
        </w:tc>
      </w:tr>
      <w:tr w:rsidR="00A1030C" w:rsidRPr="00A9117A" w:rsidTr="00517DF0">
        <w:tc>
          <w:tcPr>
            <w:tcW w:w="5000" w:type="pct"/>
            <w:gridSpan w:val="6"/>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b/>
                <w:bCs/>
                <w:sz w:val="20"/>
                <w:szCs w:val="20"/>
              </w:rPr>
            </w:pPr>
            <w:r w:rsidRPr="00A9117A">
              <w:rPr>
                <w:rFonts w:ascii="Arial Narrow" w:hAnsi="Arial Narrow"/>
                <w:b/>
                <w:bCs/>
                <w:sz w:val="20"/>
                <w:szCs w:val="20"/>
              </w:rPr>
              <w:t>Certolizumab pegol v placebo (12-14 weeks)</w:t>
            </w:r>
            <w:r w:rsidRPr="00A9117A">
              <w:rPr>
                <w:rFonts w:ascii="Arial Narrow" w:hAnsi="Arial Narrow"/>
                <w:b/>
                <w:bCs/>
                <w:sz w:val="20"/>
                <w:szCs w:val="20"/>
                <w:vertAlign w:val="superscript"/>
              </w:rPr>
              <w:t>a</w:t>
            </w:r>
            <w:r w:rsidRPr="00A9117A">
              <w:rPr>
                <w:rFonts w:ascii="Arial Narrow" w:hAnsi="Arial Narrow"/>
                <w:b/>
                <w:bCs/>
                <w:sz w:val="20"/>
                <w:szCs w:val="20"/>
              </w:rPr>
              <w:t xml:space="preserve"> </w:t>
            </w:r>
            <w:r w:rsidRPr="00A9117A">
              <w:rPr>
                <w:rFonts w:ascii="Arial Narrow" w:hAnsi="Arial Narrow"/>
                <w:b/>
                <w:bCs/>
                <w:sz w:val="20"/>
                <w:szCs w:val="20"/>
                <w:vertAlign w:val="superscript"/>
              </w:rPr>
              <w:t>b</w:t>
            </w:r>
          </w:p>
        </w:tc>
      </w:tr>
      <w:tr w:rsidR="00A1030C" w:rsidRPr="00A9117A" w:rsidTr="00517DF0">
        <w:tc>
          <w:tcPr>
            <w:tcW w:w="866"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 xml:space="preserve">RAPID-PsA </w:t>
            </w:r>
            <w:r w:rsidRPr="00A9117A">
              <w:rPr>
                <w:rFonts w:ascii="Arial Narrow" w:hAnsi="Arial Narrow"/>
                <w:sz w:val="20"/>
                <w:szCs w:val="20"/>
              </w:rPr>
              <w:br/>
              <w:t>200mg + 400mg</w:t>
            </w:r>
          </w:p>
        </w:tc>
        <w:tc>
          <w:tcPr>
            <w:tcW w:w="781" w:type="pct"/>
            <w:tcBorders>
              <w:top w:val="nil"/>
              <w:left w:val="nil"/>
              <w:bottom w:val="single" w:sz="8"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74/219 (33.8)</w:t>
            </w:r>
          </w:p>
        </w:tc>
        <w:tc>
          <w:tcPr>
            <w:tcW w:w="708" w:type="pct"/>
            <w:tcBorders>
              <w:top w:val="nil"/>
              <w:left w:val="nil"/>
              <w:bottom w:val="single" w:sz="4"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14/110 (12.7)</w:t>
            </w:r>
          </w:p>
        </w:tc>
        <w:tc>
          <w:tcPr>
            <w:tcW w:w="882" w:type="pct"/>
            <w:tcBorders>
              <w:top w:val="nil"/>
              <w:left w:val="nil"/>
              <w:bottom w:val="single" w:sz="8"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3.50 (1.82, 7.08)</w:t>
            </w:r>
          </w:p>
        </w:tc>
        <w:tc>
          <w:tcPr>
            <w:tcW w:w="882" w:type="pct"/>
            <w:tcBorders>
              <w:top w:val="nil"/>
              <w:left w:val="nil"/>
              <w:bottom w:val="single" w:sz="8"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2.65 (1.57, 4.48)</w:t>
            </w:r>
          </w:p>
        </w:tc>
        <w:tc>
          <w:tcPr>
            <w:tcW w:w="881" w:type="pct"/>
            <w:tcBorders>
              <w:top w:val="nil"/>
              <w:left w:val="nil"/>
              <w:bottom w:val="single" w:sz="8" w:space="0" w:color="auto"/>
              <w:right w:val="single" w:sz="8" w:space="0" w:color="auto"/>
            </w:tcBorders>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0.21 (0.12, 0.29)</w:t>
            </w:r>
          </w:p>
        </w:tc>
      </w:tr>
      <w:tr w:rsidR="00A1030C" w:rsidRPr="00A9117A" w:rsidTr="00517DF0">
        <w:tc>
          <w:tcPr>
            <w:tcW w:w="2355" w:type="pct"/>
            <w:gridSpan w:val="3"/>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vAlign w:val="center"/>
            <w:hideMark/>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CZP 200mg + 400mg)</w:t>
            </w:r>
          </w:p>
        </w:tc>
        <w:tc>
          <w:tcPr>
            <w:tcW w:w="882"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1.06 (0.38, 2.97)</w:t>
            </w:r>
          </w:p>
        </w:tc>
        <w:tc>
          <w:tcPr>
            <w:tcW w:w="882"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1.11 (</w:t>
            </w:r>
            <w:r w:rsidRPr="00A9117A">
              <w:rPr>
                <w:rFonts w:ascii="Arial Narrow" w:hAnsi="Arial Narrow"/>
                <w:sz w:val="20"/>
                <w:szCs w:val="20"/>
                <w:u w:val="single"/>
              </w:rPr>
              <w:t>0.48</w:t>
            </w:r>
            <w:r w:rsidRPr="00A9117A">
              <w:rPr>
                <w:rFonts w:ascii="Arial Narrow" w:hAnsi="Arial Narrow"/>
                <w:sz w:val="20"/>
                <w:szCs w:val="20"/>
              </w:rPr>
              <w:t>, 2.58)</w:t>
            </w:r>
          </w:p>
        </w:tc>
        <w:tc>
          <w:tcPr>
            <w:tcW w:w="881"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-0.02 (-0.16, 0.12)</w:t>
            </w:r>
          </w:p>
        </w:tc>
      </w:tr>
      <w:tr w:rsidR="00A1030C" w:rsidRPr="00A9117A" w:rsidTr="00517DF0">
        <w:tc>
          <w:tcPr>
            <w:tcW w:w="5000" w:type="pct"/>
            <w:gridSpan w:val="6"/>
            <w:tcBorders>
              <w:top w:val="nil"/>
              <w:left w:val="single" w:sz="8" w:space="0" w:color="auto"/>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b/>
                <w:bCs/>
                <w:sz w:val="20"/>
                <w:szCs w:val="20"/>
              </w:rPr>
              <w:t>Ustekinumab v placebo (24 weeks)</w:t>
            </w:r>
            <w:r w:rsidRPr="00A9117A">
              <w:rPr>
                <w:rFonts w:ascii="Arial Narrow" w:hAnsi="Arial Narrow"/>
                <w:b/>
                <w:bCs/>
                <w:sz w:val="20"/>
                <w:szCs w:val="20"/>
                <w:vertAlign w:val="superscript"/>
              </w:rPr>
              <w:t>c d</w:t>
            </w:r>
          </w:p>
        </w:tc>
      </w:tr>
      <w:tr w:rsidR="00A1030C" w:rsidRPr="00A9117A" w:rsidTr="00517DF0">
        <w:tc>
          <w:tcPr>
            <w:tcW w:w="86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rPr>
                <w:rFonts w:ascii="Arial Narrow" w:hAnsi="Arial Narrow"/>
                <w:sz w:val="20"/>
                <w:szCs w:val="20"/>
              </w:rPr>
            </w:pPr>
            <w:r w:rsidRPr="00A9117A">
              <w:rPr>
                <w:rFonts w:ascii="Arial Narrow" w:hAnsi="Arial Narrow"/>
                <w:sz w:val="20"/>
                <w:szCs w:val="20"/>
              </w:rPr>
              <w:t>PSUMMIT 1 45mg</w:t>
            </w:r>
          </w:p>
        </w:tc>
        <w:tc>
          <w:tcPr>
            <w:tcW w:w="781"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51/205 (24.9)</w:t>
            </w:r>
          </w:p>
        </w:tc>
        <w:tc>
          <w:tcPr>
            <w:tcW w:w="708"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18/206 (8.7)</w:t>
            </w:r>
          </w:p>
        </w:tc>
        <w:tc>
          <w:tcPr>
            <w:tcW w:w="882"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3.46 (1.94, 6.17)</w:t>
            </w:r>
          </w:p>
        </w:tc>
        <w:tc>
          <w:tcPr>
            <w:tcW w:w="882"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2.85 (1.72, 4.70)</w:t>
            </w:r>
          </w:p>
        </w:tc>
        <w:tc>
          <w:tcPr>
            <w:tcW w:w="881" w:type="pct"/>
            <w:tcBorders>
              <w:top w:val="nil"/>
              <w:left w:val="nil"/>
              <w:bottom w:val="single" w:sz="8" w:space="0" w:color="auto"/>
              <w:right w:val="single" w:sz="8" w:space="0" w:color="auto"/>
            </w:tcBorders>
            <w:tcMar>
              <w:top w:w="0" w:type="dxa"/>
              <w:left w:w="28" w:type="dxa"/>
              <w:bottom w:w="0" w:type="dxa"/>
              <w:right w:w="28" w:type="dxa"/>
            </w:tcMar>
          </w:tcPr>
          <w:p w:rsidR="00A1030C" w:rsidRPr="00A9117A" w:rsidRDefault="00A1030C" w:rsidP="006530FE">
            <w:pPr>
              <w:keepNext/>
              <w:widowControl/>
              <w:spacing w:before="40" w:after="40"/>
              <w:jc w:val="center"/>
              <w:rPr>
                <w:rFonts w:ascii="Arial Narrow" w:hAnsi="Arial Narrow"/>
                <w:b/>
                <w:sz w:val="20"/>
                <w:szCs w:val="20"/>
              </w:rPr>
            </w:pPr>
            <w:r w:rsidRPr="00A9117A">
              <w:rPr>
                <w:rFonts w:ascii="Arial Narrow" w:hAnsi="Arial Narrow"/>
                <w:b/>
                <w:sz w:val="20"/>
                <w:szCs w:val="20"/>
              </w:rPr>
              <w:t>0.16 (0.09, 0.23)</w:t>
            </w:r>
          </w:p>
        </w:tc>
      </w:tr>
      <w:tr w:rsidR="00A1030C" w:rsidRPr="00A9117A" w:rsidTr="00517DF0">
        <w:tc>
          <w:tcPr>
            <w:tcW w:w="2355" w:type="pct"/>
            <w:gridSpan w:val="3"/>
            <w:tcBorders>
              <w:top w:val="single" w:sz="8" w:space="0" w:color="auto"/>
              <w:left w:val="single" w:sz="8" w:space="0" w:color="auto"/>
              <w:bottom w:val="single" w:sz="6" w:space="0" w:color="auto"/>
              <w:right w:val="single" w:sz="8" w:space="0" w:color="auto"/>
            </w:tcBorders>
            <w:shd w:val="clear" w:color="auto" w:fill="D9D9D9" w:themeFill="background1" w:themeFillShade="D9"/>
            <w:tcMar>
              <w:top w:w="0" w:type="dxa"/>
              <w:left w:w="28" w:type="dxa"/>
              <w:bottom w:w="0" w:type="dxa"/>
              <w:right w:w="28" w:type="dxa"/>
            </w:tcMar>
          </w:tcPr>
          <w:p w:rsidR="00A1030C" w:rsidRPr="00A9117A" w:rsidRDefault="00A1030C" w:rsidP="006530FE">
            <w:pPr>
              <w:keepNext/>
              <w:widowControl/>
              <w:spacing w:before="40" w:after="40"/>
              <w:jc w:val="right"/>
              <w:rPr>
                <w:rFonts w:ascii="Arial Narrow" w:hAnsi="Arial Narrow"/>
                <w:sz w:val="20"/>
                <w:szCs w:val="20"/>
              </w:rPr>
            </w:pPr>
            <w:r w:rsidRPr="00A9117A">
              <w:rPr>
                <w:rFonts w:ascii="Arial Narrow" w:hAnsi="Arial Narrow"/>
                <w:sz w:val="20"/>
                <w:szCs w:val="20"/>
              </w:rPr>
              <w:t>Indirect (TOF v UST 45mg)</w:t>
            </w:r>
          </w:p>
        </w:tc>
        <w:tc>
          <w:tcPr>
            <w:tcW w:w="882" w:type="pct"/>
            <w:tcBorders>
              <w:top w:val="single" w:sz="8" w:space="0" w:color="auto"/>
              <w:left w:val="nil"/>
              <w:bottom w:val="single" w:sz="4"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1.07 (0.41, 2.82)</w:t>
            </w:r>
          </w:p>
        </w:tc>
        <w:tc>
          <w:tcPr>
            <w:tcW w:w="882" w:type="pct"/>
            <w:tcBorders>
              <w:top w:val="single" w:sz="8" w:space="0" w:color="auto"/>
              <w:left w:val="nil"/>
              <w:bottom w:val="single" w:sz="4"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1.03 (</w:t>
            </w:r>
            <w:r w:rsidRPr="00A9117A">
              <w:rPr>
                <w:rFonts w:ascii="Arial Narrow" w:hAnsi="Arial Narrow"/>
                <w:sz w:val="20"/>
                <w:szCs w:val="20"/>
                <w:u w:val="single"/>
              </w:rPr>
              <w:t>0.45</w:t>
            </w:r>
            <w:r w:rsidRPr="00A9117A">
              <w:rPr>
                <w:rFonts w:ascii="Arial Narrow" w:hAnsi="Arial Narrow"/>
                <w:sz w:val="20"/>
                <w:szCs w:val="20"/>
              </w:rPr>
              <w:t>, 2.37)</w:t>
            </w:r>
          </w:p>
        </w:tc>
        <w:tc>
          <w:tcPr>
            <w:tcW w:w="881" w:type="pct"/>
            <w:tcBorders>
              <w:top w:val="single" w:sz="8" w:space="0" w:color="auto"/>
              <w:left w:val="nil"/>
              <w:bottom w:val="single" w:sz="4" w:space="0" w:color="auto"/>
              <w:right w:val="single" w:sz="8" w:space="0" w:color="auto"/>
            </w:tcBorders>
            <w:shd w:val="clear" w:color="auto" w:fill="D9D9D9" w:themeFill="background1" w:themeFillShade="D9"/>
            <w:tcMar>
              <w:top w:w="0" w:type="dxa"/>
              <w:left w:w="28" w:type="dxa"/>
              <w:bottom w:w="0" w:type="dxa"/>
              <w:right w:w="28" w:type="dxa"/>
            </w:tcMar>
            <w:vAlign w:val="center"/>
          </w:tcPr>
          <w:p w:rsidR="00A1030C" w:rsidRPr="00A9117A" w:rsidRDefault="00A1030C" w:rsidP="006530FE">
            <w:pPr>
              <w:keepNext/>
              <w:widowControl/>
              <w:spacing w:before="40" w:after="40"/>
              <w:jc w:val="center"/>
              <w:rPr>
                <w:rFonts w:ascii="Arial Narrow" w:hAnsi="Arial Narrow"/>
                <w:sz w:val="20"/>
                <w:szCs w:val="20"/>
              </w:rPr>
            </w:pPr>
            <w:r w:rsidRPr="00A9117A">
              <w:rPr>
                <w:rFonts w:ascii="Arial Narrow" w:hAnsi="Arial Narrow"/>
                <w:sz w:val="20"/>
                <w:szCs w:val="20"/>
              </w:rPr>
              <w:t>0.03 (-0.10, 0.16)</w:t>
            </w:r>
          </w:p>
        </w:tc>
      </w:tr>
    </w:tbl>
    <w:p w:rsidR="00A1030C" w:rsidRPr="00A9117A" w:rsidRDefault="00A1030C" w:rsidP="006530FE">
      <w:pPr>
        <w:pStyle w:val="TableFooter"/>
        <w:keepNext/>
        <w:widowControl/>
      </w:pPr>
      <w:r w:rsidRPr="00A9117A">
        <w:t>Source: Analyses conducted during evaluation based on data provided in NMA Excel Model (Attachment 3 Appendix D)</w:t>
      </w:r>
    </w:p>
    <w:p w:rsidR="00A1030C" w:rsidRPr="00A9117A" w:rsidRDefault="00A1030C" w:rsidP="006530FE">
      <w:pPr>
        <w:pStyle w:val="TableFooter"/>
        <w:keepNext/>
        <w:widowControl/>
      </w:pPr>
      <w:r w:rsidRPr="00A9117A">
        <w:t>Bold typography indicates statistically significant differences between treatment groups</w:t>
      </w:r>
    </w:p>
    <w:p w:rsidR="00A1030C" w:rsidRPr="00A9117A" w:rsidRDefault="00A1030C" w:rsidP="006530FE">
      <w:pPr>
        <w:keepNext/>
        <w:widowControl/>
        <w:tabs>
          <w:tab w:val="left" w:pos="0"/>
        </w:tabs>
        <w:rPr>
          <w:rFonts w:ascii="Arial Narrow" w:hAnsi="Arial Narrow"/>
          <w:sz w:val="18"/>
        </w:rPr>
      </w:pPr>
      <w:r w:rsidRPr="00A9117A">
        <w:rPr>
          <w:rFonts w:ascii="Arial Narrow" w:hAnsi="Arial Narrow"/>
          <w:sz w:val="18"/>
        </w:rPr>
        <w:t>Underlined values represent the values compared against the non-inferiority margin of 0.29 for ACR50</w:t>
      </w:r>
    </w:p>
    <w:p w:rsidR="00A1030C" w:rsidRPr="00A9117A" w:rsidRDefault="00A1030C" w:rsidP="006530FE">
      <w:pPr>
        <w:pStyle w:val="TableFooter"/>
        <w:widowControl/>
        <w:tabs>
          <w:tab w:val="left" w:pos="284"/>
        </w:tabs>
        <w:ind w:left="284" w:hanging="284"/>
      </w:pPr>
      <w:r w:rsidRPr="00A9117A">
        <w:rPr>
          <w:vertAlign w:val="superscript"/>
        </w:rPr>
        <w:t>a</w:t>
      </w:r>
      <w:r w:rsidRPr="00A9117A">
        <w:tab/>
        <w:t>Results from the TNF-naïve sub-population, Certolizumab pegol PSD November 2014; Secukinumab PSD March 2016</w:t>
      </w:r>
    </w:p>
    <w:p w:rsidR="00A1030C" w:rsidRPr="00A9117A" w:rsidRDefault="00A1030C" w:rsidP="006530FE">
      <w:pPr>
        <w:pStyle w:val="TableFooter"/>
        <w:widowControl/>
        <w:tabs>
          <w:tab w:val="left" w:pos="284"/>
        </w:tabs>
        <w:ind w:left="284" w:hanging="284"/>
      </w:pPr>
      <w:r w:rsidRPr="00A9117A">
        <w:rPr>
          <w:vertAlign w:val="superscript"/>
        </w:rPr>
        <w:t>b</w:t>
      </w:r>
      <w:r w:rsidRPr="00A9117A">
        <w:tab/>
        <w:t>Assessment for initial response on the PBS for certolizumab pegol occurs at 14-16 weeks (must not receive more than 18-20 weeks of treatment under Initial 1 criteria)</w:t>
      </w:r>
    </w:p>
    <w:p w:rsidR="00A1030C" w:rsidRPr="00A9117A" w:rsidRDefault="00A1030C" w:rsidP="006530FE">
      <w:pPr>
        <w:pStyle w:val="TableFooter"/>
        <w:widowControl/>
        <w:tabs>
          <w:tab w:val="left" w:pos="284"/>
        </w:tabs>
        <w:ind w:left="284" w:hanging="284"/>
      </w:pPr>
      <w:r w:rsidRPr="00A9117A">
        <w:rPr>
          <w:vertAlign w:val="superscript"/>
        </w:rPr>
        <w:t>c</w:t>
      </w:r>
      <w:r w:rsidRPr="00A9117A">
        <w:tab/>
        <w:t>Results from the total trial population as all patients in PSUMMIT 1 were TNF-naive</w:t>
      </w:r>
    </w:p>
    <w:p w:rsidR="00A1030C" w:rsidRPr="00A9117A" w:rsidRDefault="00A1030C" w:rsidP="006530FE">
      <w:pPr>
        <w:pStyle w:val="TableFooter"/>
        <w:widowControl/>
        <w:tabs>
          <w:tab w:val="left" w:pos="284"/>
        </w:tabs>
        <w:ind w:left="284" w:hanging="284"/>
      </w:pPr>
      <w:r w:rsidRPr="00A9117A">
        <w:rPr>
          <w:vertAlign w:val="superscript"/>
        </w:rPr>
        <w:t>d</w:t>
      </w:r>
      <w:r w:rsidRPr="00A9117A">
        <w:tab/>
        <w:t>Assessment for initial response on the PBS for ustekinumab occurs at 24 weeks (must not receive more than 28 weeks of treatment under Initial 1 criteria)</w:t>
      </w:r>
    </w:p>
    <w:p w:rsidR="00A1030C" w:rsidRPr="00A9117A" w:rsidRDefault="00A1030C" w:rsidP="006530FE">
      <w:pPr>
        <w:pStyle w:val="TableFooter"/>
        <w:widowControl/>
      </w:pPr>
      <w:r w:rsidRPr="00A9117A">
        <w:t>Abbreviations: bDMARD – biological disease-modifying anti-rheumatic drug; CI = confidence interval; n = number; OR = odds ratio; RD = risk difference; RR = relative risk</w:t>
      </w:r>
    </w:p>
    <w:p w:rsidR="006530FE" w:rsidRPr="00A9117A" w:rsidRDefault="006530FE" w:rsidP="006530FE">
      <w:pPr>
        <w:pStyle w:val="TableFooter"/>
        <w:widowControl/>
      </w:pPr>
    </w:p>
    <w:p w:rsidR="00A1030C" w:rsidRPr="00A9117A" w:rsidRDefault="00A1030C" w:rsidP="006530FE">
      <w:pPr>
        <w:pStyle w:val="ListParagraph"/>
        <w:widowControl/>
        <w:numPr>
          <w:ilvl w:val="1"/>
          <w:numId w:val="2"/>
        </w:numPr>
        <w:spacing w:after="120"/>
      </w:pPr>
      <w:r w:rsidRPr="00A9117A">
        <w:t xml:space="preserve">The indirect comparisons of tofacitinib versus certolizumab pegol and ustekinumab for ACR50 response indicated that the specified non-inferiority margin of 0.29 on the lower confidence interval of the relative risk statistic was met in both instances. </w:t>
      </w:r>
    </w:p>
    <w:p w:rsidR="00D1031F" w:rsidRPr="00A9117A" w:rsidRDefault="00E5187C" w:rsidP="006530FE">
      <w:pPr>
        <w:pStyle w:val="ListParagraph"/>
        <w:widowControl/>
        <w:numPr>
          <w:ilvl w:val="1"/>
          <w:numId w:val="2"/>
        </w:numPr>
        <w:spacing w:after="120"/>
      </w:pPr>
      <w:r w:rsidRPr="00A9117A">
        <w:t>As stated above, t</w:t>
      </w:r>
      <w:r w:rsidR="00D1031F" w:rsidRPr="00A9117A">
        <w:t xml:space="preserve">he PSCR </w:t>
      </w:r>
      <w:r w:rsidR="00D94475">
        <w:t xml:space="preserve">and pre-PBAC response </w:t>
      </w:r>
      <w:r w:rsidR="00D1031F" w:rsidRPr="00A9117A">
        <w:t>argued that certolizumab pegol and ustekinumab were not relevant main comparators on the basis those bDMARDs are unlikely to be replaced with tofacitinib to any large extent</w:t>
      </w:r>
      <w:r w:rsidR="00F24040" w:rsidRPr="00A9117A">
        <w:t>.</w:t>
      </w:r>
    </w:p>
    <w:p w:rsidR="00D1031F" w:rsidRPr="00A9117A" w:rsidRDefault="00D1031F" w:rsidP="006530FE">
      <w:pPr>
        <w:pStyle w:val="ListParagraph"/>
        <w:widowControl/>
        <w:numPr>
          <w:ilvl w:val="1"/>
          <w:numId w:val="2"/>
        </w:numPr>
        <w:spacing w:after="120"/>
      </w:pPr>
      <w:r w:rsidRPr="00A9117A">
        <w:t xml:space="preserve">The ESC did not accept </w:t>
      </w:r>
      <w:r w:rsidR="00F24040" w:rsidRPr="00A9117A">
        <w:t>the PSCR arguments</w:t>
      </w:r>
      <w:r w:rsidRPr="00A9117A">
        <w:t xml:space="preserve"> that certolizumab pegol and ustekinumab (and by extension, secukinumab) were not relevant comparators,</w:t>
      </w:r>
      <w:r w:rsidR="00C937DA" w:rsidRPr="00A9117A">
        <w:t xml:space="preserve"> as they are PBS-listed and used in PsA.</w:t>
      </w:r>
      <w:r w:rsidRPr="00A9117A">
        <w:t xml:space="preserve"> </w:t>
      </w:r>
      <w:r w:rsidR="00F24040" w:rsidRPr="00A9117A">
        <w:t xml:space="preserve">The ESC </w:t>
      </w:r>
      <w:r w:rsidRPr="00A9117A">
        <w:t>considered that, on the basis of the indirect comparisons und</w:t>
      </w:r>
      <w:r w:rsidR="00C937DA" w:rsidRPr="00A9117A">
        <w:t>ertaken during the evaluation,</w:t>
      </w:r>
      <w:r w:rsidRPr="00A9117A">
        <w:t xml:space="preserve"> it was likely </w:t>
      </w:r>
      <w:r w:rsidR="00C937DA" w:rsidRPr="00A9117A">
        <w:t>that tofacitinib was non-inferior to certolizumab pegol and ustekinumab with regards to comparative effectiveness.</w:t>
      </w:r>
    </w:p>
    <w:p w:rsidR="00B60939" w:rsidRPr="00A9117A" w:rsidRDefault="00B60939" w:rsidP="0011600D">
      <w:pPr>
        <w:pStyle w:val="Heading2"/>
      </w:pPr>
      <w:bookmarkStart w:id="15" w:name="_Toc524526804"/>
      <w:r w:rsidRPr="00A9117A">
        <w:t>Comparative harms</w:t>
      </w:r>
      <w:bookmarkEnd w:id="15"/>
    </w:p>
    <w:p w:rsidR="00D611D8" w:rsidRPr="00A9117A" w:rsidRDefault="00D611D8" w:rsidP="006530FE">
      <w:pPr>
        <w:pStyle w:val="ListParagraph"/>
        <w:widowControl/>
        <w:numPr>
          <w:ilvl w:val="1"/>
          <w:numId w:val="2"/>
        </w:numPr>
        <w:spacing w:after="120"/>
      </w:pPr>
      <w:r w:rsidRPr="00A9117A">
        <w:t>Across all adverse events of interest in the OPAL BROADEN trial, adverse events were similar between the tofacitinib and adalimumab treatment groups. There were no statistically significant differences at Week 13, with the exception of injection site reactions. Eleven patients in the adalimumab treatment group (10.1%) experienced injection site reactions at Week 13 compared to no patients in the tofacitinib treatment group. At Week 52, there were more patients treated with adalimumab who experienced a treatment emergent adverse event compared to tofacitinib (47.2% versus 31.8%, p&lt;0.05).</w:t>
      </w:r>
    </w:p>
    <w:p w:rsidR="007F1017" w:rsidRPr="00A9117A" w:rsidRDefault="007F1017" w:rsidP="0011600D">
      <w:pPr>
        <w:pStyle w:val="Heading2"/>
      </w:pPr>
      <w:bookmarkStart w:id="16" w:name="_Toc524526805"/>
      <w:r w:rsidRPr="00A9117A">
        <w:t>Benefits/harms</w:t>
      </w:r>
      <w:bookmarkEnd w:id="16"/>
    </w:p>
    <w:p w:rsidR="00D611D8" w:rsidRPr="00A9117A" w:rsidRDefault="00D611D8" w:rsidP="006530FE">
      <w:pPr>
        <w:pStyle w:val="ListParagraph"/>
        <w:widowControl/>
        <w:numPr>
          <w:ilvl w:val="1"/>
          <w:numId w:val="2"/>
        </w:numPr>
        <w:spacing w:after="120"/>
        <w:rPr>
          <w:rFonts w:cs="Calibri"/>
          <w:snapToGrid/>
          <w:szCs w:val="24"/>
          <w:lang w:val="en-US" w:eastAsia="en-AU"/>
        </w:rPr>
      </w:pPr>
      <w:r w:rsidRPr="00A9117A">
        <w:rPr>
          <w:rFonts w:cs="Calibri"/>
          <w:snapToGrid/>
          <w:szCs w:val="24"/>
          <w:lang w:val="en-US" w:eastAsia="en-AU"/>
        </w:rPr>
        <w:t xml:space="preserve">On the basis of direct evidence (OPAL BROADEN), </w:t>
      </w:r>
      <w:r w:rsidR="008D5DB9" w:rsidRPr="00A9117A">
        <w:rPr>
          <w:rFonts w:cs="Calibri"/>
          <w:snapToGrid/>
          <w:szCs w:val="24"/>
          <w:lang w:val="en-US" w:eastAsia="en-AU"/>
        </w:rPr>
        <w:t xml:space="preserve">there were no statistically significant differences between </w:t>
      </w:r>
      <w:r w:rsidRPr="00A9117A">
        <w:rPr>
          <w:rFonts w:cs="Calibri"/>
          <w:snapToGrid/>
          <w:szCs w:val="24"/>
          <w:lang w:val="en-US" w:eastAsia="en-AU"/>
        </w:rPr>
        <w:t xml:space="preserve">tofacitinib </w:t>
      </w:r>
      <w:r w:rsidR="008D5DB9" w:rsidRPr="00A9117A">
        <w:rPr>
          <w:rFonts w:cs="Calibri"/>
          <w:snapToGrid/>
          <w:szCs w:val="24"/>
          <w:lang w:val="en-US" w:eastAsia="en-AU"/>
        </w:rPr>
        <w:t>and</w:t>
      </w:r>
      <w:r w:rsidRPr="00A9117A">
        <w:rPr>
          <w:rFonts w:cs="Calibri"/>
          <w:snapToGrid/>
          <w:szCs w:val="24"/>
          <w:lang w:val="en-US" w:eastAsia="en-AU"/>
        </w:rPr>
        <w:t xml:space="preserve"> adalimumab in terms of improving tender and swollen joints (ACR20 and ACR50 response), which is a predominant feature of PsA.  </w:t>
      </w:r>
    </w:p>
    <w:p w:rsidR="00D611D8" w:rsidRPr="00A9117A" w:rsidRDefault="00D611D8" w:rsidP="006530FE">
      <w:pPr>
        <w:pStyle w:val="ListParagraph"/>
        <w:widowControl/>
        <w:numPr>
          <w:ilvl w:val="1"/>
          <w:numId w:val="2"/>
        </w:numPr>
        <w:spacing w:after="120"/>
        <w:rPr>
          <w:rFonts w:cs="Calibri"/>
          <w:snapToGrid/>
          <w:szCs w:val="24"/>
          <w:lang w:val="en-US" w:eastAsia="en-AU"/>
        </w:rPr>
      </w:pPr>
      <w:r w:rsidRPr="00A9117A">
        <w:rPr>
          <w:rFonts w:cs="Calibri"/>
          <w:snapToGrid/>
          <w:szCs w:val="24"/>
          <w:lang w:val="en-US" w:eastAsia="en-AU"/>
        </w:rPr>
        <w:t>On the basis of the direct evidence from the OPAL BROADEN trial, the frequency of adverse events between to</w:t>
      </w:r>
      <w:r w:rsidR="008D5DB9" w:rsidRPr="00A9117A">
        <w:rPr>
          <w:rFonts w:cs="Calibri"/>
          <w:snapToGrid/>
          <w:szCs w:val="24"/>
          <w:lang w:val="en-US" w:eastAsia="en-AU"/>
        </w:rPr>
        <w:t>facitinib and adalimumab appeared</w:t>
      </w:r>
      <w:r w:rsidRPr="00A9117A">
        <w:rPr>
          <w:rFonts w:cs="Calibri"/>
          <w:snapToGrid/>
          <w:szCs w:val="24"/>
          <w:lang w:val="en-US" w:eastAsia="en-AU"/>
        </w:rPr>
        <w:t xml:space="preserve"> to be comparable, although there were more injection site reactions with adalimumab</w:t>
      </w:r>
      <w:r w:rsidR="00AD0A4F" w:rsidRPr="00A9117A">
        <w:rPr>
          <w:rFonts w:cs="Calibri"/>
          <w:snapToGrid/>
          <w:szCs w:val="24"/>
          <w:lang w:val="en-US" w:eastAsia="en-AU"/>
        </w:rPr>
        <w:t>:</w:t>
      </w:r>
      <w:r w:rsidRPr="00A9117A">
        <w:rPr>
          <w:rFonts w:cs="Calibri"/>
          <w:snapToGrid/>
          <w:szCs w:val="24"/>
          <w:lang w:val="en-US" w:eastAsia="en-AU"/>
        </w:rPr>
        <w:t xml:space="preserve"> per 100 patients treated</w:t>
      </w:r>
      <w:r w:rsidR="00AD0A4F" w:rsidRPr="00A9117A">
        <w:rPr>
          <w:rFonts w:cs="Calibri"/>
          <w:snapToGrid/>
          <w:szCs w:val="24"/>
          <w:lang w:val="en-US" w:eastAsia="en-AU"/>
        </w:rPr>
        <w:t>,</w:t>
      </w:r>
      <w:r w:rsidRPr="00A9117A">
        <w:rPr>
          <w:rFonts w:cs="Calibri"/>
          <w:snapToGrid/>
          <w:szCs w:val="24"/>
          <w:lang w:val="en-US" w:eastAsia="en-AU"/>
        </w:rPr>
        <w:t xml:space="preserve"> 10 more patients with adalimumab will have injection site reactions over a 13 week period. </w:t>
      </w:r>
    </w:p>
    <w:p w:rsidR="00B60939" w:rsidRPr="00A9117A" w:rsidRDefault="00B60939" w:rsidP="0011600D">
      <w:pPr>
        <w:pStyle w:val="Heading2"/>
      </w:pPr>
      <w:bookmarkStart w:id="17" w:name="_Toc524526806"/>
      <w:r w:rsidRPr="00A9117A">
        <w:t>Clinical claim</w:t>
      </w:r>
      <w:bookmarkEnd w:id="17"/>
    </w:p>
    <w:p w:rsidR="00D611D8" w:rsidRPr="00A9117A" w:rsidRDefault="00D611D8" w:rsidP="006530FE">
      <w:pPr>
        <w:pStyle w:val="ListParagraph"/>
        <w:widowControl/>
        <w:numPr>
          <w:ilvl w:val="1"/>
          <w:numId w:val="2"/>
        </w:numPr>
        <w:spacing w:after="120"/>
      </w:pPr>
      <w:r w:rsidRPr="00A9117A">
        <w:t xml:space="preserve">The submission described tofacitinib as non-inferior in terms of comparative effectiveness and safety compared to adalimumab in patients with PsA who have inadequately responded to csDMARDs. </w:t>
      </w:r>
    </w:p>
    <w:p w:rsidR="008006DF" w:rsidRPr="00A9117A" w:rsidRDefault="00A45C5A" w:rsidP="006530FE">
      <w:pPr>
        <w:pStyle w:val="ListParagraph"/>
        <w:widowControl/>
        <w:numPr>
          <w:ilvl w:val="1"/>
          <w:numId w:val="2"/>
        </w:numPr>
        <w:spacing w:after="120"/>
      </w:pPr>
      <w:r w:rsidRPr="00A9117A">
        <w:t>The claim of non-inferior safety of tofacitinib to adalimumab app</w:t>
      </w:r>
      <w:r w:rsidR="0053558B" w:rsidRPr="00A9117A">
        <w:t>ears to be adequately supported. H</w:t>
      </w:r>
      <w:r w:rsidRPr="00A9117A">
        <w:t>owever</w:t>
      </w:r>
      <w:r w:rsidR="0053558B" w:rsidRPr="00A9117A">
        <w:t>,</w:t>
      </w:r>
      <w:r w:rsidR="00F24040" w:rsidRPr="00A9117A">
        <w:t xml:space="preserve"> the ESC considered</w:t>
      </w:r>
      <w:r w:rsidRPr="00A9117A">
        <w:t xml:space="preserve"> the claim of non-inferior comparative effectiveness was not definitively substantiated by the evidence presente</w:t>
      </w:r>
      <w:r w:rsidR="00F24040" w:rsidRPr="00A9117A">
        <w:t>d in the submission and</w:t>
      </w:r>
      <w:r w:rsidR="00470858" w:rsidRPr="00A9117A">
        <w:t xml:space="preserve"> agreed with the evaluation that </w:t>
      </w:r>
      <w:r w:rsidR="008006DF" w:rsidRPr="00A9117A">
        <w:t>the possibility that tofacitinib is inferior to adalimumab in terms of effectiveness c</w:t>
      </w:r>
      <w:r w:rsidR="0053558B" w:rsidRPr="00A9117A">
        <w:t>ould not</w:t>
      </w:r>
      <w:r w:rsidR="008006DF" w:rsidRPr="00A9117A">
        <w:t xml:space="preserve"> be excluded. </w:t>
      </w:r>
    </w:p>
    <w:p w:rsidR="00D611D8" w:rsidRPr="00A9117A" w:rsidRDefault="008006DF" w:rsidP="006530FE">
      <w:pPr>
        <w:pStyle w:val="ListParagraph"/>
        <w:widowControl/>
        <w:numPr>
          <w:ilvl w:val="1"/>
          <w:numId w:val="2"/>
        </w:numPr>
        <w:spacing w:after="120"/>
      </w:pPr>
      <w:r w:rsidRPr="00A9117A">
        <w:t xml:space="preserve">Indirect comparisons of tofacitinib versus </w:t>
      </w:r>
      <w:r w:rsidR="00620DE7" w:rsidRPr="00A9117A">
        <w:t>certolizumab pegol</w:t>
      </w:r>
      <w:r w:rsidRPr="00A9117A">
        <w:t xml:space="preserve"> and ustekinumab supported a conclusion of non-inferiority in terms of effectiveness to these ‘lower tier’ PBS-listed bDMARDs for the treatment of PsA.</w:t>
      </w:r>
      <w:r w:rsidRPr="00A9117A" w:rsidDel="00A45C5A">
        <w:t xml:space="preserve"> </w:t>
      </w:r>
    </w:p>
    <w:p w:rsidR="00A9117A" w:rsidRPr="00A9117A" w:rsidRDefault="00A9117A" w:rsidP="00A9117A">
      <w:pPr>
        <w:pStyle w:val="ListParagraph"/>
        <w:widowControl/>
        <w:numPr>
          <w:ilvl w:val="1"/>
          <w:numId w:val="2"/>
        </w:numPr>
        <w:spacing w:after="120"/>
        <w:ind w:left="810" w:hanging="810"/>
        <w:rPr>
          <w:rFonts w:asciiTheme="minorHAnsi" w:hAnsiTheme="minorHAnsi"/>
          <w:szCs w:val="20"/>
        </w:rPr>
      </w:pPr>
      <w:bookmarkStart w:id="18" w:name="_Hlk529526106"/>
      <w:r w:rsidRPr="00A9117A">
        <w:rPr>
          <w:rFonts w:asciiTheme="minorHAnsi" w:hAnsiTheme="minorHAnsi"/>
          <w:szCs w:val="20"/>
        </w:rPr>
        <w:t>The PBAC considered that the claim of non-inferior comparative effectiveness was not adequately supported by the data</w:t>
      </w:r>
      <w:r w:rsidR="00E371D6">
        <w:rPr>
          <w:rFonts w:asciiTheme="minorHAnsi" w:hAnsiTheme="minorHAnsi"/>
          <w:szCs w:val="20"/>
        </w:rPr>
        <w:t>, and that tofacitinib trended towards being inferior to adalimumab</w:t>
      </w:r>
      <w:r w:rsidRPr="00A9117A">
        <w:rPr>
          <w:rFonts w:asciiTheme="minorHAnsi" w:hAnsiTheme="minorHAnsi"/>
          <w:szCs w:val="20"/>
        </w:rPr>
        <w:t>.</w:t>
      </w:r>
      <w:r w:rsidR="00E371D6">
        <w:rPr>
          <w:rFonts w:asciiTheme="minorHAnsi" w:hAnsiTheme="minorHAnsi"/>
          <w:szCs w:val="20"/>
        </w:rPr>
        <w:t xml:space="preserve"> </w:t>
      </w:r>
      <w:bookmarkEnd w:id="18"/>
    </w:p>
    <w:p w:rsidR="00A9117A" w:rsidRPr="00A9117A" w:rsidRDefault="00A9117A" w:rsidP="00A9117A">
      <w:pPr>
        <w:pStyle w:val="ListParagraph"/>
        <w:widowControl/>
        <w:numPr>
          <w:ilvl w:val="1"/>
          <w:numId w:val="2"/>
        </w:numPr>
        <w:spacing w:after="120"/>
        <w:ind w:left="810" w:hanging="810"/>
        <w:rPr>
          <w:rFonts w:asciiTheme="minorHAnsi" w:hAnsiTheme="minorHAnsi"/>
          <w:szCs w:val="20"/>
        </w:rPr>
      </w:pPr>
      <w:r w:rsidRPr="00A9117A">
        <w:rPr>
          <w:rFonts w:asciiTheme="minorHAnsi" w:hAnsiTheme="minorHAnsi"/>
          <w:szCs w:val="20"/>
        </w:rPr>
        <w:t>The PBAC considered that the claim of non-inferior comparative safety was reasonabl</w:t>
      </w:r>
      <w:r w:rsidR="00962490">
        <w:rPr>
          <w:rFonts w:asciiTheme="minorHAnsi" w:hAnsiTheme="minorHAnsi"/>
          <w:szCs w:val="20"/>
        </w:rPr>
        <w:t>y</w:t>
      </w:r>
      <w:r w:rsidRPr="00A9117A">
        <w:rPr>
          <w:rFonts w:asciiTheme="minorHAnsi" w:hAnsiTheme="minorHAnsi"/>
          <w:szCs w:val="20"/>
        </w:rPr>
        <w:t xml:space="preserve"> supported by the data.</w:t>
      </w:r>
    </w:p>
    <w:p w:rsidR="00B60939" w:rsidRPr="00A9117A" w:rsidRDefault="00B60939" w:rsidP="0011600D">
      <w:pPr>
        <w:pStyle w:val="Heading2"/>
      </w:pPr>
      <w:bookmarkStart w:id="19" w:name="_Toc524526807"/>
      <w:r w:rsidRPr="00A9117A">
        <w:t>Economic analysis</w:t>
      </w:r>
      <w:bookmarkEnd w:id="19"/>
      <w:r w:rsidR="00491B3A" w:rsidRPr="00A9117A">
        <w:t xml:space="preserve"> </w:t>
      </w:r>
    </w:p>
    <w:p w:rsidR="00C6709C" w:rsidRPr="00A9117A" w:rsidRDefault="00C6709C" w:rsidP="006530FE">
      <w:pPr>
        <w:pStyle w:val="ListParagraph"/>
        <w:widowControl/>
        <w:numPr>
          <w:ilvl w:val="1"/>
          <w:numId w:val="2"/>
        </w:numPr>
        <w:spacing w:after="120"/>
      </w:pPr>
      <w:r w:rsidRPr="00A9117A">
        <w:t>A cost-minimisation analysis was presented for tofacitinib v</w:t>
      </w:r>
      <w:r w:rsidR="008006DF" w:rsidRPr="00A9117A">
        <w:t>ersu</w:t>
      </w:r>
      <w:r w:rsidRPr="00A9117A">
        <w:t>s adalimumab</w:t>
      </w:r>
      <w:r w:rsidR="0053558B" w:rsidRPr="00A9117A">
        <w:t xml:space="preserve">, based on a claimed equi-effective dose of </w:t>
      </w:r>
      <w:r w:rsidR="00962490">
        <w:t>t</w:t>
      </w:r>
      <w:r w:rsidR="0053558B" w:rsidRPr="00A9117A">
        <w:t xml:space="preserve">ofacitinib 5mg bd = </w:t>
      </w:r>
      <w:r w:rsidR="00962490">
        <w:t>a</w:t>
      </w:r>
      <w:r w:rsidR="0053558B" w:rsidRPr="00A9117A">
        <w:t>dalimumab 40mg subcutaneously every two weeks</w:t>
      </w:r>
      <w:r w:rsidRPr="00A9117A">
        <w:t>.</w:t>
      </w:r>
      <w:r w:rsidR="00D92CE2" w:rsidRPr="00A9117A">
        <w:t xml:space="preserve"> </w:t>
      </w:r>
    </w:p>
    <w:p w:rsidR="001036B8" w:rsidRPr="00A9117A" w:rsidRDefault="001036B8" w:rsidP="006530FE">
      <w:pPr>
        <w:pStyle w:val="ListParagraph"/>
        <w:widowControl/>
        <w:numPr>
          <w:ilvl w:val="1"/>
          <w:numId w:val="2"/>
        </w:numPr>
        <w:spacing w:after="120"/>
      </w:pPr>
      <w:r w:rsidRPr="00A9117A">
        <w:t>The submission did not incorporate the cost of concomitant csDMARD use in the derivation of the cost-minimised price for tofacitinib ($1,764.24). The ESC noted the PSCR disagreed with the assertion in the evaluation that the cost of concomitant DMARD use should be included in the cost-minimised price as DMARD use is common for many patients on bDMARD treatment</w:t>
      </w:r>
      <w:r w:rsidR="00962490">
        <w:t>. The ESC</w:t>
      </w:r>
      <w:r w:rsidR="00C76484">
        <w:t xml:space="preserve"> </w:t>
      </w:r>
      <w:r w:rsidRPr="00A9117A">
        <w:t>agreed with the PSCR it was appropriate not to include the cost of DMARDs in the cost-minimised price.</w:t>
      </w:r>
    </w:p>
    <w:p w:rsidR="0053558B" w:rsidRPr="00A9117A" w:rsidRDefault="0053558B" w:rsidP="006530FE">
      <w:pPr>
        <w:pStyle w:val="ListParagraph"/>
        <w:widowControl/>
        <w:numPr>
          <w:ilvl w:val="1"/>
          <w:numId w:val="2"/>
        </w:numPr>
        <w:spacing w:after="120"/>
      </w:pPr>
      <w:r w:rsidRPr="00A9117A">
        <w:t>The requested DPMQ for tofacitinib of $1,764.24 (5mg x 56 tablets) was based on the AEMP for adalimumab of $1,630.01 (with current mark-ups and dispensing fees added), which was the price adalimumab was originally listed at in March 2006. The submission cited Clause 5.7 of the Strategic Agreement with Medicines Australia for this approach, such that the statutory price reductions that have since been applied to adalimumab since listing are not taken into consideration in the current cost-minimised requested price.</w:t>
      </w:r>
      <w:r w:rsidR="00A903F5" w:rsidRPr="00A9117A">
        <w:t xml:space="preserve"> </w:t>
      </w:r>
    </w:p>
    <w:p w:rsidR="00C937DA" w:rsidRPr="00A9117A" w:rsidRDefault="00C937DA" w:rsidP="006530FE">
      <w:pPr>
        <w:pStyle w:val="ListParagraph"/>
        <w:widowControl/>
        <w:numPr>
          <w:ilvl w:val="1"/>
          <w:numId w:val="2"/>
        </w:numPr>
        <w:spacing w:after="120"/>
      </w:pPr>
      <w:r w:rsidRPr="00A9117A">
        <w:t xml:space="preserve">The ESC noted there </w:t>
      </w:r>
      <w:r w:rsidR="00470858" w:rsidRPr="00A9117A">
        <w:t>are</w:t>
      </w:r>
      <w:r w:rsidRPr="00A9117A">
        <w:t xml:space="preserve"> two pricing tiers of bDMARDs used for the treatment of PsA – a ‘lower tier’ including certolizumab pegol, ustekinumab and secukinumab, and </w:t>
      </w:r>
      <w:r w:rsidR="00470858" w:rsidRPr="00A9117A">
        <w:t xml:space="preserve">a </w:t>
      </w:r>
      <w:r w:rsidRPr="00A9117A">
        <w:t xml:space="preserve">‘higher tier’ including </w:t>
      </w:r>
      <w:r w:rsidR="001710F6" w:rsidRPr="00A9117A">
        <w:t>adalimumab, etanercept, infliximab and golimumab. The ESC was not satisfied that tofacitinib had established non-inferiority with adalimumab</w:t>
      </w:r>
      <w:r w:rsidR="00470858" w:rsidRPr="00A9117A">
        <w:t>;</w:t>
      </w:r>
      <w:r w:rsidR="001710F6" w:rsidRPr="00A9117A">
        <w:t xml:space="preserve"> however</w:t>
      </w:r>
      <w:r w:rsidR="00470858" w:rsidRPr="00A9117A">
        <w:t>, it</w:t>
      </w:r>
      <w:r w:rsidR="009537A1" w:rsidRPr="00A9117A">
        <w:t xml:space="preserve"> considered </w:t>
      </w:r>
      <w:r w:rsidR="00470858" w:rsidRPr="00A9117A">
        <w:t>that tofacitinib</w:t>
      </w:r>
      <w:r w:rsidR="001710F6" w:rsidRPr="00A9117A">
        <w:t xml:space="preserve"> appeared to be non-inferior to certolizumab pegol and ustekinumab (based on the indirect comparisons undertaken during the evaluation). </w:t>
      </w:r>
    </w:p>
    <w:p w:rsidR="001036B8" w:rsidRPr="00A9117A" w:rsidRDefault="00733555" w:rsidP="006530FE">
      <w:pPr>
        <w:pStyle w:val="ListParagraph"/>
        <w:widowControl/>
        <w:numPr>
          <w:ilvl w:val="1"/>
          <w:numId w:val="2"/>
        </w:numPr>
        <w:spacing w:after="120"/>
      </w:pPr>
      <w:r w:rsidRPr="00A9117A">
        <w:t xml:space="preserve">The </w:t>
      </w:r>
      <w:r w:rsidR="001036B8" w:rsidRPr="00A9117A">
        <w:t>ESC not</w:t>
      </w:r>
      <w:r w:rsidR="009E0E95">
        <w:t>ed that given the submission had</w:t>
      </w:r>
      <w:r w:rsidR="001036B8" w:rsidRPr="00A9117A">
        <w:t xml:space="preserve"> not demonstrated that tofacitinib “provides, for some patients, a significant improvement in efficacy or reduction of toxicity over the alternative bDMARDs”, the cost-minimisation should be to the lowest cost bDMARD for the treatment of PsA currently listed on the PBS.</w:t>
      </w:r>
    </w:p>
    <w:p w:rsidR="00C25D9C" w:rsidRPr="00A9117A" w:rsidRDefault="00C25D9C" w:rsidP="0011600D">
      <w:pPr>
        <w:pStyle w:val="Heading2"/>
      </w:pPr>
      <w:bookmarkStart w:id="20" w:name="_Toc524526808"/>
      <w:r w:rsidRPr="00A9117A">
        <w:t>Drug cost/patient/year</w:t>
      </w:r>
      <w:bookmarkEnd w:id="20"/>
    </w:p>
    <w:p w:rsidR="00B60939" w:rsidRPr="00A9117A" w:rsidRDefault="00590B68" w:rsidP="006530FE">
      <w:pPr>
        <w:pStyle w:val="ListParagraph"/>
        <w:widowControl/>
        <w:numPr>
          <w:ilvl w:val="1"/>
          <w:numId w:val="2"/>
        </w:numPr>
        <w:spacing w:after="120"/>
      </w:pPr>
      <w:r w:rsidRPr="00A9117A">
        <w:t>Tofacitinib</w:t>
      </w:r>
      <w:r w:rsidR="00A452AE" w:rsidRPr="00A9117A">
        <w:t xml:space="preserve"> drug cost</w:t>
      </w:r>
      <w:r w:rsidR="0076134E" w:rsidRPr="00A9117A">
        <w:t xml:space="preserve"> per </w:t>
      </w:r>
      <w:r w:rsidR="00A452AE" w:rsidRPr="00A9117A">
        <w:t xml:space="preserve">patient per year </w:t>
      </w:r>
      <w:r w:rsidR="0076134E" w:rsidRPr="00A9117A">
        <w:t xml:space="preserve">would be $22,935.12 based on the requested DPMQ of $1,764.24 and 13 scripts per year (each script sufficient for 28 days of treatment); this cost per year does not include the cost for required concomitant </w:t>
      </w:r>
      <w:r w:rsidRPr="00A9117A">
        <w:t>conventional synthetic disease modifying anti-rheumatic drug (csDMARD)</w:t>
      </w:r>
      <w:r w:rsidR="0076134E" w:rsidRPr="00A9117A">
        <w:t xml:space="preserve"> use. This compares with $16,504.80 for adalimumab based on the current DPMQ of $1,269.60 and 13 scripts per year (each script sufficient for 28 days of treatment); adalimumab can be used with or without concomitant csDMARDs. </w:t>
      </w:r>
    </w:p>
    <w:p w:rsidR="00B60939" w:rsidRPr="00A9117A" w:rsidRDefault="00B60939" w:rsidP="0011600D">
      <w:pPr>
        <w:pStyle w:val="Heading2"/>
      </w:pPr>
      <w:bookmarkStart w:id="21" w:name="_Toc524526809"/>
      <w:r w:rsidRPr="00A9117A">
        <w:t>Estimated PBS usage &amp; financial implications</w:t>
      </w:r>
      <w:bookmarkEnd w:id="21"/>
    </w:p>
    <w:p w:rsidR="00317530" w:rsidRPr="00A9117A" w:rsidRDefault="00C25D9C" w:rsidP="006530FE">
      <w:pPr>
        <w:pStyle w:val="ListParagraph"/>
        <w:widowControl/>
        <w:numPr>
          <w:ilvl w:val="1"/>
          <w:numId w:val="2"/>
        </w:numPr>
        <w:spacing w:after="120"/>
      </w:pPr>
      <w:r w:rsidRPr="00A9117A">
        <w:t xml:space="preserve">This submission </w:t>
      </w:r>
      <w:r w:rsidR="00D97D60" w:rsidRPr="00A9117A">
        <w:t>w</w:t>
      </w:r>
      <w:r w:rsidR="00A7026F">
        <w:t>as n</w:t>
      </w:r>
      <w:r w:rsidR="00CB4D4B" w:rsidRPr="00A9117A">
        <w:t>ot</w:t>
      </w:r>
      <w:r w:rsidRPr="00A9117A">
        <w:t xml:space="preserve"> considered by DUSC.</w:t>
      </w:r>
      <w:r w:rsidR="00CB4D4B" w:rsidRPr="00A9117A">
        <w:t xml:space="preserve"> </w:t>
      </w:r>
    </w:p>
    <w:p w:rsidR="005648FE" w:rsidRPr="00A9117A" w:rsidRDefault="005545C4" w:rsidP="006530FE">
      <w:pPr>
        <w:pStyle w:val="ListParagraph"/>
        <w:widowControl/>
        <w:numPr>
          <w:ilvl w:val="1"/>
          <w:numId w:val="2"/>
        </w:numPr>
        <w:spacing w:after="120"/>
      </w:pPr>
      <w:r w:rsidRPr="00A9117A">
        <w:t>While the usage estimates presented in the submission were considered</w:t>
      </w:r>
      <w:r w:rsidR="00EE3410">
        <w:t xml:space="preserve"> in the evaluation</w:t>
      </w:r>
      <w:r w:rsidRPr="00A9117A">
        <w:t xml:space="preserve"> to be relevant</w:t>
      </w:r>
      <w:r w:rsidR="000B380F" w:rsidRPr="00A9117A">
        <w:t xml:space="preserve"> and informative</w:t>
      </w:r>
      <w:r w:rsidRPr="00A9117A">
        <w:t xml:space="preserve">, but likely underestimated, the total cost of tofacitinib </w:t>
      </w:r>
      <w:r w:rsidR="00E55EA5" w:rsidRPr="00A9117A">
        <w:t>is likely to</w:t>
      </w:r>
      <w:r w:rsidR="00C0704E" w:rsidRPr="00A9117A">
        <w:t xml:space="preserve"> vary </w:t>
      </w:r>
      <w:r w:rsidRPr="00A9117A">
        <w:t xml:space="preserve">from </w:t>
      </w:r>
      <w:r w:rsidR="000B380F" w:rsidRPr="00A9117A">
        <w:t>that presented</w:t>
      </w:r>
      <w:r w:rsidRPr="00A9117A">
        <w:t xml:space="preserve"> depending on the</w:t>
      </w:r>
      <w:r w:rsidR="000B380F" w:rsidRPr="00A9117A">
        <w:t xml:space="preserve"> accepted</w:t>
      </w:r>
      <w:r w:rsidRPr="00A9117A">
        <w:t xml:space="preserve"> </w:t>
      </w:r>
      <w:r w:rsidR="000B380F" w:rsidRPr="00A9117A">
        <w:t>comparator price. The net financial implications of listing tofacitinib</w:t>
      </w:r>
      <w:r w:rsidR="00C0704E" w:rsidRPr="00A9117A">
        <w:t xml:space="preserve"> as presented in the submission</w:t>
      </w:r>
      <w:r w:rsidR="000B380F" w:rsidRPr="00A9117A">
        <w:t xml:space="preserve"> are provided in</w:t>
      </w:r>
      <w:r w:rsidR="00B02F6C" w:rsidRPr="00A9117A">
        <w:t xml:space="preserve"> </w:t>
      </w:r>
      <w:r w:rsidR="00AD4C07" w:rsidRPr="00A9117A">
        <w:t xml:space="preserve">Table </w:t>
      </w:r>
      <w:r w:rsidR="00C62628" w:rsidRPr="00A9117A">
        <w:t>11</w:t>
      </w:r>
      <w:r w:rsidR="00B02F6C" w:rsidRPr="00A9117A">
        <w:t xml:space="preserve"> for completeness</w:t>
      </w:r>
      <w:r w:rsidR="0076134E" w:rsidRPr="00A9117A">
        <w:t xml:space="preserve">. </w:t>
      </w:r>
    </w:p>
    <w:p w:rsidR="002366B6" w:rsidRPr="00A9117A" w:rsidRDefault="00B02F6C" w:rsidP="006530FE">
      <w:pPr>
        <w:pStyle w:val="TableHeading0"/>
        <w:keepNext/>
      </w:pPr>
      <w:bookmarkStart w:id="22" w:name="_Ref524440418"/>
      <w:r w:rsidRPr="00A9117A">
        <w:t xml:space="preserve">Table </w:t>
      </w:r>
      <w:bookmarkEnd w:id="22"/>
      <w:r w:rsidR="00C62628" w:rsidRPr="00A9117A">
        <w:t>11</w:t>
      </w:r>
      <w:r w:rsidRPr="00A9117A">
        <w:t xml:space="preserve">: </w:t>
      </w:r>
      <w:r w:rsidR="002366B6" w:rsidRPr="00A9117A">
        <w:t>Submission estimations of the net financial implications of listing tofacitinib</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bmission estimations of the net financial implications of listing tofacitinib"/>
      </w:tblPr>
      <w:tblGrid>
        <w:gridCol w:w="3605"/>
        <w:gridCol w:w="840"/>
        <w:gridCol w:w="934"/>
        <w:gridCol w:w="902"/>
        <w:gridCol w:w="840"/>
        <w:gridCol w:w="965"/>
        <w:gridCol w:w="997"/>
      </w:tblGrid>
      <w:tr w:rsidR="002366B6" w:rsidRPr="00A9117A" w:rsidTr="00BE2A84">
        <w:trPr>
          <w:trHeight w:val="211"/>
          <w:tblHeader/>
        </w:trPr>
        <w:tc>
          <w:tcPr>
            <w:tcW w:w="0" w:type="auto"/>
          </w:tcPr>
          <w:p w:rsidR="002366B6" w:rsidRPr="00A9117A" w:rsidRDefault="002366B6" w:rsidP="006530FE">
            <w:pPr>
              <w:pStyle w:val="TableText0"/>
              <w:rPr>
                <w:b/>
              </w:rPr>
            </w:pPr>
            <w:r w:rsidRPr="00A9117A">
              <w:rPr>
                <w:b/>
              </w:rPr>
              <w:t>Estimated parameter</w:t>
            </w:r>
          </w:p>
        </w:tc>
        <w:tc>
          <w:tcPr>
            <w:tcW w:w="0" w:type="auto"/>
          </w:tcPr>
          <w:p w:rsidR="002366B6" w:rsidRPr="00A9117A" w:rsidRDefault="002366B6" w:rsidP="006530FE">
            <w:pPr>
              <w:pStyle w:val="TableText0"/>
              <w:jc w:val="center"/>
              <w:rPr>
                <w:b/>
              </w:rPr>
            </w:pPr>
            <w:r w:rsidRPr="00A9117A">
              <w:rPr>
                <w:b/>
              </w:rPr>
              <w:t>2019</w:t>
            </w:r>
          </w:p>
        </w:tc>
        <w:tc>
          <w:tcPr>
            <w:tcW w:w="0" w:type="auto"/>
          </w:tcPr>
          <w:p w:rsidR="002366B6" w:rsidRPr="00A9117A" w:rsidRDefault="002366B6" w:rsidP="006530FE">
            <w:pPr>
              <w:pStyle w:val="TableText0"/>
              <w:jc w:val="center"/>
              <w:rPr>
                <w:b/>
              </w:rPr>
            </w:pPr>
            <w:r w:rsidRPr="00A9117A">
              <w:rPr>
                <w:b/>
              </w:rPr>
              <w:t>2020</w:t>
            </w:r>
          </w:p>
        </w:tc>
        <w:tc>
          <w:tcPr>
            <w:tcW w:w="0" w:type="auto"/>
          </w:tcPr>
          <w:p w:rsidR="002366B6" w:rsidRPr="00A9117A" w:rsidRDefault="002366B6" w:rsidP="006530FE">
            <w:pPr>
              <w:pStyle w:val="TableText0"/>
              <w:jc w:val="center"/>
              <w:rPr>
                <w:b/>
              </w:rPr>
            </w:pPr>
            <w:r w:rsidRPr="00A9117A">
              <w:rPr>
                <w:b/>
              </w:rPr>
              <w:t>2021</w:t>
            </w:r>
          </w:p>
        </w:tc>
        <w:tc>
          <w:tcPr>
            <w:tcW w:w="0" w:type="auto"/>
          </w:tcPr>
          <w:p w:rsidR="002366B6" w:rsidRPr="00A9117A" w:rsidRDefault="002366B6" w:rsidP="006530FE">
            <w:pPr>
              <w:pStyle w:val="TableText0"/>
              <w:jc w:val="center"/>
              <w:rPr>
                <w:b/>
              </w:rPr>
            </w:pPr>
            <w:r w:rsidRPr="00A9117A">
              <w:rPr>
                <w:b/>
              </w:rPr>
              <w:t>2022</w:t>
            </w:r>
          </w:p>
        </w:tc>
        <w:tc>
          <w:tcPr>
            <w:tcW w:w="0" w:type="auto"/>
          </w:tcPr>
          <w:p w:rsidR="002366B6" w:rsidRPr="00A9117A" w:rsidRDefault="002366B6" w:rsidP="006530FE">
            <w:pPr>
              <w:pStyle w:val="TableText0"/>
              <w:jc w:val="center"/>
              <w:rPr>
                <w:b/>
              </w:rPr>
            </w:pPr>
            <w:r w:rsidRPr="00A9117A">
              <w:rPr>
                <w:b/>
              </w:rPr>
              <w:t>2023</w:t>
            </w:r>
          </w:p>
        </w:tc>
        <w:tc>
          <w:tcPr>
            <w:tcW w:w="0" w:type="auto"/>
          </w:tcPr>
          <w:p w:rsidR="002366B6" w:rsidRPr="00A9117A" w:rsidRDefault="002366B6" w:rsidP="006530FE">
            <w:pPr>
              <w:pStyle w:val="TableText0"/>
              <w:jc w:val="center"/>
              <w:rPr>
                <w:b/>
              </w:rPr>
            </w:pPr>
            <w:r w:rsidRPr="00A9117A">
              <w:rPr>
                <w:b/>
              </w:rPr>
              <w:t>2024</w:t>
            </w:r>
          </w:p>
        </w:tc>
      </w:tr>
      <w:tr w:rsidR="002366B6" w:rsidRPr="00A9117A" w:rsidTr="008619EC">
        <w:tc>
          <w:tcPr>
            <w:tcW w:w="0" w:type="auto"/>
          </w:tcPr>
          <w:p w:rsidR="002366B6" w:rsidRPr="00A9117A" w:rsidRDefault="002366B6" w:rsidP="006530FE">
            <w:pPr>
              <w:pStyle w:val="TableText0"/>
            </w:pPr>
            <w:r w:rsidRPr="00A9117A">
              <w:t>Annual market growth rate</w:t>
            </w:r>
          </w:p>
        </w:tc>
        <w:tc>
          <w:tcPr>
            <w:tcW w:w="0" w:type="auto"/>
            <w:vAlign w:val="center"/>
          </w:tcPr>
          <w:p w:rsidR="002366B6" w:rsidRPr="00A9117A" w:rsidRDefault="002366B6" w:rsidP="006530FE">
            <w:pPr>
              <w:pStyle w:val="TableText0"/>
              <w:jc w:val="center"/>
            </w:pPr>
            <w:r w:rsidRPr="00A9117A">
              <w:t>18%</w:t>
            </w:r>
          </w:p>
        </w:tc>
        <w:tc>
          <w:tcPr>
            <w:tcW w:w="0" w:type="auto"/>
            <w:vAlign w:val="center"/>
          </w:tcPr>
          <w:p w:rsidR="002366B6" w:rsidRPr="00A9117A" w:rsidRDefault="002366B6" w:rsidP="006530FE">
            <w:pPr>
              <w:pStyle w:val="TableText0"/>
              <w:jc w:val="center"/>
            </w:pPr>
            <w:r w:rsidRPr="00A9117A">
              <w:t>17%</w:t>
            </w:r>
          </w:p>
        </w:tc>
        <w:tc>
          <w:tcPr>
            <w:tcW w:w="0" w:type="auto"/>
            <w:vAlign w:val="center"/>
          </w:tcPr>
          <w:p w:rsidR="002366B6" w:rsidRPr="00A9117A" w:rsidRDefault="002366B6" w:rsidP="006530FE">
            <w:pPr>
              <w:pStyle w:val="TableText0"/>
              <w:jc w:val="center"/>
            </w:pPr>
            <w:r w:rsidRPr="00A9117A">
              <w:t>16%</w:t>
            </w:r>
          </w:p>
        </w:tc>
        <w:tc>
          <w:tcPr>
            <w:tcW w:w="0" w:type="auto"/>
            <w:vAlign w:val="center"/>
          </w:tcPr>
          <w:p w:rsidR="002366B6" w:rsidRPr="00A9117A" w:rsidRDefault="002366B6" w:rsidP="006530FE">
            <w:pPr>
              <w:pStyle w:val="TableText0"/>
              <w:jc w:val="center"/>
            </w:pPr>
            <w:r w:rsidRPr="00A9117A">
              <w:t>15%</w:t>
            </w:r>
          </w:p>
        </w:tc>
        <w:tc>
          <w:tcPr>
            <w:tcW w:w="0" w:type="auto"/>
            <w:vAlign w:val="center"/>
          </w:tcPr>
          <w:p w:rsidR="002366B6" w:rsidRPr="00A9117A" w:rsidRDefault="002366B6" w:rsidP="006530FE">
            <w:pPr>
              <w:pStyle w:val="TableText0"/>
              <w:jc w:val="center"/>
            </w:pPr>
            <w:r w:rsidRPr="00A9117A">
              <w:t>14%</w:t>
            </w:r>
          </w:p>
        </w:tc>
        <w:tc>
          <w:tcPr>
            <w:tcW w:w="0" w:type="auto"/>
            <w:vAlign w:val="center"/>
          </w:tcPr>
          <w:p w:rsidR="002366B6" w:rsidRPr="00A9117A" w:rsidRDefault="002366B6" w:rsidP="006530FE">
            <w:pPr>
              <w:pStyle w:val="TableText0"/>
              <w:jc w:val="center"/>
            </w:pPr>
            <w:r w:rsidRPr="00A9117A">
              <w:t>14%</w:t>
            </w:r>
          </w:p>
        </w:tc>
      </w:tr>
      <w:tr w:rsidR="002366B6" w:rsidRPr="00A9117A" w:rsidTr="008619EC">
        <w:tc>
          <w:tcPr>
            <w:tcW w:w="0" w:type="auto"/>
          </w:tcPr>
          <w:p w:rsidR="002366B6" w:rsidRPr="00A9117A" w:rsidRDefault="002366B6" w:rsidP="006530FE">
            <w:pPr>
              <w:pStyle w:val="TableText0"/>
            </w:pPr>
            <w:r w:rsidRPr="00A9117A">
              <w:t>Tofacitinib market share uptake</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c>
          <w:tcPr>
            <w:tcW w:w="0" w:type="auto"/>
            <w:vAlign w:val="center"/>
          </w:tcPr>
          <w:p w:rsidR="002366B6" w:rsidRPr="00A9117A" w:rsidRDefault="008876F5" w:rsidP="006530FE">
            <w:pPr>
              <w:pStyle w:val="TableText0"/>
              <w:jc w:val="center"/>
            </w:pPr>
            <w:r>
              <w:rPr>
                <w:noProof/>
                <w:color w:val="000000"/>
                <w:highlight w:val="black"/>
              </w:rPr>
              <w:t>''''''</w:t>
            </w:r>
            <w:r w:rsidR="002366B6" w:rsidRPr="00A9117A">
              <w:t>%</w:t>
            </w:r>
          </w:p>
        </w:tc>
      </w:tr>
      <w:tr w:rsidR="002366B6" w:rsidRPr="00A9117A" w:rsidTr="008619EC">
        <w:tc>
          <w:tcPr>
            <w:tcW w:w="0" w:type="auto"/>
          </w:tcPr>
          <w:p w:rsidR="002366B6" w:rsidRPr="00A9117A" w:rsidRDefault="002366B6" w:rsidP="006530FE">
            <w:pPr>
              <w:pStyle w:val="TableText0"/>
            </w:pPr>
            <w:r w:rsidRPr="00A9117A">
              <w:t>Total PBS/RPBS tofacitinib services</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c>
          <w:tcPr>
            <w:tcW w:w="0" w:type="auto"/>
            <w:vAlign w:val="center"/>
          </w:tcPr>
          <w:p w:rsidR="002366B6" w:rsidRPr="008876F5" w:rsidRDefault="008876F5" w:rsidP="006530FE">
            <w:pPr>
              <w:pStyle w:val="TableText0"/>
              <w:jc w:val="center"/>
              <w:rPr>
                <w:highlight w:val="black"/>
              </w:rPr>
            </w:pPr>
            <w:r>
              <w:rPr>
                <w:noProof/>
                <w:color w:val="000000"/>
                <w:highlight w:val="black"/>
              </w:rPr>
              <w:t>''''''''''''</w:t>
            </w:r>
          </w:p>
        </w:tc>
      </w:tr>
      <w:tr w:rsidR="002366B6" w:rsidRPr="00A9117A" w:rsidTr="008619EC">
        <w:tc>
          <w:tcPr>
            <w:tcW w:w="0" w:type="auto"/>
          </w:tcPr>
          <w:p w:rsidR="002366B6" w:rsidRPr="00A9117A" w:rsidRDefault="002366B6" w:rsidP="006530FE">
            <w:pPr>
              <w:pStyle w:val="TableText0"/>
            </w:pPr>
            <w:r w:rsidRPr="00A9117A">
              <w:t>Total PBS/RPBS costs (less co-payments)</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r>
      <w:tr w:rsidR="002366B6" w:rsidRPr="00A9117A" w:rsidTr="008619EC">
        <w:tc>
          <w:tcPr>
            <w:tcW w:w="0" w:type="auto"/>
          </w:tcPr>
          <w:p w:rsidR="002366B6" w:rsidRPr="00A9117A" w:rsidRDefault="002366B6" w:rsidP="006530FE">
            <w:pPr>
              <w:pStyle w:val="TableText0"/>
            </w:pPr>
            <w:r w:rsidRPr="00A9117A">
              <w:t>Total bDMARD script volume displacement by tofacitinib</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c>
          <w:tcPr>
            <w:tcW w:w="0" w:type="auto"/>
            <w:vAlign w:val="center"/>
          </w:tcPr>
          <w:p w:rsidR="002366B6" w:rsidRPr="008876F5" w:rsidRDefault="008876F5" w:rsidP="006530FE">
            <w:pPr>
              <w:pStyle w:val="TableText0"/>
              <w:jc w:val="center"/>
              <w:rPr>
                <w:highlight w:val="black"/>
              </w:rPr>
            </w:pPr>
            <w:r>
              <w:rPr>
                <w:rFonts w:cs="Arial"/>
                <w:bCs/>
                <w:noProof/>
                <w:color w:val="000000"/>
                <w:szCs w:val="20"/>
                <w:highlight w:val="black"/>
              </w:rPr>
              <w:t>''''''''''''''</w:t>
            </w:r>
          </w:p>
        </w:tc>
      </w:tr>
      <w:tr w:rsidR="002366B6" w:rsidRPr="00A9117A" w:rsidTr="008619EC">
        <w:tc>
          <w:tcPr>
            <w:tcW w:w="0" w:type="auto"/>
          </w:tcPr>
          <w:p w:rsidR="002366B6" w:rsidRPr="00A9117A" w:rsidRDefault="002366B6" w:rsidP="006530FE">
            <w:pPr>
              <w:pStyle w:val="TableText0"/>
            </w:pPr>
            <w:r w:rsidRPr="00A9117A">
              <w:t>Total bDMARD PBS/RPBS cost-offsets (less co-payment)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c>
          <w:tcPr>
            <w:tcW w:w="0" w:type="auto"/>
            <w:vAlign w:val="center"/>
          </w:tcPr>
          <w:p w:rsidR="002366B6" w:rsidRPr="00A9117A" w:rsidRDefault="002366B6" w:rsidP="006530FE">
            <w:pPr>
              <w:pStyle w:val="TableText0"/>
              <w:jc w:val="center"/>
            </w:pPr>
            <w:r w:rsidRPr="00A9117A">
              <w:rPr>
                <w:rFonts w:cs="Arial"/>
                <w:color w:val="000000"/>
                <w:szCs w:val="20"/>
                <w:lang w:val="en-US"/>
              </w:rPr>
              <w:t>$</w:t>
            </w:r>
            <w:r w:rsidR="008876F5">
              <w:rPr>
                <w:rFonts w:cs="Arial"/>
                <w:noProof/>
                <w:color w:val="000000"/>
                <w:szCs w:val="20"/>
                <w:highlight w:val="black"/>
                <w:lang w:val="en-US"/>
              </w:rPr>
              <w:t>'''''''''''''''''''''''</w:t>
            </w:r>
          </w:p>
        </w:tc>
      </w:tr>
      <w:tr w:rsidR="002366B6" w:rsidRPr="00A9117A" w:rsidTr="008619EC">
        <w:tc>
          <w:tcPr>
            <w:tcW w:w="0" w:type="auto"/>
          </w:tcPr>
          <w:p w:rsidR="002366B6" w:rsidRPr="00A9117A" w:rsidRDefault="002366B6" w:rsidP="006530FE">
            <w:pPr>
              <w:pStyle w:val="TableText0"/>
            </w:pPr>
            <w:r w:rsidRPr="00A9117A">
              <w:t>Net financial implications to the PBS/RPBS of listing tofacitinib</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r>
      <w:tr w:rsidR="002366B6" w:rsidRPr="00A9117A" w:rsidTr="008619EC">
        <w:tc>
          <w:tcPr>
            <w:tcW w:w="0" w:type="auto"/>
          </w:tcPr>
          <w:p w:rsidR="002366B6" w:rsidRPr="00A9117A" w:rsidRDefault="002366B6" w:rsidP="006530FE">
            <w:pPr>
              <w:pStyle w:val="TableText0"/>
            </w:pPr>
            <w:r w:rsidRPr="00A9117A">
              <w:t>Net financial implications to the health budget of listing tofacitinib</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c>
          <w:tcPr>
            <w:tcW w:w="0" w:type="auto"/>
            <w:vAlign w:val="center"/>
          </w:tcPr>
          <w:p w:rsidR="002366B6" w:rsidRPr="00A9117A" w:rsidRDefault="002366B6" w:rsidP="006530FE">
            <w:pPr>
              <w:pStyle w:val="TableText0"/>
              <w:jc w:val="center"/>
            </w:pPr>
            <w:r w:rsidRPr="00A9117A">
              <w:t>$</w:t>
            </w:r>
            <w:r w:rsidR="008876F5">
              <w:rPr>
                <w:noProof/>
                <w:color w:val="000000"/>
                <w:highlight w:val="black"/>
              </w:rPr>
              <w:t>''''''''''''''''''''''</w:t>
            </w:r>
          </w:p>
        </w:tc>
      </w:tr>
    </w:tbl>
    <w:p w:rsidR="002366B6" w:rsidRPr="00A9117A" w:rsidRDefault="002366B6" w:rsidP="006530FE">
      <w:pPr>
        <w:pStyle w:val="TableFooter"/>
        <w:widowControl/>
      </w:pPr>
      <w:r w:rsidRPr="00A9117A">
        <w:t>Source: Tables 4.4, 4.8, 4.10, 4.11, 4.13 &amp; 4.14 in Section 4 of the submission</w:t>
      </w:r>
    </w:p>
    <w:p w:rsidR="002366B6" w:rsidRDefault="002366B6" w:rsidP="006530FE">
      <w:pPr>
        <w:pStyle w:val="TableFooter"/>
        <w:widowControl/>
      </w:pPr>
      <w:r w:rsidRPr="00A9117A">
        <w:t>Abbreviations: bDMARD = biological disease-modifying anti-rheumatic agent; PBS = Pharmaceutical Benefits Scheme; RPBS = Repatriation Pharmaceutical Benefits Scheme</w:t>
      </w:r>
    </w:p>
    <w:p w:rsidR="00615320" w:rsidRPr="00C92BD6" w:rsidRDefault="00615320" w:rsidP="00615320">
      <w:pPr>
        <w:pStyle w:val="TableFooter"/>
        <w:widowControl/>
        <w:spacing w:before="120" w:after="120"/>
        <w:rPr>
          <w:rFonts w:asciiTheme="minorHAnsi" w:hAnsiTheme="minorHAnsi" w:cstheme="minorHAnsi"/>
          <w:i/>
          <w:sz w:val="24"/>
          <w:szCs w:val="24"/>
        </w:rPr>
      </w:pPr>
      <w:r w:rsidRPr="00C92BD6">
        <w:rPr>
          <w:rFonts w:asciiTheme="minorHAnsi" w:hAnsiTheme="minorHAnsi" w:cstheme="minorHAnsi"/>
          <w:i/>
          <w:sz w:val="24"/>
          <w:szCs w:val="24"/>
        </w:rPr>
        <w:t>The redacted table shows that at Year 6 the estimated number of scripts dispensed was less than 10,000 per year.</w:t>
      </w:r>
    </w:p>
    <w:p w:rsidR="0076134E" w:rsidRPr="00A9117A" w:rsidRDefault="00A76512" w:rsidP="0032516D">
      <w:pPr>
        <w:pStyle w:val="ListParagraph"/>
        <w:widowControl/>
        <w:numPr>
          <w:ilvl w:val="1"/>
          <w:numId w:val="2"/>
        </w:numPr>
        <w:spacing w:after="120"/>
      </w:pPr>
      <w:r w:rsidRPr="00A9117A">
        <w:t>In brief,</w:t>
      </w:r>
      <w:r w:rsidR="0076134E" w:rsidRPr="00A9117A">
        <w:t xml:space="preserve"> based on the requested price for tofacitinib (DPMQ of $1,764.24), the submission estimated a net cost</w:t>
      </w:r>
      <w:r w:rsidRPr="00A9117A">
        <w:t xml:space="preserve"> to government</w:t>
      </w:r>
      <w:r w:rsidR="0076134E" w:rsidRPr="00A9117A">
        <w:t xml:space="preserve"> </w:t>
      </w:r>
      <w:r w:rsidRPr="00A9117A">
        <w:t xml:space="preserve">of </w:t>
      </w:r>
      <w:r w:rsidR="00615320">
        <w:t>less than $10 million per year</w:t>
      </w:r>
      <w:r w:rsidR="0076134E" w:rsidRPr="00A9117A">
        <w:t xml:space="preserve"> in Year 1</w:t>
      </w:r>
      <w:r w:rsidRPr="00A9117A">
        <w:t>, rising to</w:t>
      </w:r>
      <w:r w:rsidR="0076134E" w:rsidRPr="00A9117A">
        <w:t xml:space="preserve"> </w:t>
      </w:r>
      <w:r w:rsidR="00615320">
        <w:t>less than $10 million per year</w:t>
      </w:r>
      <w:r w:rsidR="0076134E" w:rsidRPr="00A9117A">
        <w:t xml:space="preserve"> in Year 6. This is a likely underestimate as</w:t>
      </w:r>
      <w:r w:rsidR="009F453D">
        <w:t xml:space="preserve"> </w:t>
      </w:r>
      <w:r w:rsidR="005648FE" w:rsidRPr="00A9117A">
        <w:t xml:space="preserve">cost-offsets associated with adalimumab substitution </w:t>
      </w:r>
      <w:r w:rsidR="00740779" w:rsidRPr="00A9117A">
        <w:t>we</w:t>
      </w:r>
      <w:r w:rsidR="005648FE" w:rsidRPr="00A9117A">
        <w:t>re overes</w:t>
      </w:r>
      <w:r w:rsidR="00740779" w:rsidRPr="00A9117A">
        <w:t>timated as the adalimumab DPMQ wa</w:t>
      </w:r>
      <w:r w:rsidR="005648FE" w:rsidRPr="00A9117A">
        <w:t>s assumed to be $1,764.24 rather than its current DPMQ of $1,269.60</w:t>
      </w:r>
      <w:r w:rsidR="000F1D43">
        <w:t xml:space="preserve">. </w:t>
      </w:r>
      <w:r w:rsidR="00A7026F">
        <w:t xml:space="preserve">The ESC considered </w:t>
      </w:r>
      <w:r w:rsidR="005648FE" w:rsidRPr="00A9117A">
        <w:t>annual growth rates of the bDMARD market was a likely underestimate with assumptions of decreasing growth from 2019 to 2024</w:t>
      </w:r>
      <w:r w:rsidR="000B13B0">
        <w:t xml:space="preserve"> </w:t>
      </w:r>
      <w:r w:rsidR="005648FE" w:rsidRPr="00A9117A">
        <w:t xml:space="preserve">and </w:t>
      </w:r>
      <w:r w:rsidR="000B13B0">
        <w:t xml:space="preserve">that </w:t>
      </w:r>
      <w:r w:rsidR="00A7026F">
        <w:t>the tofacitinib market share was underestimated.</w:t>
      </w:r>
      <w:r w:rsidR="000B13B0">
        <w:t xml:space="preserve"> </w:t>
      </w:r>
    </w:p>
    <w:p w:rsidR="00317530" w:rsidRPr="00A9117A" w:rsidRDefault="00317530" w:rsidP="006530FE">
      <w:pPr>
        <w:pStyle w:val="ListParagraph"/>
        <w:widowControl/>
        <w:numPr>
          <w:ilvl w:val="1"/>
          <w:numId w:val="2"/>
        </w:numPr>
        <w:spacing w:after="120"/>
      </w:pPr>
      <w:r w:rsidRPr="00A9117A">
        <w:t>Should tofacitinib be cost-minimised to the least costly bDMARD</w:t>
      </w:r>
      <w:r w:rsidR="000B13B0">
        <w:t xml:space="preserve"> </w:t>
      </w:r>
      <w:r w:rsidRPr="00A9117A">
        <w:t>the net impact on the PBS/RPBS budget should result in nil cost.</w:t>
      </w:r>
      <w:r w:rsidR="00216570" w:rsidRPr="00A9117A">
        <w:t xml:space="preserve"> </w:t>
      </w:r>
    </w:p>
    <w:p w:rsidR="00576972" w:rsidRPr="00A9117A" w:rsidRDefault="00576972" w:rsidP="0011600D">
      <w:pPr>
        <w:pStyle w:val="Heading2"/>
      </w:pPr>
      <w:bookmarkStart w:id="23" w:name="_Toc524526810"/>
      <w:r w:rsidRPr="00A9117A">
        <w:t>Quality Use of Medicines</w:t>
      </w:r>
      <w:bookmarkEnd w:id="23"/>
    </w:p>
    <w:p w:rsidR="00576972" w:rsidRDefault="00264216" w:rsidP="006530FE">
      <w:pPr>
        <w:pStyle w:val="ListParagraph"/>
        <w:widowControl/>
        <w:numPr>
          <w:ilvl w:val="1"/>
          <w:numId w:val="2"/>
        </w:numPr>
      </w:pPr>
      <w:r w:rsidRPr="00A9117A">
        <w:t>To address the concern of patient difficulty in adhering to the tofacitinib treatment regimen, the submission stated a consumer medicine information document, a patient information pack and a patient support program will be developed.</w:t>
      </w:r>
    </w:p>
    <w:p w:rsidR="001926F0" w:rsidRPr="002A7CC6" w:rsidRDefault="001926F0" w:rsidP="0011600D">
      <w:pPr>
        <w:pStyle w:val="Heading2"/>
      </w:pPr>
      <w:bookmarkStart w:id="24" w:name="_Toc524520442"/>
      <w:r w:rsidRPr="002A7CC6">
        <w:t>Financial Management – Risk Sharing Arrangements</w:t>
      </w:r>
      <w:bookmarkEnd w:id="24"/>
    </w:p>
    <w:p w:rsidR="001926F0" w:rsidRDefault="001926F0" w:rsidP="001926F0">
      <w:pPr>
        <w:pStyle w:val="ListParagraph"/>
        <w:widowControl/>
        <w:numPr>
          <w:ilvl w:val="1"/>
          <w:numId w:val="2"/>
        </w:numPr>
      </w:pPr>
      <w:r>
        <w:t xml:space="preserve">In its Pre-PBAC Response, the sponsor requested consideration of a Special Pricing Arrangement (SPA) </w:t>
      </w:r>
      <w:r w:rsidR="002F59A2">
        <w:t>if the PBAC recommended tofacitinib at a price lower than that requested in the submission.</w:t>
      </w:r>
    </w:p>
    <w:p w:rsidR="0076084A" w:rsidRDefault="00260973" w:rsidP="00260973">
      <w:pPr>
        <w:pStyle w:val="ListParagraph"/>
        <w:ind w:left="709"/>
        <w:rPr>
          <w:rFonts w:asciiTheme="minorHAnsi" w:hAnsiTheme="minorHAnsi"/>
          <w:i/>
        </w:rPr>
      </w:pPr>
      <w:r w:rsidRPr="00A9117A">
        <w:rPr>
          <w:rFonts w:asciiTheme="minorHAnsi" w:hAnsiTheme="minorHAnsi"/>
          <w:i/>
        </w:rPr>
        <w:t>For more detail on PBAC’s view, see section 7 PBAC outcome.</w:t>
      </w:r>
    </w:p>
    <w:p w:rsidR="0076084A" w:rsidRDefault="0076084A">
      <w:pPr>
        <w:widowControl/>
        <w:jc w:val="left"/>
        <w:rPr>
          <w:rFonts w:asciiTheme="minorHAnsi" w:hAnsiTheme="minorHAnsi"/>
          <w:i/>
        </w:rPr>
      </w:pPr>
      <w:r>
        <w:rPr>
          <w:rFonts w:asciiTheme="minorHAnsi" w:hAnsiTheme="minorHAnsi"/>
          <w:i/>
        </w:rPr>
        <w:br w:type="page"/>
      </w:r>
    </w:p>
    <w:p w:rsidR="00260973" w:rsidRPr="0011600D" w:rsidRDefault="00260973" w:rsidP="0011600D">
      <w:pPr>
        <w:pStyle w:val="PBACHeading1"/>
      </w:pPr>
      <w:r w:rsidRPr="0011600D">
        <w:t>PBAC Outcome</w:t>
      </w:r>
    </w:p>
    <w:p w:rsidR="00260973" w:rsidRDefault="00260973" w:rsidP="00260973">
      <w:pPr>
        <w:numPr>
          <w:ilvl w:val="1"/>
          <w:numId w:val="2"/>
        </w:numPr>
        <w:spacing w:after="120"/>
        <w:rPr>
          <w:rFonts w:asciiTheme="minorHAnsi" w:hAnsiTheme="minorHAnsi"/>
          <w:bCs/>
          <w:lang w:val="en-GB"/>
        </w:rPr>
      </w:pPr>
      <w:r w:rsidRPr="00A9117A">
        <w:rPr>
          <w:rFonts w:asciiTheme="minorHAnsi" w:hAnsiTheme="minorHAnsi"/>
          <w:bCs/>
          <w:lang w:val="en-GB"/>
        </w:rPr>
        <w:t>The PBAC recommended the</w:t>
      </w:r>
      <w:r w:rsidR="00856440">
        <w:rPr>
          <w:rFonts w:asciiTheme="minorHAnsi" w:hAnsiTheme="minorHAnsi"/>
          <w:bCs/>
          <w:lang w:val="en-GB"/>
        </w:rPr>
        <w:t xml:space="preserve"> Authority Required</w:t>
      </w:r>
      <w:r w:rsidR="002638EC">
        <w:rPr>
          <w:rFonts w:asciiTheme="minorHAnsi" w:hAnsiTheme="minorHAnsi"/>
          <w:bCs/>
          <w:lang w:val="en-GB"/>
        </w:rPr>
        <w:t xml:space="preserve"> </w:t>
      </w:r>
      <w:r w:rsidR="00856440">
        <w:rPr>
          <w:rFonts w:asciiTheme="minorHAnsi" w:hAnsiTheme="minorHAnsi"/>
          <w:bCs/>
          <w:lang w:val="en-GB"/>
        </w:rPr>
        <w:t xml:space="preserve">listing of tofacitinib on a cost minimisation basis </w:t>
      </w:r>
      <w:r w:rsidR="00AB2FCF">
        <w:rPr>
          <w:rFonts w:asciiTheme="minorHAnsi" w:hAnsiTheme="minorHAnsi"/>
          <w:bCs/>
          <w:lang w:val="en-GB"/>
        </w:rPr>
        <w:t>with</w:t>
      </w:r>
      <w:r w:rsidR="002638EC">
        <w:rPr>
          <w:rFonts w:asciiTheme="minorHAnsi" w:hAnsiTheme="minorHAnsi"/>
          <w:bCs/>
          <w:lang w:val="en-GB"/>
        </w:rPr>
        <w:t xml:space="preserve"> the least costly biological disease modifying anti-rheumatic drug (bDMARD) for psoriatic arthritis</w:t>
      </w:r>
      <w:r w:rsidR="00AC3F7B">
        <w:rPr>
          <w:rFonts w:asciiTheme="minorHAnsi" w:hAnsiTheme="minorHAnsi"/>
          <w:bCs/>
          <w:lang w:val="en-GB"/>
        </w:rPr>
        <w:t xml:space="preserve"> (PsA)</w:t>
      </w:r>
      <w:r w:rsidR="0076084A">
        <w:rPr>
          <w:rFonts w:asciiTheme="minorHAnsi" w:hAnsiTheme="minorHAnsi"/>
          <w:bCs/>
          <w:lang w:val="en-GB"/>
        </w:rPr>
        <w:t xml:space="preserve">. </w:t>
      </w:r>
      <w:r w:rsidR="002638EC">
        <w:rPr>
          <w:rFonts w:asciiTheme="minorHAnsi" w:hAnsiTheme="minorHAnsi"/>
          <w:bCs/>
          <w:lang w:val="en-GB"/>
        </w:rPr>
        <w:t>In making this recommendation, the PBAC accepted any of the current PBS listed bDMARDs for severe PsA could be an alternative therapy to tofacitinib.</w:t>
      </w:r>
    </w:p>
    <w:p w:rsidR="00DB4B53" w:rsidRPr="00A9117A" w:rsidRDefault="00DB4B53" w:rsidP="00260973">
      <w:pPr>
        <w:numPr>
          <w:ilvl w:val="1"/>
          <w:numId w:val="2"/>
        </w:numPr>
        <w:spacing w:after="120"/>
        <w:rPr>
          <w:rFonts w:asciiTheme="minorHAnsi" w:hAnsiTheme="minorHAnsi"/>
          <w:bCs/>
          <w:lang w:val="en-GB"/>
        </w:rPr>
      </w:pPr>
      <w:r>
        <w:rPr>
          <w:rFonts w:asciiTheme="minorHAnsi" w:hAnsiTheme="minorHAnsi"/>
          <w:bCs/>
          <w:lang w:val="en-GB"/>
        </w:rPr>
        <w:t>The PBAC considered the equi-effective doses of tofacitinib (at the recommended dose of 5mg twice daily) and alternative bDMARDs could be derived from the product information and with reference to the previously recommended equi-effective doses collated in the PBS Therapeutic Relativity Sheets.</w:t>
      </w:r>
    </w:p>
    <w:p w:rsidR="00260973" w:rsidRPr="0034345B" w:rsidRDefault="00260973" w:rsidP="00260973">
      <w:pPr>
        <w:numPr>
          <w:ilvl w:val="1"/>
          <w:numId w:val="2"/>
        </w:numPr>
        <w:spacing w:after="120"/>
        <w:rPr>
          <w:rFonts w:asciiTheme="minorHAnsi" w:hAnsiTheme="minorHAnsi"/>
          <w:bCs/>
          <w:lang w:val="en-GB"/>
        </w:rPr>
      </w:pPr>
      <w:r w:rsidRPr="00A9117A">
        <w:rPr>
          <w:rFonts w:asciiTheme="minorHAnsi" w:hAnsiTheme="minorHAnsi"/>
          <w:bCs/>
          <w:lang w:val="en-GB"/>
        </w:rPr>
        <w:t>The PBAC</w:t>
      </w:r>
      <w:r w:rsidR="002638EC">
        <w:rPr>
          <w:rFonts w:asciiTheme="minorHAnsi" w:hAnsiTheme="minorHAnsi"/>
          <w:bCs/>
          <w:lang w:val="en-GB"/>
        </w:rPr>
        <w:t xml:space="preserve"> noted that seven alternative bDMARDs were listed on the PBS for the treatment of PsA at </w:t>
      </w:r>
      <w:r w:rsidR="00C624B7">
        <w:rPr>
          <w:rFonts w:asciiTheme="minorHAnsi" w:hAnsiTheme="minorHAnsi"/>
          <w:bCs/>
          <w:lang w:val="en-GB"/>
        </w:rPr>
        <w:t xml:space="preserve">the </w:t>
      </w:r>
      <w:r w:rsidR="002638EC">
        <w:rPr>
          <w:rFonts w:asciiTheme="minorHAnsi" w:hAnsiTheme="minorHAnsi"/>
          <w:bCs/>
          <w:lang w:val="en-GB"/>
        </w:rPr>
        <w:t>time of consideration and that it had recommended ixekizumab for this condition at its July 2018 meeting. The PBAC considered</w:t>
      </w:r>
      <w:r w:rsidR="00A53C42">
        <w:rPr>
          <w:rFonts w:asciiTheme="minorHAnsi" w:hAnsiTheme="minorHAnsi"/>
          <w:bCs/>
          <w:lang w:val="en-GB"/>
        </w:rPr>
        <w:t xml:space="preserve"> that while the clinical need for an additional treatment is low,</w:t>
      </w:r>
      <w:r w:rsidR="002638EC">
        <w:rPr>
          <w:rFonts w:asciiTheme="minorHAnsi" w:hAnsiTheme="minorHAnsi"/>
          <w:bCs/>
          <w:lang w:val="en-GB"/>
        </w:rPr>
        <w:t xml:space="preserve"> it </w:t>
      </w:r>
      <w:r w:rsidR="00A53C42">
        <w:rPr>
          <w:rFonts w:asciiTheme="minorHAnsi" w:hAnsiTheme="minorHAnsi"/>
          <w:bCs/>
          <w:lang w:val="en-GB"/>
        </w:rPr>
        <w:t xml:space="preserve">may </w:t>
      </w:r>
      <w:r w:rsidR="002638EC">
        <w:rPr>
          <w:rFonts w:asciiTheme="minorHAnsi" w:hAnsiTheme="minorHAnsi"/>
          <w:bCs/>
          <w:lang w:val="en-GB"/>
        </w:rPr>
        <w:t xml:space="preserve">be advantageous for a treatment option with a new mechanism of action </w:t>
      </w:r>
      <w:r w:rsidR="002638EC" w:rsidRPr="0034345B">
        <w:rPr>
          <w:rFonts w:asciiTheme="minorHAnsi" w:hAnsiTheme="minorHAnsi"/>
          <w:bCs/>
          <w:lang w:val="en-GB"/>
        </w:rPr>
        <w:t>and oral manner of administration to be listed for PsA.</w:t>
      </w:r>
      <w:r w:rsidR="008B2ED2">
        <w:rPr>
          <w:rFonts w:asciiTheme="minorHAnsi" w:hAnsiTheme="minorHAnsi"/>
          <w:bCs/>
          <w:lang w:val="en-GB"/>
        </w:rPr>
        <w:t xml:space="preserve"> </w:t>
      </w:r>
    </w:p>
    <w:p w:rsidR="00303E38" w:rsidRPr="0034345B" w:rsidRDefault="00BE7584" w:rsidP="00260973">
      <w:pPr>
        <w:numPr>
          <w:ilvl w:val="1"/>
          <w:numId w:val="2"/>
        </w:numPr>
        <w:spacing w:after="120"/>
        <w:rPr>
          <w:rFonts w:asciiTheme="minorHAnsi" w:hAnsiTheme="minorHAnsi"/>
          <w:bCs/>
          <w:lang w:val="en-GB"/>
        </w:rPr>
      </w:pPr>
      <w:r>
        <w:rPr>
          <w:rFonts w:asciiTheme="minorHAnsi" w:hAnsiTheme="minorHAnsi"/>
          <w:bCs/>
          <w:lang w:val="en-GB"/>
        </w:rPr>
        <w:t>The submission nominated adalimumab as the comparator</w:t>
      </w:r>
      <w:r w:rsidR="00655BA1">
        <w:rPr>
          <w:rFonts w:asciiTheme="minorHAnsi" w:hAnsiTheme="minorHAnsi"/>
          <w:bCs/>
          <w:lang w:val="en-GB"/>
        </w:rPr>
        <w:t>. The PBAC considered a</w:t>
      </w:r>
      <w:r w:rsidR="00D3017F">
        <w:rPr>
          <w:rFonts w:asciiTheme="minorHAnsi" w:hAnsiTheme="minorHAnsi"/>
          <w:bCs/>
          <w:lang w:val="en-GB"/>
        </w:rPr>
        <w:t>ny of the</w:t>
      </w:r>
      <w:r w:rsidR="00D11073">
        <w:rPr>
          <w:rFonts w:asciiTheme="minorHAnsi" w:hAnsiTheme="minorHAnsi"/>
          <w:bCs/>
          <w:lang w:val="en-GB"/>
        </w:rPr>
        <w:t xml:space="preserve"> currently PBS listed </w:t>
      </w:r>
      <w:r w:rsidR="00D11073" w:rsidRPr="008162D9">
        <w:t xml:space="preserve">bDMARDs </w:t>
      </w:r>
      <w:r w:rsidR="00D11073">
        <w:t>for severe PsA</w:t>
      </w:r>
      <w:r w:rsidR="00D11073" w:rsidRPr="008162D9">
        <w:t xml:space="preserve"> </w:t>
      </w:r>
      <w:r w:rsidR="00D3017F">
        <w:rPr>
          <w:rFonts w:asciiTheme="minorHAnsi" w:hAnsiTheme="minorHAnsi"/>
          <w:bCs/>
          <w:lang w:val="en-GB"/>
        </w:rPr>
        <w:t xml:space="preserve">could be considered an alternative therapy to tofacitinib for the treatment of severe PsA. As described in section 5.2 above, tofacitinib could only be recommended for listing with a higher price than alternative therapies if the PBAC is satisfied that it provides, for some patients, a significant improvement in efficacy or reduction in toxicity.  </w:t>
      </w:r>
    </w:p>
    <w:p w:rsidR="00BE7584" w:rsidRDefault="00BE7584" w:rsidP="00280C01">
      <w:pPr>
        <w:numPr>
          <w:ilvl w:val="1"/>
          <w:numId w:val="2"/>
        </w:numPr>
        <w:spacing w:after="120"/>
        <w:rPr>
          <w:rFonts w:asciiTheme="minorHAnsi" w:hAnsiTheme="minorHAnsi"/>
          <w:bCs/>
          <w:lang w:val="en-GB"/>
        </w:rPr>
      </w:pPr>
      <w:r w:rsidRPr="00B23E59">
        <w:rPr>
          <w:rFonts w:asciiTheme="minorHAnsi" w:hAnsiTheme="minorHAnsi"/>
          <w:bCs/>
          <w:lang w:val="en-GB"/>
        </w:rPr>
        <w:t xml:space="preserve">No evidence was presented in the submission to support the claim that tofacitinib </w:t>
      </w:r>
      <w:r>
        <w:rPr>
          <w:rFonts w:asciiTheme="minorHAnsi" w:hAnsiTheme="minorHAnsi"/>
          <w:bCs/>
          <w:lang w:val="en-GB"/>
        </w:rPr>
        <w:t xml:space="preserve">provided a significant improvement in efficacy or reduction of toxicity compared </w:t>
      </w:r>
      <w:r w:rsidRPr="00B23E59">
        <w:rPr>
          <w:rFonts w:asciiTheme="minorHAnsi" w:hAnsiTheme="minorHAnsi"/>
          <w:bCs/>
          <w:lang w:val="en-GB"/>
        </w:rPr>
        <w:t xml:space="preserve">to the </w:t>
      </w:r>
      <w:r w:rsidR="00D11073">
        <w:rPr>
          <w:rFonts w:asciiTheme="minorHAnsi" w:hAnsiTheme="minorHAnsi"/>
          <w:bCs/>
          <w:lang w:val="en-GB"/>
        </w:rPr>
        <w:t xml:space="preserve">any of the currently PBS listed </w:t>
      </w:r>
      <w:r w:rsidR="00D11073" w:rsidRPr="008162D9">
        <w:t xml:space="preserve">bDMARDs </w:t>
      </w:r>
      <w:r w:rsidR="00D11073">
        <w:t>for severe PsA</w:t>
      </w:r>
      <w:r w:rsidRPr="00B23E59">
        <w:rPr>
          <w:rFonts w:asciiTheme="minorHAnsi" w:hAnsiTheme="minorHAnsi"/>
          <w:bCs/>
          <w:lang w:val="en-GB"/>
        </w:rPr>
        <w:t>.</w:t>
      </w:r>
      <w:r w:rsidR="00C65C1F">
        <w:rPr>
          <w:rFonts w:asciiTheme="minorHAnsi" w:hAnsiTheme="minorHAnsi"/>
          <w:bCs/>
          <w:lang w:val="en-GB"/>
        </w:rPr>
        <w:t xml:space="preserve"> </w:t>
      </w:r>
      <w:r w:rsidRPr="00C11E86">
        <w:rPr>
          <w:rFonts w:asciiTheme="minorHAnsi" w:hAnsiTheme="minorHAnsi"/>
          <w:bCs/>
          <w:lang w:val="en-GB"/>
        </w:rPr>
        <w:t>The PBAC noted the results of the indirect comparisons with certolizumab pegol and ustekinumab undertaken during the evaluation supported a conclusion of non-inferior</w:t>
      </w:r>
      <w:r w:rsidR="00655BA1">
        <w:rPr>
          <w:rFonts w:asciiTheme="minorHAnsi" w:hAnsiTheme="minorHAnsi"/>
          <w:bCs/>
          <w:lang w:val="en-GB"/>
        </w:rPr>
        <w:t xml:space="preserve"> effectiveness</w:t>
      </w:r>
      <w:r w:rsidRPr="00C11E86">
        <w:rPr>
          <w:rFonts w:asciiTheme="minorHAnsi" w:hAnsiTheme="minorHAnsi"/>
          <w:bCs/>
          <w:lang w:val="en-GB"/>
        </w:rPr>
        <w:t xml:space="preserve"> between tofacitinib and these therapies.</w:t>
      </w:r>
    </w:p>
    <w:p w:rsidR="00F70691" w:rsidRDefault="000F1D43" w:rsidP="00B14BD0">
      <w:pPr>
        <w:numPr>
          <w:ilvl w:val="1"/>
          <w:numId w:val="2"/>
        </w:numPr>
        <w:spacing w:after="120"/>
        <w:rPr>
          <w:rFonts w:asciiTheme="minorHAnsi" w:hAnsiTheme="minorHAnsi"/>
          <w:bCs/>
          <w:lang w:val="en-GB"/>
        </w:rPr>
      </w:pPr>
      <w:r w:rsidRPr="00655BA1">
        <w:rPr>
          <w:rFonts w:asciiTheme="minorHAnsi" w:hAnsiTheme="minorHAnsi"/>
          <w:bCs/>
          <w:lang w:val="en-GB"/>
        </w:rPr>
        <w:t>T</w:t>
      </w:r>
      <w:r w:rsidR="002638EC" w:rsidRPr="00655BA1">
        <w:rPr>
          <w:rFonts w:asciiTheme="minorHAnsi" w:hAnsiTheme="minorHAnsi"/>
          <w:bCs/>
          <w:lang w:val="en-GB"/>
        </w:rPr>
        <w:t>he submission described tofacitinib to be non-inferior in terms of comparative effectiveness and safety in severe PsA versus adalimumab.</w:t>
      </w:r>
      <w:r w:rsidR="00655BA1" w:rsidRPr="00655BA1">
        <w:rPr>
          <w:rFonts w:asciiTheme="minorHAnsi" w:hAnsiTheme="minorHAnsi"/>
          <w:bCs/>
          <w:lang w:val="en-GB"/>
        </w:rPr>
        <w:t xml:space="preserve"> The PBAC noted the randomised head-to-head trial (OPAL BROADEN) was not powered to demonstrate the non-inferiority of tofacitinib and adalimumab and that conclusions regarding the non-inferiority of these therapies were difficult based on this study alone. In considering the supplementary analyses, the PBAC noted that while tofacitinib met non-inferiority margins in two of the four analyses (direct comparison and network meta-analysis with fixed effects model), it did not demonstrate non-inferiority in the other two analyses (indirect comparison and network meta-analysis with random effects model).</w:t>
      </w:r>
      <w:r w:rsidR="002638EC" w:rsidRPr="00655BA1">
        <w:rPr>
          <w:rFonts w:asciiTheme="minorHAnsi" w:hAnsiTheme="minorHAnsi"/>
          <w:bCs/>
          <w:lang w:val="en-GB"/>
        </w:rPr>
        <w:t xml:space="preserve"> Based on the evidence presented in the submission, the PBAC considered </w:t>
      </w:r>
      <w:r w:rsidR="00B36E11">
        <w:rPr>
          <w:rFonts w:asciiTheme="minorHAnsi" w:hAnsiTheme="minorHAnsi"/>
          <w:bCs/>
          <w:lang w:val="en-GB"/>
        </w:rPr>
        <w:t xml:space="preserve">there was some uncertainty around </w:t>
      </w:r>
      <w:r w:rsidR="002638EC" w:rsidRPr="00655BA1">
        <w:rPr>
          <w:rFonts w:asciiTheme="minorHAnsi" w:hAnsiTheme="minorHAnsi"/>
          <w:bCs/>
          <w:lang w:val="en-GB"/>
        </w:rPr>
        <w:t xml:space="preserve">the claim of non-inferior </w:t>
      </w:r>
      <w:r w:rsidR="00C76484">
        <w:rPr>
          <w:rFonts w:asciiTheme="minorHAnsi" w:hAnsiTheme="minorHAnsi"/>
          <w:bCs/>
          <w:lang w:val="en-GB"/>
        </w:rPr>
        <w:t>comparative effectiveness.</w:t>
      </w:r>
      <w:r w:rsidR="002638EC" w:rsidRPr="00655BA1">
        <w:rPr>
          <w:rFonts w:asciiTheme="minorHAnsi" w:hAnsiTheme="minorHAnsi"/>
          <w:bCs/>
          <w:lang w:val="en-GB"/>
        </w:rPr>
        <w:t xml:space="preserve"> </w:t>
      </w:r>
      <w:r w:rsidR="00B14BD0">
        <w:rPr>
          <w:rFonts w:asciiTheme="minorHAnsi" w:hAnsiTheme="minorHAnsi"/>
          <w:bCs/>
          <w:lang w:val="en-GB"/>
        </w:rPr>
        <w:t xml:space="preserve">The PBAC considered the trial evidence supported a conclusion of non-inferior comparative safety between tofacitinib and adalimumab, and </w:t>
      </w:r>
      <w:r w:rsidR="00412C7F">
        <w:rPr>
          <w:rFonts w:asciiTheme="minorHAnsi" w:hAnsiTheme="minorHAnsi"/>
          <w:bCs/>
          <w:lang w:val="en-GB"/>
        </w:rPr>
        <w:t xml:space="preserve">was </w:t>
      </w:r>
      <w:r w:rsidR="00B14BD0">
        <w:rPr>
          <w:rFonts w:asciiTheme="minorHAnsi" w:hAnsiTheme="minorHAnsi"/>
          <w:bCs/>
          <w:lang w:val="en-GB"/>
        </w:rPr>
        <w:t xml:space="preserve">likely to be of similar overall safety to the other bDMARDs </w:t>
      </w:r>
      <w:r w:rsidR="004F6C68">
        <w:rPr>
          <w:rFonts w:asciiTheme="minorHAnsi" w:hAnsiTheme="minorHAnsi"/>
          <w:bCs/>
          <w:lang w:val="en-GB"/>
        </w:rPr>
        <w:t>PBS listed for</w:t>
      </w:r>
      <w:r w:rsidR="00B14BD0">
        <w:rPr>
          <w:rFonts w:asciiTheme="minorHAnsi" w:hAnsiTheme="minorHAnsi"/>
          <w:bCs/>
          <w:lang w:val="en-GB"/>
        </w:rPr>
        <w:t xml:space="preserve"> PsA.</w:t>
      </w:r>
      <w:r w:rsidR="00F70691">
        <w:rPr>
          <w:rFonts w:asciiTheme="minorHAnsi" w:hAnsiTheme="minorHAnsi"/>
          <w:bCs/>
          <w:lang w:val="en-GB"/>
        </w:rPr>
        <w:t xml:space="preserve"> </w:t>
      </w:r>
      <w:r w:rsidR="00B36E11">
        <w:rPr>
          <w:rFonts w:asciiTheme="minorHAnsi" w:hAnsiTheme="minorHAnsi"/>
          <w:bCs/>
          <w:lang w:val="en-GB"/>
        </w:rPr>
        <w:t xml:space="preserve">The PBAC considered the </w:t>
      </w:r>
      <w:r w:rsidR="00B36E11">
        <w:t xml:space="preserve">the price should be calculated </w:t>
      </w:r>
      <w:r w:rsidR="00B36E11">
        <w:rPr>
          <w:rFonts w:asciiTheme="minorHAnsi" w:hAnsiTheme="minorHAnsi"/>
          <w:bCs/>
          <w:lang w:val="en-GB"/>
        </w:rPr>
        <w:t xml:space="preserve">with reference to the previously recommended equi-effective doses collated in the PBS Therapeutic Relativity Sheets against the </w:t>
      </w:r>
      <w:r w:rsidR="00D52FAB">
        <w:rPr>
          <w:rFonts w:asciiTheme="minorHAnsi" w:hAnsiTheme="minorHAnsi"/>
          <w:bCs/>
          <w:lang w:val="en-GB"/>
        </w:rPr>
        <w:t xml:space="preserve">least costly </w:t>
      </w:r>
      <w:r w:rsidR="00B36E11">
        <w:rPr>
          <w:rFonts w:asciiTheme="minorHAnsi" w:hAnsiTheme="minorHAnsi"/>
          <w:bCs/>
          <w:lang w:val="en-GB"/>
        </w:rPr>
        <w:t xml:space="preserve">bDMARD </w:t>
      </w:r>
      <w:r w:rsidR="00D52FAB">
        <w:rPr>
          <w:rFonts w:asciiTheme="minorHAnsi" w:hAnsiTheme="minorHAnsi"/>
          <w:bCs/>
          <w:lang w:val="en-GB"/>
        </w:rPr>
        <w:t xml:space="preserve">listed </w:t>
      </w:r>
      <w:r w:rsidR="00B36E11">
        <w:rPr>
          <w:rFonts w:asciiTheme="minorHAnsi" w:hAnsiTheme="minorHAnsi"/>
          <w:bCs/>
          <w:lang w:val="en-GB"/>
        </w:rPr>
        <w:t>for this indication.</w:t>
      </w:r>
    </w:p>
    <w:p w:rsidR="00445421" w:rsidRPr="00445421" w:rsidRDefault="00445421" w:rsidP="00445421">
      <w:pPr>
        <w:numPr>
          <w:ilvl w:val="1"/>
          <w:numId w:val="2"/>
        </w:numPr>
        <w:spacing w:after="120"/>
        <w:rPr>
          <w:rFonts w:asciiTheme="minorHAnsi" w:hAnsiTheme="minorHAnsi"/>
          <w:bCs/>
          <w:lang w:val="en-GB"/>
        </w:rPr>
      </w:pPr>
      <w:r>
        <w:rPr>
          <w:rFonts w:asciiTheme="minorHAnsi" w:hAnsiTheme="minorHAnsi"/>
          <w:bCs/>
          <w:lang w:val="en-GB"/>
        </w:rPr>
        <w:t>The PBAC considered it would be appropriate to align the listing of tofacitinib with the other written authority bDMARD listings for PsA, including the requested grandfather restriction and that flow-on changes to notes in the other listings to include tofacitinib in the list of therapies would be required to facilitate the listing.</w:t>
      </w:r>
      <w:r w:rsidR="008D6075">
        <w:rPr>
          <w:rFonts w:asciiTheme="minorHAnsi" w:hAnsiTheme="minorHAnsi"/>
          <w:bCs/>
          <w:lang w:val="en-GB"/>
        </w:rPr>
        <w:t xml:space="preserve"> The PBAC advised that grandfathered patients will be required to meet the PBS eligibility criteria and noted the grandfather restriction will be removed from the listing after 12 months, in line with standard procedure.</w:t>
      </w:r>
    </w:p>
    <w:p w:rsidR="00F70691" w:rsidRDefault="007E32E5" w:rsidP="00260973">
      <w:pPr>
        <w:numPr>
          <w:ilvl w:val="1"/>
          <w:numId w:val="2"/>
        </w:numPr>
        <w:spacing w:after="120"/>
        <w:rPr>
          <w:rFonts w:asciiTheme="minorHAnsi" w:hAnsiTheme="minorHAnsi"/>
          <w:bCs/>
          <w:lang w:val="en-GB"/>
        </w:rPr>
      </w:pPr>
      <w:r>
        <w:rPr>
          <w:rFonts w:asciiTheme="minorHAnsi" w:hAnsiTheme="minorHAnsi"/>
          <w:bCs/>
          <w:lang w:val="en-GB"/>
        </w:rPr>
        <w:t>The PBAC considered there was some uncertainty as to the likely utilisation of tofacitinib, however considered the estimates in the submission</w:t>
      </w:r>
      <w:r w:rsidR="004F6C68">
        <w:rPr>
          <w:rFonts w:asciiTheme="minorHAnsi" w:hAnsiTheme="minorHAnsi"/>
          <w:bCs/>
          <w:lang w:val="en-GB"/>
        </w:rPr>
        <w:t xml:space="preserve"> were likely</w:t>
      </w:r>
      <w:r>
        <w:rPr>
          <w:rFonts w:asciiTheme="minorHAnsi" w:hAnsiTheme="minorHAnsi"/>
          <w:bCs/>
          <w:lang w:val="en-GB"/>
        </w:rPr>
        <w:t xml:space="preserve"> to be reasonable. The PBAC considered factors such as </w:t>
      </w:r>
      <w:r w:rsidR="00712486">
        <w:rPr>
          <w:rFonts w:asciiTheme="minorHAnsi" w:hAnsiTheme="minorHAnsi"/>
          <w:bCs/>
          <w:lang w:val="en-GB"/>
        </w:rPr>
        <w:t xml:space="preserve">tofacitinib </w:t>
      </w:r>
      <w:r w:rsidR="00712486" w:rsidRPr="00712486">
        <w:rPr>
          <w:rFonts w:asciiTheme="minorHAnsi" w:hAnsiTheme="minorHAnsi"/>
          <w:bCs/>
          <w:lang w:val="en-GB"/>
        </w:rPr>
        <w:t xml:space="preserve">being an oral agent </w:t>
      </w:r>
      <w:r w:rsidR="00174D66" w:rsidRPr="0076437D">
        <w:rPr>
          <w:rFonts w:asciiTheme="minorHAnsi" w:hAnsiTheme="minorHAnsi"/>
          <w:bCs/>
        </w:rPr>
        <w:t xml:space="preserve">compared to </w:t>
      </w:r>
      <w:r w:rsidR="00DB18FE">
        <w:rPr>
          <w:rFonts w:asciiTheme="minorHAnsi" w:hAnsiTheme="minorHAnsi"/>
          <w:bCs/>
        </w:rPr>
        <w:t xml:space="preserve">other available </w:t>
      </w:r>
      <w:r w:rsidR="00174D66" w:rsidRPr="0076437D">
        <w:rPr>
          <w:rFonts w:asciiTheme="minorHAnsi" w:hAnsiTheme="minorHAnsi"/>
          <w:bCs/>
        </w:rPr>
        <w:t>biologics</w:t>
      </w:r>
      <w:r w:rsidR="00174D66">
        <w:rPr>
          <w:rFonts w:asciiTheme="minorHAnsi" w:hAnsiTheme="minorHAnsi"/>
          <w:bCs/>
        </w:rPr>
        <w:t xml:space="preserve"> </w:t>
      </w:r>
      <w:r w:rsidRPr="00712486">
        <w:rPr>
          <w:rFonts w:asciiTheme="minorHAnsi" w:hAnsiTheme="minorHAnsi"/>
          <w:bCs/>
          <w:lang w:val="en-GB"/>
        </w:rPr>
        <w:t>were likely to drive</w:t>
      </w:r>
      <w:r>
        <w:rPr>
          <w:rFonts w:asciiTheme="minorHAnsi" w:hAnsiTheme="minorHAnsi"/>
          <w:bCs/>
          <w:lang w:val="en-GB"/>
        </w:rPr>
        <w:t xml:space="preserve"> utilisation</w:t>
      </w:r>
      <w:r w:rsidR="00F10D8B">
        <w:rPr>
          <w:rFonts w:asciiTheme="minorHAnsi" w:hAnsiTheme="minorHAnsi"/>
          <w:bCs/>
          <w:lang w:val="en-GB"/>
        </w:rPr>
        <w:t>.</w:t>
      </w:r>
      <w:r>
        <w:rPr>
          <w:rFonts w:asciiTheme="minorHAnsi" w:hAnsiTheme="minorHAnsi"/>
          <w:bCs/>
          <w:lang w:val="en-GB"/>
        </w:rPr>
        <w:t xml:space="preserve"> </w:t>
      </w:r>
      <w:r w:rsidR="00F10D8B">
        <w:rPr>
          <w:rFonts w:asciiTheme="minorHAnsi" w:hAnsiTheme="minorHAnsi"/>
          <w:bCs/>
          <w:lang w:val="en-GB"/>
        </w:rPr>
        <w:t>H</w:t>
      </w:r>
      <w:r>
        <w:rPr>
          <w:rFonts w:asciiTheme="minorHAnsi" w:hAnsiTheme="minorHAnsi"/>
          <w:bCs/>
          <w:lang w:val="en-GB"/>
        </w:rPr>
        <w:t>owever</w:t>
      </w:r>
      <w:r w:rsidR="00F10D8B">
        <w:rPr>
          <w:rFonts w:asciiTheme="minorHAnsi" w:hAnsiTheme="minorHAnsi"/>
          <w:bCs/>
          <w:lang w:val="en-GB"/>
        </w:rPr>
        <w:t xml:space="preserve"> the </w:t>
      </w:r>
      <w:r w:rsidR="00412C7F">
        <w:rPr>
          <w:rFonts w:asciiTheme="minorHAnsi" w:hAnsiTheme="minorHAnsi"/>
          <w:bCs/>
          <w:lang w:val="en-GB"/>
        </w:rPr>
        <w:t xml:space="preserve">PBAC </w:t>
      </w:r>
      <w:r>
        <w:rPr>
          <w:rFonts w:asciiTheme="minorHAnsi" w:hAnsiTheme="minorHAnsi"/>
          <w:bCs/>
          <w:lang w:val="en-GB"/>
        </w:rPr>
        <w:t>also considered th</w:t>
      </w:r>
      <w:r w:rsidR="00F10D8B">
        <w:rPr>
          <w:rFonts w:asciiTheme="minorHAnsi" w:hAnsiTheme="minorHAnsi"/>
          <w:bCs/>
          <w:lang w:val="en-GB"/>
        </w:rPr>
        <w:t>at tofacitinib</w:t>
      </w:r>
      <w:r w:rsidR="004F6C68">
        <w:rPr>
          <w:rFonts w:asciiTheme="minorHAnsi" w:hAnsiTheme="minorHAnsi"/>
          <w:bCs/>
          <w:lang w:val="en-GB"/>
        </w:rPr>
        <w:t xml:space="preserve"> is likely </w:t>
      </w:r>
      <w:r w:rsidR="00412C7F">
        <w:rPr>
          <w:rFonts w:asciiTheme="minorHAnsi" w:hAnsiTheme="minorHAnsi"/>
          <w:bCs/>
          <w:lang w:val="en-GB"/>
        </w:rPr>
        <w:t xml:space="preserve">to be </w:t>
      </w:r>
      <w:r w:rsidR="004F6C68">
        <w:rPr>
          <w:rFonts w:asciiTheme="minorHAnsi" w:hAnsiTheme="minorHAnsi"/>
          <w:bCs/>
          <w:lang w:val="en-GB"/>
        </w:rPr>
        <w:t>less effective</w:t>
      </w:r>
      <w:r w:rsidR="00F10D8B">
        <w:rPr>
          <w:rFonts w:asciiTheme="minorHAnsi" w:hAnsiTheme="minorHAnsi"/>
          <w:bCs/>
          <w:lang w:val="en-GB"/>
        </w:rPr>
        <w:t xml:space="preserve"> </w:t>
      </w:r>
      <w:r w:rsidR="00712486">
        <w:rPr>
          <w:rFonts w:asciiTheme="minorHAnsi" w:hAnsiTheme="minorHAnsi"/>
          <w:bCs/>
          <w:lang w:val="en-GB"/>
        </w:rPr>
        <w:t xml:space="preserve">than other agents </w:t>
      </w:r>
      <w:r w:rsidR="00F10D8B">
        <w:rPr>
          <w:rFonts w:asciiTheme="minorHAnsi" w:hAnsiTheme="minorHAnsi"/>
          <w:bCs/>
          <w:lang w:val="en-GB"/>
        </w:rPr>
        <w:t xml:space="preserve">in patients with </w:t>
      </w:r>
      <w:r w:rsidR="00655BA1">
        <w:rPr>
          <w:rFonts w:asciiTheme="minorHAnsi" w:hAnsiTheme="minorHAnsi"/>
          <w:bCs/>
          <w:lang w:val="en-GB"/>
        </w:rPr>
        <w:t xml:space="preserve">more severe </w:t>
      </w:r>
      <w:r w:rsidR="00F10D8B">
        <w:rPr>
          <w:rFonts w:asciiTheme="minorHAnsi" w:hAnsiTheme="minorHAnsi"/>
          <w:bCs/>
          <w:lang w:val="en-GB"/>
        </w:rPr>
        <w:t>skin disease which</w:t>
      </w:r>
      <w:r w:rsidR="004F6C68">
        <w:rPr>
          <w:rFonts w:asciiTheme="minorHAnsi" w:hAnsiTheme="minorHAnsi"/>
          <w:bCs/>
          <w:lang w:val="en-GB"/>
        </w:rPr>
        <w:t xml:space="preserve"> was</w:t>
      </w:r>
      <w:r w:rsidR="00F10D8B">
        <w:rPr>
          <w:rFonts w:asciiTheme="minorHAnsi" w:hAnsiTheme="minorHAnsi"/>
          <w:bCs/>
          <w:lang w:val="en-GB"/>
        </w:rPr>
        <w:t xml:space="preserve"> likely to be a clinical consideration that </w:t>
      </w:r>
      <w:r w:rsidR="004F6C68">
        <w:rPr>
          <w:rFonts w:asciiTheme="minorHAnsi" w:hAnsiTheme="minorHAnsi"/>
          <w:bCs/>
          <w:lang w:val="en-GB"/>
        </w:rPr>
        <w:t>may</w:t>
      </w:r>
      <w:r w:rsidR="00F10D8B">
        <w:rPr>
          <w:rFonts w:asciiTheme="minorHAnsi" w:hAnsiTheme="minorHAnsi"/>
          <w:bCs/>
          <w:lang w:val="en-GB"/>
        </w:rPr>
        <w:t xml:space="preserve"> </w:t>
      </w:r>
      <w:r w:rsidR="007B3960">
        <w:rPr>
          <w:rFonts w:asciiTheme="minorHAnsi" w:hAnsiTheme="minorHAnsi"/>
          <w:bCs/>
          <w:lang w:val="en-GB"/>
        </w:rPr>
        <w:t>limit</w:t>
      </w:r>
      <w:r w:rsidR="00F10D8B">
        <w:rPr>
          <w:rFonts w:asciiTheme="minorHAnsi" w:hAnsiTheme="minorHAnsi"/>
          <w:bCs/>
          <w:lang w:val="en-GB"/>
        </w:rPr>
        <w:t xml:space="preserve"> the use of tofac</w:t>
      </w:r>
      <w:r w:rsidR="00412C7F">
        <w:rPr>
          <w:rFonts w:asciiTheme="minorHAnsi" w:hAnsiTheme="minorHAnsi"/>
          <w:bCs/>
          <w:lang w:val="en-GB"/>
        </w:rPr>
        <w:t>i</w:t>
      </w:r>
      <w:r w:rsidR="00F10D8B">
        <w:rPr>
          <w:rFonts w:asciiTheme="minorHAnsi" w:hAnsiTheme="minorHAnsi"/>
          <w:bCs/>
          <w:lang w:val="en-GB"/>
        </w:rPr>
        <w:t>tinib.</w:t>
      </w:r>
      <w:r w:rsidR="000962EF">
        <w:rPr>
          <w:rFonts w:asciiTheme="minorHAnsi" w:hAnsiTheme="minorHAnsi"/>
          <w:bCs/>
          <w:lang w:val="en-GB"/>
        </w:rPr>
        <w:t xml:space="preserve"> T</w:t>
      </w:r>
      <w:r w:rsidR="00F70691">
        <w:rPr>
          <w:rFonts w:asciiTheme="minorHAnsi" w:hAnsiTheme="minorHAnsi"/>
          <w:bCs/>
          <w:lang w:val="en-GB"/>
        </w:rPr>
        <w:t xml:space="preserve">he PBAC considered </w:t>
      </w:r>
      <w:r w:rsidR="00A53C42">
        <w:rPr>
          <w:rFonts w:asciiTheme="minorHAnsi" w:hAnsiTheme="minorHAnsi"/>
          <w:bCs/>
          <w:lang w:val="en-GB"/>
        </w:rPr>
        <w:t xml:space="preserve">it would be appropriate if </w:t>
      </w:r>
      <w:r w:rsidR="00F70691">
        <w:rPr>
          <w:rFonts w:asciiTheme="minorHAnsi" w:hAnsiTheme="minorHAnsi"/>
          <w:bCs/>
          <w:lang w:val="en-GB"/>
        </w:rPr>
        <w:t xml:space="preserve">the listing of tofacitinib would be cost neutral </w:t>
      </w:r>
      <w:r w:rsidR="00A53C42">
        <w:rPr>
          <w:rFonts w:asciiTheme="minorHAnsi" w:hAnsiTheme="minorHAnsi"/>
          <w:bCs/>
          <w:lang w:val="en-GB"/>
        </w:rPr>
        <w:t xml:space="preserve">or cost saving </w:t>
      </w:r>
      <w:r w:rsidR="00F70691">
        <w:rPr>
          <w:rFonts w:asciiTheme="minorHAnsi" w:hAnsiTheme="minorHAnsi"/>
          <w:bCs/>
          <w:lang w:val="en-GB"/>
        </w:rPr>
        <w:t>to the PBS</w:t>
      </w:r>
      <w:r w:rsidR="00F70691" w:rsidDel="00F70691">
        <w:rPr>
          <w:rFonts w:asciiTheme="minorHAnsi" w:hAnsiTheme="minorHAnsi"/>
          <w:bCs/>
          <w:lang w:val="en-GB"/>
        </w:rPr>
        <w:t xml:space="preserve"> </w:t>
      </w:r>
      <w:r w:rsidR="00F70691">
        <w:rPr>
          <w:rFonts w:asciiTheme="minorHAnsi" w:hAnsiTheme="minorHAnsi"/>
          <w:bCs/>
          <w:lang w:val="en-GB"/>
        </w:rPr>
        <w:t>if priced on a cost-minimisation basis versus the lowest cost bDMARD for PsA.</w:t>
      </w:r>
    </w:p>
    <w:p w:rsidR="00260973" w:rsidRDefault="007F417C" w:rsidP="00260973">
      <w:pPr>
        <w:numPr>
          <w:ilvl w:val="1"/>
          <w:numId w:val="2"/>
        </w:numPr>
        <w:spacing w:after="120"/>
        <w:rPr>
          <w:rFonts w:asciiTheme="minorHAnsi" w:hAnsiTheme="minorHAnsi"/>
          <w:bCs/>
          <w:lang w:val="en-GB"/>
        </w:rPr>
      </w:pPr>
      <w:r>
        <w:rPr>
          <w:rFonts w:asciiTheme="minorHAnsi" w:hAnsiTheme="minorHAnsi"/>
          <w:bCs/>
          <w:lang w:val="en-GB"/>
        </w:rPr>
        <w:t xml:space="preserve">The </w:t>
      </w:r>
      <w:r w:rsidR="007E32E5">
        <w:rPr>
          <w:rFonts w:asciiTheme="minorHAnsi" w:hAnsiTheme="minorHAnsi"/>
          <w:bCs/>
          <w:lang w:val="en-GB"/>
        </w:rPr>
        <w:t>PBAC noted the sponsor requested consideration of a special pricing</w:t>
      </w:r>
      <w:r w:rsidR="000962EF">
        <w:rPr>
          <w:rFonts w:asciiTheme="minorHAnsi" w:hAnsiTheme="minorHAnsi"/>
          <w:bCs/>
          <w:lang w:val="en-GB"/>
        </w:rPr>
        <w:t xml:space="preserve"> arrangement</w:t>
      </w:r>
      <w:r w:rsidR="007E32E5">
        <w:rPr>
          <w:rFonts w:asciiTheme="minorHAnsi" w:hAnsiTheme="minorHAnsi"/>
          <w:bCs/>
          <w:lang w:val="en-GB"/>
        </w:rPr>
        <w:t xml:space="preserve"> (SPA) in its </w:t>
      </w:r>
      <w:r w:rsidR="00412C7F">
        <w:rPr>
          <w:rFonts w:asciiTheme="minorHAnsi" w:hAnsiTheme="minorHAnsi"/>
          <w:bCs/>
          <w:lang w:val="en-GB"/>
        </w:rPr>
        <w:t>p</w:t>
      </w:r>
      <w:r w:rsidR="007E32E5">
        <w:rPr>
          <w:rFonts w:asciiTheme="minorHAnsi" w:hAnsiTheme="minorHAnsi"/>
          <w:bCs/>
          <w:lang w:val="en-GB"/>
        </w:rPr>
        <w:t xml:space="preserve">re-PBAC </w:t>
      </w:r>
      <w:r w:rsidR="00412C7F">
        <w:rPr>
          <w:rFonts w:asciiTheme="minorHAnsi" w:hAnsiTheme="minorHAnsi"/>
          <w:bCs/>
          <w:lang w:val="en-GB"/>
        </w:rPr>
        <w:t>r</w:t>
      </w:r>
      <w:r w:rsidR="007E32E5">
        <w:rPr>
          <w:rFonts w:asciiTheme="minorHAnsi" w:hAnsiTheme="minorHAnsi"/>
          <w:bCs/>
          <w:lang w:val="en-GB"/>
        </w:rPr>
        <w:t xml:space="preserve">esponse if the PBAC were minded to recommend tofacitinib at a price lower than that requested in the submission. The PBAC considered that, under criterion 2 of the Special Pricing </w:t>
      </w:r>
      <w:r w:rsidR="00C67613">
        <w:rPr>
          <w:rFonts w:asciiTheme="minorHAnsi" w:hAnsiTheme="minorHAnsi"/>
          <w:bCs/>
          <w:lang w:val="en-GB"/>
        </w:rPr>
        <w:t>Arrangement</w:t>
      </w:r>
      <w:r w:rsidR="007E32E5">
        <w:rPr>
          <w:rFonts w:asciiTheme="minorHAnsi" w:hAnsiTheme="minorHAnsi"/>
          <w:bCs/>
          <w:lang w:val="en-GB"/>
        </w:rPr>
        <w:t xml:space="preserve"> Criteria, tofacitinib has unique characteristics compared to </w:t>
      </w:r>
      <w:r w:rsidR="00C11E86">
        <w:rPr>
          <w:rFonts w:asciiTheme="minorHAnsi" w:hAnsiTheme="minorHAnsi"/>
          <w:bCs/>
          <w:lang w:val="en-GB"/>
        </w:rPr>
        <w:t xml:space="preserve">other </w:t>
      </w:r>
      <w:r w:rsidR="007E32E5">
        <w:rPr>
          <w:rFonts w:asciiTheme="minorHAnsi" w:hAnsiTheme="minorHAnsi"/>
          <w:bCs/>
          <w:lang w:val="en-GB"/>
        </w:rPr>
        <w:t>available therapies for the treatment of severe PsA</w:t>
      </w:r>
      <w:r w:rsidR="0041182F" w:rsidRPr="0041182F">
        <w:rPr>
          <w:rFonts w:asciiTheme="minorHAnsi" w:hAnsiTheme="minorHAnsi"/>
          <w:bCs/>
          <w:lang w:val="en-GB"/>
        </w:rPr>
        <w:t xml:space="preserve"> </w:t>
      </w:r>
      <w:r w:rsidR="007E32E5">
        <w:rPr>
          <w:rFonts w:asciiTheme="minorHAnsi" w:hAnsiTheme="minorHAnsi"/>
          <w:bCs/>
          <w:lang w:val="en-GB"/>
        </w:rPr>
        <w:t>as the only oral agent</w:t>
      </w:r>
      <w:r w:rsidR="008B2ED2">
        <w:rPr>
          <w:rFonts w:asciiTheme="minorHAnsi" w:hAnsiTheme="minorHAnsi"/>
          <w:bCs/>
          <w:lang w:val="en-GB"/>
        </w:rPr>
        <w:t>.</w:t>
      </w:r>
      <w:r w:rsidR="007E32E5">
        <w:rPr>
          <w:rFonts w:asciiTheme="minorHAnsi" w:hAnsiTheme="minorHAnsi"/>
          <w:bCs/>
          <w:lang w:val="en-GB"/>
        </w:rPr>
        <w:t xml:space="preserve"> </w:t>
      </w:r>
    </w:p>
    <w:p w:rsidR="007C09D6" w:rsidRPr="007C09D6" w:rsidRDefault="007C09D6" w:rsidP="007C09D6">
      <w:pPr>
        <w:pStyle w:val="ListParagraph"/>
        <w:numPr>
          <w:ilvl w:val="1"/>
          <w:numId w:val="2"/>
        </w:numPr>
        <w:spacing w:after="120"/>
      </w:pPr>
      <w:r w:rsidRPr="00FE75A5">
        <w:t xml:space="preserve">Under section 101(3BA) of the </w:t>
      </w:r>
      <w:r w:rsidRPr="007C09D6">
        <w:rPr>
          <w:i/>
        </w:rPr>
        <w:t>National Health Act 1953</w:t>
      </w:r>
      <w:r w:rsidRPr="00FE75A5">
        <w:t>, t</w:t>
      </w:r>
      <w:r>
        <w:t>he PBAC advised that tofacitinib may</w:t>
      </w:r>
      <w:r w:rsidRPr="00FE75A5">
        <w:t xml:space="preserve"> be treated as interchangeable on an individual patient basis wit</w:t>
      </w:r>
      <w:r>
        <w:t>h ixekizumab,</w:t>
      </w:r>
      <w:r w:rsidRPr="00FE75A5">
        <w:t xml:space="preserve"> </w:t>
      </w:r>
      <w:r w:rsidRPr="008162D9">
        <w:t xml:space="preserve">adalimumab, </w:t>
      </w:r>
      <w:r>
        <w:t xml:space="preserve">certolizumab pegol, </w:t>
      </w:r>
      <w:r w:rsidRPr="008162D9">
        <w:t xml:space="preserve">etanercept, </w:t>
      </w:r>
      <w:r>
        <w:t xml:space="preserve">golimumab, </w:t>
      </w:r>
      <w:r w:rsidRPr="008162D9">
        <w:t>infliximab, secukinumab and ustekinumab</w:t>
      </w:r>
      <w:r w:rsidDel="000043D3">
        <w:t xml:space="preserve"> </w:t>
      </w:r>
      <w:r>
        <w:t xml:space="preserve">for severe PsA. </w:t>
      </w:r>
    </w:p>
    <w:p w:rsidR="00260973" w:rsidRPr="00A9117A" w:rsidRDefault="00260973" w:rsidP="00260973">
      <w:pPr>
        <w:numPr>
          <w:ilvl w:val="1"/>
          <w:numId w:val="2"/>
        </w:numPr>
        <w:spacing w:after="120"/>
        <w:rPr>
          <w:rFonts w:asciiTheme="minorHAnsi" w:hAnsiTheme="minorHAnsi"/>
          <w:bCs/>
          <w:lang w:val="en-GB"/>
        </w:rPr>
      </w:pPr>
      <w:r w:rsidRPr="00A9117A">
        <w:rPr>
          <w:rFonts w:asciiTheme="minorHAnsi" w:hAnsiTheme="minorHAnsi"/>
          <w:bCs/>
          <w:lang w:val="en-GB"/>
        </w:rPr>
        <w:t>The PBAC advised that</w:t>
      </w:r>
      <w:r w:rsidR="00864026">
        <w:rPr>
          <w:rFonts w:asciiTheme="minorHAnsi" w:hAnsiTheme="minorHAnsi"/>
          <w:bCs/>
          <w:lang w:val="en-GB"/>
        </w:rPr>
        <w:t xml:space="preserve"> it remained of the view that</w:t>
      </w:r>
      <w:r w:rsidRPr="00A9117A">
        <w:rPr>
          <w:rFonts w:asciiTheme="minorHAnsi" w:hAnsiTheme="minorHAnsi"/>
          <w:bCs/>
          <w:lang w:val="en-GB"/>
        </w:rPr>
        <w:t xml:space="preserve"> </w:t>
      </w:r>
      <w:r w:rsidR="00864026">
        <w:rPr>
          <w:rFonts w:asciiTheme="minorHAnsi" w:hAnsiTheme="minorHAnsi"/>
          <w:bCs/>
          <w:lang w:val="en-GB"/>
        </w:rPr>
        <w:t>tofacitinib</w:t>
      </w:r>
      <w:r w:rsidRPr="00A9117A">
        <w:rPr>
          <w:rFonts w:asciiTheme="minorHAnsi" w:hAnsiTheme="minorHAnsi"/>
          <w:bCs/>
          <w:lang w:val="en-GB"/>
        </w:rPr>
        <w:t xml:space="preserve"> is not suitable for prescribing by nurse practitioners.  </w:t>
      </w:r>
    </w:p>
    <w:p w:rsidR="00260973" w:rsidRPr="00A9117A" w:rsidRDefault="00260973" w:rsidP="00260973">
      <w:pPr>
        <w:numPr>
          <w:ilvl w:val="1"/>
          <w:numId w:val="2"/>
        </w:numPr>
        <w:spacing w:after="120"/>
        <w:rPr>
          <w:rFonts w:asciiTheme="minorHAnsi" w:hAnsiTheme="minorHAnsi"/>
          <w:bCs/>
          <w:lang w:val="en-GB"/>
        </w:rPr>
      </w:pPr>
      <w:r w:rsidRPr="00A9117A">
        <w:rPr>
          <w:rFonts w:asciiTheme="minorHAnsi" w:hAnsiTheme="minorHAnsi"/>
          <w:bCs/>
          <w:lang w:val="en-GB"/>
        </w:rPr>
        <w:t xml:space="preserve">The PBAC noted the flow-on restriction changes </w:t>
      </w:r>
      <w:r w:rsidR="00B14BD0">
        <w:rPr>
          <w:rFonts w:asciiTheme="minorHAnsi" w:hAnsiTheme="minorHAnsi"/>
          <w:bCs/>
          <w:lang w:val="en-GB"/>
        </w:rPr>
        <w:t xml:space="preserve">to the other bDMARDs PBS listed for PsA (noted </w:t>
      </w:r>
      <w:r w:rsidR="00412C7F">
        <w:rPr>
          <w:rFonts w:asciiTheme="minorHAnsi" w:hAnsiTheme="minorHAnsi"/>
          <w:bCs/>
          <w:lang w:val="en-GB"/>
        </w:rPr>
        <w:t xml:space="preserve">in </w:t>
      </w:r>
      <w:r w:rsidR="00B14BD0">
        <w:rPr>
          <w:rFonts w:asciiTheme="minorHAnsi" w:hAnsiTheme="minorHAnsi"/>
          <w:bCs/>
          <w:lang w:val="en-GB"/>
        </w:rPr>
        <w:t>Section 8 below).</w:t>
      </w:r>
      <w:r w:rsidRPr="00A9117A">
        <w:rPr>
          <w:rFonts w:asciiTheme="minorHAnsi" w:hAnsiTheme="minorHAnsi"/>
          <w:bCs/>
          <w:lang w:val="en-GB"/>
        </w:rPr>
        <w:t xml:space="preserve"> </w:t>
      </w:r>
    </w:p>
    <w:p w:rsidR="00B14BD0" w:rsidRPr="00A9117A" w:rsidRDefault="00260973" w:rsidP="00B14BD0">
      <w:pPr>
        <w:numPr>
          <w:ilvl w:val="1"/>
          <w:numId w:val="2"/>
        </w:numPr>
        <w:spacing w:after="120"/>
        <w:rPr>
          <w:rFonts w:asciiTheme="minorHAnsi" w:hAnsiTheme="minorHAnsi"/>
          <w:bCs/>
          <w:lang w:val="en-GB"/>
        </w:rPr>
      </w:pPr>
      <w:r w:rsidRPr="00A9117A">
        <w:rPr>
          <w:rFonts w:asciiTheme="minorHAnsi" w:hAnsiTheme="minorHAnsi"/>
          <w:bCs/>
          <w:lang w:val="en-GB"/>
        </w:rPr>
        <w:t>The PBA</w:t>
      </w:r>
      <w:r w:rsidR="004F6C68">
        <w:rPr>
          <w:rFonts w:asciiTheme="minorHAnsi" w:hAnsiTheme="minorHAnsi"/>
          <w:bCs/>
          <w:lang w:val="en-GB"/>
        </w:rPr>
        <w:t xml:space="preserve">C noted that this submission </w:t>
      </w:r>
      <w:r w:rsidRPr="00A9117A">
        <w:rPr>
          <w:rFonts w:asciiTheme="minorHAnsi" w:hAnsiTheme="minorHAnsi"/>
          <w:bCs/>
          <w:lang w:val="en-GB"/>
        </w:rPr>
        <w:t>is not eligible for an Independent</w:t>
      </w:r>
      <w:r w:rsidR="00B14BD0">
        <w:rPr>
          <w:rFonts w:asciiTheme="minorHAnsi" w:hAnsiTheme="minorHAnsi"/>
          <w:bCs/>
          <w:lang w:val="en-GB"/>
        </w:rPr>
        <w:t xml:space="preserve"> Review as it received a positive recommendation.</w:t>
      </w:r>
    </w:p>
    <w:p w:rsidR="00260973" w:rsidRPr="00A9117A" w:rsidRDefault="00260973" w:rsidP="00C76484">
      <w:pPr>
        <w:spacing w:before="240"/>
        <w:outlineLvl w:val="1"/>
        <w:rPr>
          <w:rFonts w:asciiTheme="minorHAnsi" w:hAnsiTheme="minorHAnsi"/>
          <w:b/>
          <w:bCs/>
        </w:rPr>
      </w:pPr>
      <w:r w:rsidRPr="00A9117A">
        <w:rPr>
          <w:rFonts w:asciiTheme="minorHAnsi" w:hAnsiTheme="minorHAnsi"/>
          <w:b/>
          <w:bCs/>
          <w:lang w:val="en-GB"/>
        </w:rPr>
        <w:t>Outcome</w:t>
      </w:r>
      <w:r w:rsidR="00C76484" w:rsidRPr="00A9117A">
        <w:rPr>
          <w:rFonts w:asciiTheme="minorHAnsi" w:hAnsiTheme="minorHAnsi"/>
          <w:b/>
          <w:bCs/>
          <w:lang w:val="en-GB"/>
        </w:rPr>
        <w:t xml:space="preserve">: </w:t>
      </w:r>
      <w:r w:rsidR="00194DC3">
        <w:rPr>
          <w:rFonts w:asciiTheme="minorHAnsi" w:hAnsiTheme="minorHAnsi"/>
          <w:b/>
          <w:bCs/>
          <w:lang w:val="en-GB"/>
        </w:rPr>
        <w:br/>
      </w:r>
      <w:r w:rsidRPr="00A9117A">
        <w:rPr>
          <w:rFonts w:asciiTheme="minorHAnsi" w:hAnsiTheme="minorHAnsi"/>
          <w:bCs/>
          <w:lang w:val="en-GB"/>
        </w:rPr>
        <w:t xml:space="preserve">Recommended </w:t>
      </w:r>
    </w:p>
    <w:p w:rsidR="00260973" w:rsidRPr="00A9117A" w:rsidRDefault="00260973" w:rsidP="0011600D">
      <w:pPr>
        <w:pStyle w:val="PBACHeading1"/>
        <w:rPr>
          <w:lang w:val="en-GB"/>
        </w:rPr>
      </w:pPr>
      <w:r w:rsidRPr="00A9117A">
        <w:rPr>
          <w:lang w:val="en-GB"/>
        </w:rPr>
        <w:t>Recommended listing</w:t>
      </w:r>
    </w:p>
    <w:p w:rsidR="00260973" w:rsidRPr="00B14BD0" w:rsidRDefault="00260973" w:rsidP="00B14BD0">
      <w:pPr>
        <w:numPr>
          <w:ilvl w:val="1"/>
          <w:numId w:val="2"/>
        </w:numPr>
        <w:spacing w:after="120"/>
        <w:rPr>
          <w:rFonts w:asciiTheme="minorHAnsi" w:hAnsiTheme="minorHAnsi"/>
          <w:b/>
          <w:bCs/>
        </w:rPr>
      </w:pPr>
      <w:r w:rsidRPr="00B14BD0">
        <w:rPr>
          <w:rFonts w:asciiTheme="minorHAnsi" w:hAnsiTheme="minorHAnsi"/>
          <w:bCs/>
        </w:rPr>
        <w:t>Add new item:</w:t>
      </w:r>
    </w:p>
    <w:p w:rsidR="00BD7B79" w:rsidRPr="00A9117A" w:rsidRDefault="00BD7B79" w:rsidP="007C30B6">
      <w:pPr>
        <w:widowControl/>
        <w:spacing w:after="120"/>
        <w:ind w:left="720"/>
        <w:rPr>
          <w:rFonts w:cs="Calibri"/>
          <w:lang w:eastAsia="zh-CN"/>
        </w:rPr>
      </w:pPr>
      <w:r w:rsidRPr="00A9117A">
        <w:rPr>
          <w:rFonts w:cs="Calibri"/>
          <w:lang w:eastAsia="zh-CN"/>
        </w:rPr>
        <w:t xml:space="preserve">Restrictions to be the same as for other bDMARDs for PsA. </w:t>
      </w:r>
    </w:p>
    <w:p w:rsidR="00BD7B79" w:rsidRPr="00A9117A" w:rsidRDefault="00BD7B79" w:rsidP="007C30B6">
      <w:pPr>
        <w:widowControl/>
        <w:spacing w:after="120"/>
        <w:ind w:left="720"/>
        <w:rPr>
          <w:rFonts w:cs="Calibri"/>
          <w:lang w:eastAsia="zh-CN"/>
        </w:rPr>
      </w:pPr>
      <w:r w:rsidRPr="00A9117A">
        <w:rPr>
          <w:rFonts w:cs="Calibri"/>
          <w:lang w:eastAsia="zh-CN"/>
        </w:rPr>
        <w:t>Update administrative notes</w:t>
      </w:r>
      <w:r w:rsidR="004F6C68">
        <w:rPr>
          <w:rFonts w:cs="Calibri"/>
          <w:lang w:eastAsia="zh-CN"/>
        </w:rPr>
        <w:t xml:space="preserve"> for adalimumab, certolizumab pegol, etanercept, golimumab, infliximab, secukinumab and ustekinumab</w:t>
      </w:r>
      <w:r w:rsidRPr="00A9117A">
        <w:rPr>
          <w:rFonts w:cs="Calibri"/>
          <w:lang w:eastAsia="zh-CN"/>
        </w:rPr>
        <w:t xml:space="preserve"> to include tofacitinib in the list of drugs eligible as part of a treatment cycle for PsA as follows:</w:t>
      </w:r>
    </w:p>
    <w:p w:rsidR="00BD7B79" w:rsidRPr="00A9117A" w:rsidRDefault="00BD7B79" w:rsidP="007C30B6">
      <w:pPr>
        <w:widowControl/>
        <w:ind w:left="720"/>
        <w:rPr>
          <w:sz w:val="22"/>
        </w:rPr>
      </w:pPr>
    </w:p>
    <w:p w:rsidR="00BD7B79" w:rsidRPr="00AF6FC4" w:rsidRDefault="00BD7B79" w:rsidP="007C30B6">
      <w:pPr>
        <w:widowControl/>
        <w:ind w:left="720"/>
        <w:rPr>
          <w:sz w:val="22"/>
        </w:rPr>
      </w:pPr>
      <w:r w:rsidRPr="00A9117A">
        <w:rPr>
          <w:sz w:val="22"/>
        </w:rPr>
        <w:t xml:space="preserve">(1) The following information applies to the prescribing under the Pharmaceutical Benefits Scheme (PBS) of the biological agents adalimumab, certolizumab pegol, etanercept, golimumab, infliximab, </w:t>
      </w:r>
      <w:r w:rsidRPr="00AF6FC4">
        <w:rPr>
          <w:sz w:val="22"/>
        </w:rPr>
        <w:t>secukinumab</w:t>
      </w:r>
      <w:r w:rsidR="005D2976" w:rsidRPr="00AF6FC4">
        <w:rPr>
          <w:sz w:val="22"/>
        </w:rPr>
        <w:t>, tofacitini</w:t>
      </w:r>
      <w:r w:rsidRPr="00AF6FC4">
        <w:rPr>
          <w:sz w:val="22"/>
        </w:rPr>
        <w:t>b and ustekinumab for adult patients with severe active psoriatic arthritis.</w:t>
      </w:r>
    </w:p>
    <w:p w:rsidR="00BD7B79" w:rsidRPr="00AF6FC4" w:rsidRDefault="00BD7B79" w:rsidP="007C30B6">
      <w:pPr>
        <w:widowControl/>
        <w:ind w:left="720"/>
        <w:rPr>
          <w:sz w:val="22"/>
        </w:rPr>
      </w:pPr>
      <w:r w:rsidRPr="00AF6FC4">
        <w:rPr>
          <w:sz w:val="22"/>
        </w:rPr>
        <w:t>(2) Where the term 'biological agents' appears in notes and restrictions, it refers to adalimumab, certolizumab pegol, etanercept, golimumab, infliximab, secukinumab, tofacitinib and ustekinumab only.</w:t>
      </w:r>
    </w:p>
    <w:p w:rsidR="00BD7B79" w:rsidRPr="00AF6FC4" w:rsidRDefault="00BD7B79" w:rsidP="007C30B6">
      <w:pPr>
        <w:widowControl/>
        <w:ind w:left="720"/>
        <w:rPr>
          <w:sz w:val="22"/>
        </w:rPr>
      </w:pPr>
      <w:r w:rsidRPr="00AF6FC4">
        <w:rPr>
          <w:sz w:val="22"/>
        </w:rPr>
        <w:t xml:space="preserve">(3) All applications for initial treatment will be limited to provide for a maximum of 16 weeks of therapy for adalimumab, etanercept, golimumab, </w:t>
      </w:r>
      <w:r w:rsidRPr="00AF6FC4">
        <w:rPr>
          <w:strike/>
          <w:sz w:val="22"/>
        </w:rPr>
        <w:t xml:space="preserve">and </w:t>
      </w:r>
      <w:r w:rsidRPr="00AF6FC4">
        <w:rPr>
          <w:sz w:val="22"/>
        </w:rPr>
        <w:t>secukinumab and tofacitinib, 18 to 20 weeks of therapy for certolizumab pegol (depending upon the dosing regimen), 22 weeks of therapy for infliximab, and 28 weeks of therapy for ustekinumab. It is recommended that patients be reviewed in the month prior to completing their course of initial treatment to ensure uninterrupted biological agent supply.</w:t>
      </w:r>
    </w:p>
    <w:p w:rsidR="00864026" w:rsidRDefault="00BD7B79" w:rsidP="007C30B6">
      <w:pPr>
        <w:widowControl/>
        <w:ind w:left="720"/>
        <w:rPr>
          <w:sz w:val="22"/>
        </w:rPr>
      </w:pPr>
      <w:r w:rsidRPr="00AF6FC4">
        <w:rPr>
          <w:sz w:val="22"/>
        </w:rPr>
        <w:t>(4) For the purposes of this restriction 'biological agent' means adalimumab, certolizumab pegol, etanercept, golimumab, infliximab, secukinumab, tofacitinib or ustekinumab</w:t>
      </w:r>
      <w:r w:rsidRPr="00A9117A">
        <w:rPr>
          <w:sz w:val="22"/>
        </w:rPr>
        <w:t>.</w:t>
      </w:r>
    </w:p>
    <w:p w:rsidR="00BD7B79" w:rsidRPr="00A9117A" w:rsidRDefault="00BD7B79" w:rsidP="006530FE">
      <w:pPr>
        <w:widowControl/>
        <w:rPr>
          <w:sz w:val="22"/>
        </w:rPr>
      </w:pPr>
    </w:p>
    <w:tbl>
      <w:tblPr>
        <w:tblW w:w="9214" w:type="dxa"/>
        <w:tblInd w:w="108" w:type="dxa"/>
        <w:tblLayout w:type="fixed"/>
        <w:tblLook w:val="0000" w:firstRow="0" w:lastRow="0" w:firstColumn="0" w:lastColumn="0" w:noHBand="0" w:noVBand="0"/>
      </w:tblPr>
      <w:tblGrid>
        <w:gridCol w:w="2835"/>
        <w:gridCol w:w="426"/>
        <w:gridCol w:w="567"/>
        <w:gridCol w:w="850"/>
        <w:gridCol w:w="284"/>
        <w:gridCol w:w="1275"/>
        <w:gridCol w:w="2977"/>
      </w:tblGrid>
      <w:tr w:rsidR="00BD7B79" w:rsidRPr="007C30B6" w:rsidTr="00B14BD0">
        <w:trPr>
          <w:cantSplit/>
          <w:trHeight w:val="471"/>
        </w:trPr>
        <w:tc>
          <w:tcPr>
            <w:tcW w:w="3261" w:type="dxa"/>
            <w:gridSpan w:val="2"/>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Name, Restriction,</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Manner of administration and form</w:t>
            </w:r>
          </w:p>
        </w:tc>
        <w:tc>
          <w:tcPr>
            <w:tcW w:w="567"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Max.</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Qty</w:t>
            </w:r>
          </w:p>
        </w:tc>
        <w:tc>
          <w:tcPr>
            <w:tcW w:w="850"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№.of</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Rpts</w:t>
            </w:r>
          </w:p>
        </w:tc>
        <w:tc>
          <w:tcPr>
            <w:tcW w:w="284"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p>
        </w:tc>
        <w:tc>
          <w:tcPr>
            <w:tcW w:w="4252" w:type="dxa"/>
            <w:gridSpan w:val="2"/>
            <w:tcBorders>
              <w:bottom w:val="single" w:sz="4" w:space="0" w:color="auto"/>
            </w:tcBorders>
          </w:tcPr>
          <w:p w:rsidR="00BD7B79" w:rsidRPr="007C30B6" w:rsidRDefault="00BD7B79" w:rsidP="006530FE">
            <w:pPr>
              <w:keepNext/>
              <w:widowControl/>
              <w:rPr>
                <w:rFonts w:ascii="Arial Narrow" w:hAnsi="Arial Narrow"/>
                <w:b/>
                <w:sz w:val="20"/>
                <w:szCs w:val="20"/>
                <w:lang w:val="fr-FR"/>
              </w:rPr>
            </w:pPr>
            <w:r w:rsidRPr="007C30B6">
              <w:rPr>
                <w:rFonts w:ascii="Arial Narrow" w:hAnsi="Arial Narrow"/>
                <w:b/>
                <w:sz w:val="20"/>
                <w:szCs w:val="20"/>
              </w:rPr>
              <w:t>Proprietary Name and Manufacturer</w:t>
            </w:r>
          </w:p>
        </w:tc>
      </w:tr>
      <w:tr w:rsidR="00BD7B79" w:rsidRPr="007C30B6" w:rsidTr="00B14BD0">
        <w:trPr>
          <w:cantSplit/>
          <w:trHeight w:val="577"/>
        </w:trPr>
        <w:tc>
          <w:tcPr>
            <w:tcW w:w="3261" w:type="dxa"/>
            <w:gridSpan w:val="2"/>
          </w:tcPr>
          <w:p w:rsidR="00BD7B79" w:rsidRPr="007C30B6" w:rsidRDefault="00BD7B79" w:rsidP="006530FE">
            <w:pPr>
              <w:keepNext/>
              <w:widowControl/>
              <w:ind w:left="-108"/>
              <w:rPr>
                <w:rFonts w:ascii="Arial Narrow" w:hAnsi="Arial Narrow"/>
                <w:sz w:val="20"/>
                <w:szCs w:val="20"/>
              </w:rPr>
            </w:pPr>
            <w:r w:rsidRPr="007C30B6">
              <w:rPr>
                <w:rFonts w:ascii="Arial Narrow" w:hAnsi="Arial Narrow"/>
                <w:smallCaps/>
                <w:sz w:val="20"/>
                <w:szCs w:val="20"/>
              </w:rPr>
              <w:t>TOFACITINIB</w:t>
            </w:r>
          </w:p>
          <w:p w:rsidR="00BD7B79" w:rsidRPr="007C30B6" w:rsidRDefault="00BD7B79" w:rsidP="006530FE">
            <w:pPr>
              <w:keepNext/>
              <w:widowControl/>
              <w:ind w:left="-108"/>
              <w:rPr>
                <w:rFonts w:ascii="Arial Narrow" w:hAnsi="Arial Narrow"/>
                <w:sz w:val="20"/>
                <w:szCs w:val="20"/>
              </w:rPr>
            </w:pPr>
            <w:r w:rsidRPr="007C30B6">
              <w:rPr>
                <w:rFonts w:ascii="Arial Narrow" w:hAnsi="Arial Narrow"/>
                <w:sz w:val="20"/>
                <w:szCs w:val="20"/>
              </w:rPr>
              <w:t>Tablet 5 mg, 56</w:t>
            </w:r>
          </w:p>
        </w:tc>
        <w:tc>
          <w:tcPr>
            <w:tcW w:w="567" w:type="dxa"/>
          </w:tcPr>
          <w:p w:rsidR="00BD7B79" w:rsidRPr="007C30B6" w:rsidRDefault="00BD7B79" w:rsidP="006530FE">
            <w:pPr>
              <w:keepNext/>
              <w:widowControl/>
              <w:ind w:left="-108"/>
              <w:rPr>
                <w:rFonts w:ascii="Arial Narrow" w:hAnsi="Arial Narrow"/>
                <w:sz w:val="20"/>
                <w:szCs w:val="20"/>
              </w:rPr>
            </w:pPr>
          </w:p>
          <w:p w:rsidR="00BD7B79" w:rsidRPr="007C30B6" w:rsidRDefault="00BD7B79" w:rsidP="006530FE">
            <w:pPr>
              <w:keepNext/>
              <w:widowControl/>
              <w:ind w:left="-108"/>
              <w:rPr>
                <w:rFonts w:ascii="Arial Narrow" w:hAnsi="Arial Narrow"/>
                <w:sz w:val="20"/>
                <w:szCs w:val="20"/>
              </w:rPr>
            </w:pPr>
            <w:r w:rsidRPr="007C30B6">
              <w:rPr>
                <w:rFonts w:ascii="Arial Narrow" w:hAnsi="Arial Narrow"/>
                <w:sz w:val="20"/>
                <w:szCs w:val="20"/>
              </w:rPr>
              <w:t>1</w:t>
            </w:r>
          </w:p>
        </w:tc>
        <w:tc>
          <w:tcPr>
            <w:tcW w:w="850" w:type="dxa"/>
          </w:tcPr>
          <w:p w:rsidR="00BD7B79" w:rsidRPr="007C30B6" w:rsidRDefault="00BD7B79" w:rsidP="006530FE">
            <w:pPr>
              <w:keepNext/>
              <w:widowControl/>
              <w:ind w:left="-108"/>
              <w:rPr>
                <w:rFonts w:ascii="Arial Narrow" w:hAnsi="Arial Narrow"/>
                <w:sz w:val="20"/>
                <w:szCs w:val="20"/>
              </w:rPr>
            </w:pPr>
          </w:p>
          <w:p w:rsidR="00BD7B79" w:rsidRPr="007C30B6" w:rsidRDefault="00BD7B79" w:rsidP="006530FE">
            <w:pPr>
              <w:keepNext/>
              <w:widowControl/>
              <w:ind w:left="-108"/>
              <w:rPr>
                <w:rFonts w:ascii="Arial Narrow" w:hAnsi="Arial Narrow"/>
                <w:sz w:val="20"/>
                <w:szCs w:val="20"/>
              </w:rPr>
            </w:pPr>
            <w:r w:rsidRPr="007C30B6">
              <w:rPr>
                <w:rFonts w:ascii="Arial Narrow" w:hAnsi="Arial Narrow"/>
                <w:sz w:val="20"/>
                <w:szCs w:val="20"/>
              </w:rPr>
              <w:t>3</w:t>
            </w:r>
          </w:p>
        </w:tc>
        <w:tc>
          <w:tcPr>
            <w:tcW w:w="284" w:type="dxa"/>
          </w:tcPr>
          <w:p w:rsidR="00BD7B79" w:rsidRPr="007C30B6" w:rsidRDefault="00BD7B79" w:rsidP="006530FE">
            <w:pPr>
              <w:keepNext/>
              <w:widowControl/>
              <w:ind w:left="-108"/>
              <w:rPr>
                <w:rFonts w:ascii="Arial Narrow" w:hAnsi="Arial Narrow"/>
                <w:sz w:val="20"/>
                <w:szCs w:val="20"/>
              </w:rPr>
            </w:pPr>
          </w:p>
        </w:tc>
        <w:tc>
          <w:tcPr>
            <w:tcW w:w="1275" w:type="dxa"/>
          </w:tcPr>
          <w:p w:rsidR="00BD7B79" w:rsidRPr="007C30B6" w:rsidRDefault="00BD7B79" w:rsidP="006530FE">
            <w:pPr>
              <w:keepNext/>
              <w:widowControl/>
              <w:rPr>
                <w:rFonts w:ascii="Arial Narrow" w:hAnsi="Arial Narrow"/>
                <w:sz w:val="20"/>
                <w:szCs w:val="20"/>
              </w:rPr>
            </w:pPr>
          </w:p>
          <w:p w:rsidR="00BD7B79" w:rsidRPr="007C30B6" w:rsidRDefault="00BD7B79" w:rsidP="006530FE">
            <w:pPr>
              <w:keepNext/>
              <w:widowControl/>
              <w:rPr>
                <w:rFonts w:ascii="Arial Narrow" w:hAnsi="Arial Narrow"/>
                <w:sz w:val="20"/>
                <w:szCs w:val="20"/>
                <w:vertAlign w:val="superscript"/>
              </w:rPr>
            </w:pPr>
            <w:r w:rsidRPr="007C30B6">
              <w:rPr>
                <w:rFonts w:ascii="Arial Narrow" w:hAnsi="Arial Narrow"/>
                <w:sz w:val="20"/>
                <w:szCs w:val="20"/>
              </w:rPr>
              <w:t>Xeljanz</w:t>
            </w:r>
            <w:r w:rsidRPr="007C30B6">
              <w:rPr>
                <w:rFonts w:ascii="Arial Narrow" w:hAnsi="Arial Narrow" w:cs="Calibri"/>
                <w:sz w:val="20"/>
                <w:szCs w:val="20"/>
                <w:vertAlign w:val="superscript"/>
              </w:rPr>
              <w:t>®</w:t>
            </w:r>
          </w:p>
        </w:tc>
        <w:tc>
          <w:tcPr>
            <w:tcW w:w="2977" w:type="dxa"/>
          </w:tcPr>
          <w:p w:rsidR="00BD7B79" w:rsidRPr="007C30B6" w:rsidRDefault="00BD7B79" w:rsidP="006530FE">
            <w:pPr>
              <w:keepNext/>
              <w:widowControl/>
              <w:rPr>
                <w:rFonts w:ascii="Arial Narrow" w:hAnsi="Arial Narrow"/>
                <w:sz w:val="20"/>
                <w:szCs w:val="20"/>
              </w:rPr>
            </w:pPr>
          </w:p>
          <w:p w:rsidR="00BD7B79" w:rsidRPr="007C30B6" w:rsidRDefault="00BD7B79" w:rsidP="006530FE">
            <w:pPr>
              <w:keepNext/>
              <w:widowControl/>
              <w:rPr>
                <w:rFonts w:ascii="Arial Narrow" w:hAnsi="Arial Narrow"/>
                <w:sz w:val="20"/>
                <w:szCs w:val="20"/>
              </w:rPr>
            </w:pPr>
            <w:r w:rsidRPr="007C30B6">
              <w:rPr>
                <w:rFonts w:ascii="Arial Narrow" w:hAnsi="Arial Narrow"/>
                <w:sz w:val="20"/>
                <w:szCs w:val="20"/>
              </w:rPr>
              <w:t>Pfizer Australia Pty Ltd</w:t>
            </w:r>
          </w:p>
        </w:tc>
      </w:tr>
      <w:tr w:rsidR="00BD7B79" w:rsidRPr="007C30B6" w:rsidTr="00BD3263">
        <w:trPr>
          <w:cantSplit/>
          <w:trHeight w:val="360"/>
        </w:trPr>
        <w:tc>
          <w:tcPr>
            <w:tcW w:w="9214" w:type="dxa"/>
            <w:gridSpan w:val="7"/>
            <w:tcBorders>
              <w:bottom w:val="single" w:sz="4" w:space="0" w:color="auto"/>
            </w:tcBorders>
          </w:tcPr>
          <w:p w:rsidR="00BD7B79" w:rsidRPr="007C30B6" w:rsidRDefault="00BD7B79" w:rsidP="006530FE">
            <w:pPr>
              <w:widowControl/>
              <w:rPr>
                <w:rFonts w:ascii="Arial Narrow" w:hAnsi="Arial Narrow"/>
                <w:sz w:val="20"/>
                <w:szCs w:val="20"/>
              </w:rPr>
            </w:pP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 xml:space="preserve">Category / </w:t>
            </w:r>
          </w:p>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GENERAL – General Schedule (Code GE)</w:t>
            </w:r>
          </w:p>
          <w:p w:rsidR="00BD7B79" w:rsidRPr="007C30B6" w:rsidRDefault="00BD7B79" w:rsidP="006530FE">
            <w:pPr>
              <w:widowControl/>
              <w:rPr>
                <w:rFonts w:ascii="Arial Narrow" w:hAnsi="Arial Narrow"/>
                <w:sz w:val="20"/>
                <w:szCs w:val="20"/>
              </w:rPr>
            </w:pP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Prescriber type:</w:t>
            </w:r>
          </w:p>
          <w:p w:rsidR="00BD7B79" w:rsidRPr="007C30B6" w:rsidRDefault="00BD7B79" w:rsidP="006530FE">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Dental  </w:t>
            </w: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Medical Practitioners  </w:t>
            </w: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Nurse practitioners  </w:t>
            </w: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Optometrists</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Midwives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Initial treatment - Initial 1 (new patient or patient recommencing treatment after a break of 5 years or more)</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Initial treatment - Initial 2 (change or recommencing treatment after a break of less than 5 years )</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Restriction Level / Method: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Restricted benefit</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In Writing</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Telephone</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Emergency</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Electronic</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Streamlined</w:t>
            </w:r>
          </w:p>
        </w:tc>
      </w:tr>
    </w:tbl>
    <w:p w:rsidR="00BD7B79" w:rsidRPr="00A9117A" w:rsidRDefault="00BD7B79" w:rsidP="006530FE">
      <w:pPr>
        <w:widowControl/>
        <w:rPr>
          <w:sz w:val="22"/>
          <w:szCs w:val="20"/>
          <w:highlight w:val="green"/>
        </w:rPr>
      </w:pPr>
    </w:p>
    <w:tbl>
      <w:tblPr>
        <w:tblW w:w="9214" w:type="dxa"/>
        <w:tblInd w:w="108" w:type="dxa"/>
        <w:tblLayout w:type="fixed"/>
        <w:tblLook w:val="0000" w:firstRow="0" w:lastRow="0" w:firstColumn="0" w:lastColumn="0" w:noHBand="0" w:noVBand="0"/>
      </w:tblPr>
      <w:tblGrid>
        <w:gridCol w:w="2835"/>
        <w:gridCol w:w="426"/>
        <w:gridCol w:w="567"/>
        <w:gridCol w:w="850"/>
        <w:gridCol w:w="284"/>
        <w:gridCol w:w="1134"/>
        <w:gridCol w:w="3118"/>
      </w:tblGrid>
      <w:tr w:rsidR="00BD7B79" w:rsidRPr="007C30B6" w:rsidTr="00B14BD0">
        <w:trPr>
          <w:cantSplit/>
          <w:trHeight w:val="471"/>
        </w:trPr>
        <w:tc>
          <w:tcPr>
            <w:tcW w:w="3261" w:type="dxa"/>
            <w:gridSpan w:val="2"/>
            <w:tcBorders>
              <w:bottom w:val="single" w:sz="4" w:space="0" w:color="auto"/>
            </w:tcBorders>
          </w:tcPr>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Name, Restriction,</w:t>
            </w:r>
          </w:p>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Manner of administration and form</w:t>
            </w:r>
          </w:p>
        </w:tc>
        <w:tc>
          <w:tcPr>
            <w:tcW w:w="567" w:type="dxa"/>
            <w:tcBorders>
              <w:bottom w:val="single" w:sz="4" w:space="0" w:color="auto"/>
            </w:tcBorders>
          </w:tcPr>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Max.</w:t>
            </w:r>
          </w:p>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Qty</w:t>
            </w:r>
          </w:p>
        </w:tc>
        <w:tc>
          <w:tcPr>
            <w:tcW w:w="850" w:type="dxa"/>
            <w:tcBorders>
              <w:bottom w:val="single" w:sz="4" w:space="0" w:color="auto"/>
            </w:tcBorders>
          </w:tcPr>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№.of</w:t>
            </w:r>
          </w:p>
          <w:p w:rsidR="00BD7B79" w:rsidRPr="007C30B6" w:rsidRDefault="00BD7B79" w:rsidP="00F25A55">
            <w:pPr>
              <w:keepNext/>
              <w:widowControl/>
              <w:ind w:left="-108"/>
              <w:rPr>
                <w:rFonts w:ascii="Arial Narrow" w:hAnsi="Arial Narrow"/>
                <w:b/>
                <w:sz w:val="20"/>
                <w:szCs w:val="20"/>
              </w:rPr>
            </w:pPr>
            <w:r w:rsidRPr="007C30B6">
              <w:rPr>
                <w:rFonts w:ascii="Arial Narrow" w:hAnsi="Arial Narrow"/>
                <w:b/>
                <w:sz w:val="20"/>
                <w:szCs w:val="20"/>
              </w:rPr>
              <w:t>Rpts</w:t>
            </w:r>
          </w:p>
        </w:tc>
        <w:tc>
          <w:tcPr>
            <w:tcW w:w="284" w:type="dxa"/>
            <w:tcBorders>
              <w:bottom w:val="single" w:sz="4" w:space="0" w:color="auto"/>
            </w:tcBorders>
          </w:tcPr>
          <w:p w:rsidR="00BD7B79" w:rsidRPr="007C30B6" w:rsidRDefault="00BD7B79" w:rsidP="00F25A55">
            <w:pPr>
              <w:keepNext/>
              <w:widowControl/>
              <w:ind w:left="-108"/>
              <w:rPr>
                <w:rFonts w:ascii="Arial Narrow" w:hAnsi="Arial Narrow"/>
                <w:b/>
                <w:sz w:val="20"/>
                <w:szCs w:val="20"/>
              </w:rPr>
            </w:pPr>
          </w:p>
        </w:tc>
        <w:tc>
          <w:tcPr>
            <w:tcW w:w="4252" w:type="dxa"/>
            <w:gridSpan w:val="2"/>
            <w:tcBorders>
              <w:bottom w:val="single" w:sz="4" w:space="0" w:color="auto"/>
            </w:tcBorders>
          </w:tcPr>
          <w:p w:rsidR="00BD7B79" w:rsidRPr="007C30B6" w:rsidRDefault="00BD7B79" w:rsidP="00F25A55">
            <w:pPr>
              <w:keepNext/>
              <w:widowControl/>
              <w:rPr>
                <w:rFonts w:ascii="Arial Narrow" w:hAnsi="Arial Narrow"/>
                <w:b/>
                <w:sz w:val="20"/>
                <w:szCs w:val="20"/>
                <w:lang w:val="fr-FR"/>
              </w:rPr>
            </w:pPr>
            <w:r w:rsidRPr="007C30B6">
              <w:rPr>
                <w:rFonts w:ascii="Arial Narrow" w:hAnsi="Arial Narrow"/>
                <w:b/>
                <w:sz w:val="20"/>
                <w:szCs w:val="20"/>
              </w:rPr>
              <w:t>Proprietary Name and Manufacturer</w:t>
            </w:r>
          </w:p>
        </w:tc>
      </w:tr>
      <w:tr w:rsidR="00BD7B79" w:rsidRPr="007C30B6" w:rsidTr="00B14BD0">
        <w:trPr>
          <w:cantSplit/>
          <w:trHeight w:val="577"/>
        </w:trPr>
        <w:tc>
          <w:tcPr>
            <w:tcW w:w="3261" w:type="dxa"/>
            <w:gridSpan w:val="2"/>
          </w:tcPr>
          <w:p w:rsidR="00BD7B79" w:rsidRPr="007C30B6" w:rsidRDefault="00BD7B79" w:rsidP="00F25A55">
            <w:pPr>
              <w:keepNext/>
              <w:widowControl/>
              <w:ind w:left="-108"/>
              <w:rPr>
                <w:rFonts w:ascii="Arial Narrow" w:hAnsi="Arial Narrow"/>
                <w:sz w:val="20"/>
                <w:szCs w:val="20"/>
              </w:rPr>
            </w:pPr>
            <w:r w:rsidRPr="007C30B6">
              <w:rPr>
                <w:rFonts w:ascii="Arial Narrow" w:hAnsi="Arial Narrow"/>
                <w:smallCaps/>
                <w:sz w:val="20"/>
                <w:szCs w:val="20"/>
              </w:rPr>
              <w:t>TOFACITINIB</w:t>
            </w:r>
          </w:p>
          <w:p w:rsidR="00BD7B79" w:rsidRPr="007C30B6" w:rsidRDefault="00BD7B79" w:rsidP="00F25A55">
            <w:pPr>
              <w:keepNext/>
              <w:widowControl/>
              <w:ind w:left="-108"/>
              <w:rPr>
                <w:rFonts w:ascii="Arial Narrow" w:hAnsi="Arial Narrow"/>
                <w:sz w:val="20"/>
                <w:szCs w:val="20"/>
              </w:rPr>
            </w:pPr>
            <w:r w:rsidRPr="007C30B6">
              <w:rPr>
                <w:rFonts w:ascii="Arial Narrow" w:hAnsi="Arial Narrow"/>
                <w:sz w:val="20"/>
                <w:szCs w:val="20"/>
              </w:rPr>
              <w:t>Tablet 5 mg, 56</w:t>
            </w:r>
          </w:p>
        </w:tc>
        <w:tc>
          <w:tcPr>
            <w:tcW w:w="567" w:type="dxa"/>
          </w:tcPr>
          <w:p w:rsidR="00BD7B79" w:rsidRPr="007C30B6" w:rsidRDefault="00BD7B79" w:rsidP="00F25A55">
            <w:pPr>
              <w:keepNext/>
              <w:widowControl/>
              <w:ind w:left="-108"/>
              <w:rPr>
                <w:rFonts w:ascii="Arial Narrow" w:hAnsi="Arial Narrow"/>
                <w:sz w:val="20"/>
                <w:szCs w:val="20"/>
              </w:rPr>
            </w:pPr>
          </w:p>
          <w:p w:rsidR="00BD7B79" w:rsidRPr="007C30B6" w:rsidRDefault="00BD7B79" w:rsidP="00F25A55">
            <w:pPr>
              <w:keepNext/>
              <w:widowControl/>
              <w:ind w:left="-108"/>
              <w:rPr>
                <w:rFonts w:ascii="Arial Narrow" w:hAnsi="Arial Narrow"/>
                <w:sz w:val="20"/>
                <w:szCs w:val="20"/>
              </w:rPr>
            </w:pPr>
            <w:r w:rsidRPr="007C30B6">
              <w:rPr>
                <w:rFonts w:ascii="Arial Narrow" w:hAnsi="Arial Narrow"/>
                <w:sz w:val="20"/>
                <w:szCs w:val="20"/>
              </w:rPr>
              <w:t>1</w:t>
            </w:r>
          </w:p>
        </w:tc>
        <w:tc>
          <w:tcPr>
            <w:tcW w:w="850" w:type="dxa"/>
          </w:tcPr>
          <w:p w:rsidR="00BD7B79" w:rsidRPr="007C30B6" w:rsidRDefault="00BD7B79" w:rsidP="00F25A55">
            <w:pPr>
              <w:keepNext/>
              <w:widowControl/>
              <w:ind w:left="-108"/>
              <w:rPr>
                <w:rFonts w:ascii="Arial Narrow" w:hAnsi="Arial Narrow"/>
                <w:sz w:val="20"/>
                <w:szCs w:val="20"/>
              </w:rPr>
            </w:pPr>
          </w:p>
          <w:p w:rsidR="00BD7B79" w:rsidRPr="007C30B6" w:rsidRDefault="00BD7B79" w:rsidP="00F25A55">
            <w:pPr>
              <w:keepNext/>
              <w:widowControl/>
              <w:ind w:left="-108"/>
              <w:rPr>
                <w:rFonts w:ascii="Arial Narrow" w:hAnsi="Arial Narrow"/>
                <w:sz w:val="20"/>
                <w:szCs w:val="20"/>
              </w:rPr>
            </w:pPr>
            <w:r w:rsidRPr="007C30B6">
              <w:rPr>
                <w:rFonts w:ascii="Arial Narrow" w:hAnsi="Arial Narrow"/>
                <w:sz w:val="20"/>
                <w:szCs w:val="20"/>
              </w:rPr>
              <w:t>2</w:t>
            </w:r>
          </w:p>
        </w:tc>
        <w:tc>
          <w:tcPr>
            <w:tcW w:w="284" w:type="dxa"/>
          </w:tcPr>
          <w:p w:rsidR="00BD7B79" w:rsidRPr="007C30B6" w:rsidRDefault="00BD7B79" w:rsidP="00F25A55">
            <w:pPr>
              <w:keepNext/>
              <w:widowControl/>
              <w:ind w:left="-108"/>
              <w:rPr>
                <w:rFonts w:ascii="Arial Narrow" w:hAnsi="Arial Narrow"/>
                <w:sz w:val="20"/>
                <w:szCs w:val="20"/>
              </w:rPr>
            </w:pPr>
          </w:p>
        </w:tc>
        <w:tc>
          <w:tcPr>
            <w:tcW w:w="1134" w:type="dxa"/>
          </w:tcPr>
          <w:p w:rsidR="00BD7B79" w:rsidRPr="007C30B6" w:rsidRDefault="00BD7B79" w:rsidP="00F25A55">
            <w:pPr>
              <w:keepNext/>
              <w:widowControl/>
              <w:rPr>
                <w:rFonts w:ascii="Arial Narrow" w:hAnsi="Arial Narrow"/>
                <w:sz w:val="20"/>
                <w:szCs w:val="20"/>
              </w:rPr>
            </w:pPr>
          </w:p>
          <w:p w:rsidR="00BD7B79" w:rsidRPr="007C30B6" w:rsidRDefault="00BD7B79" w:rsidP="00F25A55">
            <w:pPr>
              <w:keepNext/>
              <w:widowControl/>
              <w:rPr>
                <w:rFonts w:ascii="Arial Narrow" w:hAnsi="Arial Narrow"/>
                <w:sz w:val="20"/>
                <w:szCs w:val="20"/>
                <w:vertAlign w:val="superscript"/>
              </w:rPr>
            </w:pPr>
            <w:r w:rsidRPr="007C30B6">
              <w:rPr>
                <w:rFonts w:ascii="Arial Narrow" w:hAnsi="Arial Narrow"/>
                <w:sz w:val="20"/>
                <w:szCs w:val="20"/>
              </w:rPr>
              <w:t>Xeljanz</w:t>
            </w:r>
            <w:r w:rsidRPr="007C30B6">
              <w:rPr>
                <w:rFonts w:ascii="Arial Narrow" w:hAnsi="Arial Narrow" w:cs="Calibri"/>
                <w:sz w:val="20"/>
                <w:szCs w:val="20"/>
                <w:vertAlign w:val="superscript"/>
              </w:rPr>
              <w:t>®</w:t>
            </w:r>
          </w:p>
        </w:tc>
        <w:tc>
          <w:tcPr>
            <w:tcW w:w="3118" w:type="dxa"/>
          </w:tcPr>
          <w:p w:rsidR="00BD7B79" w:rsidRPr="007C30B6" w:rsidRDefault="00BD7B79" w:rsidP="00F25A55">
            <w:pPr>
              <w:keepNext/>
              <w:widowControl/>
              <w:rPr>
                <w:rFonts w:ascii="Arial Narrow" w:hAnsi="Arial Narrow"/>
                <w:sz w:val="20"/>
                <w:szCs w:val="20"/>
              </w:rPr>
            </w:pPr>
          </w:p>
          <w:p w:rsidR="00BD7B79" w:rsidRPr="007C30B6" w:rsidRDefault="00BD7B79" w:rsidP="00F25A55">
            <w:pPr>
              <w:keepNext/>
              <w:widowControl/>
              <w:rPr>
                <w:rFonts w:ascii="Arial Narrow" w:hAnsi="Arial Narrow"/>
                <w:sz w:val="20"/>
                <w:szCs w:val="20"/>
              </w:rPr>
            </w:pPr>
            <w:r w:rsidRPr="007C30B6">
              <w:rPr>
                <w:rFonts w:ascii="Arial Narrow" w:hAnsi="Arial Narrow"/>
                <w:sz w:val="20"/>
                <w:szCs w:val="20"/>
              </w:rPr>
              <w:t>Pfizer Australia Pty Ltd</w:t>
            </w:r>
          </w:p>
        </w:tc>
      </w:tr>
      <w:tr w:rsidR="00BD7B79" w:rsidRPr="007C30B6" w:rsidTr="00BD3263">
        <w:trPr>
          <w:cantSplit/>
          <w:trHeight w:val="360"/>
        </w:trPr>
        <w:tc>
          <w:tcPr>
            <w:tcW w:w="9214" w:type="dxa"/>
            <w:gridSpan w:val="7"/>
            <w:tcBorders>
              <w:bottom w:val="single" w:sz="4" w:space="0" w:color="auto"/>
            </w:tcBorders>
          </w:tcPr>
          <w:p w:rsidR="00BD7B79" w:rsidRPr="007C30B6" w:rsidRDefault="00BD7B79" w:rsidP="00F25A55">
            <w:pPr>
              <w:keepNext/>
              <w:widowControl/>
              <w:rPr>
                <w:rFonts w:ascii="Arial Narrow" w:hAnsi="Arial Narrow"/>
                <w:sz w:val="20"/>
                <w:szCs w:val="20"/>
              </w:rPr>
            </w:pP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 xml:space="preserve">Category / </w:t>
            </w:r>
          </w:p>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GENERAL – General Schedule (Code GE)</w:t>
            </w:r>
          </w:p>
          <w:p w:rsidR="00BD7B79" w:rsidRPr="007C30B6" w:rsidRDefault="00BD7B79" w:rsidP="006530FE">
            <w:pPr>
              <w:widowControl/>
              <w:rPr>
                <w:rFonts w:ascii="Arial Narrow" w:hAnsi="Arial Narrow"/>
                <w:sz w:val="20"/>
                <w:szCs w:val="20"/>
              </w:rPr>
            </w:pP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Prescriber type:</w:t>
            </w:r>
          </w:p>
          <w:p w:rsidR="00BD7B79" w:rsidRPr="007C30B6" w:rsidRDefault="00BD7B79" w:rsidP="006530FE">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Dental  </w:t>
            </w: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Medical Practitioners  </w:t>
            </w: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Nurse practitioners  </w:t>
            </w: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Optometrists</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Midwives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Initial treatment - Initial 1 (new patient or patient recommencing treatment after a break of 5 years or more) or Initial 2 (change or recommencing treatment after a break of less than 5 years) - balance of supply</w:t>
            </w:r>
          </w:p>
        </w:tc>
      </w:tr>
      <w:tr w:rsidR="00BD7B79" w:rsidRPr="007C30B6"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Restriction Level / Method: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Restricted benefit</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In Writing</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Telephone</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Emergency</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Electronic</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Streamlined</w:t>
            </w:r>
          </w:p>
        </w:tc>
      </w:tr>
    </w:tbl>
    <w:p w:rsidR="00BD7B79" w:rsidRPr="00A9117A" w:rsidRDefault="00BD7B79" w:rsidP="006530FE">
      <w:pPr>
        <w:widowControl/>
        <w:rPr>
          <w:sz w:val="22"/>
          <w:szCs w:val="20"/>
          <w:highlight w:val="green"/>
        </w:rPr>
      </w:pPr>
    </w:p>
    <w:tbl>
      <w:tblPr>
        <w:tblW w:w="9214" w:type="dxa"/>
        <w:tblInd w:w="108" w:type="dxa"/>
        <w:tblLayout w:type="fixed"/>
        <w:tblLook w:val="0000" w:firstRow="0" w:lastRow="0" w:firstColumn="0" w:lastColumn="0" w:noHBand="0" w:noVBand="0"/>
      </w:tblPr>
      <w:tblGrid>
        <w:gridCol w:w="2835"/>
        <w:gridCol w:w="426"/>
        <w:gridCol w:w="567"/>
        <w:gridCol w:w="850"/>
        <w:gridCol w:w="284"/>
        <w:gridCol w:w="992"/>
        <w:gridCol w:w="3260"/>
      </w:tblGrid>
      <w:tr w:rsidR="00BD7B79" w:rsidRPr="007C30B6" w:rsidTr="00B14BD0">
        <w:trPr>
          <w:cantSplit/>
          <w:trHeight w:val="471"/>
        </w:trPr>
        <w:tc>
          <w:tcPr>
            <w:tcW w:w="3261" w:type="dxa"/>
            <w:gridSpan w:val="2"/>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Name, Restriction,</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Manner of administration and form</w:t>
            </w:r>
          </w:p>
        </w:tc>
        <w:tc>
          <w:tcPr>
            <w:tcW w:w="567"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Max.</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Qty</w:t>
            </w:r>
          </w:p>
        </w:tc>
        <w:tc>
          <w:tcPr>
            <w:tcW w:w="850"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№.of</w:t>
            </w:r>
          </w:p>
          <w:p w:rsidR="00BD7B79" w:rsidRPr="007C30B6" w:rsidRDefault="00BD7B79" w:rsidP="006530FE">
            <w:pPr>
              <w:keepNext/>
              <w:widowControl/>
              <w:ind w:left="-108"/>
              <w:rPr>
                <w:rFonts w:ascii="Arial Narrow" w:hAnsi="Arial Narrow"/>
                <w:b/>
                <w:sz w:val="20"/>
                <w:szCs w:val="20"/>
              </w:rPr>
            </w:pPr>
            <w:r w:rsidRPr="007C30B6">
              <w:rPr>
                <w:rFonts w:ascii="Arial Narrow" w:hAnsi="Arial Narrow"/>
                <w:b/>
                <w:sz w:val="20"/>
                <w:szCs w:val="20"/>
              </w:rPr>
              <w:t>Rpts</w:t>
            </w:r>
          </w:p>
        </w:tc>
        <w:tc>
          <w:tcPr>
            <w:tcW w:w="284" w:type="dxa"/>
            <w:tcBorders>
              <w:bottom w:val="single" w:sz="4" w:space="0" w:color="auto"/>
            </w:tcBorders>
          </w:tcPr>
          <w:p w:rsidR="00BD7B79" w:rsidRPr="007C30B6" w:rsidRDefault="00BD7B79" w:rsidP="006530FE">
            <w:pPr>
              <w:keepNext/>
              <w:widowControl/>
              <w:ind w:left="-108"/>
              <w:rPr>
                <w:rFonts w:ascii="Arial Narrow" w:hAnsi="Arial Narrow"/>
                <w:b/>
                <w:sz w:val="20"/>
                <w:szCs w:val="20"/>
              </w:rPr>
            </w:pPr>
          </w:p>
        </w:tc>
        <w:tc>
          <w:tcPr>
            <w:tcW w:w="4252" w:type="dxa"/>
            <w:gridSpan w:val="2"/>
            <w:tcBorders>
              <w:bottom w:val="single" w:sz="4" w:space="0" w:color="auto"/>
            </w:tcBorders>
          </w:tcPr>
          <w:p w:rsidR="00BD7B79" w:rsidRPr="007C30B6" w:rsidRDefault="00BD7B79" w:rsidP="006530FE">
            <w:pPr>
              <w:keepNext/>
              <w:widowControl/>
              <w:rPr>
                <w:rFonts w:ascii="Arial Narrow" w:hAnsi="Arial Narrow"/>
                <w:b/>
                <w:sz w:val="20"/>
                <w:szCs w:val="20"/>
                <w:lang w:val="fr-FR"/>
              </w:rPr>
            </w:pPr>
            <w:r w:rsidRPr="007C30B6">
              <w:rPr>
                <w:rFonts w:ascii="Arial Narrow" w:hAnsi="Arial Narrow"/>
                <w:b/>
                <w:sz w:val="20"/>
                <w:szCs w:val="20"/>
              </w:rPr>
              <w:t>Proprietary Name and Manufacturer</w:t>
            </w:r>
          </w:p>
        </w:tc>
      </w:tr>
      <w:tr w:rsidR="00BD7B79" w:rsidRPr="00A9117A" w:rsidTr="00B14BD0">
        <w:trPr>
          <w:cantSplit/>
          <w:trHeight w:val="577"/>
        </w:trPr>
        <w:tc>
          <w:tcPr>
            <w:tcW w:w="3261" w:type="dxa"/>
            <w:gridSpan w:val="2"/>
          </w:tcPr>
          <w:p w:rsidR="00BD7B79" w:rsidRPr="007C30B6" w:rsidRDefault="00BD7B79" w:rsidP="006530FE">
            <w:pPr>
              <w:keepNext/>
              <w:widowControl/>
              <w:ind w:left="-108"/>
              <w:rPr>
                <w:rFonts w:ascii="Arial Narrow" w:hAnsi="Arial Narrow"/>
                <w:sz w:val="20"/>
                <w:szCs w:val="20"/>
              </w:rPr>
            </w:pPr>
            <w:r w:rsidRPr="007C30B6">
              <w:rPr>
                <w:rFonts w:ascii="Arial Narrow" w:hAnsi="Arial Narrow"/>
                <w:smallCaps/>
                <w:sz w:val="20"/>
                <w:szCs w:val="20"/>
              </w:rPr>
              <w:t>TOFACITINIB</w:t>
            </w:r>
          </w:p>
          <w:p w:rsidR="00BD7B79" w:rsidRPr="007C30B6" w:rsidRDefault="00BD7B79" w:rsidP="006530FE">
            <w:pPr>
              <w:keepNext/>
              <w:widowControl/>
              <w:ind w:left="-108"/>
              <w:rPr>
                <w:rFonts w:ascii="Arial Narrow" w:hAnsi="Arial Narrow"/>
                <w:sz w:val="20"/>
                <w:szCs w:val="20"/>
              </w:rPr>
            </w:pPr>
            <w:r w:rsidRPr="007C30B6">
              <w:rPr>
                <w:rFonts w:ascii="Arial Narrow" w:hAnsi="Arial Narrow"/>
                <w:sz w:val="20"/>
                <w:szCs w:val="20"/>
              </w:rPr>
              <w:t>Tablet 5 mg, 56</w:t>
            </w:r>
          </w:p>
        </w:tc>
        <w:tc>
          <w:tcPr>
            <w:tcW w:w="567" w:type="dxa"/>
          </w:tcPr>
          <w:p w:rsidR="00BD7B79" w:rsidRPr="00A9117A" w:rsidRDefault="00BD7B79" w:rsidP="006530FE">
            <w:pPr>
              <w:keepNext/>
              <w:widowControl/>
              <w:ind w:left="-108"/>
              <w:rPr>
                <w:sz w:val="20"/>
                <w:szCs w:val="20"/>
              </w:rPr>
            </w:pPr>
          </w:p>
          <w:p w:rsidR="00BD7B79" w:rsidRPr="00A9117A" w:rsidRDefault="00BD7B79" w:rsidP="006530FE">
            <w:pPr>
              <w:keepNext/>
              <w:widowControl/>
              <w:ind w:left="-108"/>
              <w:rPr>
                <w:sz w:val="20"/>
                <w:szCs w:val="20"/>
              </w:rPr>
            </w:pPr>
            <w:r w:rsidRPr="00A9117A">
              <w:rPr>
                <w:sz w:val="20"/>
                <w:szCs w:val="20"/>
              </w:rPr>
              <w:t>1</w:t>
            </w:r>
          </w:p>
        </w:tc>
        <w:tc>
          <w:tcPr>
            <w:tcW w:w="850" w:type="dxa"/>
          </w:tcPr>
          <w:p w:rsidR="00BD7B79" w:rsidRPr="00A9117A" w:rsidRDefault="00BD7B79" w:rsidP="006530FE">
            <w:pPr>
              <w:keepNext/>
              <w:widowControl/>
              <w:ind w:left="-108"/>
              <w:rPr>
                <w:sz w:val="20"/>
                <w:szCs w:val="20"/>
              </w:rPr>
            </w:pPr>
          </w:p>
          <w:p w:rsidR="00BD7B79" w:rsidRPr="00A9117A" w:rsidRDefault="00BD7B79" w:rsidP="006530FE">
            <w:pPr>
              <w:keepNext/>
              <w:widowControl/>
              <w:ind w:left="-108"/>
              <w:rPr>
                <w:sz w:val="20"/>
                <w:szCs w:val="20"/>
              </w:rPr>
            </w:pPr>
            <w:r w:rsidRPr="00A9117A">
              <w:rPr>
                <w:sz w:val="20"/>
                <w:szCs w:val="20"/>
              </w:rPr>
              <w:t>5</w:t>
            </w:r>
          </w:p>
        </w:tc>
        <w:tc>
          <w:tcPr>
            <w:tcW w:w="284" w:type="dxa"/>
          </w:tcPr>
          <w:p w:rsidR="00BD7B79" w:rsidRPr="00A9117A" w:rsidRDefault="00BD7B79" w:rsidP="006530FE">
            <w:pPr>
              <w:keepNext/>
              <w:widowControl/>
              <w:ind w:left="-108"/>
              <w:rPr>
                <w:sz w:val="20"/>
                <w:szCs w:val="20"/>
              </w:rPr>
            </w:pPr>
          </w:p>
        </w:tc>
        <w:tc>
          <w:tcPr>
            <w:tcW w:w="992" w:type="dxa"/>
          </w:tcPr>
          <w:p w:rsidR="00BD7B79" w:rsidRPr="00A9117A" w:rsidRDefault="00BD7B79" w:rsidP="006530FE">
            <w:pPr>
              <w:keepNext/>
              <w:widowControl/>
              <w:rPr>
                <w:sz w:val="20"/>
                <w:szCs w:val="20"/>
              </w:rPr>
            </w:pPr>
          </w:p>
          <w:p w:rsidR="00BD7B79" w:rsidRPr="00A9117A" w:rsidRDefault="00BD7B79" w:rsidP="006530FE">
            <w:pPr>
              <w:keepNext/>
              <w:widowControl/>
              <w:rPr>
                <w:sz w:val="20"/>
                <w:szCs w:val="20"/>
                <w:vertAlign w:val="superscript"/>
              </w:rPr>
            </w:pPr>
            <w:r w:rsidRPr="00A9117A">
              <w:rPr>
                <w:sz w:val="20"/>
                <w:szCs w:val="20"/>
              </w:rPr>
              <w:t>Xeljanz</w:t>
            </w:r>
            <w:r w:rsidRPr="00A9117A">
              <w:rPr>
                <w:rFonts w:cs="Calibri"/>
                <w:sz w:val="20"/>
                <w:szCs w:val="20"/>
                <w:vertAlign w:val="superscript"/>
              </w:rPr>
              <w:t>®</w:t>
            </w:r>
          </w:p>
        </w:tc>
        <w:tc>
          <w:tcPr>
            <w:tcW w:w="3260" w:type="dxa"/>
          </w:tcPr>
          <w:p w:rsidR="00BD7B79" w:rsidRPr="00A9117A" w:rsidRDefault="00BD7B79" w:rsidP="006530FE">
            <w:pPr>
              <w:keepNext/>
              <w:widowControl/>
              <w:rPr>
                <w:sz w:val="20"/>
                <w:szCs w:val="20"/>
              </w:rPr>
            </w:pPr>
          </w:p>
          <w:p w:rsidR="00BD7B79" w:rsidRPr="00A9117A" w:rsidRDefault="00BD7B79" w:rsidP="006530FE">
            <w:pPr>
              <w:keepNext/>
              <w:widowControl/>
              <w:rPr>
                <w:sz w:val="20"/>
                <w:szCs w:val="20"/>
              </w:rPr>
            </w:pPr>
            <w:r w:rsidRPr="00A9117A">
              <w:rPr>
                <w:sz w:val="20"/>
                <w:szCs w:val="20"/>
              </w:rPr>
              <w:t>Pfizer Australia Pty Ltd</w:t>
            </w:r>
          </w:p>
        </w:tc>
      </w:tr>
      <w:tr w:rsidR="00BD7B79" w:rsidRPr="00A9117A" w:rsidTr="00BD3263">
        <w:trPr>
          <w:cantSplit/>
          <w:trHeight w:val="360"/>
        </w:trPr>
        <w:tc>
          <w:tcPr>
            <w:tcW w:w="9214" w:type="dxa"/>
            <w:gridSpan w:val="7"/>
            <w:tcBorders>
              <w:bottom w:val="single" w:sz="4" w:space="0" w:color="auto"/>
            </w:tcBorders>
          </w:tcPr>
          <w:p w:rsidR="00BD7B79" w:rsidRPr="007C30B6" w:rsidRDefault="00BD7B79" w:rsidP="006530FE">
            <w:pPr>
              <w:widowControl/>
              <w:rPr>
                <w:rFonts w:ascii="Arial Narrow" w:hAnsi="Arial Narrow"/>
                <w:sz w:val="20"/>
                <w:szCs w:val="20"/>
              </w:rPr>
            </w:pP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 xml:space="preserve">Category / </w:t>
            </w:r>
          </w:p>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GENERAL – General Schedule (Code GE)</w:t>
            </w:r>
          </w:p>
          <w:p w:rsidR="00BD7B79" w:rsidRPr="007C30B6" w:rsidRDefault="00BD7B79" w:rsidP="006530FE">
            <w:pPr>
              <w:widowControl/>
              <w:rPr>
                <w:rFonts w:ascii="Arial Narrow" w:hAnsi="Arial Narrow"/>
                <w:sz w:val="20"/>
                <w:szCs w:val="20"/>
              </w:rPr>
            </w:pP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Prescriber type:</w:t>
            </w:r>
          </w:p>
          <w:p w:rsidR="00BD7B79" w:rsidRPr="007C30B6" w:rsidRDefault="00BD7B79" w:rsidP="006530FE">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Dental  </w:t>
            </w: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Medical Practitioners  </w:t>
            </w: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 xml:space="preserve">Nurse practitioners  </w:t>
            </w: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Optometrists</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Midwives</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Severe active psoriatic arthritis</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Initial 3 - grandfather treatment</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Continuing treatment</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Initial 3 (grandfather treatment) or Continuing treatment - balance of supply</w:t>
            </w:r>
          </w:p>
        </w:tc>
      </w:tr>
      <w:tr w:rsidR="00BD7B79" w:rsidRPr="00A9117A" w:rsidTr="00BD3263">
        <w:trPr>
          <w:cantSplit/>
          <w:trHeight w:val="1642"/>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Restriction Level / Method: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1"/>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Restricted benefit</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1"/>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In Writing</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3"/>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Telephone</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Emergency</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Authority Required - Electronic</w:t>
            </w: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fldChar w:fldCharType="begin">
                <w:ffData>
                  <w:name w:val="Check5"/>
                  <w:enabled/>
                  <w:calcOnExit w:val="0"/>
                  <w:checkBox>
                    <w:sizeAuto/>
                    <w:default w:val="0"/>
                  </w:checkBox>
                </w:ffData>
              </w:fldChar>
            </w:r>
            <w:r w:rsidRPr="007C30B6">
              <w:rPr>
                <w:rFonts w:ascii="Arial Narrow" w:hAnsi="Arial Narrow"/>
                <w:sz w:val="20"/>
                <w:szCs w:val="20"/>
              </w:rPr>
              <w:instrText xml:space="preserve"> FORMCHECKBOX </w:instrText>
            </w:r>
            <w:r w:rsidR="008876F5">
              <w:rPr>
                <w:rFonts w:ascii="Arial Narrow" w:hAnsi="Arial Narrow"/>
                <w:sz w:val="20"/>
                <w:szCs w:val="20"/>
              </w:rPr>
            </w:r>
            <w:r w:rsidR="008876F5">
              <w:rPr>
                <w:rFonts w:ascii="Arial Narrow" w:hAnsi="Arial Narrow"/>
                <w:sz w:val="20"/>
                <w:szCs w:val="20"/>
              </w:rPr>
              <w:fldChar w:fldCharType="separate"/>
            </w:r>
            <w:r w:rsidRPr="007C30B6">
              <w:rPr>
                <w:rFonts w:ascii="Arial Narrow" w:hAnsi="Arial Narrow"/>
                <w:sz w:val="20"/>
                <w:szCs w:val="20"/>
              </w:rPr>
              <w:fldChar w:fldCharType="end"/>
            </w:r>
            <w:r w:rsidRPr="007C30B6">
              <w:rPr>
                <w:rFonts w:ascii="Arial Narrow" w:hAnsi="Arial Narrow"/>
                <w:sz w:val="20"/>
                <w:szCs w:val="20"/>
              </w:rPr>
              <w:t>Streamlined</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Must be treated by a rheumatologist; OR</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Must be treated by a clinical immunologist with expertise in the management of psoriatic arthritis.</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a documented history of severe active psoriatic arthritis,</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received non-PBS treatment with this drug for this condition prior to &lt;PBS  listing date&gt;,</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be receiving treatment with this drug for this condition at the time of application,</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failed to achieve an adequate response to methotrexate at a dose of at least 20 mg weekly for a minimum period of 3 months,</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failed to achieve an adequate response to sulfasalazine at a dose of at least 2 g per day for a minimum period of 3 months; or</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failed to achieve an adequate response to leflunomide at a dose of up to 20 mg daily for a minimum period of 3 months,</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have demonstrated an adequate response to treatment with this drug,</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AND</w:t>
            </w:r>
          </w:p>
          <w:p w:rsidR="00BD7B79" w:rsidRPr="007C30B6" w:rsidRDefault="00BD7B79" w:rsidP="006530FE">
            <w:pPr>
              <w:widowControl/>
              <w:rPr>
                <w:rFonts w:ascii="Arial Narrow" w:hAnsi="Arial Narrow"/>
                <w:sz w:val="20"/>
                <w:szCs w:val="20"/>
              </w:rPr>
            </w:pPr>
          </w:p>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not receive more than 24 weeks of treatment under this restriction.</w:t>
            </w:r>
          </w:p>
        </w:tc>
      </w:tr>
      <w:tr w:rsidR="00BD7B79" w:rsidRPr="00A9117A" w:rsidTr="00BD3263">
        <w:trPr>
          <w:cantSplit/>
          <w:trHeight w:val="360"/>
        </w:trPr>
        <w:tc>
          <w:tcPr>
            <w:tcW w:w="2835" w:type="dxa"/>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b/>
                <w:sz w:val="20"/>
                <w:szCs w:val="20"/>
              </w:rPr>
            </w:pPr>
            <w:r w:rsidRPr="007C30B6">
              <w:rPr>
                <w:rFonts w:ascii="Arial Narrow" w:hAnsi="Arial Narrow"/>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BD7B79" w:rsidRPr="007C30B6" w:rsidRDefault="00BD7B79" w:rsidP="006530FE">
            <w:pPr>
              <w:widowControl/>
              <w:rPr>
                <w:rFonts w:ascii="Arial Narrow" w:hAnsi="Arial Narrow"/>
                <w:sz w:val="20"/>
                <w:szCs w:val="20"/>
              </w:rPr>
            </w:pPr>
            <w:r w:rsidRPr="007C30B6">
              <w:rPr>
                <w:rFonts w:ascii="Arial Narrow" w:hAnsi="Arial Narrow"/>
                <w:sz w:val="20"/>
                <w:szCs w:val="20"/>
              </w:rPr>
              <w:t>Patient must be aged 18 years or older.</w:t>
            </w:r>
          </w:p>
        </w:tc>
      </w:tr>
    </w:tbl>
    <w:p w:rsidR="00557776" w:rsidRPr="00C07617" w:rsidRDefault="00557776" w:rsidP="00557776">
      <w:pPr>
        <w:pStyle w:val="PBACHeading1"/>
        <w:rPr>
          <w:b w:val="0"/>
        </w:rPr>
      </w:pPr>
      <w:r w:rsidRPr="00C07617">
        <w:t>Context for Decision</w:t>
      </w:r>
    </w:p>
    <w:p w:rsidR="00557776" w:rsidRPr="00557776" w:rsidRDefault="00557776" w:rsidP="0090795A">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57776" w:rsidRPr="00C07617" w:rsidRDefault="00557776" w:rsidP="00557776">
      <w:pPr>
        <w:pStyle w:val="PBACHeading1"/>
        <w:rPr>
          <w:b w:val="0"/>
        </w:rPr>
      </w:pPr>
      <w:r>
        <w:t>Sponsor’s Comment</w:t>
      </w:r>
    </w:p>
    <w:p w:rsidR="00557776" w:rsidRPr="00557776" w:rsidRDefault="00C92BD6" w:rsidP="0090795A">
      <w:pPr>
        <w:spacing w:after="120"/>
        <w:rPr>
          <w:rFonts w:asciiTheme="minorHAnsi" w:hAnsiTheme="minorHAnsi"/>
          <w:bCs/>
        </w:rPr>
      </w:pPr>
      <w:r w:rsidRPr="00C92BD6">
        <w:rPr>
          <w:rFonts w:asciiTheme="minorHAnsi" w:hAnsiTheme="minorHAnsi"/>
          <w:bCs/>
          <w:lang w:val="en-GB"/>
        </w:rPr>
        <w:t>Pfizer Australia welcomes the PBAC</w:t>
      </w:r>
      <w:r w:rsidR="0090795A">
        <w:rPr>
          <w:rFonts w:asciiTheme="minorHAnsi" w:hAnsiTheme="minorHAnsi"/>
          <w:bCs/>
          <w:lang w:val="en-GB"/>
        </w:rPr>
        <w:t xml:space="preserve"> recommendation to list Xeljanz</w:t>
      </w:r>
      <w:r w:rsidRPr="00C92BD6">
        <w:rPr>
          <w:rFonts w:asciiTheme="minorHAnsi" w:hAnsiTheme="minorHAnsi"/>
          <w:bCs/>
          <w:lang w:val="en-GB"/>
        </w:rPr>
        <w:t xml:space="preserve"> on the PBS for the treatment of severe psoriatic arthritis (PsA). </w:t>
      </w:r>
    </w:p>
    <w:sectPr w:rsidR="00557776" w:rsidRPr="00557776" w:rsidSect="0014609B">
      <w:headerReference w:type="even" r:id="rId8"/>
      <w:headerReference w:type="default" r:id="rId9"/>
      <w:footerReference w:type="even" r:id="rId10"/>
      <w:footerReference w:type="default" r:id="rId11"/>
      <w:headerReference w:type="first" r:id="rId12"/>
      <w:footerReference w:type="first" r:id="rId13"/>
      <w:pgSz w:w="11907" w:h="16840" w:code="9"/>
      <w:pgMar w:top="819"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9E0FA" w16cid:durableId="1F992311"/>
  <w16cid:commentId w16cid:paraId="32F5D0E8" w16cid:durableId="1F99233C"/>
  <w16cid:commentId w16cid:paraId="2B4BE53B" w16cid:durableId="1F992312"/>
  <w16cid:commentId w16cid:paraId="74B8F905" w16cid:durableId="1F9923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6F5" w:rsidRDefault="008876F5" w:rsidP="00124A51">
      <w:r>
        <w:separator/>
      </w:r>
    </w:p>
    <w:p w:rsidR="008876F5" w:rsidRDefault="008876F5"/>
  </w:endnote>
  <w:endnote w:type="continuationSeparator" w:id="0">
    <w:p w:rsidR="008876F5" w:rsidRDefault="008876F5" w:rsidP="00124A51">
      <w:r>
        <w:continuationSeparator/>
      </w:r>
    </w:p>
    <w:p w:rsidR="008876F5" w:rsidRDefault="0088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F5" w:rsidRDefault="00887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776" w:rsidRDefault="00557776" w:rsidP="00BD7B79">
    <w:pPr>
      <w:ind w:right="360"/>
      <w:jc w:val="center"/>
      <w:rPr>
        <w:szCs w:val="24"/>
      </w:rPr>
    </w:pPr>
  </w:p>
  <w:p w:rsidR="00557776" w:rsidRPr="004A791A" w:rsidRDefault="00557776" w:rsidP="00260973">
    <w:pPr>
      <w:pStyle w:val="Footer"/>
      <w:ind w:left="360"/>
      <w:jc w:val="center"/>
      <w:rPr>
        <w:b/>
        <w:szCs w:val="24"/>
      </w:rPr>
    </w:pPr>
    <w:r w:rsidRPr="004A791A">
      <w:rPr>
        <w:b/>
        <w:szCs w:val="24"/>
      </w:rPr>
      <w:fldChar w:fldCharType="begin"/>
    </w:r>
    <w:r w:rsidRPr="004A791A">
      <w:rPr>
        <w:b/>
        <w:szCs w:val="24"/>
      </w:rPr>
      <w:instrText xml:space="preserve"> PAGE   \* MERGEFORMAT </w:instrText>
    </w:r>
    <w:r w:rsidRPr="004A791A">
      <w:rPr>
        <w:b/>
        <w:szCs w:val="24"/>
      </w:rPr>
      <w:fldChar w:fldCharType="separate"/>
    </w:r>
    <w:r w:rsidR="008876F5">
      <w:rPr>
        <w:b/>
        <w:noProof/>
        <w:szCs w:val="24"/>
      </w:rPr>
      <w:t>1</w:t>
    </w:r>
    <w:r w:rsidRPr="004A791A">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F5" w:rsidRDefault="00887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6F5" w:rsidRDefault="008876F5" w:rsidP="00124A51">
      <w:r>
        <w:separator/>
      </w:r>
    </w:p>
    <w:p w:rsidR="008876F5" w:rsidRDefault="008876F5"/>
  </w:footnote>
  <w:footnote w:type="continuationSeparator" w:id="0">
    <w:p w:rsidR="008876F5" w:rsidRDefault="008876F5" w:rsidP="00124A51">
      <w:r>
        <w:continuationSeparator/>
      </w:r>
    </w:p>
    <w:p w:rsidR="008876F5" w:rsidRDefault="008876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F5" w:rsidRDefault="00887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776" w:rsidRPr="004A791A" w:rsidRDefault="00557776" w:rsidP="00260973">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4A791A">
      <w:rPr>
        <w:rFonts w:asciiTheme="minorHAnsi" w:hAnsiTheme="minorHAnsi"/>
        <w:i/>
        <w:color w:val="808080"/>
        <w:szCs w:val="24"/>
      </w:rPr>
      <w:t xml:space="preserve"> - November 2018 PBAC Meeting</w:t>
    </w:r>
  </w:p>
  <w:p w:rsidR="00557776" w:rsidRDefault="0055777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F5" w:rsidRDefault="00887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B6EC1"/>
    <w:multiLevelType w:val="hybridMultilevel"/>
    <w:tmpl w:val="0C20A2F8"/>
    <w:lvl w:ilvl="0" w:tplc="04090001">
      <w:start w:val="1"/>
      <w:numFmt w:val="bullet"/>
      <w:lvlText w:val=""/>
      <w:lvlJc w:val="left"/>
      <w:pPr>
        <w:ind w:left="720" w:hanging="360"/>
      </w:pPr>
      <w:rPr>
        <w:rFonts w:ascii="Symbol" w:hAnsi="Symbol" w:hint="default"/>
      </w:rPr>
    </w:lvl>
    <w:lvl w:ilvl="1" w:tplc="1BF0276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5E9C"/>
    <w:multiLevelType w:val="hybridMultilevel"/>
    <w:tmpl w:val="B8401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336F2"/>
    <w:multiLevelType w:val="hybridMultilevel"/>
    <w:tmpl w:val="143ECC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DD719A"/>
    <w:multiLevelType w:val="hybridMultilevel"/>
    <w:tmpl w:val="FE4E9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30758"/>
    <w:multiLevelType w:val="hybridMultilevel"/>
    <w:tmpl w:val="C72A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CC1B49"/>
    <w:multiLevelType w:val="multilevel"/>
    <w:tmpl w:val="1200D29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010A71"/>
    <w:multiLevelType w:val="hybridMultilevel"/>
    <w:tmpl w:val="3292549E"/>
    <w:lvl w:ilvl="0" w:tplc="04090001">
      <w:start w:val="1"/>
      <w:numFmt w:val="bullet"/>
      <w:lvlText w:val=""/>
      <w:lvlJc w:val="left"/>
      <w:pPr>
        <w:ind w:left="720" w:hanging="360"/>
      </w:pPr>
      <w:rPr>
        <w:rFonts w:ascii="Symbol" w:hAnsi="Symbol" w:hint="default"/>
      </w:rPr>
    </w:lvl>
    <w:lvl w:ilvl="1" w:tplc="810C364A">
      <w:numFmt w:val="bullet"/>
      <w:lvlText w:val="•"/>
      <w:lvlJc w:val="left"/>
      <w:pPr>
        <w:ind w:left="1800" w:hanging="72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8100D7"/>
    <w:multiLevelType w:val="hybridMultilevel"/>
    <w:tmpl w:val="A9443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E4104F"/>
    <w:multiLevelType w:val="hybridMultilevel"/>
    <w:tmpl w:val="A6FE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426651"/>
    <w:multiLevelType w:val="hybridMultilevel"/>
    <w:tmpl w:val="DAB633F0"/>
    <w:lvl w:ilvl="0" w:tplc="F110A4DC">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006188"/>
    <w:multiLevelType w:val="hybridMultilevel"/>
    <w:tmpl w:val="2A3A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F36E8BD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12"/>
  </w:num>
  <w:num w:numId="4">
    <w:abstractNumId w:val="9"/>
  </w:num>
  <w:num w:numId="5">
    <w:abstractNumId w:val="6"/>
  </w:num>
  <w:num w:numId="6">
    <w:abstractNumId w:val="8"/>
  </w:num>
  <w:num w:numId="7">
    <w:abstractNumId w:val="15"/>
  </w:num>
  <w:num w:numId="8">
    <w:abstractNumId w:val="19"/>
  </w:num>
  <w:num w:numId="9">
    <w:abstractNumId w:val="11"/>
  </w:num>
  <w:num w:numId="10">
    <w:abstractNumId w:val="16"/>
  </w:num>
  <w:num w:numId="11">
    <w:abstractNumId w:val="17"/>
  </w:num>
  <w:num w:numId="12">
    <w:abstractNumId w:val="10"/>
  </w:num>
  <w:num w:numId="13">
    <w:abstractNumId w:val="1"/>
  </w:num>
  <w:num w:numId="14">
    <w:abstractNumId w:val="18"/>
  </w:num>
  <w:num w:numId="15">
    <w:abstractNumId w:val="5"/>
  </w:num>
  <w:num w:numId="16">
    <w:abstractNumId w:val="20"/>
  </w:num>
  <w:num w:numId="17">
    <w:abstractNumId w:val="13"/>
  </w:num>
  <w:num w:numId="18">
    <w:abstractNumId w:val="14"/>
  </w:num>
  <w:num w:numId="19">
    <w:abstractNumId w:val="4"/>
  </w:num>
  <w:num w:numId="20">
    <w:abstractNumId w:val="0"/>
  </w:num>
  <w:num w:numId="21">
    <w:abstractNumId w:val="7"/>
  </w:num>
  <w:num w:numId="22">
    <w:abstractNumId w:val="3"/>
  </w:num>
  <w:num w:numId="23">
    <w:abstractNumId w:val="20"/>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82"/>
    <w:rsid w:val="00007AD6"/>
    <w:rsid w:val="00013247"/>
    <w:rsid w:val="00014179"/>
    <w:rsid w:val="000146ED"/>
    <w:rsid w:val="00015886"/>
    <w:rsid w:val="00015DDD"/>
    <w:rsid w:val="000162EF"/>
    <w:rsid w:val="0001701C"/>
    <w:rsid w:val="00017EAB"/>
    <w:rsid w:val="0002125E"/>
    <w:rsid w:val="00021AE1"/>
    <w:rsid w:val="0002225F"/>
    <w:rsid w:val="00023763"/>
    <w:rsid w:val="00024E34"/>
    <w:rsid w:val="00033863"/>
    <w:rsid w:val="00035DC0"/>
    <w:rsid w:val="000366C2"/>
    <w:rsid w:val="00036829"/>
    <w:rsid w:val="00040895"/>
    <w:rsid w:val="000408D0"/>
    <w:rsid w:val="000438EF"/>
    <w:rsid w:val="00043C37"/>
    <w:rsid w:val="00045017"/>
    <w:rsid w:val="00045A2B"/>
    <w:rsid w:val="0004698F"/>
    <w:rsid w:val="00047126"/>
    <w:rsid w:val="0005103B"/>
    <w:rsid w:val="000539D0"/>
    <w:rsid w:val="00054621"/>
    <w:rsid w:val="000546D7"/>
    <w:rsid w:val="0006500C"/>
    <w:rsid w:val="00066360"/>
    <w:rsid w:val="00071248"/>
    <w:rsid w:val="000720B9"/>
    <w:rsid w:val="000721C0"/>
    <w:rsid w:val="000736D6"/>
    <w:rsid w:val="000737F7"/>
    <w:rsid w:val="0007672F"/>
    <w:rsid w:val="000774F0"/>
    <w:rsid w:val="00080810"/>
    <w:rsid w:val="00080909"/>
    <w:rsid w:val="000812CA"/>
    <w:rsid w:val="0008258D"/>
    <w:rsid w:val="00083E99"/>
    <w:rsid w:val="000856C5"/>
    <w:rsid w:val="00085A65"/>
    <w:rsid w:val="00090C7E"/>
    <w:rsid w:val="00092600"/>
    <w:rsid w:val="0009262B"/>
    <w:rsid w:val="00093310"/>
    <w:rsid w:val="0009445C"/>
    <w:rsid w:val="00095FE5"/>
    <w:rsid w:val="0009623D"/>
    <w:rsid w:val="00096284"/>
    <w:rsid w:val="000962EF"/>
    <w:rsid w:val="0009719B"/>
    <w:rsid w:val="000A1928"/>
    <w:rsid w:val="000A6A68"/>
    <w:rsid w:val="000A7D08"/>
    <w:rsid w:val="000B0670"/>
    <w:rsid w:val="000B0E75"/>
    <w:rsid w:val="000B13B0"/>
    <w:rsid w:val="000B380F"/>
    <w:rsid w:val="000B6CAC"/>
    <w:rsid w:val="000B7612"/>
    <w:rsid w:val="000C3DF9"/>
    <w:rsid w:val="000C5E38"/>
    <w:rsid w:val="000C6103"/>
    <w:rsid w:val="000C64F3"/>
    <w:rsid w:val="000C6713"/>
    <w:rsid w:val="000D1BFC"/>
    <w:rsid w:val="000D281A"/>
    <w:rsid w:val="000D326A"/>
    <w:rsid w:val="000D51FB"/>
    <w:rsid w:val="000E135D"/>
    <w:rsid w:val="000E2C77"/>
    <w:rsid w:val="000F00BA"/>
    <w:rsid w:val="000F1D43"/>
    <w:rsid w:val="000F316A"/>
    <w:rsid w:val="000F3C74"/>
    <w:rsid w:val="000F3E42"/>
    <w:rsid w:val="000F4BB8"/>
    <w:rsid w:val="000F628A"/>
    <w:rsid w:val="000F7127"/>
    <w:rsid w:val="001007BC"/>
    <w:rsid w:val="00100957"/>
    <w:rsid w:val="00100F8A"/>
    <w:rsid w:val="001036B8"/>
    <w:rsid w:val="00105AE2"/>
    <w:rsid w:val="00106B80"/>
    <w:rsid w:val="001076C2"/>
    <w:rsid w:val="0011032E"/>
    <w:rsid w:val="0011348B"/>
    <w:rsid w:val="00114B21"/>
    <w:rsid w:val="00115982"/>
    <w:rsid w:val="0011600D"/>
    <w:rsid w:val="00116C53"/>
    <w:rsid w:val="00117A78"/>
    <w:rsid w:val="00120971"/>
    <w:rsid w:val="001210C3"/>
    <w:rsid w:val="00121799"/>
    <w:rsid w:val="001222FC"/>
    <w:rsid w:val="001226E4"/>
    <w:rsid w:val="00123E4B"/>
    <w:rsid w:val="00124A51"/>
    <w:rsid w:val="00126621"/>
    <w:rsid w:val="001301E9"/>
    <w:rsid w:val="00131D82"/>
    <w:rsid w:val="0013360B"/>
    <w:rsid w:val="00133D36"/>
    <w:rsid w:val="00137645"/>
    <w:rsid w:val="0014015A"/>
    <w:rsid w:val="00140E99"/>
    <w:rsid w:val="001423F9"/>
    <w:rsid w:val="00145540"/>
    <w:rsid w:val="001456B0"/>
    <w:rsid w:val="0014609B"/>
    <w:rsid w:val="001462C1"/>
    <w:rsid w:val="00147347"/>
    <w:rsid w:val="00157130"/>
    <w:rsid w:val="001576B1"/>
    <w:rsid w:val="001604F7"/>
    <w:rsid w:val="00160A4C"/>
    <w:rsid w:val="0016265A"/>
    <w:rsid w:val="00162913"/>
    <w:rsid w:val="00163EFF"/>
    <w:rsid w:val="001661FB"/>
    <w:rsid w:val="00170329"/>
    <w:rsid w:val="001710F6"/>
    <w:rsid w:val="00173565"/>
    <w:rsid w:val="00173B07"/>
    <w:rsid w:val="00174D66"/>
    <w:rsid w:val="00180A94"/>
    <w:rsid w:val="00181D9C"/>
    <w:rsid w:val="0018752F"/>
    <w:rsid w:val="001926F0"/>
    <w:rsid w:val="00194DC3"/>
    <w:rsid w:val="00195222"/>
    <w:rsid w:val="001975D8"/>
    <w:rsid w:val="001A27E3"/>
    <w:rsid w:val="001A43FA"/>
    <w:rsid w:val="001A59FB"/>
    <w:rsid w:val="001A6354"/>
    <w:rsid w:val="001A7AE8"/>
    <w:rsid w:val="001B204E"/>
    <w:rsid w:val="001B2055"/>
    <w:rsid w:val="001B3443"/>
    <w:rsid w:val="001B391A"/>
    <w:rsid w:val="001B4D20"/>
    <w:rsid w:val="001B7E28"/>
    <w:rsid w:val="001C049E"/>
    <w:rsid w:val="001C1FC5"/>
    <w:rsid w:val="001C2994"/>
    <w:rsid w:val="001C2A9B"/>
    <w:rsid w:val="001C4299"/>
    <w:rsid w:val="001C44FA"/>
    <w:rsid w:val="001C5F94"/>
    <w:rsid w:val="001C6E66"/>
    <w:rsid w:val="001D552F"/>
    <w:rsid w:val="001E0905"/>
    <w:rsid w:val="001E1CF4"/>
    <w:rsid w:val="001E238E"/>
    <w:rsid w:val="001E2483"/>
    <w:rsid w:val="001E2B1E"/>
    <w:rsid w:val="001E30D4"/>
    <w:rsid w:val="001E5029"/>
    <w:rsid w:val="001E52EB"/>
    <w:rsid w:val="001E61D2"/>
    <w:rsid w:val="001E6CAC"/>
    <w:rsid w:val="001E71E7"/>
    <w:rsid w:val="001E722B"/>
    <w:rsid w:val="001E7235"/>
    <w:rsid w:val="001E740C"/>
    <w:rsid w:val="001F1235"/>
    <w:rsid w:val="001F1CB3"/>
    <w:rsid w:val="001F38B5"/>
    <w:rsid w:val="001F7361"/>
    <w:rsid w:val="001F7EEB"/>
    <w:rsid w:val="0020024F"/>
    <w:rsid w:val="002011B0"/>
    <w:rsid w:val="00203181"/>
    <w:rsid w:val="00203783"/>
    <w:rsid w:val="0020385F"/>
    <w:rsid w:val="0020482D"/>
    <w:rsid w:val="00205C73"/>
    <w:rsid w:val="0020619A"/>
    <w:rsid w:val="00207021"/>
    <w:rsid w:val="0020732F"/>
    <w:rsid w:val="00207D00"/>
    <w:rsid w:val="002105C1"/>
    <w:rsid w:val="00212C81"/>
    <w:rsid w:val="00215C6C"/>
    <w:rsid w:val="00216570"/>
    <w:rsid w:val="00216955"/>
    <w:rsid w:val="00220159"/>
    <w:rsid w:val="00223B49"/>
    <w:rsid w:val="00224422"/>
    <w:rsid w:val="00224DD4"/>
    <w:rsid w:val="002309CC"/>
    <w:rsid w:val="0023209F"/>
    <w:rsid w:val="0023629D"/>
    <w:rsid w:val="002366B6"/>
    <w:rsid w:val="00237255"/>
    <w:rsid w:val="002424AF"/>
    <w:rsid w:val="002439DC"/>
    <w:rsid w:val="00244DC8"/>
    <w:rsid w:val="002458BA"/>
    <w:rsid w:val="0024636C"/>
    <w:rsid w:val="00246D82"/>
    <w:rsid w:val="00247925"/>
    <w:rsid w:val="00254DCF"/>
    <w:rsid w:val="0025534B"/>
    <w:rsid w:val="00255BB7"/>
    <w:rsid w:val="00257541"/>
    <w:rsid w:val="00260973"/>
    <w:rsid w:val="00262987"/>
    <w:rsid w:val="00262A1A"/>
    <w:rsid w:val="00262A87"/>
    <w:rsid w:val="002638EC"/>
    <w:rsid w:val="00264216"/>
    <w:rsid w:val="00264D26"/>
    <w:rsid w:val="00266858"/>
    <w:rsid w:val="00267642"/>
    <w:rsid w:val="00267AEA"/>
    <w:rsid w:val="002700E6"/>
    <w:rsid w:val="002711D3"/>
    <w:rsid w:val="0027294B"/>
    <w:rsid w:val="0027324F"/>
    <w:rsid w:val="00275C5A"/>
    <w:rsid w:val="0027645C"/>
    <w:rsid w:val="00280C01"/>
    <w:rsid w:val="00281014"/>
    <w:rsid w:val="00282660"/>
    <w:rsid w:val="00284282"/>
    <w:rsid w:val="00287EAD"/>
    <w:rsid w:val="0029176B"/>
    <w:rsid w:val="0029313F"/>
    <w:rsid w:val="002A046B"/>
    <w:rsid w:val="002A14AB"/>
    <w:rsid w:val="002A2F50"/>
    <w:rsid w:val="002B09A4"/>
    <w:rsid w:val="002B0CCC"/>
    <w:rsid w:val="002B1C1F"/>
    <w:rsid w:val="002B208E"/>
    <w:rsid w:val="002B231A"/>
    <w:rsid w:val="002B432F"/>
    <w:rsid w:val="002B53FA"/>
    <w:rsid w:val="002B62B3"/>
    <w:rsid w:val="002B6754"/>
    <w:rsid w:val="002B6CCE"/>
    <w:rsid w:val="002B7CA2"/>
    <w:rsid w:val="002C2510"/>
    <w:rsid w:val="002C2775"/>
    <w:rsid w:val="002C27C1"/>
    <w:rsid w:val="002C3B66"/>
    <w:rsid w:val="002C47D2"/>
    <w:rsid w:val="002C5099"/>
    <w:rsid w:val="002C5669"/>
    <w:rsid w:val="002C5889"/>
    <w:rsid w:val="002C71CE"/>
    <w:rsid w:val="002D577C"/>
    <w:rsid w:val="002E0E7F"/>
    <w:rsid w:val="002E1154"/>
    <w:rsid w:val="002E15B9"/>
    <w:rsid w:val="002E2158"/>
    <w:rsid w:val="002E443D"/>
    <w:rsid w:val="002E7722"/>
    <w:rsid w:val="002E7E0D"/>
    <w:rsid w:val="002F07BA"/>
    <w:rsid w:val="002F0DA9"/>
    <w:rsid w:val="002F0EDA"/>
    <w:rsid w:val="002F59A2"/>
    <w:rsid w:val="002F643C"/>
    <w:rsid w:val="002F71C0"/>
    <w:rsid w:val="00301017"/>
    <w:rsid w:val="0030155F"/>
    <w:rsid w:val="00303168"/>
    <w:rsid w:val="00303E38"/>
    <w:rsid w:val="0030587B"/>
    <w:rsid w:val="00306D98"/>
    <w:rsid w:val="00306F0D"/>
    <w:rsid w:val="0030786C"/>
    <w:rsid w:val="0031031A"/>
    <w:rsid w:val="003103AB"/>
    <w:rsid w:val="00310981"/>
    <w:rsid w:val="00310D52"/>
    <w:rsid w:val="00311ABB"/>
    <w:rsid w:val="00315498"/>
    <w:rsid w:val="00317530"/>
    <w:rsid w:val="00322107"/>
    <w:rsid w:val="00322846"/>
    <w:rsid w:val="0032516D"/>
    <w:rsid w:val="00326DA7"/>
    <w:rsid w:val="003270E4"/>
    <w:rsid w:val="003272C6"/>
    <w:rsid w:val="00330F5C"/>
    <w:rsid w:val="00332DD9"/>
    <w:rsid w:val="00333A8C"/>
    <w:rsid w:val="00334B69"/>
    <w:rsid w:val="003366C9"/>
    <w:rsid w:val="003371B0"/>
    <w:rsid w:val="00337AE1"/>
    <w:rsid w:val="00340DF1"/>
    <w:rsid w:val="0034345B"/>
    <w:rsid w:val="0034514A"/>
    <w:rsid w:val="00346799"/>
    <w:rsid w:val="0034700A"/>
    <w:rsid w:val="00350170"/>
    <w:rsid w:val="003517F9"/>
    <w:rsid w:val="0035275B"/>
    <w:rsid w:val="0035620E"/>
    <w:rsid w:val="003624C4"/>
    <w:rsid w:val="003654AC"/>
    <w:rsid w:val="003710CF"/>
    <w:rsid w:val="00371DF8"/>
    <w:rsid w:val="0037358A"/>
    <w:rsid w:val="00374843"/>
    <w:rsid w:val="003750F6"/>
    <w:rsid w:val="003760FC"/>
    <w:rsid w:val="0038365C"/>
    <w:rsid w:val="0038369B"/>
    <w:rsid w:val="00383B78"/>
    <w:rsid w:val="00385A9D"/>
    <w:rsid w:val="003868D8"/>
    <w:rsid w:val="003902B1"/>
    <w:rsid w:val="00394969"/>
    <w:rsid w:val="00396327"/>
    <w:rsid w:val="00396896"/>
    <w:rsid w:val="00396FD0"/>
    <w:rsid w:val="003975FC"/>
    <w:rsid w:val="003A1515"/>
    <w:rsid w:val="003A1A7A"/>
    <w:rsid w:val="003A2392"/>
    <w:rsid w:val="003A2831"/>
    <w:rsid w:val="003A3ED1"/>
    <w:rsid w:val="003B0397"/>
    <w:rsid w:val="003B49AE"/>
    <w:rsid w:val="003B5B61"/>
    <w:rsid w:val="003B62BD"/>
    <w:rsid w:val="003C1654"/>
    <w:rsid w:val="003C1788"/>
    <w:rsid w:val="003C7095"/>
    <w:rsid w:val="003C7D19"/>
    <w:rsid w:val="003D1828"/>
    <w:rsid w:val="003D1DE4"/>
    <w:rsid w:val="003D2422"/>
    <w:rsid w:val="003D27D9"/>
    <w:rsid w:val="003D39A1"/>
    <w:rsid w:val="003D3FBF"/>
    <w:rsid w:val="003D4A30"/>
    <w:rsid w:val="003D6342"/>
    <w:rsid w:val="003D79BB"/>
    <w:rsid w:val="003D7C98"/>
    <w:rsid w:val="003E0543"/>
    <w:rsid w:val="003E5D4E"/>
    <w:rsid w:val="003E6EDD"/>
    <w:rsid w:val="003E7CFF"/>
    <w:rsid w:val="003F3196"/>
    <w:rsid w:val="003F4156"/>
    <w:rsid w:val="003F6184"/>
    <w:rsid w:val="003F6AF0"/>
    <w:rsid w:val="00400B29"/>
    <w:rsid w:val="0040504B"/>
    <w:rsid w:val="00410708"/>
    <w:rsid w:val="00410EC7"/>
    <w:rsid w:val="0041182F"/>
    <w:rsid w:val="00411B39"/>
    <w:rsid w:val="0041252F"/>
    <w:rsid w:val="004125AA"/>
    <w:rsid w:val="00412C7F"/>
    <w:rsid w:val="00413A1E"/>
    <w:rsid w:val="0041446D"/>
    <w:rsid w:val="00414476"/>
    <w:rsid w:val="00414C2E"/>
    <w:rsid w:val="004151CF"/>
    <w:rsid w:val="00416364"/>
    <w:rsid w:val="00420AA6"/>
    <w:rsid w:val="00420B9F"/>
    <w:rsid w:val="004211B2"/>
    <w:rsid w:val="00422260"/>
    <w:rsid w:val="00423F19"/>
    <w:rsid w:val="0042413F"/>
    <w:rsid w:val="00426290"/>
    <w:rsid w:val="004319F8"/>
    <w:rsid w:val="00431E55"/>
    <w:rsid w:val="004321F6"/>
    <w:rsid w:val="00433044"/>
    <w:rsid w:val="004375B9"/>
    <w:rsid w:val="004428D0"/>
    <w:rsid w:val="004443A7"/>
    <w:rsid w:val="0044442C"/>
    <w:rsid w:val="00445421"/>
    <w:rsid w:val="00445941"/>
    <w:rsid w:val="004464EB"/>
    <w:rsid w:val="004472E7"/>
    <w:rsid w:val="00447D26"/>
    <w:rsid w:val="00450A82"/>
    <w:rsid w:val="0045447F"/>
    <w:rsid w:val="00455D45"/>
    <w:rsid w:val="00463D57"/>
    <w:rsid w:val="00464595"/>
    <w:rsid w:val="004656C0"/>
    <w:rsid w:val="00470858"/>
    <w:rsid w:val="00471F39"/>
    <w:rsid w:val="00472A79"/>
    <w:rsid w:val="00473F19"/>
    <w:rsid w:val="00475E22"/>
    <w:rsid w:val="00476E6C"/>
    <w:rsid w:val="00480311"/>
    <w:rsid w:val="0048088E"/>
    <w:rsid w:val="004816F9"/>
    <w:rsid w:val="00482720"/>
    <w:rsid w:val="004835E7"/>
    <w:rsid w:val="004867E2"/>
    <w:rsid w:val="00491B3A"/>
    <w:rsid w:val="00492CFD"/>
    <w:rsid w:val="00494DD5"/>
    <w:rsid w:val="004962D2"/>
    <w:rsid w:val="00496AEF"/>
    <w:rsid w:val="00497369"/>
    <w:rsid w:val="004A0DA1"/>
    <w:rsid w:val="004A33AF"/>
    <w:rsid w:val="004A52E9"/>
    <w:rsid w:val="004A6597"/>
    <w:rsid w:val="004A7848"/>
    <w:rsid w:val="004A791A"/>
    <w:rsid w:val="004B1CB4"/>
    <w:rsid w:val="004B2F18"/>
    <w:rsid w:val="004B3DDB"/>
    <w:rsid w:val="004B4046"/>
    <w:rsid w:val="004B44FD"/>
    <w:rsid w:val="004B5CFC"/>
    <w:rsid w:val="004B774D"/>
    <w:rsid w:val="004C4AED"/>
    <w:rsid w:val="004C6611"/>
    <w:rsid w:val="004C6BE4"/>
    <w:rsid w:val="004D2C2D"/>
    <w:rsid w:val="004D6EC9"/>
    <w:rsid w:val="004D7227"/>
    <w:rsid w:val="004D7F4A"/>
    <w:rsid w:val="004E0E7F"/>
    <w:rsid w:val="004E0EB8"/>
    <w:rsid w:val="004E2ADC"/>
    <w:rsid w:val="004E43B2"/>
    <w:rsid w:val="004E5195"/>
    <w:rsid w:val="004F0BA5"/>
    <w:rsid w:val="004F1D02"/>
    <w:rsid w:val="004F2500"/>
    <w:rsid w:val="004F2679"/>
    <w:rsid w:val="004F2F21"/>
    <w:rsid w:val="004F3034"/>
    <w:rsid w:val="004F370B"/>
    <w:rsid w:val="004F6913"/>
    <w:rsid w:val="004F6C68"/>
    <w:rsid w:val="004F7865"/>
    <w:rsid w:val="00500011"/>
    <w:rsid w:val="0050219B"/>
    <w:rsid w:val="00503F17"/>
    <w:rsid w:val="005058A3"/>
    <w:rsid w:val="00506928"/>
    <w:rsid w:val="00510A2C"/>
    <w:rsid w:val="005152B5"/>
    <w:rsid w:val="00517DF0"/>
    <w:rsid w:val="005204FF"/>
    <w:rsid w:val="00521319"/>
    <w:rsid w:val="00522BC8"/>
    <w:rsid w:val="00523C28"/>
    <w:rsid w:val="005350F8"/>
    <w:rsid w:val="0053558B"/>
    <w:rsid w:val="00536F42"/>
    <w:rsid w:val="00537182"/>
    <w:rsid w:val="00542743"/>
    <w:rsid w:val="00542C2D"/>
    <w:rsid w:val="00544B7A"/>
    <w:rsid w:val="0054736A"/>
    <w:rsid w:val="00550FE0"/>
    <w:rsid w:val="00551985"/>
    <w:rsid w:val="00551F0B"/>
    <w:rsid w:val="00552BD3"/>
    <w:rsid w:val="005545C4"/>
    <w:rsid w:val="00555109"/>
    <w:rsid w:val="005553DC"/>
    <w:rsid w:val="00557776"/>
    <w:rsid w:val="005648FE"/>
    <w:rsid w:val="00565315"/>
    <w:rsid w:val="005653E8"/>
    <w:rsid w:val="0056696F"/>
    <w:rsid w:val="00572213"/>
    <w:rsid w:val="00572269"/>
    <w:rsid w:val="0057244A"/>
    <w:rsid w:val="00575D8D"/>
    <w:rsid w:val="00576972"/>
    <w:rsid w:val="00576AF5"/>
    <w:rsid w:val="00580EB6"/>
    <w:rsid w:val="005829A7"/>
    <w:rsid w:val="00582DDD"/>
    <w:rsid w:val="00583699"/>
    <w:rsid w:val="00584905"/>
    <w:rsid w:val="00585CDD"/>
    <w:rsid w:val="00587058"/>
    <w:rsid w:val="00587506"/>
    <w:rsid w:val="00590B68"/>
    <w:rsid w:val="00591957"/>
    <w:rsid w:val="005932B5"/>
    <w:rsid w:val="00593C9C"/>
    <w:rsid w:val="0059670D"/>
    <w:rsid w:val="00597BF9"/>
    <w:rsid w:val="005A373D"/>
    <w:rsid w:val="005B3D95"/>
    <w:rsid w:val="005B5857"/>
    <w:rsid w:val="005B658D"/>
    <w:rsid w:val="005B7007"/>
    <w:rsid w:val="005C099A"/>
    <w:rsid w:val="005C1B83"/>
    <w:rsid w:val="005C2D55"/>
    <w:rsid w:val="005C346B"/>
    <w:rsid w:val="005D044D"/>
    <w:rsid w:val="005D0ABD"/>
    <w:rsid w:val="005D0EC9"/>
    <w:rsid w:val="005D18AD"/>
    <w:rsid w:val="005D1F14"/>
    <w:rsid w:val="005D26B4"/>
    <w:rsid w:val="005D2976"/>
    <w:rsid w:val="005D34E8"/>
    <w:rsid w:val="005D4C55"/>
    <w:rsid w:val="005E328B"/>
    <w:rsid w:val="005E6CBC"/>
    <w:rsid w:val="005E73C0"/>
    <w:rsid w:val="005F1210"/>
    <w:rsid w:val="005F129E"/>
    <w:rsid w:val="005F2706"/>
    <w:rsid w:val="005F538F"/>
    <w:rsid w:val="005F6A8F"/>
    <w:rsid w:val="00602138"/>
    <w:rsid w:val="00603DB9"/>
    <w:rsid w:val="0060407A"/>
    <w:rsid w:val="00606397"/>
    <w:rsid w:val="00607669"/>
    <w:rsid w:val="00607AFD"/>
    <w:rsid w:val="00612F97"/>
    <w:rsid w:val="0061345D"/>
    <w:rsid w:val="00615320"/>
    <w:rsid w:val="00616802"/>
    <w:rsid w:val="00617E12"/>
    <w:rsid w:val="00620DE7"/>
    <w:rsid w:val="00621477"/>
    <w:rsid w:val="00631033"/>
    <w:rsid w:val="0063158F"/>
    <w:rsid w:val="00631D6B"/>
    <w:rsid w:val="006330A1"/>
    <w:rsid w:val="0063479F"/>
    <w:rsid w:val="00634B46"/>
    <w:rsid w:val="00634EA4"/>
    <w:rsid w:val="006353F0"/>
    <w:rsid w:val="006364A1"/>
    <w:rsid w:val="00636E6C"/>
    <w:rsid w:val="00637BFD"/>
    <w:rsid w:val="006400D9"/>
    <w:rsid w:val="00640327"/>
    <w:rsid w:val="00641C4E"/>
    <w:rsid w:val="006471CC"/>
    <w:rsid w:val="0065079F"/>
    <w:rsid w:val="00652E3E"/>
    <w:rsid w:val="006530FE"/>
    <w:rsid w:val="0065379F"/>
    <w:rsid w:val="0065413F"/>
    <w:rsid w:val="00655BA1"/>
    <w:rsid w:val="00657C27"/>
    <w:rsid w:val="00661C6B"/>
    <w:rsid w:val="0067135A"/>
    <w:rsid w:val="00671F01"/>
    <w:rsid w:val="00672458"/>
    <w:rsid w:val="006733CB"/>
    <w:rsid w:val="00674E42"/>
    <w:rsid w:val="00675834"/>
    <w:rsid w:val="00681D90"/>
    <w:rsid w:val="00682112"/>
    <w:rsid w:val="00686957"/>
    <w:rsid w:val="006872BA"/>
    <w:rsid w:val="00691648"/>
    <w:rsid w:val="006917D7"/>
    <w:rsid w:val="00694F44"/>
    <w:rsid w:val="0069726D"/>
    <w:rsid w:val="006A60E1"/>
    <w:rsid w:val="006A7E5F"/>
    <w:rsid w:val="006B261B"/>
    <w:rsid w:val="006B2737"/>
    <w:rsid w:val="006B2C90"/>
    <w:rsid w:val="006B548F"/>
    <w:rsid w:val="006B691E"/>
    <w:rsid w:val="006B6DD0"/>
    <w:rsid w:val="006C2364"/>
    <w:rsid w:val="006C2A8E"/>
    <w:rsid w:val="006D2D3C"/>
    <w:rsid w:val="006D36B9"/>
    <w:rsid w:val="006D3C7D"/>
    <w:rsid w:val="006D5D5F"/>
    <w:rsid w:val="006E264B"/>
    <w:rsid w:val="006F0F23"/>
    <w:rsid w:val="006F306C"/>
    <w:rsid w:val="006F5CD0"/>
    <w:rsid w:val="006F63A5"/>
    <w:rsid w:val="006F6F19"/>
    <w:rsid w:val="006F7C6D"/>
    <w:rsid w:val="007000D4"/>
    <w:rsid w:val="0070142B"/>
    <w:rsid w:val="0070276E"/>
    <w:rsid w:val="00702F8F"/>
    <w:rsid w:val="007034EB"/>
    <w:rsid w:val="007048C6"/>
    <w:rsid w:val="00707000"/>
    <w:rsid w:val="00711A36"/>
    <w:rsid w:val="00712486"/>
    <w:rsid w:val="0071529C"/>
    <w:rsid w:val="007172AD"/>
    <w:rsid w:val="00722B1B"/>
    <w:rsid w:val="0072416F"/>
    <w:rsid w:val="00724626"/>
    <w:rsid w:val="00727C94"/>
    <w:rsid w:val="00730E53"/>
    <w:rsid w:val="00731EAE"/>
    <w:rsid w:val="00731F4F"/>
    <w:rsid w:val="00733555"/>
    <w:rsid w:val="00735033"/>
    <w:rsid w:val="00735328"/>
    <w:rsid w:val="0073685B"/>
    <w:rsid w:val="00740779"/>
    <w:rsid w:val="007407D1"/>
    <w:rsid w:val="00741060"/>
    <w:rsid w:val="00741F6B"/>
    <w:rsid w:val="00752142"/>
    <w:rsid w:val="007523F9"/>
    <w:rsid w:val="007552BB"/>
    <w:rsid w:val="007573E8"/>
    <w:rsid w:val="0076084A"/>
    <w:rsid w:val="00760C4E"/>
    <w:rsid w:val="0076134E"/>
    <w:rsid w:val="0076437D"/>
    <w:rsid w:val="007645DF"/>
    <w:rsid w:val="00765B1A"/>
    <w:rsid w:val="00776CC9"/>
    <w:rsid w:val="00777B1A"/>
    <w:rsid w:val="0078048C"/>
    <w:rsid w:val="00781FA4"/>
    <w:rsid w:val="00782662"/>
    <w:rsid w:val="007843F2"/>
    <w:rsid w:val="00785A83"/>
    <w:rsid w:val="00792AC7"/>
    <w:rsid w:val="007A0A12"/>
    <w:rsid w:val="007A132D"/>
    <w:rsid w:val="007A716D"/>
    <w:rsid w:val="007A7320"/>
    <w:rsid w:val="007B0D68"/>
    <w:rsid w:val="007B1D05"/>
    <w:rsid w:val="007B251D"/>
    <w:rsid w:val="007B3960"/>
    <w:rsid w:val="007B3B4F"/>
    <w:rsid w:val="007B44D6"/>
    <w:rsid w:val="007B4F58"/>
    <w:rsid w:val="007B528D"/>
    <w:rsid w:val="007B5A98"/>
    <w:rsid w:val="007B6EF0"/>
    <w:rsid w:val="007B77D1"/>
    <w:rsid w:val="007B7B7E"/>
    <w:rsid w:val="007C09D6"/>
    <w:rsid w:val="007C11F1"/>
    <w:rsid w:val="007C1422"/>
    <w:rsid w:val="007C1CD9"/>
    <w:rsid w:val="007C30B6"/>
    <w:rsid w:val="007C361D"/>
    <w:rsid w:val="007C4B84"/>
    <w:rsid w:val="007C644B"/>
    <w:rsid w:val="007D004F"/>
    <w:rsid w:val="007D0B38"/>
    <w:rsid w:val="007D515A"/>
    <w:rsid w:val="007D5440"/>
    <w:rsid w:val="007D5D6E"/>
    <w:rsid w:val="007E126B"/>
    <w:rsid w:val="007E2433"/>
    <w:rsid w:val="007E32E5"/>
    <w:rsid w:val="007E4BB6"/>
    <w:rsid w:val="007E5C76"/>
    <w:rsid w:val="007E62BE"/>
    <w:rsid w:val="007F0F25"/>
    <w:rsid w:val="007F1017"/>
    <w:rsid w:val="007F417C"/>
    <w:rsid w:val="007F4A3F"/>
    <w:rsid w:val="007F4A61"/>
    <w:rsid w:val="007F61C2"/>
    <w:rsid w:val="008006DF"/>
    <w:rsid w:val="0080260F"/>
    <w:rsid w:val="0080334A"/>
    <w:rsid w:val="00805142"/>
    <w:rsid w:val="00807A8B"/>
    <w:rsid w:val="00811383"/>
    <w:rsid w:val="00812149"/>
    <w:rsid w:val="00812CAC"/>
    <w:rsid w:val="00815EB1"/>
    <w:rsid w:val="008166EF"/>
    <w:rsid w:val="008211EE"/>
    <w:rsid w:val="00823823"/>
    <w:rsid w:val="008238CC"/>
    <w:rsid w:val="00825751"/>
    <w:rsid w:val="0082620F"/>
    <w:rsid w:val="008264EB"/>
    <w:rsid w:val="0082739B"/>
    <w:rsid w:val="008305B7"/>
    <w:rsid w:val="00833B05"/>
    <w:rsid w:val="008349CF"/>
    <w:rsid w:val="008362B4"/>
    <w:rsid w:val="00840CA2"/>
    <w:rsid w:val="00843429"/>
    <w:rsid w:val="0084374F"/>
    <w:rsid w:val="00847DF5"/>
    <w:rsid w:val="008518C9"/>
    <w:rsid w:val="0085309D"/>
    <w:rsid w:val="008540A8"/>
    <w:rsid w:val="00856440"/>
    <w:rsid w:val="00856897"/>
    <w:rsid w:val="00856E9A"/>
    <w:rsid w:val="0086075D"/>
    <w:rsid w:val="00860DDC"/>
    <w:rsid w:val="008619EC"/>
    <w:rsid w:val="00862502"/>
    <w:rsid w:val="00864026"/>
    <w:rsid w:val="008660D4"/>
    <w:rsid w:val="00867833"/>
    <w:rsid w:val="00871DCB"/>
    <w:rsid w:val="00871FA9"/>
    <w:rsid w:val="008728E9"/>
    <w:rsid w:val="00882874"/>
    <w:rsid w:val="00883787"/>
    <w:rsid w:val="00886CD2"/>
    <w:rsid w:val="008876F5"/>
    <w:rsid w:val="00892A36"/>
    <w:rsid w:val="00893239"/>
    <w:rsid w:val="00894489"/>
    <w:rsid w:val="008963A5"/>
    <w:rsid w:val="008A1692"/>
    <w:rsid w:val="008A3363"/>
    <w:rsid w:val="008A3371"/>
    <w:rsid w:val="008A3C3E"/>
    <w:rsid w:val="008A6B57"/>
    <w:rsid w:val="008A79DE"/>
    <w:rsid w:val="008A7EF3"/>
    <w:rsid w:val="008B10C8"/>
    <w:rsid w:val="008B1757"/>
    <w:rsid w:val="008B2ED2"/>
    <w:rsid w:val="008B577E"/>
    <w:rsid w:val="008B74B3"/>
    <w:rsid w:val="008B7D7E"/>
    <w:rsid w:val="008C19AB"/>
    <w:rsid w:val="008C72F8"/>
    <w:rsid w:val="008C7ECB"/>
    <w:rsid w:val="008D4755"/>
    <w:rsid w:val="008D4C3D"/>
    <w:rsid w:val="008D5DB9"/>
    <w:rsid w:val="008D6075"/>
    <w:rsid w:val="008D788C"/>
    <w:rsid w:val="008E0D3C"/>
    <w:rsid w:val="008E1B9E"/>
    <w:rsid w:val="008E3B6B"/>
    <w:rsid w:val="008E55AB"/>
    <w:rsid w:val="008E6D87"/>
    <w:rsid w:val="008F046D"/>
    <w:rsid w:val="008F120A"/>
    <w:rsid w:val="008F27E0"/>
    <w:rsid w:val="008F48EB"/>
    <w:rsid w:val="008F4F0B"/>
    <w:rsid w:val="008F7842"/>
    <w:rsid w:val="00901314"/>
    <w:rsid w:val="009046C4"/>
    <w:rsid w:val="009062A5"/>
    <w:rsid w:val="00907745"/>
    <w:rsid w:val="0090795A"/>
    <w:rsid w:val="00911272"/>
    <w:rsid w:val="009135D6"/>
    <w:rsid w:val="009148F6"/>
    <w:rsid w:val="00914C77"/>
    <w:rsid w:val="0092369B"/>
    <w:rsid w:val="00927D93"/>
    <w:rsid w:val="0093717D"/>
    <w:rsid w:val="00940315"/>
    <w:rsid w:val="009405ED"/>
    <w:rsid w:val="00940D4F"/>
    <w:rsid w:val="00944737"/>
    <w:rsid w:val="0094532D"/>
    <w:rsid w:val="009510A2"/>
    <w:rsid w:val="00953257"/>
    <w:rsid w:val="009537A1"/>
    <w:rsid w:val="00953D9E"/>
    <w:rsid w:val="0096246B"/>
    <w:rsid w:val="00962490"/>
    <w:rsid w:val="00962CB9"/>
    <w:rsid w:val="00964312"/>
    <w:rsid w:val="009654F2"/>
    <w:rsid w:val="00965B8A"/>
    <w:rsid w:val="0096618C"/>
    <w:rsid w:val="009717AC"/>
    <w:rsid w:val="00971B0D"/>
    <w:rsid w:val="00972A8E"/>
    <w:rsid w:val="0098049A"/>
    <w:rsid w:val="00983E57"/>
    <w:rsid w:val="0098675D"/>
    <w:rsid w:val="009874ED"/>
    <w:rsid w:val="009926CA"/>
    <w:rsid w:val="00995D55"/>
    <w:rsid w:val="009969F3"/>
    <w:rsid w:val="00996B1A"/>
    <w:rsid w:val="00997A9F"/>
    <w:rsid w:val="009A2787"/>
    <w:rsid w:val="009A7F10"/>
    <w:rsid w:val="009B322E"/>
    <w:rsid w:val="009B3E26"/>
    <w:rsid w:val="009B4543"/>
    <w:rsid w:val="009B502A"/>
    <w:rsid w:val="009C1377"/>
    <w:rsid w:val="009C6CEA"/>
    <w:rsid w:val="009C7B85"/>
    <w:rsid w:val="009D5B91"/>
    <w:rsid w:val="009D7050"/>
    <w:rsid w:val="009D792E"/>
    <w:rsid w:val="009E0DFE"/>
    <w:rsid w:val="009E0E95"/>
    <w:rsid w:val="009E298B"/>
    <w:rsid w:val="009E4C07"/>
    <w:rsid w:val="009E7523"/>
    <w:rsid w:val="009F051F"/>
    <w:rsid w:val="009F453D"/>
    <w:rsid w:val="009F4A94"/>
    <w:rsid w:val="00A01184"/>
    <w:rsid w:val="00A02D9F"/>
    <w:rsid w:val="00A0364D"/>
    <w:rsid w:val="00A03D43"/>
    <w:rsid w:val="00A04380"/>
    <w:rsid w:val="00A07384"/>
    <w:rsid w:val="00A0750B"/>
    <w:rsid w:val="00A1030C"/>
    <w:rsid w:val="00A11B14"/>
    <w:rsid w:val="00A11CD0"/>
    <w:rsid w:val="00A126A0"/>
    <w:rsid w:val="00A13948"/>
    <w:rsid w:val="00A14296"/>
    <w:rsid w:val="00A1555B"/>
    <w:rsid w:val="00A155C5"/>
    <w:rsid w:val="00A15F14"/>
    <w:rsid w:val="00A167A7"/>
    <w:rsid w:val="00A16AD8"/>
    <w:rsid w:val="00A21CF3"/>
    <w:rsid w:val="00A27ADB"/>
    <w:rsid w:val="00A27AEC"/>
    <w:rsid w:val="00A320DB"/>
    <w:rsid w:val="00A358CF"/>
    <w:rsid w:val="00A35D16"/>
    <w:rsid w:val="00A37BCD"/>
    <w:rsid w:val="00A43C59"/>
    <w:rsid w:val="00A452AE"/>
    <w:rsid w:val="00A45C5A"/>
    <w:rsid w:val="00A466D2"/>
    <w:rsid w:val="00A47C77"/>
    <w:rsid w:val="00A50ECD"/>
    <w:rsid w:val="00A518F3"/>
    <w:rsid w:val="00A52729"/>
    <w:rsid w:val="00A53675"/>
    <w:rsid w:val="00A53C42"/>
    <w:rsid w:val="00A564D7"/>
    <w:rsid w:val="00A566E3"/>
    <w:rsid w:val="00A56B6A"/>
    <w:rsid w:val="00A578DC"/>
    <w:rsid w:val="00A6725B"/>
    <w:rsid w:val="00A7026F"/>
    <w:rsid w:val="00A70605"/>
    <w:rsid w:val="00A7262B"/>
    <w:rsid w:val="00A7289C"/>
    <w:rsid w:val="00A73134"/>
    <w:rsid w:val="00A74440"/>
    <w:rsid w:val="00A74857"/>
    <w:rsid w:val="00A75AAC"/>
    <w:rsid w:val="00A76512"/>
    <w:rsid w:val="00A777B2"/>
    <w:rsid w:val="00A80F0A"/>
    <w:rsid w:val="00A85876"/>
    <w:rsid w:val="00A85B3D"/>
    <w:rsid w:val="00A86E8B"/>
    <w:rsid w:val="00A87164"/>
    <w:rsid w:val="00A903F5"/>
    <w:rsid w:val="00A9117A"/>
    <w:rsid w:val="00A93072"/>
    <w:rsid w:val="00A93953"/>
    <w:rsid w:val="00A959D8"/>
    <w:rsid w:val="00A963FC"/>
    <w:rsid w:val="00AA0661"/>
    <w:rsid w:val="00AA113D"/>
    <w:rsid w:val="00AA6738"/>
    <w:rsid w:val="00AA6C7D"/>
    <w:rsid w:val="00AA7FD6"/>
    <w:rsid w:val="00AB042A"/>
    <w:rsid w:val="00AB1B68"/>
    <w:rsid w:val="00AB2D34"/>
    <w:rsid w:val="00AB2FCF"/>
    <w:rsid w:val="00AB3430"/>
    <w:rsid w:val="00AB3648"/>
    <w:rsid w:val="00AB40F4"/>
    <w:rsid w:val="00AB4AD1"/>
    <w:rsid w:val="00AB7CFA"/>
    <w:rsid w:val="00AC3F7B"/>
    <w:rsid w:val="00AC5B48"/>
    <w:rsid w:val="00AD0A4F"/>
    <w:rsid w:val="00AD250D"/>
    <w:rsid w:val="00AD4C07"/>
    <w:rsid w:val="00AD6502"/>
    <w:rsid w:val="00AD7048"/>
    <w:rsid w:val="00AD7E85"/>
    <w:rsid w:val="00AE3FAB"/>
    <w:rsid w:val="00AE4CDB"/>
    <w:rsid w:val="00AE6B58"/>
    <w:rsid w:val="00AF1315"/>
    <w:rsid w:val="00AF148C"/>
    <w:rsid w:val="00AF19BF"/>
    <w:rsid w:val="00AF29EF"/>
    <w:rsid w:val="00AF2DC3"/>
    <w:rsid w:val="00AF5734"/>
    <w:rsid w:val="00AF6FC4"/>
    <w:rsid w:val="00B02F6C"/>
    <w:rsid w:val="00B033E5"/>
    <w:rsid w:val="00B03A63"/>
    <w:rsid w:val="00B04F74"/>
    <w:rsid w:val="00B06DBD"/>
    <w:rsid w:val="00B14BD0"/>
    <w:rsid w:val="00B201A4"/>
    <w:rsid w:val="00B20F8F"/>
    <w:rsid w:val="00B213A6"/>
    <w:rsid w:val="00B217E0"/>
    <w:rsid w:val="00B23E59"/>
    <w:rsid w:val="00B24DF6"/>
    <w:rsid w:val="00B24E6D"/>
    <w:rsid w:val="00B25EA0"/>
    <w:rsid w:val="00B34FE2"/>
    <w:rsid w:val="00B3560F"/>
    <w:rsid w:val="00B357D8"/>
    <w:rsid w:val="00B35D20"/>
    <w:rsid w:val="00B36252"/>
    <w:rsid w:val="00B36847"/>
    <w:rsid w:val="00B36E11"/>
    <w:rsid w:val="00B37BFC"/>
    <w:rsid w:val="00B40358"/>
    <w:rsid w:val="00B4065B"/>
    <w:rsid w:val="00B41614"/>
    <w:rsid w:val="00B42851"/>
    <w:rsid w:val="00B42BED"/>
    <w:rsid w:val="00B42F80"/>
    <w:rsid w:val="00B435CB"/>
    <w:rsid w:val="00B50DB8"/>
    <w:rsid w:val="00B53654"/>
    <w:rsid w:val="00B53905"/>
    <w:rsid w:val="00B53EEE"/>
    <w:rsid w:val="00B5483F"/>
    <w:rsid w:val="00B54B5B"/>
    <w:rsid w:val="00B5562E"/>
    <w:rsid w:val="00B55C4F"/>
    <w:rsid w:val="00B562AD"/>
    <w:rsid w:val="00B5634B"/>
    <w:rsid w:val="00B57000"/>
    <w:rsid w:val="00B60939"/>
    <w:rsid w:val="00B60AFD"/>
    <w:rsid w:val="00B60D97"/>
    <w:rsid w:val="00B62715"/>
    <w:rsid w:val="00B63818"/>
    <w:rsid w:val="00B65E3A"/>
    <w:rsid w:val="00B731A0"/>
    <w:rsid w:val="00B818A4"/>
    <w:rsid w:val="00B84117"/>
    <w:rsid w:val="00B85AA2"/>
    <w:rsid w:val="00B8649C"/>
    <w:rsid w:val="00B87F0A"/>
    <w:rsid w:val="00B92D0B"/>
    <w:rsid w:val="00B932BA"/>
    <w:rsid w:val="00B937E1"/>
    <w:rsid w:val="00B94945"/>
    <w:rsid w:val="00B94BD3"/>
    <w:rsid w:val="00B94E42"/>
    <w:rsid w:val="00B94E64"/>
    <w:rsid w:val="00B97DA7"/>
    <w:rsid w:val="00BA14C7"/>
    <w:rsid w:val="00BA322D"/>
    <w:rsid w:val="00BA54CE"/>
    <w:rsid w:val="00BB0BDD"/>
    <w:rsid w:val="00BB0F8D"/>
    <w:rsid w:val="00BB2A08"/>
    <w:rsid w:val="00BB2A73"/>
    <w:rsid w:val="00BB4ACC"/>
    <w:rsid w:val="00BB6136"/>
    <w:rsid w:val="00BB703E"/>
    <w:rsid w:val="00BB7405"/>
    <w:rsid w:val="00BB7660"/>
    <w:rsid w:val="00BC3631"/>
    <w:rsid w:val="00BC4D98"/>
    <w:rsid w:val="00BC51F6"/>
    <w:rsid w:val="00BD09B3"/>
    <w:rsid w:val="00BD2D66"/>
    <w:rsid w:val="00BD3263"/>
    <w:rsid w:val="00BD68A3"/>
    <w:rsid w:val="00BD6938"/>
    <w:rsid w:val="00BD6CF3"/>
    <w:rsid w:val="00BD7B79"/>
    <w:rsid w:val="00BE12B0"/>
    <w:rsid w:val="00BE2180"/>
    <w:rsid w:val="00BE21F2"/>
    <w:rsid w:val="00BE2454"/>
    <w:rsid w:val="00BE2A84"/>
    <w:rsid w:val="00BE4275"/>
    <w:rsid w:val="00BE5E0A"/>
    <w:rsid w:val="00BE7584"/>
    <w:rsid w:val="00BF0C06"/>
    <w:rsid w:val="00BF0F95"/>
    <w:rsid w:val="00BF2433"/>
    <w:rsid w:val="00BF51D6"/>
    <w:rsid w:val="00BF61C9"/>
    <w:rsid w:val="00BF6C94"/>
    <w:rsid w:val="00C00424"/>
    <w:rsid w:val="00C03494"/>
    <w:rsid w:val="00C0704E"/>
    <w:rsid w:val="00C11E86"/>
    <w:rsid w:val="00C12C14"/>
    <w:rsid w:val="00C154E2"/>
    <w:rsid w:val="00C200AA"/>
    <w:rsid w:val="00C215F9"/>
    <w:rsid w:val="00C237ED"/>
    <w:rsid w:val="00C24632"/>
    <w:rsid w:val="00C25418"/>
    <w:rsid w:val="00C25D9C"/>
    <w:rsid w:val="00C2632B"/>
    <w:rsid w:val="00C272D6"/>
    <w:rsid w:val="00C2778B"/>
    <w:rsid w:val="00C27ACA"/>
    <w:rsid w:val="00C31431"/>
    <w:rsid w:val="00C31649"/>
    <w:rsid w:val="00C40385"/>
    <w:rsid w:val="00C475AA"/>
    <w:rsid w:val="00C522D2"/>
    <w:rsid w:val="00C53AB1"/>
    <w:rsid w:val="00C624B7"/>
    <w:rsid w:val="00C62628"/>
    <w:rsid w:val="00C63C6E"/>
    <w:rsid w:val="00C648F1"/>
    <w:rsid w:val="00C65576"/>
    <w:rsid w:val="00C65C1F"/>
    <w:rsid w:val="00C66165"/>
    <w:rsid w:val="00C6709C"/>
    <w:rsid w:val="00C67613"/>
    <w:rsid w:val="00C7151A"/>
    <w:rsid w:val="00C71F60"/>
    <w:rsid w:val="00C72241"/>
    <w:rsid w:val="00C750C8"/>
    <w:rsid w:val="00C7560F"/>
    <w:rsid w:val="00C76484"/>
    <w:rsid w:val="00C80A0E"/>
    <w:rsid w:val="00C8213F"/>
    <w:rsid w:val="00C8797A"/>
    <w:rsid w:val="00C900B8"/>
    <w:rsid w:val="00C90C71"/>
    <w:rsid w:val="00C92BD6"/>
    <w:rsid w:val="00C931CF"/>
    <w:rsid w:val="00C93523"/>
    <w:rsid w:val="00C93770"/>
    <w:rsid w:val="00C937DA"/>
    <w:rsid w:val="00C938CF"/>
    <w:rsid w:val="00C95C5B"/>
    <w:rsid w:val="00C9624D"/>
    <w:rsid w:val="00C969DA"/>
    <w:rsid w:val="00C96F75"/>
    <w:rsid w:val="00CA0E37"/>
    <w:rsid w:val="00CA2C77"/>
    <w:rsid w:val="00CA444F"/>
    <w:rsid w:val="00CA5245"/>
    <w:rsid w:val="00CA71F4"/>
    <w:rsid w:val="00CA7B09"/>
    <w:rsid w:val="00CB2F2A"/>
    <w:rsid w:val="00CB4D4B"/>
    <w:rsid w:val="00CB5B1A"/>
    <w:rsid w:val="00CB6B22"/>
    <w:rsid w:val="00CB7F5F"/>
    <w:rsid w:val="00CC1B39"/>
    <w:rsid w:val="00CC2384"/>
    <w:rsid w:val="00CC7BA5"/>
    <w:rsid w:val="00CD4647"/>
    <w:rsid w:val="00CD4B67"/>
    <w:rsid w:val="00CD52DB"/>
    <w:rsid w:val="00CD6ADC"/>
    <w:rsid w:val="00CD7095"/>
    <w:rsid w:val="00CD75B2"/>
    <w:rsid w:val="00CE6274"/>
    <w:rsid w:val="00CE6EA2"/>
    <w:rsid w:val="00CE7F54"/>
    <w:rsid w:val="00CF247D"/>
    <w:rsid w:val="00CF2B8D"/>
    <w:rsid w:val="00CF372C"/>
    <w:rsid w:val="00CF456B"/>
    <w:rsid w:val="00CF4B3A"/>
    <w:rsid w:val="00CF5A22"/>
    <w:rsid w:val="00CF6793"/>
    <w:rsid w:val="00CF7244"/>
    <w:rsid w:val="00D00C5E"/>
    <w:rsid w:val="00D0262E"/>
    <w:rsid w:val="00D04E32"/>
    <w:rsid w:val="00D1031F"/>
    <w:rsid w:val="00D11073"/>
    <w:rsid w:val="00D110BD"/>
    <w:rsid w:val="00D13675"/>
    <w:rsid w:val="00D141E1"/>
    <w:rsid w:val="00D17D6C"/>
    <w:rsid w:val="00D2107F"/>
    <w:rsid w:val="00D21707"/>
    <w:rsid w:val="00D21B15"/>
    <w:rsid w:val="00D246C1"/>
    <w:rsid w:val="00D2496E"/>
    <w:rsid w:val="00D2754D"/>
    <w:rsid w:val="00D27B27"/>
    <w:rsid w:val="00D300D6"/>
    <w:rsid w:val="00D3017F"/>
    <w:rsid w:val="00D3102C"/>
    <w:rsid w:val="00D33BE9"/>
    <w:rsid w:val="00D3438F"/>
    <w:rsid w:val="00D357FF"/>
    <w:rsid w:val="00D424C7"/>
    <w:rsid w:val="00D438A8"/>
    <w:rsid w:val="00D43B2A"/>
    <w:rsid w:val="00D47575"/>
    <w:rsid w:val="00D502C9"/>
    <w:rsid w:val="00D52FAB"/>
    <w:rsid w:val="00D54187"/>
    <w:rsid w:val="00D5460C"/>
    <w:rsid w:val="00D54965"/>
    <w:rsid w:val="00D60048"/>
    <w:rsid w:val="00D611D8"/>
    <w:rsid w:val="00D620A9"/>
    <w:rsid w:val="00D64E21"/>
    <w:rsid w:val="00D70F16"/>
    <w:rsid w:val="00D76A44"/>
    <w:rsid w:val="00D80FC3"/>
    <w:rsid w:val="00D8136C"/>
    <w:rsid w:val="00D815EF"/>
    <w:rsid w:val="00D87028"/>
    <w:rsid w:val="00D91923"/>
    <w:rsid w:val="00D92CE2"/>
    <w:rsid w:val="00D92FD1"/>
    <w:rsid w:val="00D93753"/>
    <w:rsid w:val="00D93DB9"/>
    <w:rsid w:val="00D94475"/>
    <w:rsid w:val="00D94F17"/>
    <w:rsid w:val="00D96CDC"/>
    <w:rsid w:val="00D97D60"/>
    <w:rsid w:val="00DA3167"/>
    <w:rsid w:val="00DA4C5F"/>
    <w:rsid w:val="00DA4DC3"/>
    <w:rsid w:val="00DA77A5"/>
    <w:rsid w:val="00DB18FE"/>
    <w:rsid w:val="00DB484F"/>
    <w:rsid w:val="00DB4B53"/>
    <w:rsid w:val="00DB7659"/>
    <w:rsid w:val="00DC04F6"/>
    <w:rsid w:val="00DC3C57"/>
    <w:rsid w:val="00DC5501"/>
    <w:rsid w:val="00DD273C"/>
    <w:rsid w:val="00DD3111"/>
    <w:rsid w:val="00DD3E63"/>
    <w:rsid w:val="00DD3F28"/>
    <w:rsid w:val="00DD4537"/>
    <w:rsid w:val="00DD4BCF"/>
    <w:rsid w:val="00DD4E15"/>
    <w:rsid w:val="00DE03E6"/>
    <w:rsid w:val="00DE1F06"/>
    <w:rsid w:val="00DE3138"/>
    <w:rsid w:val="00DE37F8"/>
    <w:rsid w:val="00DE4795"/>
    <w:rsid w:val="00DE4FCB"/>
    <w:rsid w:val="00DE54BB"/>
    <w:rsid w:val="00DE7832"/>
    <w:rsid w:val="00DE7ADC"/>
    <w:rsid w:val="00DF0F54"/>
    <w:rsid w:val="00DF18FC"/>
    <w:rsid w:val="00DF5D2B"/>
    <w:rsid w:val="00E00E8E"/>
    <w:rsid w:val="00E027F6"/>
    <w:rsid w:val="00E03D15"/>
    <w:rsid w:val="00E05630"/>
    <w:rsid w:val="00E057B7"/>
    <w:rsid w:val="00E06DBB"/>
    <w:rsid w:val="00E07AF5"/>
    <w:rsid w:val="00E10149"/>
    <w:rsid w:val="00E107E7"/>
    <w:rsid w:val="00E16372"/>
    <w:rsid w:val="00E20E4D"/>
    <w:rsid w:val="00E20ED6"/>
    <w:rsid w:val="00E21358"/>
    <w:rsid w:val="00E22257"/>
    <w:rsid w:val="00E2249B"/>
    <w:rsid w:val="00E22A0D"/>
    <w:rsid w:val="00E23317"/>
    <w:rsid w:val="00E25883"/>
    <w:rsid w:val="00E2771E"/>
    <w:rsid w:val="00E311AC"/>
    <w:rsid w:val="00E34948"/>
    <w:rsid w:val="00E371D6"/>
    <w:rsid w:val="00E37569"/>
    <w:rsid w:val="00E41E30"/>
    <w:rsid w:val="00E432D1"/>
    <w:rsid w:val="00E43D70"/>
    <w:rsid w:val="00E463F6"/>
    <w:rsid w:val="00E466F3"/>
    <w:rsid w:val="00E47B2C"/>
    <w:rsid w:val="00E50009"/>
    <w:rsid w:val="00E51560"/>
    <w:rsid w:val="00E5187C"/>
    <w:rsid w:val="00E52ACE"/>
    <w:rsid w:val="00E54347"/>
    <w:rsid w:val="00E5500E"/>
    <w:rsid w:val="00E55424"/>
    <w:rsid w:val="00E55BB5"/>
    <w:rsid w:val="00E55EA5"/>
    <w:rsid w:val="00E56244"/>
    <w:rsid w:val="00E5640D"/>
    <w:rsid w:val="00E65E79"/>
    <w:rsid w:val="00E6620F"/>
    <w:rsid w:val="00E66BA2"/>
    <w:rsid w:val="00E67416"/>
    <w:rsid w:val="00E718B6"/>
    <w:rsid w:val="00E723BA"/>
    <w:rsid w:val="00E73420"/>
    <w:rsid w:val="00E73581"/>
    <w:rsid w:val="00E82906"/>
    <w:rsid w:val="00E8322D"/>
    <w:rsid w:val="00E833F7"/>
    <w:rsid w:val="00E83BDF"/>
    <w:rsid w:val="00E84825"/>
    <w:rsid w:val="00E87A1D"/>
    <w:rsid w:val="00E926A5"/>
    <w:rsid w:val="00E96147"/>
    <w:rsid w:val="00EA17C3"/>
    <w:rsid w:val="00EA2CAA"/>
    <w:rsid w:val="00EA3864"/>
    <w:rsid w:val="00EB157A"/>
    <w:rsid w:val="00EB15B6"/>
    <w:rsid w:val="00EB2BF5"/>
    <w:rsid w:val="00EB382D"/>
    <w:rsid w:val="00EB4916"/>
    <w:rsid w:val="00EC00C9"/>
    <w:rsid w:val="00EC065F"/>
    <w:rsid w:val="00EC2649"/>
    <w:rsid w:val="00EC26DB"/>
    <w:rsid w:val="00ED07E4"/>
    <w:rsid w:val="00ED0950"/>
    <w:rsid w:val="00ED3310"/>
    <w:rsid w:val="00ED57EA"/>
    <w:rsid w:val="00EE07D3"/>
    <w:rsid w:val="00EE0E3D"/>
    <w:rsid w:val="00EE1DC7"/>
    <w:rsid w:val="00EE22AF"/>
    <w:rsid w:val="00EE2B84"/>
    <w:rsid w:val="00EE2E55"/>
    <w:rsid w:val="00EE3410"/>
    <w:rsid w:val="00EF0171"/>
    <w:rsid w:val="00EF07F9"/>
    <w:rsid w:val="00EF16B3"/>
    <w:rsid w:val="00EF1B25"/>
    <w:rsid w:val="00EF2D5B"/>
    <w:rsid w:val="00EF4747"/>
    <w:rsid w:val="00EF4BF8"/>
    <w:rsid w:val="00EF798B"/>
    <w:rsid w:val="00EF7FDF"/>
    <w:rsid w:val="00F02253"/>
    <w:rsid w:val="00F02696"/>
    <w:rsid w:val="00F03B91"/>
    <w:rsid w:val="00F03C2E"/>
    <w:rsid w:val="00F04A66"/>
    <w:rsid w:val="00F04CE9"/>
    <w:rsid w:val="00F04D48"/>
    <w:rsid w:val="00F0516C"/>
    <w:rsid w:val="00F067A2"/>
    <w:rsid w:val="00F10D8B"/>
    <w:rsid w:val="00F1263A"/>
    <w:rsid w:val="00F1641D"/>
    <w:rsid w:val="00F21DFB"/>
    <w:rsid w:val="00F2374C"/>
    <w:rsid w:val="00F24040"/>
    <w:rsid w:val="00F24837"/>
    <w:rsid w:val="00F2575F"/>
    <w:rsid w:val="00F25A55"/>
    <w:rsid w:val="00F262AD"/>
    <w:rsid w:val="00F2632B"/>
    <w:rsid w:val="00F27565"/>
    <w:rsid w:val="00F310D4"/>
    <w:rsid w:val="00F31D5A"/>
    <w:rsid w:val="00F33DE9"/>
    <w:rsid w:val="00F3619A"/>
    <w:rsid w:val="00F37DB3"/>
    <w:rsid w:val="00F40AAA"/>
    <w:rsid w:val="00F40BA7"/>
    <w:rsid w:val="00F46CB6"/>
    <w:rsid w:val="00F47DE8"/>
    <w:rsid w:val="00F520B1"/>
    <w:rsid w:val="00F530D1"/>
    <w:rsid w:val="00F542C1"/>
    <w:rsid w:val="00F55E73"/>
    <w:rsid w:val="00F55EDA"/>
    <w:rsid w:val="00F60092"/>
    <w:rsid w:val="00F63214"/>
    <w:rsid w:val="00F65F4B"/>
    <w:rsid w:val="00F70691"/>
    <w:rsid w:val="00F70C9D"/>
    <w:rsid w:val="00F732B4"/>
    <w:rsid w:val="00F748BF"/>
    <w:rsid w:val="00F74940"/>
    <w:rsid w:val="00F74CD9"/>
    <w:rsid w:val="00F80A7B"/>
    <w:rsid w:val="00F80E5D"/>
    <w:rsid w:val="00F851CE"/>
    <w:rsid w:val="00F85659"/>
    <w:rsid w:val="00F90B05"/>
    <w:rsid w:val="00F91219"/>
    <w:rsid w:val="00F97A78"/>
    <w:rsid w:val="00F97A9B"/>
    <w:rsid w:val="00FA0B20"/>
    <w:rsid w:val="00FA24E7"/>
    <w:rsid w:val="00FB15BE"/>
    <w:rsid w:val="00FB2FCB"/>
    <w:rsid w:val="00FC1074"/>
    <w:rsid w:val="00FC1884"/>
    <w:rsid w:val="00FC2290"/>
    <w:rsid w:val="00FC371D"/>
    <w:rsid w:val="00FC5F0B"/>
    <w:rsid w:val="00FC7E19"/>
    <w:rsid w:val="00FD2100"/>
    <w:rsid w:val="00FD436C"/>
    <w:rsid w:val="00FD446D"/>
    <w:rsid w:val="00FD6006"/>
    <w:rsid w:val="00FD6394"/>
    <w:rsid w:val="00FE0E6C"/>
    <w:rsid w:val="00FE150E"/>
    <w:rsid w:val="00FE23B8"/>
    <w:rsid w:val="00FE2730"/>
    <w:rsid w:val="00FE27C8"/>
    <w:rsid w:val="00FE70C3"/>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4A"/>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1600D"/>
    <w:pPr>
      <w:keepNext/>
      <w:widowControl/>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1600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11600D"/>
    <w:pPr>
      <w:numPr>
        <w:numId w:val="2"/>
      </w:numPr>
      <w:spacing w:before="240" w:after="120"/>
      <w:outlineLvl w:val="0"/>
    </w:pPr>
    <w:rPr>
      <w:rFonts w:asciiTheme="minorHAnsi" w:hAnsiTheme="minorHAnsi"/>
      <w:b/>
      <w:bCs/>
      <w:sz w:val="32"/>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BC51F6"/>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BC51F6"/>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BC51F6"/>
    <w:rPr>
      <w:rFonts w:asciiTheme="minorHAnsi" w:eastAsiaTheme="minorHAnsi" w:hAnsiTheme="minorHAnsi" w:cstheme="minorBidi"/>
      <w:sz w:val="18"/>
      <w:lang w:eastAsia="en-US"/>
    </w:rPr>
  </w:style>
  <w:style w:type="character" w:customStyle="1" w:styleId="TableTextChar0">
    <w:name w:val="Table Text Char"/>
    <w:link w:val="TableText0"/>
    <w:locked/>
    <w:rsid w:val="00BC51F6"/>
    <w:rPr>
      <w:rFonts w:ascii="Arial Narrow" w:eastAsiaTheme="minorHAnsi" w:hAnsi="Arial Narrow" w:cstheme="minorBidi"/>
      <w:szCs w:val="22"/>
      <w:lang w:eastAsia="en-US"/>
    </w:rPr>
  </w:style>
  <w:style w:type="paragraph" w:customStyle="1" w:styleId="TableText1">
    <w:name w:val="TableText"/>
    <w:basedOn w:val="Normal"/>
    <w:qFormat/>
    <w:rsid w:val="00AA6738"/>
    <w:pPr>
      <w:keepNext/>
      <w:widowControl/>
      <w:spacing w:before="40" w:after="40"/>
      <w:jc w:val="left"/>
    </w:pPr>
    <w:rPr>
      <w:rFonts w:ascii="Arial Narrow" w:hAnsi="Arial Narrow" w:cs="Arial Narrow"/>
      <w:snapToGrid/>
      <w:sz w:val="20"/>
      <w:szCs w:val="20"/>
    </w:rPr>
  </w:style>
  <w:style w:type="table" w:customStyle="1" w:styleId="TableGridLight1">
    <w:name w:val="Table Grid Light1"/>
    <w:basedOn w:val="TableNormal"/>
    <w:uiPriority w:val="40"/>
    <w:rsid w:val="007034E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basedOn w:val="Normal"/>
    <w:qFormat/>
    <w:rsid w:val="00EF2D5B"/>
    <w:pPr>
      <w:widowControl/>
      <w:spacing w:after="60"/>
      <w:jc w:val="left"/>
    </w:pPr>
    <w:rPr>
      <w:rFonts w:ascii="Arial Narrow" w:eastAsiaTheme="minorHAnsi" w:hAnsi="Arial Narrow" w:cstheme="minorBidi"/>
      <w:b/>
      <w:snapToGrid/>
      <w:sz w:val="20"/>
    </w:rPr>
  </w:style>
  <w:style w:type="table" w:customStyle="1" w:styleId="TableStyle">
    <w:name w:val="Table Style"/>
    <w:basedOn w:val="TableNormal"/>
    <w:rsid w:val="004F2500"/>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character" w:styleId="FootnoteReference">
    <w:name w:val="footnote reference"/>
    <w:basedOn w:val="DefaultParagraphFont"/>
    <w:semiHidden/>
    <w:unhideWhenUsed/>
    <w:rsid w:val="00E84825"/>
    <w:rPr>
      <w:vertAlign w:val="superscript"/>
    </w:rPr>
  </w:style>
  <w:style w:type="paragraph" w:customStyle="1" w:styleId="V50InstructionsBullets">
    <w:name w:val="V5.0 Instructions Bullets"/>
    <w:basedOn w:val="Normal"/>
    <w:qFormat/>
    <w:rsid w:val="007E126B"/>
    <w:pPr>
      <w:widowControl/>
      <w:ind w:left="714" w:hanging="357"/>
      <w:jc w:val="left"/>
    </w:pPr>
    <w:rPr>
      <w:rFonts w:asciiTheme="minorHAnsi" w:eastAsiaTheme="minorHAnsi" w:hAnsiTheme="minorHAnsi" w:cstheme="minorBidi"/>
      <w:snapToGrid/>
      <w:color w:val="4BACC6" w:themeColor="accent5"/>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246C1"/>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F6FD-3562-4DCF-B400-0CD30DC6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8467</Words>
  <Characters>48262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2019-02-21T23:29:00Z</dcterms:created>
  <dcterms:modified xsi:type="dcterms:W3CDTF">2019-02-21T23:29:00Z</dcterms:modified>
</cp:coreProperties>
</file>