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7F3" w:rsidRPr="00CC53DE" w:rsidRDefault="00327FCF" w:rsidP="00CC53DE">
      <w:pPr>
        <w:pStyle w:val="Title"/>
      </w:pPr>
      <w:bookmarkStart w:id="0" w:name="_GoBack"/>
      <w:bookmarkEnd w:id="0"/>
      <w:r w:rsidRPr="00CC53DE">
        <w:t>6</w:t>
      </w:r>
      <w:r w:rsidR="00C317F3" w:rsidRPr="00CC53DE">
        <w:t>.</w:t>
      </w:r>
      <w:r w:rsidRPr="00CC53DE">
        <w:t>10</w:t>
      </w:r>
      <w:r w:rsidR="00C317F3" w:rsidRPr="00CC53DE">
        <w:tab/>
      </w:r>
      <w:r w:rsidR="004C65C3" w:rsidRPr="00CC53DE">
        <w:t>TOCILIZUMAB</w:t>
      </w:r>
      <w:r w:rsidR="00C317F3" w:rsidRPr="00CC53DE">
        <w:t>,</w:t>
      </w:r>
      <w:r w:rsidR="00F63AF5" w:rsidRPr="00CC53DE">
        <w:t xml:space="preserve"> </w:t>
      </w:r>
      <w:r w:rsidR="0068463E" w:rsidRPr="00CC53DE">
        <w:br/>
      </w:r>
      <w:r w:rsidR="009D4481" w:rsidRPr="00CC53DE">
        <w:t>Injection</w:t>
      </w:r>
      <w:r w:rsidR="00791DE1" w:rsidRPr="00CC53DE">
        <w:t xml:space="preserve"> </w:t>
      </w:r>
      <w:r w:rsidR="009D4481" w:rsidRPr="00CC53DE">
        <w:t>162 mg/0.9 mL</w:t>
      </w:r>
      <w:r w:rsidR="00C317F3" w:rsidRPr="00CC53DE">
        <w:t xml:space="preserve">, </w:t>
      </w:r>
      <w:r w:rsidR="0009239B" w:rsidRPr="00CC53DE">
        <w:t xml:space="preserve">pre-filled syringe and pen, </w:t>
      </w:r>
      <w:proofErr w:type="spellStart"/>
      <w:r w:rsidR="009D4481" w:rsidRPr="00CC53DE">
        <w:t>Actemra</w:t>
      </w:r>
      <w:proofErr w:type="spellEnd"/>
      <w:r w:rsidR="00F63AF5" w:rsidRPr="00CC53DE">
        <w:t xml:space="preserve">®, </w:t>
      </w:r>
      <w:r w:rsidR="00CD63C1">
        <w:br/>
      </w:r>
      <w:r w:rsidR="009D4481" w:rsidRPr="00CC53DE">
        <w:t>Roche Products Pty Ltd</w:t>
      </w:r>
    </w:p>
    <w:p w:rsidR="00C317F3" w:rsidRPr="000A734B" w:rsidRDefault="00C317F3" w:rsidP="000A734B">
      <w:pPr>
        <w:pStyle w:val="Heading1"/>
      </w:pPr>
      <w:bookmarkStart w:id="1" w:name="_Toc413139271"/>
      <w:bookmarkStart w:id="2" w:name="_Toc523934598"/>
      <w:r w:rsidRPr="000A734B">
        <w:t xml:space="preserve">Purpose of </w:t>
      </w:r>
      <w:r w:rsidR="00661286" w:rsidRPr="000A734B">
        <w:t>a</w:t>
      </w:r>
      <w:r w:rsidRPr="000A734B">
        <w:t>pplication</w:t>
      </w:r>
      <w:bookmarkEnd w:id="1"/>
      <w:bookmarkEnd w:id="2"/>
    </w:p>
    <w:p w:rsidR="00AD6B0B" w:rsidRPr="009722D0" w:rsidRDefault="00AD6B0B" w:rsidP="002F1987">
      <w:pPr>
        <w:pStyle w:val="ListParagraph"/>
        <w:numPr>
          <w:ilvl w:val="1"/>
          <w:numId w:val="1"/>
        </w:numPr>
        <w:spacing w:after="120"/>
        <w:ind w:left="567" w:hanging="567"/>
        <w:jc w:val="both"/>
        <w:rPr>
          <w:color w:val="000000" w:themeColor="text1"/>
        </w:rPr>
      </w:pPr>
      <w:r w:rsidRPr="009722D0">
        <w:rPr>
          <w:color w:val="000000" w:themeColor="text1"/>
        </w:rPr>
        <w:t xml:space="preserve">The submission requested a Section 85, Authority </w:t>
      </w:r>
      <w:proofErr w:type="gramStart"/>
      <w:r w:rsidRPr="009722D0">
        <w:rPr>
          <w:color w:val="000000" w:themeColor="text1"/>
        </w:rPr>
        <w:t>Required</w:t>
      </w:r>
      <w:proofErr w:type="gramEnd"/>
      <w:r w:rsidRPr="009722D0">
        <w:rPr>
          <w:color w:val="000000" w:themeColor="text1"/>
        </w:rPr>
        <w:t xml:space="preserve"> (in writing) listing for </w:t>
      </w:r>
      <w:proofErr w:type="spellStart"/>
      <w:r w:rsidRPr="009722D0">
        <w:rPr>
          <w:color w:val="000000" w:themeColor="text1"/>
        </w:rPr>
        <w:t>tocilizumab</w:t>
      </w:r>
      <w:proofErr w:type="spellEnd"/>
      <w:r w:rsidRPr="009722D0">
        <w:rPr>
          <w:color w:val="000000" w:themeColor="text1"/>
        </w:rPr>
        <w:t xml:space="preserve"> for the treatment of patients with new-onset or relapsed giant cell arteritis (GCA). The PBAC has not previously considered </w:t>
      </w:r>
      <w:proofErr w:type="spellStart"/>
      <w:r w:rsidRPr="009722D0">
        <w:rPr>
          <w:color w:val="000000" w:themeColor="text1"/>
        </w:rPr>
        <w:t>tocilizumab</w:t>
      </w:r>
      <w:proofErr w:type="spellEnd"/>
      <w:r w:rsidRPr="009722D0">
        <w:rPr>
          <w:color w:val="000000" w:themeColor="text1"/>
        </w:rPr>
        <w:t xml:space="preserve"> for the treatment of GCA.</w:t>
      </w:r>
    </w:p>
    <w:p w:rsidR="00F44EFB" w:rsidRDefault="00AD6B0B" w:rsidP="009722D0">
      <w:pPr>
        <w:pStyle w:val="ListParagraph"/>
        <w:numPr>
          <w:ilvl w:val="1"/>
          <w:numId w:val="1"/>
        </w:numPr>
        <w:spacing w:after="120"/>
        <w:ind w:left="567" w:hanging="567"/>
        <w:jc w:val="both"/>
        <w:rPr>
          <w:color w:val="000000" w:themeColor="text1"/>
        </w:rPr>
      </w:pPr>
      <w:r>
        <w:rPr>
          <w:color w:val="000000" w:themeColor="text1"/>
        </w:rPr>
        <w:t>The listing was requested on a cost-effectiveness basis compared to standard care, represented by a 52-week corticosteroid tapering regimen.</w:t>
      </w:r>
    </w:p>
    <w:p w:rsidR="00AD6B0B" w:rsidRPr="00492ED3" w:rsidRDefault="00AD6B0B" w:rsidP="00C46E06">
      <w:pPr>
        <w:pStyle w:val="TableHeading0"/>
        <w:jc w:val="both"/>
      </w:pPr>
      <w:r>
        <w:t>Table 1</w:t>
      </w:r>
      <w:r w:rsidRPr="00492ED3">
        <w:t xml:space="preserve">: Key components of the clinical issue addressed by the </w:t>
      </w:r>
      <w:r>
        <w:t>submission</w:t>
      </w:r>
    </w:p>
    <w:tbl>
      <w:tblPr>
        <w:tblStyle w:val="TableGrid"/>
        <w:tblW w:w="5000" w:type="pct"/>
        <w:tblLook w:val="04A0" w:firstRow="1" w:lastRow="0" w:firstColumn="1" w:lastColumn="0" w:noHBand="0" w:noVBand="1"/>
        <w:tblCaption w:val="Key components of the clinical issue addressed by the submission"/>
      </w:tblPr>
      <w:tblGrid>
        <w:gridCol w:w="1271"/>
        <w:gridCol w:w="7745"/>
      </w:tblGrid>
      <w:tr w:rsidR="00AD6B0B" w:rsidRPr="008329D7" w:rsidTr="00D82D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5" w:type="pct"/>
          </w:tcPr>
          <w:p w:rsidR="00AD6B0B" w:rsidRPr="008329D7" w:rsidRDefault="00AD6B0B" w:rsidP="00C46E06">
            <w:pPr>
              <w:pStyle w:val="TableText"/>
              <w:jc w:val="both"/>
              <w:rPr>
                <w:b w:val="0"/>
                <w:color w:val="000000" w:themeColor="text1"/>
              </w:rPr>
            </w:pPr>
            <w:r w:rsidRPr="008329D7">
              <w:rPr>
                <w:color w:val="000000" w:themeColor="text1"/>
              </w:rPr>
              <w:t>Component</w:t>
            </w:r>
          </w:p>
        </w:tc>
        <w:tc>
          <w:tcPr>
            <w:tcW w:w="4295" w:type="pct"/>
          </w:tcPr>
          <w:p w:rsidR="00AD6B0B" w:rsidRPr="008329D7" w:rsidRDefault="00AD6B0B" w:rsidP="00C46E06">
            <w:pPr>
              <w:pStyle w:val="TableText"/>
              <w:jc w:val="both"/>
              <w:cnfStyle w:val="100000000000" w:firstRow="1" w:lastRow="0" w:firstColumn="0" w:lastColumn="0" w:oddVBand="0" w:evenVBand="0" w:oddHBand="0" w:evenHBand="0" w:firstRowFirstColumn="0" w:firstRowLastColumn="0" w:lastRowFirstColumn="0" w:lastRowLastColumn="0"/>
              <w:rPr>
                <w:b w:val="0"/>
                <w:color w:val="000000" w:themeColor="text1"/>
              </w:rPr>
            </w:pPr>
            <w:r w:rsidRPr="008329D7">
              <w:rPr>
                <w:color w:val="000000" w:themeColor="text1"/>
              </w:rPr>
              <w:t>Description</w:t>
            </w:r>
          </w:p>
        </w:tc>
      </w:tr>
      <w:tr w:rsidR="00AD6B0B" w:rsidRPr="008329D7" w:rsidTr="00E915EA">
        <w:tc>
          <w:tcPr>
            <w:cnfStyle w:val="001000000000" w:firstRow="0" w:lastRow="0" w:firstColumn="1" w:lastColumn="0" w:oddVBand="0" w:evenVBand="0" w:oddHBand="0" w:evenHBand="0" w:firstRowFirstColumn="0" w:firstRowLastColumn="0" w:lastRowFirstColumn="0" w:lastRowLastColumn="0"/>
            <w:tcW w:w="705" w:type="pct"/>
          </w:tcPr>
          <w:p w:rsidR="00AD6B0B" w:rsidRPr="008329D7" w:rsidRDefault="00AD6B0B" w:rsidP="00C46E06">
            <w:pPr>
              <w:pStyle w:val="TableText"/>
              <w:jc w:val="both"/>
              <w:rPr>
                <w:color w:val="000000" w:themeColor="text1"/>
              </w:rPr>
            </w:pPr>
            <w:r w:rsidRPr="008329D7">
              <w:rPr>
                <w:color w:val="000000" w:themeColor="text1"/>
              </w:rPr>
              <w:t>Population</w:t>
            </w:r>
          </w:p>
        </w:tc>
        <w:tc>
          <w:tcPr>
            <w:tcW w:w="4295" w:type="pct"/>
          </w:tcPr>
          <w:p w:rsidR="00AD6B0B" w:rsidRPr="008329D7" w:rsidRDefault="00AD6B0B" w:rsidP="00C46E06">
            <w:pPr>
              <w:pStyle w:val="TableText"/>
              <w:jc w:val="lef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rPr>
            </w:pPr>
            <w:r>
              <w:rPr>
                <w:color w:val="000000" w:themeColor="text1"/>
              </w:rPr>
              <w:t>Patients with giant cell arteritis.</w:t>
            </w:r>
          </w:p>
        </w:tc>
      </w:tr>
      <w:tr w:rsidR="00AD6B0B" w:rsidRPr="008329D7" w:rsidTr="00E915EA">
        <w:trPr>
          <w:trHeight w:val="284"/>
        </w:trPr>
        <w:tc>
          <w:tcPr>
            <w:cnfStyle w:val="001000000000" w:firstRow="0" w:lastRow="0" w:firstColumn="1" w:lastColumn="0" w:oddVBand="0" w:evenVBand="0" w:oddHBand="0" w:evenHBand="0" w:firstRowFirstColumn="0" w:firstRowLastColumn="0" w:lastRowFirstColumn="0" w:lastRowLastColumn="0"/>
            <w:tcW w:w="705" w:type="pct"/>
          </w:tcPr>
          <w:p w:rsidR="00AD6B0B" w:rsidRPr="008329D7" w:rsidRDefault="00AD6B0B" w:rsidP="00C46E06">
            <w:pPr>
              <w:pStyle w:val="TableText"/>
              <w:jc w:val="both"/>
              <w:rPr>
                <w:rFonts w:ascii="Times" w:eastAsia="Times New Roman" w:hAnsi="Times" w:cs="Times New Roman"/>
                <w:color w:val="000000" w:themeColor="text1"/>
              </w:rPr>
            </w:pPr>
            <w:r w:rsidRPr="008329D7">
              <w:rPr>
                <w:color w:val="000000" w:themeColor="text1"/>
              </w:rPr>
              <w:t>Intervention</w:t>
            </w:r>
          </w:p>
        </w:tc>
        <w:tc>
          <w:tcPr>
            <w:tcW w:w="4295" w:type="pct"/>
          </w:tcPr>
          <w:p w:rsidR="00AD6B0B" w:rsidRPr="008329D7" w:rsidRDefault="00AD6B0B" w:rsidP="00C46E06">
            <w:pPr>
              <w:pStyle w:val="TableText"/>
              <w:jc w:val="lef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rPr>
            </w:pPr>
            <w:proofErr w:type="spellStart"/>
            <w:r w:rsidRPr="0070303A">
              <w:rPr>
                <w:color w:val="000000" w:themeColor="text1"/>
              </w:rPr>
              <w:t>Tocilizumab</w:t>
            </w:r>
            <w:proofErr w:type="spellEnd"/>
            <w:r w:rsidRPr="0070303A">
              <w:rPr>
                <w:color w:val="000000" w:themeColor="text1"/>
              </w:rPr>
              <w:t xml:space="preserve"> 162</w:t>
            </w:r>
            <w:r>
              <w:rPr>
                <w:color w:val="000000" w:themeColor="text1"/>
              </w:rPr>
              <w:t xml:space="preserve"> </w:t>
            </w:r>
            <w:r w:rsidRPr="0070303A">
              <w:rPr>
                <w:color w:val="000000" w:themeColor="text1"/>
              </w:rPr>
              <w:t xml:space="preserve">mg </w:t>
            </w:r>
            <w:r>
              <w:rPr>
                <w:color w:val="000000" w:themeColor="text1"/>
              </w:rPr>
              <w:t>subcutaneously</w:t>
            </w:r>
            <w:r w:rsidRPr="0070303A">
              <w:rPr>
                <w:color w:val="000000" w:themeColor="text1"/>
              </w:rPr>
              <w:t xml:space="preserve"> once weekly for 52 weeks in conjuncti</w:t>
            </w:r>
            <w:r>
              <w:rPr>
                <w:color w:val="000000" w:themeColor="text1"/>
              </w:rPr>
              <w:t>on with a 26-</w:t>
            </w:r>
            <w:r w:rsidRPr="0070303A">
              <w:rPr>
                <w:color w:val="000000" w:themeColor="text1"/>
              </w:rPr>
              <w:t xml:space="preserve">week </w:t>
            </w:r>
            <w:r>
              <w:rPr>
                <w:color w:val="000000" w:themeColor="text1"/>
              </w:rPr>
              <w:t>corticosteroid</w:t>
            </w:r>
            <w:r w:rsidRPr="0070303A">
              <w:rPr>
                <w:color w:val="000000" w:themeColor="text1"/>
              </w:rPr>
              <w:t xml:space="preserve"> tapering regimen</w:t>
            </w:r>
            <w:r>
              <w:rPr>
                <w:color w:val="000000" w:themeColor="text1"/>
              </w:rPr>
              <w:t>.</w:t>
            </w:r>
          </w:p>
        </w:tc>
      </w:tr>
      <w:tr w:rsidR="00AD6B0B" w:rsidRPr="008329D7" w:rsidTr="00E915EA">
        <w:tc>
          <w:tcPr>
            <w:cnfStyle w:val="001000000000" w:firstRow="0" w:lastRow="0" w:firstColumn="1" w:lastColumn="0" w:oddVBand="0" w:evenVBand="0" w:oddHBand="0" w:evenHBand="0" w:firstRowFirstColumn="0" w:firstRowLastColumn="0" w:lastRowFirstColumn="0" w:lastRowLastColumn="0"/>
            <w:tcW w:w="705" w:type="pct"/>
          </w:tcPr>
          <w:p w:rsidR="00AD6B0B" w:rsidRPr="008329D7" w:rsidRDefault="00AD6B0B" w:rsidP="00C46E06">
            <w:pPr>
              <w:pStyle w:val="TableText"/>
              <w:jc w:val="both"/>
              <w:rPr>
                <w:rFonts w:ascii="Times" w:eastAsia="Times New Roman" w:hAnsi="Times" w:cs="Times New Roman"/>
                <w:color w:val="000000" w:themeColor="text1"/>
              </w:rPr>
            </w:pPr>
            <w:r w:rsidRPr="008329D7">
              <w:rPr>
                <w:color w:val="000000" w:themeColor="text1"/>
              </w:rPr>
              <w:t>Comparator</w:t>
            </w:r>
          </w:p>
        </w:tc>
        <w:tc>
          <w:tcPr>
            <w:tcW w:w="4295" w:type="pct"/>
          </w:tcPr>
          <w:p w:rsidR="00AD6B0B" w:rsidRPr="008329D7" w:rsidRDefault="00AD6B0B" w:rsidP="00C46E06">
            <w:pPr>
              <w:pStyle w:val="TableText"/>
              <w:jc w:val="lef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rPr>
            </w:pPr>
            <w:r w:rsidRPr="0070303A">
              <w:rPr>
                <w:color w:val="000000" w:themeColor="text1"/>
              </w:rPr>
              <w:t>Standa</w:t>
            </w:r>
            <w:r>
              <w:rPr>
                <w:color w:val="000000" w:themeColor="text1"/>
              </w:rPr>
              <w:t>rd-of-care, represented by a 52-week corticosteroid</w:t>
            </w:r>
            <w:r w:rsidRPr="0070303A">
              <w:rPr>
                <w:color w:val="000000" w:themeColor="text1"/>
              </w:rPr>
              <w:t xml:space="preserve"> tapering regimen</w:t>
            </w:r>
            <w:r>
              <w:rPr>
                <w:color w:val="000000" w:themeColor="text1"/>
              </w:rPr>
              <w:t>.</w:t>
            </w:r>
          </w:p>
        </w:tc>
      </w:tr>
      <w:tr w:rsidR="00AD6B0B" w:rsidRPr="008329D7" w:rsidTr="00E915EA">
        <w:tc>
          <w:tcPr>
            <w:cnfStyle w:val="001000000000" w:firstRow="0" w:lastRow="0" w:firstColumn="1" w:lastColumn="0" w:oddVBand="0" w:evenVBand="0" w:oddHBand="0" w:evenHBand="0" w:firstRowFirstColumn="0" w:firstRowLastColumn="0" w:lastRowFirstColumn="0" w:lastRowLastColumn="0"/>
            <w:tcW w:w="705" w:type="pct"/>
          </w:tcPr>
          <w:p w:rsidR="00AD6B0B" w:rsidRPr="008329D7" w:rsidRDefault="00AD6B0B" w:rsidP="00C46E06">
            <w:pPr>
              <w:pStyle w:val="TableText"/>
              <w:jc w:val="both"/>
              <w:rPr>
                <w:rFonts w:ascii="Times" w:eastAsia="Times New Roman" w:hAnsi="Times" w:cs="Times New Roman"/>
                <w:color w:val="000000" w:themeColor="text1"/>
              </w:rPr>
            </w:pPr>
            <w:r w:rsidRPr="008329D7">
              <w:rPr>
                <w:color w:val="000000" w:themeColor="text1"/>
              </w:rPr>
              <w:t>Outcomes</w:t>
            </w:r>
          </w:p>
        </w:tc>
        <w:tc>
          <w:tcPr>
            <w:tcW w:w="4295" w:type="pct"/>
          </w:tcPr>
          <w:p w:rsidR="00AD6B0B" w:rsidRPr="008329D7" w:rsidRDefault="00AD6B0B" w:rsidP="00C46E06">
            <w:pPr>
              <w:pStyle w:val="TableText"/>
              <w:jc w:val="lef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rPr>
            </w:pPr>
            <w:r w:rsidRPr="000670A4">
              <w:rPr>
                <w:color w:val="000000" w:themeColor="text1"/>
              </w:rPr>
              <w:t>Proportion of patients achieving sustained remission at 52 weeks</w:t>
            </w:r>
            <w:r>
              <w:rPr>
                <w:color w:val="000000" w:themeColor="text1"/>
              </w:rPr>
              <w:t>; t</w:t>
            </w:r>
            <w:r w:rsidRPr="000670A4">
              <w:rPr>
                <w:color w:val="000000" w:themeColor="text1"/>
              </w:rPr>
              <w:t xml:space="preserve">ime to first </w:t>
            </w:r>
            <w:r>
              <w:rPr>
                <w:color w:val="000000" w:themeColor="text1"/>
              </w:rPr>
              <w:t>flare after achieving remission; p</w:t>
            </w:r>
            <w:r w:rsidRPr="000670A4">
              <w:rPr>
                <w:color w:val="000000" w:themeColor="text1"/>
              </w:rPr>
              <w:t>roportion of patients experiencing a flare</w:t>
            </w:r>
            <w:r>
              <w:rPr>
                <w:color w:val="000000" w:themeColor="text1"/>
              </w:rPr>
              <w:t>; t</w:t>
            </w:r>
            <w:r w:rsidRPr="000670A4">
              <w:rPr>
                <w:color w:val="000000" w:themeColor="text1"/>
              </w:rPr>
              <w:t xml:space="preserve">otal cumulative </w:t>
            </w:r>
            <w:r>
              <w:rPr>
                <w:color w:val="000000" w:themeColor="text1"/>
              </w:rPr>
              <w:t xml:space="preserve">corticosteroid dose </w:t>
            </w:r>
            <w:r w:rsidRPr="000670A4">
              <w:rPr>
                <w:color w:val="000000" w:themeColor="text1"/>
              </w:rPr>
              <w:t>over 52 weeks</w:t>
            </w:r>
            <w:r>
              <w:rPr>
                <w:color w:val="000000" w:themeColor="text1"/>
              </w:rPr>
              <w:t>.</w:t>
            </w:r>
          </w:p>
        </w:tc>
      </w:tr>
      <w:tr w:rsidR="00AD6B0B" w:rsidRPr="008329D7" w:rsidTr="00E915EA">
        <w:tc>
          <w:tcPr>
            <w:cnfStyle w:val="001000000000" w:firstRow="0" w:lastRow="0" w:firstColumn="1" w:lastColumn="0" w:oddVBand="0" w:evenVBand="0" w:oddHBand="0" w:evenHBand="0" w:firstRowFirstColumn="0" w:firstRowLastColumn="0" w:lastRowFirstColumn="0" w:lastRowLastColumn="0"/>
            <w:tcW w:w="705" w:type="pct"/>
          </w:tcPr>
          <w:p w:rsidR="00AD6B0B" w:rsidRPr="008329D7" w:rsidRDefault="00AD6B0B" w:rsidP="00C46E06">
            <w:pPr>
              <w:pStyle w:val="TableText"/>
              <w:jc w:val="both"/>
              <w:rPr>
                <w:rFonts w:ascii="Times" w:eastAsia="Times New Roman" w:hAnsi="Times" w:cs="Times New Roman"/>
                <w:color w:val="000000" w:themeColor="text1"/>
              </w:rPr>
            </w:pPr>
            <w:r w:rsidRPr="008329D7">
              <w:rPr>
                <w:color w:val="000000" w:themeColor="text1"/>
              </w:rPr>
              <w:t>Clinical claim</w:t>
            </w:r>
          </w:p>
        </w:tc>
        <w:tc>
          <w:tcPr>
            <w:tcW w:w="4295" w:type="pct"/>
          </w:tcPr>
          <w:p w:rsidR="00AD6B0B" w:rsidRPr="008329D7" w:rsidRDefault="002861C4" w:rsidP="00C46E06">
            <w:pPr>
              <w:pStyle w:val="TableText"/>
              <w:jc w:val="lef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rPr>
            </w:pPr>
            <w:r w:rsidRPr="002861C4">
              <w:rPr>
                <w:color w:val="000000" w:themeColor="text1"/>
              </w:rPr>
              <w:t xml:space="preserve">In patients with giant cell arteritis, </w:t>
            </w:r>
            <w:proofErr w:type="spellStart"/>
            <w:r w:rsidRPr="002861C4">
              <w:rPr>
                <w:color w:val="000000" w:themeColor="text1"/>
              </w:rPr>
              <w:t>tocilizumab</w:t>
            </w:r>
            <w:proofErr w:type="spellEnd"/>
            <w:r w:rsidRPr="002861C4">
              <w:rPr>
                <w:color w:val="000000" w:themeColor="text1"/>
              </w:rPr>
              <w:t xml:space="preserve"> for 52 weeks in conjunction with a 26-week corticosteroid tapering regimen, is more effective than a 52-week corticosteroid tapering regimen at: achieving a sustained remission; delaying time to first flare following clinical remission; reducing the risk of flare after achieving remission; and reducing the cumulative corticosteroid dose</w:t>
            </w:r>
            <w:r w:rsidR="009D2B03">
              <w:rPr>
                <w:color w:val="000000" w:themeColor="text1"/>
              </w:rPr>
              <w:t>;</w:t>
            </w:r>
            <w:r w:rsidRPr="002861C4">
              <w:rPr>
                <w:color w:val="000000" w:themeColor="text1"/>
              </w:rPr>
              <w:t xml:space="preserve"> and non-inferior in terms of safety.</w:t>
            </w:r>
          </w:p>
        </w:tc>
      </w:tr>
    </w:tbl>
    <w:p w:rsidR="00AD6B0B" w:rsidRDefault="00AD6B0B" w:rsidP="000A734B">
      <w:pPr>
        <w:pStyle w:val="TableFooter"/>
        <w:widowControl/>
      </w:pPr>
      <w:r>
        <w:t>Source: Table 1.1, p.4 of the submission.</w:t>
      </w:r>
    </w:p>
    <w:p w:rsidR="00E4041E" w:rsidRDefault="00C317F3" w:rsidP="000A734B">
      <w:pPr>
        <w:pStyle w:val="Heading1"/>
      </w:pPr>
      <w:bookmarkStart w:id="3" w:name="_Toc413139272"/>
      <w:bookmarkStart w:id="4" w:name="_Toc523934599"/>
      <w:r w:rsidRPr="008329D7">
        <w:t>Requested listing</w:t>
      </w:r>
      <w:bookmarkEnd w:id="3"/>
      <w:bookmarkEnd w:id="4"/>
      <w:r w:rsidR="005C6285" w:rsidRPr="008329D7">
        <w:t xml:space="preserve"> </w:t>
      </w:r>
    </w:p>
    <w:p w:rsidR="0068463E" w:rsidRPr="001E43CB" w:rsidRDefault="00A130DC" w:rsidP="0074437B">
      <w:pPr>
        <w:pStyle w:val="ListParagraph"/>
        <w:numPr>
          <w:ilvl w:val="1"/>
          <w:numId w:val="1"/>
        </w:numPr>
        <w:spacing w:after="120"/>
        <w:ind w:left="567" w:hanging="567"/>
        <w:jc w:val="both"/>
      </w:pPr>
      <w:r w:rsidRPr="0074437B">
        <w:rPr>
          <w:color w:val="000000" w:themeColor="text1"/>
        </w:rPr>
        <w:t xml:space="preserve">The </w:t>
      </w:r>
      <w:r w:rsidR="0074437B">
        <w:rPr>
          <w:color w:val="000000" w:themeColor="text1"/>
        </w:rPr>
        <w:t xml:space="preserve">listing </w:t>
      </w:r>
      <w:r w:rsidRPr="0074437B">
        <w:rPr>
          <w:color w:val="000000" w:themeColor="text1"/>
        </w:rPr>
        <w:t xml:space="preserve">requested </w:t>
      </w:r>
      <w:r w:rsidR="0074437B">
        <w:rPr>
          <w:color w:val="000000" w:themeColor="text1"/>
        </w:rPr>
        <w:t xml:space="preserve">in the submission </w:t>
      </w:r>
      <w:r w:rsidRPr="0074437B">
        <w:rPr>
          <w:color w:val="000000" w:themeColor="text1"/>
        </w:rPr>
        <w:t>is outlined below. Suggested additions by the PBAC are in</w:t>
      </w:r>
      <w:r w:rsidRPr="00A130DC">
        <w:t xml:space="preserve"> </w:t>
      </w:r>
      <w:r w:rsidRPr="0074437B">
        <w:t>italics</w:t>
      </w:r>
      <w:r w:rsidRPr="00A130DC">
        <w:t xml:space="preserve"> and deletions are in </w:t>
      </w:r>
      <w:r w:rsidRPr="0074437B">
        <w:t>strikethrough</w:t>
      </w:r>
      <w:r>
        <w:t>.</w:t>
      </w:r>
    </w:p>
    <w:tbl>
      <w:tblPr>
        <w:tblW w:w="9214" w:type="dxa"/>
        <w:tblInd w:w="108" w:type="dxa"/>
        <w:tblLayout w:type="fixed"/>
        <w:tblLook w:val="0000" w:firstRow="0" w:lastRow="0" w:firstColumn="0" w:lastColumn="0" w:noHBand="0" w:noVBand="0"/>
      </w:tblPr>
      <w:tblGrid>
        <w:gridCol w:w="2268"/>
        <w:gridCol w:w="851"/>
        <w:gridCol w:w="709"/>
        <w:gridCol w:w="992"/>
        <w:gridCol w:w="567"/>
        <w:gridCol w:w="1417"/>
        <w:gridCol w:w="1134"/>
        <w:gridCol w:w="1276"/>
      </w:tblGrid>
      <w:tr w:rsidR="00A130DC" w:rsidRPr="00145749" w:rsidTr="00A130DC">
        <w:trPr>
          <w:cantSplit/>
          <w:trHeight w:val="722"/>
        </w:trPr>
        <w:tc>
          <w:tcPr>
            <w:tcW w:w="3119" w:type="dxa"/>
            <w:gridSpan w:val="2"/>
            <w:tcBorders>
              <w:bottom w:val="single" w:sz="4" w:space="0" w:color="auto"/>
            </w:tcBorders>
          </w:tcPr>
          <w:p w:rsidR="00A130DC" w:rsidRPr="0009239B" w:rsidRDefault="00A130DC" w:rsidP="00A130DC">
            <w:pPr>
              <w:keepNext/>
              <w:ind w:left="-108"/>
              <w:jc w:val="both"/>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Name, Restriction,</w:t>
            </w:r>
          </w:p>
          <w:p w:rsidR="00A130DC" w:rsidRPr="0009239B" w:rsidRDefault="00A130DC" w:rsidP="00A130DC">
            <w:pPr>
              <w:keepNext/>
              <w:ind w:left="-108"/>
              <w:jc w:val="both"/>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Manner of administration and form</w:t>
            </w:r>
          </w:p>
        </w:tc>
        <w:tc>
          <w:tcPr>
            <w:tcW w:w="709" w:type="dxa"/>
            <w:tcBorders>
              <w:bottom w:val="single" w:sz="4" w:space="0" w:color="auto"/>
            </w:tcBorders>
          </w:tcPr>
          <w:p w:rsidR="00A130DC" w:rsidRPr="0009239B" w:rsidRDefault="00A130DC" w:rsidP="00A130DC">
            <w:pPr>
              <w:keepNext/>
              <w:ind w:left="-108"/>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 xml:space="preserve">Max. </w:t>
            </w:r>
            <w:proofErr w:type="spellStart"/>
            <w:r w:rsidRPr="0009239B">
              <w:rPr>
                <w:rFonts w:ascii="Arial Narrow" w:eastAsia="Times New Roman" w:hAnsi="Arial Narrow" w:cs="Arial"/>
                <w:b/>
                <w:sz w:val="20"/>
                <w:szCs w:val="20"/>
                <w:lang w:eastAsia="en-AU"/>
              </w:rPr>
              <w:t>Qty</w:t>
            </w:r>
            <w:proofErr w:type="spellEnd"/>
            <w:r w:rsidRPr="0009239B">
              <w:rPr>
                <w:rFonts w:ascii="Arial Narrow" w:eastAsia="Times New Roman" w:hAnsi="Arial Narrow" w:cs="Arial"/>
                <w:b/>
                <w:sz w:val="20"/>
                <w:szCs w:val="20"/>
                <w:lang w:eastAsia="en-AU"/>
              </w:rPr>
              <w:t xml:space="preserve"> packs</w:t>
            </w:r>
          </w:p>
        </w:tc>
        <w:tc>
          <w:tcPr>
            <w:tcW w:w="992" w:type="dxa"/>
            <w:tcBorders>
              <w:bottom w:val="single" w:sz="4" w:space="0" w:color="auto"/>
            </w:tcBorders>
          </w:tcPr>
          <w:p w:rsidR="00A130DC" w:rsidRPr="0009239B" w:rsidRDefault="00A130DC" w:rsidP="00A130DC">
            <w:pPr>
              <w:keepNext/>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 xml:space="preserve">Max. </w:t>
            </w:r>
            <w:proofErr w:type="spellStart"/>
            <w:r w:rsidRPr="0009239B">
              <w:rPr>
                <w:rFonts w:ascii="Arial Narrow" w:eastAsia="Times New Roman" w:hAnsi="Arial Narrow" w:cs="Arial"/>
                <w:b/>
                <w:sz w:val="20"/>
                <w:szCs w:val="20"/>
                <w:lang w:eastAsia="en-AU"/>
              </w:rPr>
              <w:t>Qty</w:t>
            </w:r>
            <w:proofErr w:type="spellEnd"/>
            <w:r w:rsidRPr="0009239B">
              <w:rPr>
                <w:rFonts w:ascii="Arial Narrow" w:eastAsia="Times New Roman" w:hAnsi="Arial Narrow" w:cs="Arial"/>
                <w:b/>
                <w:sz w:val="20"/>
                <w:szCs w:val="20"/>
                <w:lang w:eastAsia="en-AU"/>
              </w:rPr>
              <w:t xml:space="preserve"> units</w:t>
            </w:r>
          </w:p>
        </w:tc>
        <w:tc>
          <w:tcPr>
            <w:tcW w:w="567" w:type="dxa"/>
            <w:tcBorders>
              <w:bottom w:val="single" w:sz="4" w:space="0" w:color="auto"/>
            </w:tcBorders>
          </w:tcPr>
          <w:p w:rsidR="00A130DC" w:rsidRPr="0009239B" w:rsidRDefault="00A130DC" w:rsidP="00A130DC">
            <w:pPr>
              <w:keepNext/>
              <w:ind w:left="-108"/>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№.of</w:t>
            </w:r>
          </w:p>
          <w:p w:rsidR="00A130DC" w:rsidRPr="0009239B" w:rsidRDefault="00A130DC" w:rsidP="00A130DC">
            <w:pPr>
              <w:keepNext/>
              <w:ind w:left="-108"/>
              <w:jc w:val="center"/>
              <w:rPr>
                <w:rFonts w:ascii="Arial Narrow" w:eastAsia="Times New Roman" w:hAnsi="Arial Narrow" w:cs="Arial"/>
                <w:b/>
                <w:sz w:val="20"/>
                <w:szCs w:val="20"/>
                <w:lang w:eastAsia="en-AU"/>
              </w:rPr>
            </w:pPr>
            <w:proofErr w:type="spellStart"/>
            <w:r w:rsidRPr="0009239B">
              <w:rPr>
                <w:rFonts w:ascii="Arial Narrow" w:eastAsia="Times New Roman" w:hAnsi="Arial Narrow" w:cs="Arial"/>
                <w:b/>
                <w:sz w:val="20"/>
                <w:szCs w:val="20"/>
                <w:lang w:eastAsia="en-AU"/>
              </w:rPr>
              <w:t>Rpts</w:t>
            </w:r>
            <w:proofErr w:type="spellEnd"/>
          </w:p>
        </w:tc>
        <w:tc>
          <w:tcPr>
            <w:tcW w:w="1417" w:type="dxa"/>
            <w:tcBorders>
              <w:bottom w:val="single" w:sz="4" w:space="0" w:color="auto"/>
            </w:tcBorders>
          </w:tcPr>
          <w:p w:rsidR="00A130DC" w:rsidRPr="0009239B" w:rsidRDefault="00A130DC" w:rsidP="00A130DC">
            <w:pPr>
              <w:keepNext/>
              <w:ind w:left="-108"/>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 xml:space="preserve">Dispensed Price for Max. </w:t>
            </w:r>
            <w:proofErr w:type="spellStart"/>
            <w:r w:rsidRPr="0009239B">
              <w:rPr>
                <w:rFonts w:ascii="Arial Narrow" w:eastAsia="Times New Roman" w:hAnsi="Arial Narrow" w:cs="Arial"/>
                <w:b/>
                <w:sz w:val="20"/>
                <w:szCs w:val="20"/>
                <w:lang w:eastAsia="en-AU"/>
              </w:rPr>
              <w:t>Qty</w:t>
            </w:r>
            <w:proofErr w:type="spellEnd"/>
          </w:p>
        </w:tc>
        <w:tc>
          <w:tcPr>
            <w:tcW w:w="2410" w:type="dxa"/>
            <w:gridSpan w:val="2"/>
            <w:tcBorders>
              <w:bottom w:val="single" w:sz="4" w:space="0" w:color="auto"/>
            </w:tcBorders>
          </w:tcPr>
          <w:p w:rsidR="00A130DC" w:rsidRPr="0009239B" w:rsidRDefault="00A130DC" w:rsidP="00A130DC">
            <w:pPr>
              <w:keepNext/>
              <w:jc w:val="both"/>
              <w:rPr>
                <w:rFonts w:ascii="Arial Narrow" w:eastAsia="Times New Roman" w:hAnsi="Arial Narrow" w:cs="Arial"/>
                <w:b/>
                <w:sz w:val="20"/>
                <w:szCs w:val="20"/>
                <w:lang w:val="fr-FR" w:eastAsia="en-AU"/>
              </w:rPr>
            </w:pPr>
            <w:r w:rsidRPr="0009239B">
              <w:rPr>
                <w:rFonts w:ascii="Arial Narrow" w:eastAsia="Times New Roman" w:hAnsi="Arial Narrow" w:cs="Arial"/>
                <w:b/>
                <w:sz w:val="20"/>
                <w:szCs w:val="20"/>
                <w:lang w:eastAsia="en-AU"/>
              </w:rPr>
              <w:t>Proprietary Name and Manufacturer</w:t>
            </w:r>
          </w:p>
        </w:tc>
      </w:tr>
      <w:tr w:rsidR="00A130DC" w:rsidRPr="00145749" w:rsidTr="00A130DC">
        <w:trPr>
          <w:cantSplit/>
          <w:trHeight w:val="577"/>
        </w:trPr>
        <w:tc>
          <w:tcPr>
            <w:tcW w:w="3119" w:type="dxa"/>
            <w:gridSpan w:val="2"/>
          </w:tcPr>
          <w:p w:rsidR="00A130DC" w:rsidRPr="0009239B" w:rsidRDefault="00A130DC" w:rsidP="00A130DC">
            <w:pPr>
              <w:keepNext/>
              <w:ind w:left="-108"/>
              <w:jc w:val="both"/>
              <w:rPr>
                <w:rFonts w:ascii="Arial Narrow" w:eastAsia="Times New Roman" w:hAnsi="Arial Narrow" w:cs="Arial"/>
                <w:smallCaps/>
                <w:sz w:val="20"/>
                <w:szCs w:val="20"/>
                <w:lang w:eastAsia="en-AU"/>
              </w:rPr>
            </w:pPr>
            <w:r w:rsidRPr="0009239B">
              <w:rPr>
                <w:rFonts w:ascii="Arial Narrow" w:eastAsia="Times New Roman" w:hAnsi="Arial Narrow" w:cs="Arial"/>
                <w:smallCaps/>
                <w:sz w:val="20"/>
                <w:szCs w:val="20"/>
                <w:lang w:eastAsia="en-AU"/>
              </w:rPr>
              <w:t>TOCILIZUMAB</w:t>
            </w:r>
          </w:p>
          <w:p w:rsidR="00A130DC" w:rsidRPr="0009239B" w:rsidRDefault="00A130DC" w:rsidP="00A130DC">
            <w:pPr>
              <w:keepNext/>
              <w:ind w:left="-108"/>
              <w:jc w:val="both"/>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162 mg/0.9 mL injection, 4 x 0.9 mL pre-filled syringe</w:t>
            </w:r>
          </w:p>
          <w:p w:rsidR="00A130DC" w:rsidRPr="0009239B" w:rsidRDefault="00A130DC" w:rsidP="00A130DC">
            <w:pPr>
              <w:keepNext/>
              <w:ind w:left="-108"/>
              <w:jc w:val="both"/>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162 mg/0.9 mL injection, 4 x 0.9 mL pre-filled pen</w:t>
            </w:r>
          </w:p>
        </w:tc>
        <w:tc>
          <w:tcPr>
            <w:tcW w:w="709" w:type="dxa"/>
          </w:tcPr>
          <w:p w:rsidR="00A130DC" w:rsidRPr="0009239B" w:rsidRDefault="00A130DC" w:rsidP="00A130DC">
            <w:pPr>
              <w:keepNext/>
              <w:ind w:left="-108"/>
              <w:jc w:val="center"/>
              <w:rPr>
                <w:rFonts w:ascii="Arial Narrow" w:eastAsia="Times New Roman" w:hAnsi="Arial Narrow" w:cs="Arial"/>
                <w:sz w:val="20"/>
                <w:szCs w:val="20"/>
                <w:lang w:eastAsia="en-AU"/>
              </w:rPr>
            </w:pPr>
          </w:p>
          <w:p w:rsidR="00A130DC" w:rsidRDefault="00A130DC" w:rsidP="00A130DC">
            <w:pPr>
              <w:keepNext/>
              <w:ind w:left="-108"/>
              <w:jc w:val="center"/>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1</w:t>
            </w:r>
          </w:p>
          <w:p w:rsidR="00EA4C04" w:rsidRDefault="00EA4C04" w:rsidP="00A130DC">
            <w:pPr>
              <w:keepNext/>
              <w:ind w:left="-108"/>
              <w:jc w:val="center"/>
              <w:rPr>
                <w:rFonts w:ascii="Arial Narrow" w:eastAsia="Times New Roman" w:hAnsi="Arial Narrow" w:cs="Arial"/>
                <w:sz w:val="20"/>
                <w:szCs w:val="20"/>
                <w:lang w:eastAsia="en-AU"/>
              </w:rPr>
            </w:pPr>
          </w:p>
          <w:p w:rsidR="00EA4C04" w:rsidRPr="0009239B" w:rsidRDefault="00EA4C04" w:rsidP="00A130DC">
            <w:pPr>
              <w:keepNext/>
              <w:ind w:left="-108"/>
              <w:jc w:val="cente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1</w:t>
            </w:r>
          </w:p>
        </w:tc>
        <w:tc>
          <w:tcPr>
            <w:tcW w:w="992" w:type="dxa"/>
          </w:tcPr>
          <w:p w:rsidR="00A130DC" w:rsidRPr="0009239B" w:rsidRDefault="00A130DC" w:rsidP="00A130DC">
            <w:pPr>
              <w:jc w:val="center"/>
              <w:rPr>
                <w:rFonts w:ascii="Arial Narrow" w:eastAsia="Times New Roman" w:hAnsi="Arial Narrow" w:cs="Arial"/>
                <w:sz w:val="20"/>
                <w:szCs w:val="20"/>
                <w:lang w:eastAsia="en-AU"/>
              </w:rPr>
            </w:pPr>
          </w:p>
          <w:p w:rsidR="00A130DC" w:rsidRDefault="00A130DC" w:rsidP="00A130DC">
            <w:pPr>
              <w:keepNext/>
              <w:jc w:val="center"/>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4</w:t>
            </w:r>
          </w:p>
          <w:p w:rsidR="00EA4C04" w:rsidRDefault="00EA4C04" w:rsidP="00A130DC">
            <w:pPr>
              <w:keepNext/>
              <w:jc w:val="center"/>
              <w:rPr>
                <w:rFonts w:ascii="Arial Narrow" w:eastAsia="Times New Roman" w:hAnsi="Arial Narrow" w:cs="Arial"/>
                <w:sz w:val="20"/>
                <w:szCs w:val="20"/>
                <w:lang w:eastAsia="en-AU"/>
              </w:rPr>
            </w:pPr>
          </w:p>
          <w:p w:rsidR="00EA4C04" w:rsidRPr="0009239B" w:rsidRDefault="00EA4C04" w:rsidP="00A130DC">
            <w:pPr>
              <w:keepNext/>
              <w:jc w:val="cente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4</w:t>
            </w:r>
          </w:p>
        </w:tc>
        <w:tc>
          <w:tcPr>
            <w:tcW w:w="567" w:type="dxa"/>
          </w:tcPr>
          <w:p w:rsidR="00A130DC" w:rsidRPr="0009239B" w:rsidRDefault="00A130DC" w:rsidP="00A130DC">
            <w:pPr>
              <w:keepNext/>
              <w:ind w:left="-108"/>
              <w:jc w:val="center"/>
              <w:rPr>
                <w:rFonts w:ascii="Arial Narrow" w:eastAsia="Times New Roman" w:hAnsi="Arial Narrow" w:cs="Arial"/>
                <w:sz w:val="20"/>
                <w:szCs w:val="20"/>
                <w:lang w:eastAsia="en-AU"/>
              </w:rPr>
            </w:pPr>
          </w:p>
          <w:p w:rsidR="00A130DC" w:rsidRDefault="00A130DC" w:rsidP="00A130DC">
            <w:pPr>
              <w:keepNext/>
              <w:ind w:left="-108"/>
              <w:jc w:val="center"/>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5</w:t>
            </w:r>
          </w:p>
          <w:p w:rsidR="00EA4C04" w:rsidRDefault="00EA4C04" w:rsidP="00A130DC">
            <w:pPr>
              <w:keepNext/>
              <w:ind w:left="-108"/>
              <w:jc w:val="center"/>
              <w:rPr>
                <w:rFonts w:ascii="Arial Narrow" w:eastAsia="Times New Roman" w:hAnsi="Arial Narrow" w:cs="Arial"/>
                <w:sz w:val="20"/>
                <w:szCs w:val="20"/>
                <w:lang w:eastAsia="en-AU"/>
              </w:rPr>
            </w:pPr>
          </w:p>
          <w:p w:rsidR="00EA4C04" w:rsidRPr="0009239B" w:rsidRDefault="00EA4C04" w:rsidP="00A130DC">
            <w:pPr>
              <w:keepNext/>
              <w:ind w:left="-108"/>
              <w:jc w:val="cente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5</w:t>
            </w:r>
          </w:p>
        </w:tc>
        <w:tc>
          <w:tcPr>
            <w:tcW w:w="1417" w:type="dxa"/>
          </w:tcPr>
          <w:p w:rsidR="00A130DC" w:rsidRPr="0009239B" w:rsidRDefault="00A130DC" w:rsidP="00A130DC">
            <w:pPr>
              <w:keepNext/>
              <w:ind w:left="-108"/>
              <w:jc w:val="center"/>
              <w:rPr>
                <w:rFonts w:ascii="Arial Narrow" w:eastAsia="Times New Roman" w:hAnsi="Arial Narrow" w:cs="Arial"/>
                <w:sz w:val="20"/>
                <w:szCs w:val="20"/>
                <w:lang w:eastAsia="en-AU"/>
              </w:rPr>
            </w:pPr>
          </w:p>
          <w:p w:rsidR="00A130DC" w:rsidRPr="0009239B" w:rsidRDefault="00A130DC" w:rsidP="00A130DC">
            <w:pPr>
              <w:keepNext/>
              <w:ind w:left="-108"/>
              <w:jc w:val="center"/>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$953.23</w:t>
            </w:r>
          </w:p>
        </w:tc>
        <w:tc>
          <w:tcPr>
            <w:tcW w:w="1134" w:type="dxa"/>
          </w:tcPr>
          <w:p w:rsidR="00A130DC" w:rsidRDefault="00A130DC" w:rsidP="00A130DC">
            <w:pPr>
              <w:keepNext/>
              <w:jc w:val="both"/>
              <w:rPr>
                <w:rFonts w:ascii="Arial Narrow" w:eastAsia="Times New Roman" w:hAnsi="Arial Narrow" w:cs="Arial"/>
                <w:sz w:val="20"/>
                <w:szCs w:val="20"/>
                <w:lang w:eastAsia="en-AU"/>
              </w:rPr>
            </w:pPr>
          </w:p>
          <w:p w:rsidR="00A130DC" w:rsidRPr="0009239B" w:rsidRDefault="00A130DC" w:rsidP="00860127">
            <w:pPr>
              <w:keepNext/>
              <w:jc w:val="both"/>
              <w:rPr>
                <w:rFonts w:ascii="Arial Narrow" w:eastAsia="Times New Roman" w:hAnsi="Arial Narrow" w:cs="Arial"/>
                <w:sz w:val="20"/>
                <w:szCs w:val="20"/>
                <w:lang w:eastAsia="en-AU"/>
              </w:rPr>
            </w:pPr>
            <w:proofErr w:type="spellStart"/>
            <w:r w:rsidRPr="0009239B">
              <w:rPr>
                <w:rFonts w:ascii="Arial Narrow" w:eastAsia="Times New Roman" w:hAnsi="Arial Narrow" w:cs="Arial"/>
                <w:sz w:val="20"/>
                <w:szCs w:val="20"/>
                <w:lang w:eastAsia="en-AU"/>
              </w:rPr>
              <w:t>Actem</w:t>
            </w:r>
            <w:r w:rsidR="00860127">
              <w:rPr>
                <w:rFonts w:ascii="Arial Narrow" w:eastAsia="Times New Roman" w:hAnsi="Arial Narrow" w:cs="Arial"/>
                <w:sz w:val="20"/>
                <w:szCs w:val="20"/>
                <w:lang w:eastAsia="en-AU"/>
              </w:rPr>
              <w:t>r</w:t>
            </w:r>
            <w:r w:rsidRPr="0009239B">
              <w:rPr>
                <w:rFonts w:ascii="Arial Narrow" w:eastAsia="Times New Roman" w:hAnsi="Arial Narrow" w:cs="Arial"/>
                <w:sz w:val="20"/>
                <w:szCs w:val="20"/>
                <w:lang w:eastAsia="en-AU"/>
              </w:rPr>
              <w:t>a</w:t>
            </w:r>
            <w:proofErr w:type="spellEnd"/>
            <w:r w:rsidRPr="0009239B">
              <w:rPr>
                <w:rFonts w:ascii="Arial Narrow" w:eastAsia="Times New Roman" w:hAnsi="Arial Narrow" w:cs="Arial"/>
                <w:sz w:val="20"/>
                <w:szCs w:val="20"/>
                <w:vertAlign w:val="superscript"/>
                <w:lang w:eastAsia="en-AU"/>
              </w:rPr>
              <w:t>®</w:t>
            </w:r>
          </w:p>
        </w:tc>
        <w:tc>
          <w:tcPr>
            <w:tcW w:w="1276" w:type="dxa"/>
          </w:tcPr>
          <w:p w:rsidR="00A130DC" w:rsidRDefault="00A130DC" w:rsidP="00A130DC">
            <w:pPr>
              <w:keepNext/>
              <w:jc w:val="both"/>
              <w:rPr>
                <w:rFonts w:ascii="Arial Narrow" w:eastAsia="Times New Roman" w:hAnsi="Arial Narrow" w:cs="Arial"/>
                <w:sz w:val="20"/>
                <w:szCs w:val="20"/>
                <w:lang w:eastAsia="en-AU"/>
              </w:rPr>
            </w:pPr>
          </w:p>
          <w:p w:rsidR="00A130DC" w:rsidRPr="0009239B" w:rsidRDefault="00A130DC" w:rsidP="00A130DC">
            <w:pPr>
              <w:keepNext/>
              <w:jc w:val="both"/>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Roche</w:t>
            </w:r>
          </w:p>
        </w:tc>
      </w:tr>
      <w:tr w:rsidR="00A130DC" w:rsidRPr="00145749" w:rsidTr="00A130DC">
        <w:trPr>
          <w:cantSplit/>
          <w:trHeight w:val="360"/>
        </w:trPr>
        <w:tc>
          <w:tcPr>
            <w:tcW w:w="9214" w:type="dxa"/>
            <w:gridSpan w:val="8"/>
            <w:tcBorders>
              <w:bottom w:val="single" w:sz="4" w:space="0" w:color="auto"/>
            </w:tcBorders>
          </w:tcPr>
          <w:p w:rsidR="00A130DC" w:rsidRPr="00145749" w:rsidRDefault="00A130DC" w:rsidP="00A130DC">
            <w:pPr>
              <w:jc w:val="both"/>
              <w:rPr>
                <w:rFonts w:ascii="Arial Narrow" w:eastAsia="Times New Roman" w:hAnsi="Arial Narrow" w:cs="Arial"/>
                <w:sz w:val="20"/>
                <w:szCs w:val="20"/>
                <w:lang w:eastAsia="en-AU"/>
              </w:rPr>
            </w:pP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Category / Program</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GENERAL – General Schedule (Code GE)</w:t>
            </w: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F97A90">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Prescriber type:</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 xml:space="preserve">Dental  </w:t>
            </w:r>
            <w:r w:rsidRPr="00145749">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 xml:space="preserve">Medical Practitioners  </w:t>
            </w:r>
            <w:r w:rsidRPr="00145749">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 xml:space="preserve">Nurse practitioners  </w:t>
            </w:r>
            <w:r w:rsidRPr="00145749">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Optometrists</w:t>
            </w:r>
            <w:r>
              <w:rPr>
                <w:rFonts w:ascii="Arial Narrow" w:eastAsia="Times New Roman" w:hAnsi="Arial Narrow" w:cs="Arial"/>
                <w:sz w:val="20"/>
                <w:szCs w:val="20"/>
                <w:lang w:eastAsia="en-AU"/>
              </w:rPr>
              <w:t xml:space="preserve"> </w:t>
            </w:r>
            <w:r w:rsidRPr="00145749">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Midwives</w:t>
            </w: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Severity:</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keepNext/>
              <w:keepLines/>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Active</w:t>
            </w: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Condition:</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keepNext/>
              <w:keepLines/>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Giant cell arteritis</w:t>
            </w: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74437B">
            <w:pPr>
              <w:jc w:val="both"/>
              <w:rPr>
                <w:rFonts w:ascii="Arial Narrow" w:eastAsia="Times New Roman" w:hAnsi="Arial Narrow" w:cs="Arial"/>
                <w:i/>
                <w:sz w:val="20"/>
                <w:szCs w:val="20"/>
                <w:lang w:eastAsia="en-AU"/>
              </w:rPr>
            </w:pPr>
            <w:r w:rsidRPr="00145749">
              <w:rPr>
                <w:rFonts w:ascii="Arial Narrow" w:eastAsia="Times New Roman" w:hAnsi="Arial Narrow" w:cs="Arial"/>
                <w:b/>
                <w:sz w:val="20"/>
                <w:szCs w:val="20"/>
                <w:lang w:eastAsia="en-AU"/>
              </w:rPr>
              <w:t>PBS Indication:</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Active giant cell arteritis</w:t>
            </w: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09239B"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lastRenderedPageBreak/>
              <w:t>Treatment phase:</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Initial</w:t>
            </w:r>
          </w:p>
        </w:tc>
      </w:tr>
      <w:tr w:rsidR="00A130DC" w:rsidRPr="00145749" w:rsidTr="00F97A90">
        <w:trPr>
          <w:cantSplit/>
          <w:trHeight w:val="17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74437B">
            <w:pPr>
              <w:rPr>
                <w:rFonts w:ascii="Arial Narrow" w:eastAsia="Times New Roman" w:hAnsi="Arial Narrow" w:cs="Arial"/>
                <w:i/>
                <w:sz w:val="20"/>
                <w:szCs w:val="20"/>
                <w:lang w:eastAsia="en-AU"/>
              </w:rPr>
            </w:pPr>
            <w:r w:rsidRPr="00145749">
              <w:rPr>
                <w:rFonts w:ascii="Arial Narrow" w:eastAsia="Times New Roman" w:hAnsi="Arial Narrow" w:cs="Arial"/>
                <w:b/>
                <w:sz w:val="20"/>
                <w:szCs w:val="20"/>
                <w:lang w:eastAsia="en-AU"/>
              </w:rPr>
              <w:t>Restriction Level / Method:</w:t>
            </w: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74437B">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Authority Required - In Writing</w:t>
            </w:r>
          </w:p>
        </w:tc>
      </w:tr>
      <w:tr w:rsidR="00A130DC" w:rsidRPr="00145749" w:rsidTr="00A130DC">
        <w:trPr>
          <w:cantSplit/>
          <w:trHeight w:val="36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Treatment criteria:</w:t>
            </w:r>
          </w:p>
          <w:p w:rsidR="00A130DC" w:rsidRPr="00145749" w:rsidRDefault="00A130DC" w:rsidP="00A130DC">
            <w:pPr>
              <w:rPr>
                <w:rFonts w:ascii="Arial Narrow" w:eastAsia="Times New Roman" w:hAnsi="Arial Narrow" w:cs="Arial"/>
                <w:sz w:val="20"/>
                <w:szCs w:val="20"/>
                <w:lang w:eastAsia="en-AU"/>
              </w:rPr>
            </w:pP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EA4C04">
            <w:pPr>
              <w:rPr>
                <w:rFonts w:ascii="Arial Narrow" w:eastAsia="Times New Roman" w:hAnsi="Arial Narrow" w:cs="Arial"/>
                <w:sz w:val="20"/>
                <w:szCs w:val="20"/>
                <w:lang w:eastAsia="en-AU"/>
              </w:rPr>
            </w:pPr>
            <w:r w:rsidRPr="00C23947">
              <w:rPr>
                <w:rFonts w:ascii="Arial Narrow" w:eastAsia="Times New Roman" w:hAnsi="Arial Narrow" w:cs="Arial"/>
                <w:i/>
                <w:sz w:val="20"/>
                <w:szCs w:val="20"/>
                <w:lang w:eastAsia="en-AU"/>
              </w:rPr>
              <w:t>Patient</w:t>
            </w:r>
            <w:r w:rsidRPr="000D4B93">
              <w:rPr>
                <w:rFonts w:ascii="Arial Narrow" w:eastAsia="Times New Roman" w:hAnsi="Arial Narrow" w:cs="Arial"/>
                <w:sz w:val="20"/>
                <w:szCs w:val="20"/>
                <w:lang w:eastAsia="en-AU"/>
              </w:rPr>
              <w:t xml:space="preserve"> must be</w:t>
            </w:r>
            <w:r w:rsidRPr="00145749">
              <w:rPr>
                <w:rFonts w:ascii="Arial Narrow" w:eastAsia="Times New Roman" w:hAnsi="Arial Narrow" w:cs="Arial"/>
                <w:i/>
                <w:sz w:val="20"/>
                <w:szCs w:val="20"/>
                <w:lang w:eastAsia="en-AU"/>
              </w:rPr>
              <w:t xml:space="preserve"> </w:t>
            </w:r>
            <w:r w:rsidRPr="00145749">
              <w:rPr>
                <w:rFonts w:ascii="Arial Narrow" w:eastAsia="Times New Roman" w:hAnsi="Arial Narrow" w:cs="Arial"/>
                <w:sz w:val="20"/>
                <w:szCs w:val="20"/>
                <w:lang w:eastAsia="en-AU"/>
              </w:rPr>
              <w:t xml:space="preserve">treated by a </w:t>
            </w:r>
            <w:r w:rsidRPr="00073352">
              <w:rPr>
                <w:rFonts w:ascii="Arial Narrow" w:eastAsia="Times New Roman" w:hAnsi="Arial Narrow" w:cs="Arial"/>
                <w:strike/>
                <w:sz w:val="20"/>
                <w:szCs w:val="20"/>
                <w:lang w:eastAsia="en-AU"/>
              </w:rPr>
              <w:t xml:space="preserve">specialist </w:t>
            </w:r>
            <w:r w:rsidRPr="00E62126">
              <w:rPr>
                <w:rFonts w:ascii="Arial Narrow" w:eastAsia="Times New Roman" w:hAnsi="Arial Narrow" w:cs="Arial"/>
                <w:strike/>
                <w:sz w:val="20"/>
                <w:szCs w:val="20"/>
                <w:lang w:eastAsia="en-AU"/>
              </w:rPr>
              <w:t xml:space="preserve">or </w:t>
            </w:r>
            <w:r w:rsidRPr="00073352">
              <w:rPr>
                <w:rFonts w:ascii="Arial Narrow" w:eastAsia="Times New Roman" w:hAnsi="Arial Narrow" w:cs="Arial"/>
                <w:strike/>
                <w:sz w:val="20"/>
                <w:szCs w:val="20"/>
                <w:lang w:eastAsia="en-AU"/>
              </w:rPr>
              <w:t>consultant physician</w:t>
            </w:r>
            <w:r w:rsidRPr="00145749">
              <w:rPr>
                <w:rFonts w:ascii="Arial Narrow" w:eastAsia="Times New Roman" w:hAnsi="Arial Narrow" w:cs="Arial"/>
                <w:sz w:val="20"/>
                <w:szCs w:val="20"/>
                <w:lang w:eastAsia="en-AU"/>
              </w:rPr>
              <w:t xml:space="preserve"> </w:t>
            </w:r>
            <w:r>
              <w:rPr>
                <w:rFonts w:ascii="Arial Narrow" w:eastAsia="Times New Roman" w:hAnsi="Arial Narrow" w:cs="Arial"/>
                <w:i/>
                <w:sz w:val="20"/>
                <w:szCs w:val="20"/>
                <w:lang w:eastAsia="en-AU"/>
              </w:rPr>
              <w:t xml:space="preserve">rheumatologist, clinical immunologist or neurologist </w:t>
            </w:r>
            <w:r w:rsidRPr="00145749">
              <w:rPr>
                <w:rFonts w:ascii="Arial Narrow" w:eastAsia="Times New Roman" w:hAnsi="Arial Narrow" w:cs="Arial"/>
                <w:sz w:val="20"/>
                <w:szCs w:val="20"/>
                <w:lang w:eastAsia="en-AU"/>
              </w:rPr>
              <w:t xml:space="preserve">experienced in the </w:t>
            </w:r>
            <w:r w:rsidRPr="00073352">
              <w:rPr>
                <w:rFonts w:ascii="Arial Narrow" w:eastAsia="Times New Roman" w:hAnsi="Arial Narrow" w:cs="Arial"/>
                <w:strike/>
                <w:sz w:val="20"/>
                <w:szCs w:val="20"/>
                <w:lang w:eastAsia="en-AU"/>
              </w:rPr>
              <w:t xml:space="preserve">treatment </w:t>
            </w:r>
            <w:r>
              <w:rPr>
                <w:rFonts w:ascii="Arial Narrow" w:eastAsia="Times New Roman" w:hAnsi="Arial Narrow" w:cs="Arial"/>
                <w:i/>
                <w:sz w:val="20"/>
                <w:szCs w:val="20"/>
                <w:lang w:eastAsia="en-AU"/>
              </w:rPr>
              <w:t xml:space="preserve">management </w:t>
            </w:r>
            <w:r w:rsidRPr="00EA4C04">
              <w:rPr>
                <w:rFonts w:ascii="Arial Narrow" w:eastAsia="Times New Roman" w:hAnsi="Arial Narrow" w:cs="Arial"/>
                <w:sz w:val="20"/>
                <w:szCs w:val="20"/>
                <w:lang w:eastAsia="en-AU"/>
              </w:rPr>
              <w:t>of giant cell arteritis</w:t>
            </w:r>
            <w:r w:rsidRPr="00073352">
              <w:rPr>
                <w:rFonts w:ascii="Arial Narrow" w:eastAsia="Times New Roman" w:hAnsi="Arial Narrow" w:cs="Arial"/>
                <w:i/>
                <w:sz w:val="20"/>
                <w:szCs w:val="20"/>
                <w:lang w:eastAsia="en-AU"/>
              </w:rPr>
              <w:t xml:space="preserve"> </w:t>
            </w:r>
          </w:p>
        </w:tc>
      </w:tr>
      <w:tr w:rsidR="00A130DC" w:rsidRPr="00145749" w:rsidTr="00A130DC">
        <w:trPr>
          <w:cantSplit/>
          <w:trHeight w:val="36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Clinical criteria:</w:t>
            </w:r>
          </w:p>
          <w:p w:rsidR="00A130DC" w:rsidRPr="00145749" w:rsidRDefault="00A130DC" w:rsidP="00A130DC">
            <w:pPr>
              <w:jc w:val="both"/>
              <w:rPr>
                <w:rFonts w:ascii="Arial Narrow" w:eastAsia="Times New Roman" w:hAnsi="Arial Narrow" w:cs="Arial"/>
                <w:i/>
                <w:sz w:val="20"/>
                <w:szCs w:val="20"/>
                <w:lang w:eastAsia="en-AU"/>
              </w:rPr>
            </w:pPr>
          </w:p>
          <w:p w:rsidR="00A130DC" w:rsidRPr="00145749" w:rsidRDefault="00A130DC" w:rsidP="00A130DC">
            <w:pPr>
              <w:jc w:val="both"/>
              <w:rPr>
                <w:rFonts w:ascii="Arial Narrow" w:eastAsia="Times New Roman" w:hAnsi="Arial Narrow" w:cs="Arial"/>
                <w:sz w:val="20"/>
                <w:szCs w:val="20"/>
                <w:lang w:eastAsia="en-AU"/>
              </w:rPr>
            </w:pP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0D4B93">
              <w:rPr>
                <w:rFonts w:ascii="Arial Narrow" w:eastAsia="Times New Roman" w:hAnsi="Arial Narrow" w:cs="Arial"/>
                <w:sz w:val="20"/>
                <w:szCs w:val="20"/>
                <w:lang w:eastAsia="en-AU"/>
              </w:rPr>
              <w:t>Patient must</w:t>
            </w:r>
            <w:r w:rsidRPr="00145749">
              <w:rPr>
                <w:rFonts w:ascii="Arial Narrow" w:eastAsia="Times New Roman" w:hAnsi="Arial Narrow" w:cs="Arial"/>
                <w:sz w:val="20"/>
                <w:szCs w:val="20"/>
                <w:lang w:eastAsia="en-AU"/>
              </w:rPr>
              <w:t xml:space="preserve"> have active</w:t>
            </w:r>
            <w:r>
              <w:rPr>
                <w:rFonts w:ascii="Arial Narrow" w:eastAsia="Times New Roman" w:hAnsi="Arial Narrow" w:cs="Arial"/>
                <w:sz w:val="20"/>
                <w:szCs w:val="20"/>
                <w:lang w:eastAsia="en-AU"/>
              </w:rPr>
              <w:t xml:space="preserve"> </w:t>
            </w:r>
            <w:r>
              <w:rPr>
                <w:rFonts w:ascii="Arial Narrow" w:eastAsia="Times New Roman" w:hAnsi="Arial Narrow" w:cs="Arial"/>
                <w:i/>
                <w:sz w:val="20"/>
                <w:szCs w:val="20"/>
                <w:lang w:eastAsia="en-AU"/>
              </w:rPr>
              <w:t>giant cell arteritis</w:t>
            </w:r>
            <w:r w:rsidRPr="00145749">
              <w:rPr>
                <w:rFonts w:ascii="Arial Narrow" w:eastAsia="Times New Roman" w:hAnsi="Arial Narrow" w:cs="Arial"/>
                <w:sz w:val="20"/>
                <w:szCs w:val="20"/>
                <w:lang w:eastAsia="en-AU"/>
              </w:rPr>
              <w:t xml:space="preserve"> </w:t>
            </w:r>
            <w:r w:rsidRPr="00073352">
              <w:rPr>
                <w:rFonts w:ascii="Arial Narrow" w:eastAsia="Times New Roman" w:hAnsi="Arial Narrow" w:cs="Arial"/>
                <w:strike/>
                <w:sz w:val="20"/>
                <w:szCs w:val="20"/>
                <w:lang w:eastAsia="en-AU"/>
              </w:rPr>
              <w:t>GCA</w:t>
            </w:r>
            <w:r w:rsidRPr="00145749">
              <w:rPr>
                <w:rFonts w:ascii="Arial Narrow" w:eastAsia="Times New Roman" w:hAnsi="Arial Narrow" w:cs="Arial"/>
                <w:sz w:val="20"/>
                <w:szCs w:val="20"/>
                <w:lang w:eastAsia="en-AU"/>
              </w:rPr>
              <w:t xml:space="preserve"> defined as the:</w:t>
            </w:r>
          </w:p>
          <w:p w:rsidR="00A130DC" w:rsidRPr="00145749" w:rsidRDefault="00A130DC" w:rsidP="00A130DC">
            <w:pPr>
              <w:numPr>
                <w:ilvl w:val="0"/>
                <w:numId w:val="21"/>
              </w:num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presence of clinical signs and symptoms AND ESR ≥ 30 mm/hour or CRP ≥ </w:t>
            </w:r>
            <w:r w:rsidRPr="00C23947">
              <w:rPr>
                <w:rFonts w:ascii="Arial Narrow" w:eastAsia="Times New Roman" w:hAnsi="Arial Narrow" w:cs="Arial"/>
                <w:i/>
                <w:sz w:val="20"/>
                <w:szCs w:val="20"/>
                <w:lang w:eastAsia="en-AU"/>
              </w:rPr>
              <w:t>10</w:t>
            </w:r>
            <w:r w:rsidR="00C23947">
              <w:rPr>
                <w:rFonts w:ascii="Arial Narrow" w:eastAsia="Times New Roman" w:hAnsi="Arial Narrow" w:cs="Arial"/>
                <w:i/>
                <w:sz w:val="20"/>
                <w:szCs w:val="20"/>
                <w:lang w:eastAsia="en-AU"/>
              </w:rPr>
              <w:t> </w:t>
            </w:r>
            <w:r w:rsidRPr="00C23947">
              <w:rPr>
                <w:rFonts w:ascii="Arial Narrow" w:eastAsia="Times New Roman" w:hAnsi="Arial Narrow" w:cs="Arial"/>
                <w:i/>
                <w:sz w:val="20"/>
                <w:szCs w:val="20"/>
                <w:lang w:eastAsia="en-AU"/>
              </w:rPr>
              <w:t>mg/</w:t>
            </w:r>
            <w:r w:rsidR="00C23947" w:rsidRPr="00C23947">
              <w:rPr>
                <w:rFonts w:ascii="Arial Narrow" w:eastAsia="Times New Roman" w:hAnsi="Arial Narrow" w:cs="Arial"/>
                <w:i/>
                <w:sz w:val="20"/>
                <w:szCs w:val="20"/>
                <w:lang w:eastAsia="en-AU"/>
              </w:rPr>
              <w:t>L</w:t>
            </w:r>
            <w:r w:rsidR="00C23947">
              <w:rPr>
                <w:rFonts w:ascii="Arial Narrow" w:eastAsia="Times New Roman" w:hAnsi="Arial Narrow" w:cs="Arial"/>
                <w:sz w:val="20"/>
                <w:szCs w:val="20"/>
                <w:lang w:eastAsia="en-AU"/>
              </w:rPr>
              <w:t xml:space="preserve"> </w:t>
            </w:r>
            <w:r w:rsidR="00C23947" w:rsidRPr="00C23947">
              <w:rPr>
                <w:rFonts w:ascii="Arial Narrow" w:eastAsia="Times New Roman" w:hAnsi="Arial Narrow" w:cs="Arial"/>
                <w:strike/>
                <w:sz w:val="20"/>
                <w:szCs w:val="20"/>
                <w:lang w:eastAsia="en-AU"/>
              </w:rPr>
              <w:t>1 mg/</w:t>
            </w:r>
            <w:proofErr w:type="spellStart"/>
            <w:r w:rsidRPr="00073352">
              <w:rPr>
                <w:rFonts w:ascii="Arial Narrow" w:eastAsia="Times New Roman" w:hAnsi="Arial Narrow" w:cs="Arial"/>
                <w:strike/>
                <w:sz w:val="20"/>
                <w:szCs w:val="20"/>
                <w:lang w:eastAsia="en-AU"/>
              </w:rPr>
              <w:t>d</w:t>
            </w:r>
            <w:r w:rsidRPr="00145749">
              <w:rPr>
                <w:rFonts w:ascii="Arial Narrow" w:eastAsia="Times New Roman" w:hAnsi="Arial Narrow" w:cs="Arial"/>
                <w:sz w:val="20"/>
                <w:szCs w:val="20"/>
                <w:lang w:eastAsia="en-AU"/>
              </w:rPr>
              <w:t>L</w:t>
            </w:r>
            <w:proofErr w:type="spellEnd"/>
            <w:r w:rsidRPr="00145749">
              <w:rPr>
                <w:rFonts w:ascii="Arial Narrow" w:eastAsia="Times New Roman" w:hAnsi="Arial Narrow" w:cs="Arial"/>
                <w:sz w:val="20"/>
                <w:szCs w:val="20"/>
                <w:lang w:eastAsia="en-AU"/>
              </w:rPr>
              <w:t>)</w:t>
            </w:r>
            <w:r>
              <w:rPr>
                <w:rFonts w:ascii="Arial Narrow" w:eastAsia="Times New Roman" w:hAnsi="Arial Narrow" w:cs="Arial"/>
                <w:i/>
                <w:sz w:val="20"/>
                <w:szCs w:val="20"/>
                <w:lang w:eastAsia="en-AU"/>
              </w:rPr>
              <w:t xml:space="preserve"> within </w:t>
            </w:r>
            <w:r w:rsidR="00C23947">
              <w:rPr>
                <w:rFonts w:ascii="Arial Narrow" w:eastAsia="Times New Roman" w:hAnsi="Arial Narrow" w:cs="Arial"/>
                <w:i/>
                <w:sz w:val="20"/>
                <w:szCs w:val="20"/>
                <w:lang w:eastAsia="en-AU"/>
              </w:rPr>
              <w:t xml:space="preserve">the </w:t>
            </w:r>
            <w:r>
              <w:rPr>
                <w:rFonts w:ascii="Arial Narrow" w:eastAsia="Times New Roman" w:hAnsi="Arial Narrow" w:cs="Arial"/>
                <w:i/>
                <w:sz w:val="20"/>
                <w:szCs w:val="20"/>
                <w:lang w:eastAsia="en-AU"/>
              </w:rPr>
              <w:t>past 6 weeks;</w:t>
            </w:r>
          </w:p>
          <w:p w:rsidR="00A130DC" w:rsidRPr="00145749" w:rsidRDefault="00A130DC" w:rsidP="00A130DC">
            <w:pPr>
              <w:ind w:left="720"/>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OR</w:t>
            </w:r>
          </w:p>
          <w:p w:rsidR="00A130DC" w:rsidRPr="00145749" w:rsidRDefault="00A130DC" w:rsidP="00A130DC">
            <w:pPr>
              <w:numPr>
                <w:ilvl w:val="0"/>
                <w:numId w:val="21"/>
              </w:num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 xml:space="preserve">presence of clinical signs and symptoms AND active </w:t>
            </w:r>
            <w:r>
              <w:rPr>
                <w:rFonts w:ascii="Arial Narrow" w:eastAsia="Times New Roman" w:hAnsi="Arial Narrow" w:cs="Arial"/>
                <w:i/>
                <w:sz w:val="20"/>
                <w:szCs w:val="20"/>
                <w:lang w:eastAsia="en-AU"/>
              </w:rPr>
              <w:t xml:space="preserve">giant cell arteritis </w:t>
            </w:r>
            <w:r w:rsidRPr="00073352">
              <w:rPr>
                <w:rFonts w:ascii="Arial Narrow" w:eastAsia="Times New Roman" w:hAnsi="Arial Narrow" w:cs="Arial"/>
                <w:strike/>
                <w:sz w:val="20"/>
                <w:szCs w:val="20"/>
                <w:lang w:eastAsia="en-AU"/>
              </w:rPr>
              <w:t>GCA</w:t>
            </w:r>
            <w:r w:rsidRPr="00145749">
              <w:rPr>
                <w:rFonts w:ascii="Arial Narrow" w:eastAsia="Times New Roman" w:hAnsi="Arial Narrow" w:cs="Arial"/>
                <w:sz w:val="20"/>
                <w:szCs w:val="20"/>
                <w:lang w:eastAsia="en-AU"/>
              </w:rPr>
              <w:t xml:space="preserve"> confirmed by positive temporal artery biopsy or imaging </w:t>
            </w:r>
            <w:r w:rsidRPr="00073352">
              <w:rPr>
                <w:rFonts w:ascii="Arial Narrow" w:eastAsia="Times New Roman" w:hAnsi="Arial Narrow" w:cs="Arial"/>
                <w:strike/>
                <w:sz w:val="20"/>
                <w:szCs w:val="20"/>
                <w:lang w:eastAsia="en-AU"/>
              </w:rPr>
              <w:t>within the last 6 weeks</w:t>
            </w:r>
            <w:r w:rsidRPr="00145749">
              <w:rPr>
                <w:rFonts w:ascii="Arial Narrow" w:eastAsia="Times New Roman" w:hAnsi="Arial Narrow" w:cs="Arial"/>
                <w:sz w:val="20"/>
                <w:szCs w:val="20"/>
                <w:lang w:eastAsia="en-AU"/>
              </w:rPr>
              <w:t xml:space="preserve"> </w:t>
            </w:r>
          </w:p>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AND</w:t>
            </w:r>
          </w:p>
          <w:p w:rsidR="00A130DC" w:rsidRPr="00145749" w:rsidRDefault="00A130DC" w:rsidP="00A130DC">
            <w:pPr>
              <w:rPr>
                <w:rFonts w:ascii="Arial Narrow" w:eastAsia="Times New Roman" w:hAnsi="Arial Narrow" w:cs="Arial"/>
                <w:sz w:val="20"/>
                <w:szCs w:val="20"/>
                <w:lang w:eastAsia="en-AU"/>
              </w:rPr>
            </w:pPr>
          </w:p>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The treatment must in combination with a tapering course of corticosteroids</w:t>
            </w:r>
          </w:p>
          <w:p w:rsidR="00A130DC" w:rsidRPr="00145749" w:rsidRDefault="00A130DC" w:rsidP="00A130DC">
            <w:pPr>
              <w:rPr>
                <w:rFonts w:ascii="Arial Narrow" w:eastAsia="Times New Roman" w:hAnsi="Arial Narrow" w:cs="Arial"/>
                <w:sz w:val="20"/>
                <w:szCs w:val="20"/>
                <w:lang w:eastAsia="en-AU"/>
              </w:rPr>
            </w:pPr>
          </w:p>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AND</w:t>
            </w:r>
          </w:p>
          <w:p w:rsidR="00A130DC" w:rsidRPr="00145749" w:rsidRDefault="00A130DC" w:rsidP="00A130DC">
            <w:pPr>
              <w:rPr>
                <w:rFonts w:ascii="Arial Narrow" w:eastAsia="Times New Roman" w:hAnsi="Arial Narrow" w:cs="Arial"/>
                <w:sz w:val="20"/>
                <w:szCs w:val="20"/>
                <w:lang w:eastAsia="en-AU"/>
              </w:rPr>
            </w:pPr>
          </w:p>
          <w:p w:rsidR="00A130DC" w:rsidRPr="00145749" w:rsidRDefault="00A130DC" w:rsidP="00C23947">
            <w:pPr>
              <w:rPr>
                <w:rFonts w:ascii="Arial Narrow" w:eastAsia="Times New Roman" w:hAnsi="Arial Narrow" w:cs="Arial"/>
                <w:i/>
                <w:sz w:val="20"/>
                <w:szCs w:val="20"/>
                <w:lang w:eastAsia="en-AU"/>
              </w:rPr>
            </w:pPr>
            <w:r w:rsidRPr="00145749">
              <w:rPr>
                <w:rFonts w:ascii="Arial Narrow" w:eastAsia="Times New Roman" w:hAnsi="Arial Narrow" w:cs="Arial"/>
                <w:sz w:val="20"/>
                <w:szCs w:val="20"/>
                <w:lang w:eastAsia="en-AU"/>
              </w:rPr>
              <w:t xml:space="preserve">The treatment </w:t>
            </w:r>
            <w:r w:rsidR="00EA4C04">
              <w:rPr>
                <w:rFonts w:ascii="Arial Narrow" w:eastAsia="Times New Roman" w:hAnsi="Arial Narrow" w:cs="Arial"/>
                <w:i/>
                <w:sz w:val="20"/>
                <w:szCs w:val="20"/>
                <w:lang w:eastAsia="en-AU"/>
              </w:rPr>
              <w:t xml:space="preserve">with this drug for this condition </w:t>
            </w:r>
            <w:r w:rsidRPr="00145749">
              <w:rPr>
                <w:rFonts w:ascii="Arial Narrow" w:eastAsia="Times New Roman" w:hAnsi="Arial Narrow" w:cs="Arial"/>
                <w:sz w:val="20"/>
                <w:szCs w:val="20"/>
                <w:lang w:eastAsia="en-AU"/>
              </w:rPr>
              <w:t>must not</w:t>
            </w:r>
            <w:r w:rsidR="00C23947">
              <w:rPr>
                <w:rFonts w:ascii="Arial Narrow" w:eastAsia="Times New Roman" w:hAnsi="Arial Narrow" w:cs="Arial"/>
                <w:sz w:val="20"/>
                <w:szCs w:val="20"/>
                <w:lang w:eastAsia="en-AU"/>
              </w:rPr>
              <w:t xml:space="preserve"> </w:t>
            </w:r>
            <w:r w:rsidRPr="00145749">
              <w:rPr>
                <w:rFonts w:ascii="Arial Narrow" w:eastAsia="Times New Roman" w:hAnsi="Arial Narrow" w:cs="Arial"/>
                <w:sz w:val="20"/>
                <w:szCs w:val="20"/>
                <w:lang w:eastAsia="en-AU"/>
              </w:rPr>
              <w:t xml:space="preserve">exceed a </w:t>
            </w:r>
            <w:r w:rsidRPr="00145749">
              <w:rPr>
                <w:rFonts w:ascii="Arial Narrow" w:eastAsia="Times New Roman" w:hAnsi="Arial Narrow" w:cs="Arial"/>
                <w:i/>
                <w:sz w:val="20"/>
                <w:szCs w:val="20"/>
                <w:lang w:eastAsia="en-AU"/>
              </w:rPr>
              <w:t>total of</w:t>
            </w:r>
            <w:r w:rsidRPr="00145749">
              <w:rPr>
                <w:rFonts w:ascii="Arial Narrow" w:eastAsia="Times New Roman" w:hAnsi="Arial Narrow" w:cs="Arial"/>
                <w:sz w:val="20"/>
                <w:szCs w:val="20"/>
                <w:lang w:eastAsia="en-AU"/>
              </w:rPr>
              <w:t xml:space="preserve"> </w:t>
            </w:r>
            <w:r>
              <w:rPr>
                <w:rFonts w:ascii="Arial Narrow" w:eastAsia="Times New Roman" w:hAnsi="Arial Narrow" w:cs="Arial"/>
                <w:i/>
                <w:sz w:val="20"/>
                <w:szCs w:val="20"/>
                <w:lang w:eastAsia="en-AU"/>
              </w:rPr>
              <w:t>12 months therapy</w:t>
            </w:r>
            <w:r w:rsidRPr="00145749">
              <w:rPr>
                <w:rFonts w:ascii="Arial Narrow" w:eastAsia="Times New Roman" w:hAnsi="Arial Narrow" w:cs="Arial"/>
                <w:i/>
                <w:sz w:val="20"/>
                <w:szCs w:val="20"/>
                <w:lang w:eastAsia="en-AU"/>
              </w:rPr>
              <w:t xml:space="preserve">. </w:t>
            </w:r>
            <w:r w:rsidR="00C23947" w:rsidRPr="00C23947">
              <w:rPr>
                <w:rFonts w:ascii="Arial Narrow" w:eastAsia="Times New Roman" w:hAnsi="Arial Narrow" w:cs="Arial"/>
                <w:strike/>
                <w:sz w:val="20"/>
                <w:szCs w:val="20"/>
                <w:lang w:eastAsia="en-AU"/>
              </w:rPr>
              <w:t>a lifetime maximum of 52 injections of therapy</w:t>
            </w:r>
          </w:p>
        </w:tc>
      </w:tr>
      <w:tr w:rsidR="00A130DC" w:rsidRPr="00145749" w:rsidTr="00A130DC">
        <w:trPr>
          <w:cantSplit/>
          <w:trHeight w:val="36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Definitions</w:t>
            </w:r>
          </w:p>
          <w:p w:rsidR="00A130DC" w:rsidRPr="00145749" w:rsidRDefault="00A130DC" w:rsidP="00A130DC">
            <w:pPr>
              <w:jc w:val="both"/>
              <w:rPr>
                <w:rFonts w:ascii="Arial Narrow" w:eastAsia="Times New Roman" w:hAnsi="Arial Narrow" w:cs="Arial"/>
                <w:sz w:val="20"/>
                <w:szCs w:val="20"/>
                <w:lang w:eastAsia="en-AU"/>
              </w:rPr>
            </w:pPr>
          </w:p>
        </w:tc>
        <w:tc>
          <w:tcPr>
            <w:tcW w:w="6946"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u w:val="single"/>
                <w:lang w:eastAsia="en-AU"/>
              </w:rPr>
            </w:pPr>
            <w:r>
              <w:rPr>
                <w:rFonts w:ascii="Arial Narrow" w:eastAsia="Times New Roman" w:hAnsi="Arial Narrow" w:cs="Arial"/>
                <w:i/>
                <w:sz w:val="20"/>
                <w:szCs w:val="20"/>
                <w:u w:val="single"/>
                <w:lang w:eastAsia="en-AU"/>
              </w:rPr>
              <w:t xml:space="preserve">Giant cell arteritis </w:t>
            </w:r>
            <w:r w:rsidRPr="00073352">
              <w:rPr>
                <w:rFonts w:ascii="Arial Narrow" w:eastAsia="Times New Roman" w:hAnsi="Arial Narrow" w:cs="Arial"/>
                <w:strike/>
                <w:sz w:val="20"/>
                <w:szCs w:val="20"/>
                <w:u w:val="single"/>
                <w:lang w:eastAsia="en-AU"/>
              </w:rPr>
              <w:t>GCA</w:t>
            </w:r>
            <w:r w:rsidRPr="00145749">
              <w:rPr>
                <w:rFonts w:ascii="Arial Narrow" w:eastAsia="Times New Roman" w:hAnsi="Arial Narrow" w:cs="Arial"/>
                <w:sz w:val="20"/>
                <w:szCs w:val="20"/>
                <w:u w:val="single"/>
                <w:lang w:eastAsia="en-AU"/>
              </w:rPr>
              <w:t xml:space="preserve"> diagnosis criteria</w:t>
            </w:r>
          </w:p>
          <w:p w:rsidR="00A130DC" w:rsidRPr="00145749" w:rsidRDefault="00A130DC" w:rsidP="00A130DC">
            <w:pPr>
              <w:rPr>
                <w:rFonts w:ascii="Arial Narrow" w:eastAsia="Times New Roman" w:hAnsi="Arial Narrow" w:cs="Arial"/>
                <w:sz w:val="20"/>
                <w:szCs w:val="20"/>
                <w:u w:val="single"/>
                <w:lang w:eastAsia="en-AU"/>
              </w:rPr>
            </w:pP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Clinical signs and symptoms</w:t>
            </w:r>
            <w:r w:rsidR="00330999">
              <w:rPr>
                <w:rFonts w:ascii="Arial Narrow" w:eastAsia="Times New Roman" w:hAnsi="Arial Narrow" w:cs="Arial"/>
                <w:i/>
                <w:sz w:val="20"/>
                <w:szCs w:val="20"/>
                <w:lang w:eastAsia="en-AU"/>
              </w:rPr>
              <w:t xml:space="preserve"> of</w:t>
            </w:r>
            <w:r w:rsidRPr="00C23947">
              <w:rPr>
                <w:rFonts w:ascii="Arial Narrow" w:eastAsia="Times New Roman" w:hAnsi="Arial Narrow" w:cs="Arial"/>
                <w:i/>
                <w:sz w:val="20"/>
                <w:szCs w:val="20"/>
                <w:lang w:eastAsia="en-AU"/>
              </w:rPr>
              <w:t xml:space="preserve"> </w:t>
            </w:r>
            <w:r w:rsidR="00330999" w:rsidRPr="00330999">
              <w:rPr>
                <w:rFonts w:ascii="Arial Narrow" w:eastAsia="Times New Roman" w:hAnsi="Arial Narrow" w:cs="Arial"/>
                <w:i/>
                <w:sz w:val="20"/>
                <w:szCs w:val="20"/>
                <w:lang w:eastAsia="en-AU"/>
              </w:rPr>
              <w:t xml:space="preserve">active giant cell arteritis </w:t>
            </w:r>
            <w:r w:rsidR="00330999">
              <w:rPr>
                <w:rFonts w:ascii="Arial Narrow" w:eastAsia="Times New Roman" w:hAnsi="Arial Narrow" w:cs="Arial"/>
                <w:i/>
                <w:sz w:val="20"/>
                <w:szCs w:val="20"/>
                <w:lang w:eastAsia="en-AU"/>
              </w:rPr>
              <w:t xml:space="preserve">must be in the absence of any other identifiable cause and </w:t>
            </w:r>
            <w:r w:rsidRPr="00C23947">
              <w:rPr>
                <w:rFonts w:ascii="Arial Narrow" w:eastAsia="Times New Roman" w:hAnsi="Arial Narrow" w:cs="Arial"/>
                <w:i/>
                <w:sz w:val="20"/>
                <w:szCs w:val="20"/>
                <w:lang w:eastAsia="en-AU"/>
              </w:rPr>
              <w:t>must include:</w:t>
            </w:r>
          </w:p>
          <w:p w:rsidR="00A130DC" w:rsidRPr="00EE1044" w:rsidRDefault="00A130DC" w:rsidP="00A130DC">
            <w:pPr>
              <w:numPr>
                <w:ilvl w:val="0"/>
                <w:numId w:val="22"/>
              </w:numPr>
              <w:rPr>
                <w:rFonts w:ascii="Arial Narrow" w:eastAsia="Times New Roman" w:hAnsi="Arial Narrow" w:cs="Arial"/>
                <w:sz w:val="20"/>
                <w:szCs w:val="20"/>
                <w:lang w:eastAsia="en-AU"/>
              </w:rPr>
            </w:pPr>
            <w:r w:rsidRPr="00EE1044">
              <w:rPr>
                <w:rFonts w:ascii="Arial Narrow" w:eastAsia="Times New Roman" w:hAnsi="Arial Narrow" w:cs="Arial"/>
                <w:sz w:val="20"/>
                <w:szCs w:val="20"/>
                <w:lang w:eastAsia="en-AU"/>
              </w:rPr>
              <w:t>Age ≥ 50 years</w:t>
            </w:r>
          </w:p>
          <w:p w:rsidR="00A130DC" w:rsidRPr="00145749" w:rsidRDefault="00A130DC" w:rsidP="00A130DC">
            <w:pPr>
              <w:numPr>
                <w:ilvl w:val="0"/>
                <w:numId w:val="22"/>
              </w:numPr>
              <w:rPr>
                <w:rFonts w:ascii="Arial Narrow" w:eastAsia="Times New Roman" w:hAnsi="Arial Narrow" w:cs="Arial"/>
                <w:sz w:val="20"/>
                <w:szCs w:val="20"/>
                <w:lang w:eastAsia="en-AU"/>
              </w:rPr>
            </w:pPr>
            <w:r w:rsidRPr="00073352">
              <w:rPr>
                <w:rFonts w:ascii="Arial Narrow" w:eastAsia="Times New Roman" w:hAnsi="Arial Narrow" w:cs="Arial"/>
                <w:strike/>
                <w:sz w:val="20"/>
                <w:szCs w:val="20"/>
                <w:lang w:eastAsia="en-AU"/>
              </w:rPr>
              <w:t>History of</w:t>
            </w:r>
            <w:r w:rsidRPr="00145749">
              <w:rPr>
                <w:rFonts w:ascii="Arial Narrow" w:eastAsia="Times New Roman" w:hAnsi="Arial Narrow" w:cs="Arial"/>
                <w:sz w:val="20"/>
                <w:szCs w:val="20"/>
                <w:lang w:eastAsia="en-AU"/>
              </w:rPr>
              <w:t xml:space="preserve"> ESR ≥ 50 mm/hour</w:t>
            </w:r>
            <w:r>
              <w:rPr>
                <w:rFonts w:ascii="Arial Narrow" w:eastAsia="Times New Roman" w:hAnsi="Arial Narrow" w:cs="Arial"/>
                <w:sz w:val="20"/>
                <w:szCs w:val="20"/>
                <w:lang w:eastAsia="en-AU"/>
              </w:rPr>
              <w:t xml:space="preserve"> </w:t>
            </w:r>
            <w:r>
              <w:rPr>
                <w:rFonts w:ascii="Arial Narrow" w:eastAsia="Times New Roman" w:hAnsi="Arial Narrow" w:cs="Arial"/>
                <w:i/>
                <w:sz w:val="20"/>
                <w:szCs w:val="20"/>
                <w:lang w:eastAsia="en-AU"/>
              </w:rPr>
              <w:t xml:space="preserve">or CRP </w:t>
            </w:r>
            <w:r w:rsidRPr="00073352">
              <w:rPr>
                <w:rFonts w:ascii="Arial Narrow" w:eastAsia="Times New Roman" w:hAnsi="Arial Narrow" w:cs="Arial"/>
                <w:i/>
                <w:sz w:val="20"/>
                <w:szCs w:val="20"/>
                <w:lang w:eastAsia="en-AU"/>
              </w:rPr>
              <w:t>≥24</w:t>
            </w:r>
            <w:r w:rsidR="00C23947">
              <w:rPr>
                <w:rFonts w:ascii="Arial Narrow" w:eastAsia="Times New Roman" w:hAnsi="Arial Narrow" w:cs="Arial"/>
                <w:i/>
                <w:sz w:val="20"/>
                <w:szCs w:val="20"/>
                <w:lang w:eastAsia="en-AU"/>
              </w:rPr>
              <w:t>.</w:t>
            </w:r>
            <w:r w:rsidRPr="00073352">
              <w:rPr>
                <w:rFonts w:ascii="Arial Narrow" w:eastAsia="Times New Roman" w:hAnsi="Arial Narrow" w:cs="Arial"/>
                <w:i/>
                <w:sz w:val="20"/>
                <w:szCs w:val="20"/>
                <w:lang w:eastAsia="en-AU"/>
              </w:rPr>
              <w:t>5 mg/L</w:t>
            </w:r>
            <w:r>
              <w:rPr>
                <w:rFonts w:ascii="Arial Narrow" w:eastAsia="Times New Roman" w:hAnsi="Arial Narrow" w:cs="Arial"/>
                <w:i/>
                <w:sz w:val="20"/>
                <w:szCs w:val="20"/>
                <w:lang w:eastAsia="en-AU"/>
              </w:rPr>
              <w:t xml:space="preserve"> at time of diagnosis</w:t>
            </w:r>
          </w:p>
          <w:p w:rsidR="00A130DC" w:rsidRPr="00073352" w:rsidRDefault="00A130DC" w:rsidP="00A130DC">
            <w:pPr>
              <w:rPr>
                <w:rFonts w:ascii="Arial Narrow" w:eastAsia="Times New Roman" w:hAnsi="Arial Narrow" w:cs="Arial"/>
                <w:strike/>
                <w:sz w:val="20"/>
                <w:szCs w:val="20"/>
                <w:lang w:eastAsia="en-AU"/>
              </w:rPr>
            </w:pPr>
            <w:r w:rsidRPr="00073352">
              <w:rPr>
                <w:rFonts w:ascii="Arial Narrow" w:eastAsia="Times New Roman" w:hAnsi="Arial Narrow" w:cs="Arial"/>
                <w:strike/>
                <w:sz w:val="20"/>
                <w:szCs w:val="20"/>
                <w:lang w:eastAsia="en-AU"/>
              </w:rPr>
              <w:t>If historic ESR unavailable, a history of CRP ≥2.45 mg/</w:t>
            </w:r>
            <w:proofErr w:type="spellStart"/>
            <w:r w:rsidRPr="00073352">
              <w:rPr>
                <w:rFonts w:ascii="Arial Narrow" w:eastAsia="Times New Roman" w:hAnsi="Arial Narrow" w:cs="Arial"/>
                <w:strike/>
                <w:sz w:val="20"/>
                <w:szCs w:val="20"/>
                <w:lang w:eastAsia="en-AU"/>
              </w:rPr>
              <w:t>dL</w:t>
            </w:r>
            <w:proofErr w:type="spellEnd"/>
            <w:r w:rsidRPr="00073352">
              <w:rPr>
                <w:rFonts w:ascii="Arial Narrow" w:eastAsia="Times New Roman" w:hAnsi="Arial Narrow" w:cs="Arial"/>
                <w:strike/>
                <w:sz w:val="20"/>
                <w:szCs w:val="20"/>
                <w:lang w:eastAsia="en-AU"/>
              </w:rPr>
              <w:t xml:space="preserve"> required.</w:t>
            </w:r>
          </w:p>
          <w:p w:rsidR="00A130DC" w:rsidRPr="00145749" w:rsidRDefault="00A130DC" w:rsidP="00A130DC">
            <w:pPr>
              <w:rPr>
                <w:rFonts w:ascii="Arial Narrow" w:eastAsia="Times New Roman" w:hAnsi="Arial Narrow" w:cs="Arial"/>
                <w:sz w:val="20"/>
                <w:szCs w:val="20"/>
                <w:lang w:eastAsia="en-AU"/>
              </w:rPr>
            </w:pPr>
          </w:p>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AND at least one of the following:</w:t>
            </w:r>
          </w:p>
          <w:p w:rsidR="00A130DC" w:rsidRPr="00145749" w:rsidRDefault="00A130DC" w:rsidP="00A130DC">
            <w:pPr>
              <w:numPr>
                <w:ilvl w:val="0"/>
                <w:numId w:val="22"/>
              </w:num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 xml:space="preserve">Unequivocal cranial symptoms of </w:t>
            </w:r>
            <w:r w:rsidR="00FC3310">
              <w:rPr>
                <w:rFonts w:ascii="Arial Narrow" w:eastAsia="Times New Roman" w:hAnsi="Arial Narrow" w:cs="Arial"/>
                <w:sz w:val="20"/>
                <w:szCs w:val="20"/>
                <w:lang w:eastAsia="en-AU"/>
              </w:rPr>
              <w:t>g</w:t>
            </w:r>
            <w:r w:rsidR="0064257B">
              <w:rPr>
                <w:rFonts w:ascii="Arial Narrow" w:eastAsia="Times New Roman" w:hAnsi="Arial Narrow" w:cs="Arial"/>
                <w:sz w:val="20"/>
                <w:szCs w:val="20"/>
                <w:lang w:eastAsia="en-AU"/>
              </w:rPr>
              <w:t>ia</w:t>
            </w:r>
            <w:r w:rsidR="00FC3310">
              <w:rPr>
                <w:rFonts w:ascii="Arial Narrow" w:eastAsia="Times New Roman" w:hAnsi="Arial Narrow" w:cs="Arial"/>
                <w:sz w:val="20"/>
                <w:szCs w:val="20"/>
                <w:lang w:eastAsia="en-AU"/>
              </w:rPr>
              <w:t>nt cell arteritis</w:t>
            </w:r>
            <w:r w:rsidR="00FC3310" w:rsidRPr="00145749">
              <w:rPr>
                <w:rFonts w:ascii="Arial Narrow" w:eastAsia="Times New Roman" w:hAnsi="Arial Narrow" w:cs="Arial"/>
                <w:sz w:val="20"/>
                <w:szCs w:val="20"/>
                <w:lang w:eastAsia="en-AU"/>
              </w:rPr>
              <w:t xml:space="preserve"> </w:t>
            </w:r>
            <w:r w:rsidRPr="00145749">
              <w:rPr>
                <w:rFonts w:ascii="Arial Narrow" w:eastAsia="Times New Roman" w:hAnsi="Arial Narrow" w:cs="Arial"/>
                <w:sz w:val="20"/>
                <w:szCs w:val="20"/>
                <w:lang w:eastAsia="en-AU"/>
              </w:rPr>
              <w:t>(new</w:t>
            </w:r>
            <w:r w:rsidRPr="00145749">
              <w:rPr>
                <w:rFonts w:ascii="Arial Narrow" w:eastAsia="Times New Roman" w:hAnsi="Arial Narrow" w:cs="Arial"/>
                <w:sz w:val="20"/>
                <w:szCs w:val="20"/>
                <w:lang w:eastAsia="en-AU"/>
              </w:rPr>
              <w:noBreakHyphen/>
              <w:t xml:space="preserve">onset localized headache, scalp tenderness, temporal artery tenderness or decreased pulsation, ischemia-related vision loss, or otherwise unexplained mouth or jaw pain upon mastication); </w:t>
            </w:r>
          </w:p>
          <w:p w:rsidR="00A130DC" w:rsidRPr="00145749" w:rsidRDefault="00A130DC" w:rsidP="00A130DC">
            <w:pPr>
              <w:ind w:left="720"/>
              <w:rPr>
                <w:rFonts w:ascii="Arial Narrow" w:eastAsia="Times New Roman" w:hAnsi="Arial Narrow" w:cs="Arial"/>
                <w:i/>
                <w:sz w:val="20"/>
                <w:szCs w:val="20"/>
                <w:lang w:eastAsia="en-AU"/>
              </w:rPr>
            </w:pPr>
            <w:r w:rsidRPr="00145749">
              <w:rPr>
                <w:rFonts w:ascii="Arial Narrow" w:eastAsia="Times New Roman" w:hAnsi="Arial Narrow" w:cs="Arial"/>
                <w:i/>
                <w:sz w:val="20"/>
                <w:szCs w:val="20"/>
                <w:lang w:eastAsia="en-AU"/>
              </w:rPr>
              <w:t>OR</w:t>
            </w:r>
          </w:p>
          <w:p w:rsidR="00A130DC" w:rsidRPr="00145749" w:rsidRDefault="00A130DC" w:rsidP="00A130DC">
            <w:pPr>
              <w:numPr>
                <w:ilvl w:val="0"/>
                <w:numId w:val="22"/>
              </w:num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 xml:space="preserve">Symptoms of </w:t>
            </w:r>
            <w:r w:rsidRPr="00EA4C04">
              <w:rPr>
                <w:rFonts w:ascii="Arial Narrow" w:eastAsia="Times New Roman" w:hAnsi="Arial Narrow" w:cs="Arial"/>
                <w:sz w:val="20"/>
                <w:szCs w:val="20"/>
                <w:lang w:eastAsia="en-AU"/>
              </w:rPr>
              <w:t xml:space="preserve">polymyalgia </w:t>
            </w:r>
            <w:proofErr w:type="spellStart"/>
            <w:r w:rsidR="00C23947" w:rsidRPr="00EA4C04">
              <w:rPr>
                <w:rFonts w:ascii="Arial Narrow" w:eastAsia="Times New Roman" w:hAnsi="Arial Narrow" w:cs="Arial"/>
                <w:sz w:val="20"/>
                <w:szCs w:val="20"/>
                <w:lang w:eastAsia="en-AU"/>
              </w:rPr>
              <w:t>rheumatic</w:t>
            </w:r>
            <w:r w:rsidR="00FC3310">
              <w:rPr>
                <w:rFonts w:ascii="Arial Narrow" w:eastAsia="Times New Roman" w:hAnsi="Arial Narrow" w:cs="Arial"/>
                <w:sz w:val="20"/>
                <w:szCs w:val="20"/>
                <w:lang w:eastAsia="en-AU"/>
              </w:rPr>
              <w:t>a</w:t>
            </w:r>
            <w:proofErr w:type="spellEnd"/>
            <w:r w:rsidRPr="00145749">
              <w:rPr>
                <w:rFonts w:ascii="Arial Narrow" w:eastAsia="Times New Roman" w:hAnsi="Arial Narrow" w:cs="Arial"/>
                <w:sz w:val="20"/>
                <w:szCs w:val="20"/>
                <w:lang w:eastAsia="en-AU"/>
              </w:rPr>
              <w:t>, defined as shoulder and/or hip girdle pain associated with inflammatory morning stiffness</w:t>
            </w:r>
          </w:p>
          <w:p w:rsidR="00A130DC" w:rsidRPr="00145749" w:rsidRDefault="00A130DC" w:rsidP="00A130DC">
            <w:pPr>
              <w:ind w:left="720"/>
              <w:rPr>
                <w:rFonts w:ascii="Arial Narrow" w:eastAsia="Times New Roman" w:hAnsi="Arial Narrow" w:cs="Arial"/>
                <w:sz w:val="20"/>
                <w:szCs w:val="20"/>
                <w:lang w:eastAsia="en-AU"/>
              </w:rPr>
            </w:pPr>
          </w:p>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AND at least one of the following:</w:t>
            </w:r>
          </w:p>
          <w:p w:rsidR="00A130DC" w:rsidRPr="00145749" w:rsidRDefault="00A130DC" w:rsidP="00A130DC">
            <w:pPr>
              <w:numPr>
                <w:ilvl w:val="0"/>
                <w:numId w:val="22"/>
              </w:num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 xml:space="preserve">Temporal artery biopsy revealing features of </w:t>
            </w:r>
            <w:r w:rsidRPr="00EA4C04">
              <w:rPr>
                <w:rFonts w:ascii="Arial Narrow" w:eastAsia="Times New Roman" w:hAnsi="Arial Narrow" w:cs="Arial"/>
                <w:sz w:val="20"/>
                <w:szCs w:val="20"/>
                <w:lang w:eastAsia="en-AU"/>
              </w:rPr>
              <w:t>giant cell arteritis</w:t>
            </w:r>
            <w:r w:rsidRPr="00145749">
              <w:rPr>
                <w:rFonts w:ascii="Arial Narrow" w:eastAsia="Times New Roman" w:hAnsi="Arial Narrow" w:cs="Arial"/>
                <w:sz w:val="20"/>
                <w:szCs w:val="20"/>
                <w:lang w:eastAsia="en-AU"/>
              </w:rPr>
              <w:t xml:space="preserve">; </w:t>
            </w:r>
          </w:p>
          <w:p w:rsidR="00A130DC" w:rsidRPr="00145749" w:rsidRDefault="00A130DC" w:rsidP="00A130DC">
            <w:pPr>
              <w:ind w:left="720"/>
              <w:rPr>
                <w:rFonts w:ascii="Arial Narrow" w:eastAsia="Times New Roman" w:hAnsi="Arial Narrow" w:cs="Arial"/>
                <w:sz w:val="20"/>
                <w:szCs w:val="20"/>
                <w:lang w:eastAsia="en-AU"/>
              </w:rPr>
            </w:pPr>
            <w:r w:rsidRPr="00145749">
              <w:rPr>
                <w:rFonts w:ascii="Arial Narrow" w:eastAsia="Times New Roman" w:hAnsi="Arial Narrow" w:cs="Arial"/>
                <w:i/>
                <w:sz w:val="20"/>
                <w:szCs w:val="20"/>
                <w:lang w:eastAsia="en-AU"/>
              </w:rPr>
              <w:t>OR</w:t>
            </w:r>
          </w:p>
          <w:p w:rsidR="00A130DC" w:rsidRPr="00145749" w:rsidRDefault="00A130DC" w:rsidP="00C23947">
            <w:pPr>
              <w:numPr>
                <w:ilvl w:val="0"/>
                <w:numId w:val="22"/>
              </w:num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 xml:space="preserve">Evidence of large-vessel vasculitis by </w:t>
            </w:r>
            <w:r>
              <w:rPr>
                <w:rFonts w:ascii="Arial Narrow" w:eastAsia="Times New Roman" w:hAnsi="Arial Narrow" w:cs="Arial"/>
                <w:i/>
                <w:sz w:val="20"/>
                <w:szCs w:val="20"/>
                <w:lang w:eastAsia="en-AU"/>
              </w:rPr>
              <w:t xml:space="preserve">MR or CT </w:t>
            </w:r>
            <w:r w:rsidRPr="00145749">
              <w:rPr>
                <w:rFonts w:ascii="Arial Narrow" w:eastAsia="Times New Roman" w:hAnsi="Arial Narrow" w:cs="Arial"/>
                <w:sz w:val="20"/>
                <w:szCs w:val="20"/>
                <w:lang w:eastAsia="en-AU"/>
              </w:rPr>
              <w:t>angiography or</w:t>
            </w:r>
            <w:r w:rsidR="00C23947">
              <w:rPr>
                <w:rFonts w:ascii="Arial Narrow" w:eastAsia="Times New Roman" w:hAnsi="Arial Narrow" w:cs="Arial"/>
                <w:sz w:val="20"/>
                <w:szCs w:val="20"/>
                <w:lang w:eastAsia="en-AU"/>
              </w:rPr>
              <w:t xml:space="preserve"> </w:t>
            </w:r>
            <w:r w:rsidR="00C23947" w:rsidRPr="00073352">
              <w:rPr>
                <w:rFonts w:ascii="Arial Narrow" w:eastAsia="Times New Roman" w:hAnsi="Arial Narrow" w:cs="Arial"/>
                <w:i/>
                <w:sz w:val="20"/>
                <w:szCs w:val="20"/>
                <w:lang w:eastAsia="en-AU"/>
              </w:rPr>
              <w:t>PET/CT</w:t>
            </w:r>
            <w:r w:rsidRPr="00073352">
              <w:rPr>
                <w:rFonts w:ascii="Arial Narrow" w:eastAsia="Times New Roman" w:hAnsi="Arial Narrow" w:cs="Arial"/>
                <w:strike/>
                <w:sz w:val="20"/>
                <w:szCs w:val="20"/>
                <w:lang w:eastAsia="en-AU"/>
              </w:rPr>
              <w:t xml:space="preserve"> imaging study</w:t>
            </w:r>
          </w:p>
        </w:tc>
      </w:tr>
      <w:tr w:rsidR="00A130DC" w:rsidRPr="00145749" w:rsidTr="00A130DC">
        <w:trPr>
          <w:cantSplit/>
          <w:trHeight w:val="360"/>
        </w:trPr>
        <w:tc>
          <w:tcPr>
            <w:tcW w:w="2268"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i/>
                <w:sz w:val="20"/>
                <w:szCs w:val="20"/>
                <w:lang w:eastAsia="en-AU"/>
              </w:rPr>
            </w:pPr>
            <w:r w:rsidRPr="00145749">
              <w:rPr>
                <w:rFonts w:ascii="Arial Narrow" w:eastAsia="Times New Roman" w:hAnsi="Arial Narrow" w:cs="Arial"/>
                <w:b/>
                <w:sz w:val="20"/>
                <w:szCs w:val="20"/>
                <w:lang w:eastAsia="en-AU"/>
              </w:rPr>
              <w:lastRenderedPageBreak/>
              <w:t>Administrative Advice</w:t>
            </w:r>
          </w:p>
          <w:p w:rsidR="00A130DC" w:rsidRPr="00145749" w:rsidRDefault="00A130DC" w:rsidP="00A130DC">
            <w:pPr>
              <w:jc w:val="both"/>
              <w:rPr>
                <w:rFonts w:ascii="Arial Narrow" w:eastAsia="Times New Roman" w:hAnsi="Arial Narrow" w:cs="Arial"/>
                <w:i/>
                <w:sz w:val="20"/>
                <w:szCs w:val="20"/>
                <w:lang w:eastAsia="en-AU"/>
              </w:rPr>
            </w:pPr>
          </w:p>
        </w:tc>
        <w:tc>
          <w:tcPr>
            <w:tcW w:w="6946" w:type="dxa"/>
            <w:gridSpan w:val="7"/>
            <w:tcBorders>
              <w:top w:val="single" w:sz="4" w:space="0" w:color="auto"/>
              <w:left w:val="single" w:sz="4" w:space="0" w:color="auto"/>
              <w:bottom w:val="single" w:sz="4" w:space="0" w:color="auto"/>
              <w:right w:val="single" w:sz="4" w:space="0" w:color="auto"/>
            </w:tcBorders>
          </w:tcPr>
          <w:p w:rsidR="00C23947" w:rsidRPr="00C23947" w:rsidRDefault="00C23947" w:rsidP="00C23947">
            <w:pPr>
              <w:rPr>
                <w:rFonts w:ascii="Arial Narrow" w:eastAsia="Times New Roman" w:hAnsi="Arial Narrow" w:cs="Arial"/>
                <w:sz w:val="20"/>
                <w:szCs w:val="20"/>
                <w:lang w:eastAsia="en-AU"/>
              </w:rPr>
            </w:pPr>
            <w:r w:rsidRPr="00C23947">
              <w:rPr>
                <w:rFonts w:ascii="Arial Narrow" w:eastAsia="Times New Roman" w:hAnsi="Arial Narrow" w:cs="Arial"/>
                <w:sz w:val="20"/>
                <w:szCs w:val="20"/>
                <w:lang w:eastAsia="en-AU"/>
              </w:rPr>
              <w:t>Up to a maximum of</w:t>
            </w:r>
            <w:r w:rsidRPr="00C23947">
              <w:rPr>
                <w:rFonts w:ascii="Arial Narrow" w:eastAsia="Times New Roman" w:hAnsi="Arial Narrow" w:cs="Arial"/>
                <w:i/>
                <w:sz w:val="20"/>
                <w:szCs w:val="20"/>
                <w:lang w:eastAsia="en-AU"/>
              </w:rPr>
              <w:t xml:space="preserve"> </w:t>
            </w:r>
            <w:r>
              <w:rPr>
                <w:rFonts w:ascii="Arial Narrow" w:eastAsia="Times New Roman" w:hAnsi="Arial Narrow" w:cs="Arial"/>
                <w:i/>
                <w:sz w:val="20"/>
                <w:szCs w:val="20"/>
                <w:lang w:eastAsia="en-AU"/>
              </w:rPr>
              <w:t>1</w:t>
            </w:r>
            <w:r w:rsidRPr="00C23947">
              <w:rPr>
                <w:rFonts w:ascii="Arial Narrow" w:eastAsia="Times New Roman" w:hAnsi="Arial Narrow" w:cs="Arial"/>
                <w:i/>
                <w:sz w:val="20"/>
                <w:szCs w:val="20"/>
                <w:lang w:eastAsia="en-AU"/>
              </w:rPr>
              <w:t xml:space="preserve">2 </w:t>
            </w:r>
            <w:r>
              <w:rPr>
                <w:rFonts w:ascii="Arial Narrow" w:eastAsia="Times New Roman" w:hAnsi="Arial Narrow" w:cs="Arial"/>
                <w:i/>
                <w:sz w:val="20"/>
                <w:szCs w:val="20"/>
                <w:lang w:eastAsia="en-AU"/>
              </w:rPr>
              <w:t>months of therapy</w:t>
            </w:r>
            <w:r w:rsidRPr="00C23947">
              <w:rPr>
                <w:rFonts w:ascii="Arial Narrow" w:eastAsia="Times New Roman" w:hAnsi="Arial Narrow" w:cs="Arial"/>
                <w:i/>
                <w:sz w:val="20"/>
                <w:szCs w:val="20"/>
                <w:lang w:eastAsia="en-AU"/>
              </w:rPr>
              <w:t xml:space="preserve"> </w:t>
            </w:r>
            <w:r w:rsidRPr="00C23947">
              <w:rPr>
                <w:rFonts w:ascii="Arial Narrow" w:eastAsia="Times New Roman" w:hAnsi="Arial Narrow" w:cs="Arial"/>
                <w:strike/>
                <w:sz w:val="20"/>
                <w:szCs w:val="20"/>
                <w:lang w:eastAsia="en-AU"/>
              </w:rPr>
              <w:t xml:space="preserve">52 injections </w:t>
            </w:r>
            <w:r>
              <w:rPr>
                <w:rFonts w:ascii="Arial Narrow" w:eastAsia="Times New Roman" w:hAnsi="Arial Narrow" w:cs="Arial"/>
                <w:sz w:val="20"/>
                <w:szCs w:val="20"/>
                <w:lang w:eastAsia="en-AU"/>
              </w:rPr>
              <w:t xml:space="preserve"> </w:t>
            </w:r>
            <w:r w:rsidRPr="00C23947">
              <w:rPr>
                <w:rFonts w:ascii="Arial Narrow" w:eastAsia="Times New Roman" w:hAnsi="Arial Narrow" w:cs="Arial"/>
                <w:sz w:val="20"/>
                <w:szCs w:val="20"/>
                <w:lang w:eastAsia="en-AU"/>
              </w:rPr>
              <w:t>will be reimbursed through the PBS</w:t>
            </w:r>
          </w:p>
          <w:p w:rsidR="0074437B" w:rsidRPr="00C23947" w:rsidRDefault="0074437B" w:rsidP="00A130DC">
            <w:pPr>
              <w:rPr>
                <w:rFonts w:ascii="Arial Narrow" w:eastAsia="Times New Roman" w:hAnsi="Arial Narrow" w:cs="Arial"/>
                <w:i/>
                <w:strike/>
                <w:sz w:val="20"/>
                <w:szCs w:val="20"/>
                <w:lang w:eastAsia="en-AU"/>
              </w:rPr>
            </w:pP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The authority application must be made in writing and must include:</w:t>
            </w: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(1) a completed authority prescription form;</w:t>
            </w: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(2) a completed Giant Cell Arteritis - Supporting Information Form; and</w:t>
            </w: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 xml:space="preserve">(3) documentation that the patient has active </w:t>
            </w:r>
            <w:r w:rsidR="00FC3310">
              <w:rPr>
                <w:rFonts w:ascii="Arial Narrow" w:eastAsia="Times New Roman" w:hAnsi="Arial Narrow" w:cs="Arial"/>
                <w:i/>
                <w:sz w:val="20"/>
                <w:szCs w:val="20"/>
                <w:lang w:eastAsia="en-AU"/>
              </w:rPr>
              <w:t>giant cell arteritis</w:t>
            </w:r>
            <w:r w:rsidR="00FC3310" w:rsidRPr="00C23947">
              <w:rPr>
                <w:rFonts w:ascii="Arial Narrow" w:eastAsia="Times New Roman" w:hAnsi="Arial Narrow" w:cs="Arial"/>
                <w:i/>
                <w:sz w:val="20"/>
                <w:szCs w:val="20"/>
                <w:lang w:eastAsia="en-AU"/>
              </w:rPr>
              <w:t xml:space="preserve"> </w:t>
            </w:r>
            <w:r w:rsidRPr="00C23947">
              <w:rPr>
                <w:rFonts w:ascii="Arial Narrow" w:eastAsia="Times New Roman" w:hAnsi="Arial Narrow" w:cs="Arial"/>
                <w:i/>
                <w:sz w:val="20"/>
                <w:szCs w:val="20"/>
                <w:lang w:eastAsia="en-AU"/>
              </w:rPr>
              <w:t>including pathology reports outlining the patient’s ESR and CRP levels, or positive temporal artery biopsy or imaging within the last 6 weeks.</w:t>
            </w:r>
          </w:p>
          <w:p w:rsidR="00A130DC" w:rsidRPr="00C23947" w:rsidRDefault="00A130DC" w:rsidP="00A130DC">
            <w:pPr>
              <w:rPr>
                <w:rFonts w:ascii="Arial Narrow" w:eastAsia="Times New Roman" w:hAnsi="Arial Narrow" w:cs="Arial"/>
                <w:i/>
                <w:sz w:val="20"/>
                <w:szCs w:val="20"/>
                <w:lang w:eastAsia="en-AU"/>
              </w:rPr>
            </w:pP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 xml:space="preserve">Any queries concerning the arrangements to prescribe may be directed to the Department of Human Services on 1800 700 270 (hours of operation 8 a.m. to 5 p.m. EST Monday to Friday). </w:t>
            </w:r>
          </w:p>
          <w:p w:rsidR="00A130DC" w:rsidRPr="00C23947" w:rsidRDefault="00A130DC" w:rsidP="00A130DC">
            <w:pPr>
              <w:rPr>
                <w:rFonts w:ascii="Arial Narrow" w:eastAsia="Times New Roman" w:hAnsi="Arial Narrow" w:cs="Arial"/>
                <w:i/>
                <w:sz w:val="20"/>
                <w:szCs w:val="20"/>
                <w:lang w:eastAsia="en-AU"/>
              </w:rPr>
            </w:pP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 xml:space="preserve">Prescribing information (including Authority Application forms and other relevant documentation as applicable) is available on the Department of Human Services website at www.humanservices.gov.au </w:t>
            </w:r>
          </w:p>
          <w:p w:rsidR="00A130DC" w:rsidRPr="00C23947" w:rsidRDefault="00A130DC" w:rsidP="00A130DC">
            <w:pPr>
              <w:rPr>
                <w:rFonts w:ascii="Arial Narrow" w:eastAsia="Times New Roman" w:hAnsi="Arial Narrow" w:cs="Arial"/>
                <w:i/>
                <w:sz w:val="20"/>
                <w:szCs w:val="20"/>
                <w:lang w:eastAsia="en-AU"/>
              </w:rPr>
            </w:pP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 xml:space="preserve">Applications for authority to prescribe should be forwarded to: </w:t>
            </w: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Department of Human Services</w:t>
            </w: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 xml:space="preserve">Complex Drugs </w:t>
            </w:r>
          </w:p>
          <w:p w:rsidR="00A130DC" w:rsidRPr="00C23947" w:rsidRDefault="00A130DC" w:rsidP="00A130DC">
            <w:pPr>
              <w:rPr>
                <w:rFonts w:ascii="Arial Narrow" w:eastAsia="Times New Roman" w:hAnsi="Arial Narrow" w:cs="Arial"/>
                <w:i/>
                <w:sz w:val="20"/>
                <w:szCs w:val="20"/>
                <w:lang w:eastAsia="en-AU"/>
              </w:rPr>
            </w:pPr>
            <w:r w:rsidRPr="00C23947">
              <w:rPr>
                <w:rFonts w:ascii="Arial Narrow" w:eastAsia="Times New Roman" w:hAnsi="Arial Narrow" w:cs="Arial"/>
                <w:i/>
                <w:sz w:val="20"/>
                <w:szCs w:val="20"/>
                <w:lang w:eastAsia="en-AU"/>
              </w:rPr>
              <w:t xml:space="preserve">Reply Paid 9826 </w:t>
            </w:r>
          </w:p>
          <w:p w:rsidR="00A130DC" w:rsidRPr="000D4B93" w:rsidRDefault="00A130DC" w:rsidP="00A130DC">
            <w:pPr>
              <w:rPr>
                <w:rFonts w:ascii="Arial Narrow" w:eastAsia="Times New Roman" w:hAnsi="Arial Narrow" w:cs="Arial"/>
                <w:sz w:val="20"/>
                <w:szCs w:val="20"/>
                <w:lang w:eastAsia="en-AU"/>
              </w:rPr>
            </w:pPr>
            <w:r w:rsidRPr="00C23947">
              <w:rPr>
                <w:rFonts w:ascii="Arial Narrow" w:eastAsia="Times New Roman" w:hAnsi="Arial Narrow" w:cs="Arial"/>
                <w:i/>
                <w:sz w:val="20"/>
                <w:szCs w:val="20"/>
                <w:lang w:eastAsia="en-AU"/>
              </w:rPr>
              <w:t>HOBART TAS 7001</w:t>
            </w:r>
            <w:r w:rsidRPr="000D4B93">
              <w:rPr>
                <w:rFonts w:ascii="Arial Narrow" w:eastAsia="Times New Roman" w:hAnsi="Arial Narrow" w:cs="Arial"/>
                <w:sz w:val="20"/>
                <w:szCs w:val="20"/>
                <w:lang w:eastAsia="en-AU"/>
              </w:rPr>
              <w:t xml:space="preserve"> </w:t>
            </w:r>
          </w:p>
        </w:tc>
      </w:tr>
    </w:tbl>
    <w:p w:rsidR="00A130DC" w:rsidRPr="00145749" w:rsidRDefault="00A130DC" w:rsidP="00A130DC">
      <w:pPr>
        <w:rPr>
          <w:rFonts w:ascii="Calibri" w:eastAsia="Times New Roman" w:hAnsi="Calibri" w:cs="Arial"/>
          <w:sz w:val="22"/>
          <w:lang w:eastAsia="en-AU"/>
        </w:rPr>
      </w:pPr>
    </w:p>
    <w:tbl>
      <w:tblPr>
        <w:tblW w:w="9214" w:type="dxa"/>
        <w:tblInd w:w="108" w:type="dxa"/>
        <w:tblLayout w:type="fixed"/>
        <w:tblLook w:val="0000" w:firstRow="0" w:lastRow="0" w:firstColumn="0" w:lastColumn="0" w:noHBand="0" w:noVBand="0"/>
      </w:tblPr>
      <w:tblGrid>
        <w:gridCol w:w="1985"/>
        <w:gridCol w:w="1276"/>
        <w:gridCol w:w="850"/>
        <w:gridCol w:w="851"/>
        <w:gridCol w:w="567"/>
        <w:gridCol w:w="1417"/>
        <w:gridCol w:w="992"/>
        <w:gridCol w:w="1276"/>
      </w:tblGrid>
      <w:tr w:rsidR="00A130DC" w:rsidRPr="00145749" w:rsidTr="00A130DC">
        <w:trPr>
          <w:cantSplit/>
          <w:trHeight w:val="471"/>
        </w:trPr>
        <w:tc>
          <w:tcPr>
            <w:tcW w:w="3261" w:type="dxa"/>
            <w:gridSpan w:val="2"/>
            <w:tcBorders>
              <w:bottom w:val="single" w:sz="4" w:space="0" w:color="auto"/>
            </w:tcBorders>
          </w:tcPr>
          <w:p w:rsidR="00A130DC" w:rsidRPr="0009239B" w:rsidRDefault="00A130DC" w:rsidP="00A130DC">
            <w:pPr>
              <w:keepNext/>
              <w:ind w:left="-108"/>
              <w:jc w:val="both"/>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Name, Restriction,</w:t>
            </w:r>
          </w:p>
          <w:p w:rsidR="00A130DC" w:rsidRPr="0009239B" w:rsidRDefault="00A130DC" w:rsidP="00A130DC">
            <w:pPr>
              <w:keepNext/>
              <w:ind w:left="-108"/>
              <w:jc w:val="both"/>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Manner of administration and form</w:t>
            </w:r>
          </w:p>
        </w:tc>
        <w:tc>
          <w:tcPr>
            <w:tcW w:w="850" w:type="dxa"/>
            <w:tcBorders>
              <w:bottom w:val="single" w:sz="4" w:space="0" w:color="auto"/>
            </w:tcBorders>
          </w:tcPr>
          <w:p w:rsidR="00A130DC" w:rsidRPr="0009239B" w:rsidRDefault="00A130DC" w:rsidP="00A130DC">
            <w:pPr>
              <w:keepNext/>
              <w:ind w:left="-108"/>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Max.</w:t>
            </w:r>
          </w:p>
          <w:p w:rsidR="00A130DC" w:rsidRPr="0009239B" w:rsidRDefault="00A130DC" w:rsidP="00A130DC">
            <w:pPr>
              <w:keepNext/>
              <w:ind w:left="-108"/>
              <w:jc w:val="center"/>
              <w:rPr>
                <w:rFonts w:ascii="Arial Narrow" w:eastAsia="Times New Roman" w:hAnsi="Arial Narrow" w:cs="Arial"/>
                <w:b/>
                <w:sz w:val="20"/>
                <w:szCs w:val="20"/>
                <w:lang w:eastAsia="en-AU"/>
              </w:rPr>
            </w:pPr>
            <w:proofErr w:type="spellStart"/>
            <w:r w:rsidRPr="0009239B">
              <w:rPr>
                <w:rFonts w:ascii="Arial Narrow" w:eastAsia="Times New Roman" w:hAnsi="Arial Narrow" w:cs="Arial"/>
                <w:b/>
                <w:sz w:val="20"/>
                <w:szCs w:val="20"/>
                <w:lang w:eastAsia="en-AU"/>
              </w:rPr>
              <w:t>Qty</w:t>
            </w:r>
            <w:proofErr w:type="spellEnd"/>
            <w:r w:rsidRPr="0009239B">
              <w:rPr>
                <w:rFonts w:ascii="Arial Narrow" w:eastAsia="Times New Roman" w:hAnsi="Arial Narrow" w:cs="Arial"/>
                <w:b/>
                <w:sz w:val="20"/>
                <w:szCs w:val="20"/>
                <w:lang w:eastAsia="en-AU"/>
              </w:rPr>
              <w:t xml:space="preserve"> packs</w:t>
            </w:r>
          </w:p>
        </w:tc>
        <w:tc>
          <w:tcPr>
            <w:tcW w:w="851" w:type="dxa"/>
            <w:tcBorders>
              <w:bottom w:val="single" w:sz="4" w:space="0" w:color="auto"/>
            </w:tcBorders>
          </w:tcPr>
          <w:p w:rsidR="00A130DC" w:rsidRPr="0009239B" w:rsidRDefault="00A130DC" w:rsidP="00A130DC">
            <w:pPr>
              <w:keepNext/>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 xml:space="preserve">Max. </w:t>
            </w:r>
            <w:proofErr w:type="spellStart"/>
            <w:r w:rsidRPr="0009239B">
              <w:rPr>
                <w:rFonts w:ascii="Arial Narrow" w:eastAsia="Times New Roman" w:hAnsi="Arial Narrow" w:cs="Arial"/>
                <w:b/>
                <w:sz w:val="20"/>
                <w:szCs w:val="20"/>
                <w:lang w:eastAsia="en-AU"/>
              </w:rPr>
              <w:t>Qty</w:t>
            </w:r>
            <w:proofErr w:type="spellEnd"/>
            <w:r w:rsidRPr="0009239B">
              <w:rPr>
                <w:rFonts w:ascii="Arial Narrow" w:eastAsia="Times New Roman" w:hAnsi="Arial Narrow" w:cs="Arial"/>
                <w:b/>
                <w:sz w:val="20"/>
                <w:szCs w:val="20"/>
                <w:lang w:eastAsia="en-AU"/>
              </w:rPr>
              <w:t xml:space="preserve"> units</w:t>
            </w:r>
          </w:p>
        </w:tc>
        <w:tc>
          <w:tcPr>
            <w:tcW w:w="567" w:type="dxa"/>
            <w:tcBorders>
              <w:bottom w:val="single" w:sz="4" w:space="0" w:color="auto"/>
            </w:tcBorders>
          </w:tcPr>
          <w:p w:rsidR="00A130DC" w:rsidRPr="0009239B" w:rsidRDefault="00A130DC" w:rsidP="00A130DC">
            <w:pPr>
              <w:keepNext/>
              <w:ind w:left="-108"/>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№.of</w:t>
            </w:r>
          </w:p>
          <w:p w:rsidR="00A130DC" w:rsidRPr="0009239B" w:rsidRDefault="00A130DC" w:rsidP="00A130DC">
            <w:pPr>
              <w:keepNext/>
              <w:ind w:left="-108"/>
              <w:jc w:val="center"/>
              <w:rPr>
                <w:rFonts w:ascii="Arial Narrow" w:eastAsia="Times New Roman" w:hAnsi="Arial Narrow" w:cs="Arial"/>
                <w:b/>
                <w:sz w:val="20"/>
                <w:szCs w:val="20"/>
                <w:lang w:eastAsia="en-AU"/>
              </w:rPr>
            </w:pPr>
            <w:proofErr w:type="spellStart"/>
            <w:r w:rsidRPr="0009239B">
              <w:rPr>
                <w:rFonts w:ascii="Arial Narrow" w:eastAsia="Times New Roman" w:hAnsi="Arial Narrow" w:cs="Arial"/>
                <w:b/>
                <w:sz w:val="20"/>
                <w:szCs w:val="20"/>
                <w:lang w:eastAsia="en-AU"/>
              </w:rPr>
              <w:t>Rpts</w:t>
            </w:r>
            <w:proofErr w:type="spellEnd"/>
          </w:p>
        </w:tc>
        <w:tc>
          <w:tcPr>
            <w:tcW w:w="1417" w:type="dxa"/>
            <w:tcBorders>
              <w:bottom w:val="single" w:sz="4" w:space="0" w:color="auto"/>
            </w:tcBorders>
          </w:tcPr>
          <w:p w:rsidR="00A130DC" w:rsidRPr="0009239B" w:rsidRDefault="00A130DC" w:rsidP="00A130DC">
            <w:pPr>
              <w:keepNext/>
              <w:ind w:left="-108"/>
              <w:jc w:val="center"/>
              <w:rPr>
                <w:rFonts w:ascii="Arial Narrow" w:eastAsia="Times New Roman" w:hAnsi="Arial Narrow" w:cs="Arial"/>
                <w:b/>
                <w:sz w:val="20"/>
                <w:szCs w:val="20"/>
                <w:lang w:eastAsia="en-AU"/>
              </w:rPr>
            </w:pPr>
            <w:r w:rsidRPr="0009239B">
              <w:rPr>
                <w:rFonts w:ascii="Arial Narrow" w:eastAsia="Times New Roman" w:hAnsi="Arial Narrow" w:cs="Arial"/>
                <w:b/>
                <w:sz w:val="20"/>
                <w:szCs w:val="20"/>
                <w:lang w:eastAsia="en-AU"/>
              </w:rPr>
              <w:t xml:space="preserve">Dispensed Price for Max. </w:t>
            </w:r>
            <w:proofErr w:type="spellStart"/>
            <w:r w:rsidRPr="0009239B">
              <w:rPr>
                <w:rFonts w:ascii="Arial Narrow" w:eastAsia="Times New Roman" w:hAnsi="Arial Narrow" w:cs="Arial"/>
                <w:b/>
                <w:sz w:val="20"/>
                <w:szCs w:val="20"/>
                <w:lang w:eastAsia="en-AU"/>
              </w:rPr>
              <w:t>Qty</w:t>
            </w:r>
            <w:proofErr w:type="spellEnd"/>
          </w:p>
        </w:tc>
        <w:tc>
          <w:tcPr>
            <w:tcW w:w="2268" w:type="dxa"/>
            <w:gridSpan w:val="2"/>
            <w:tcBorders>
              <w:bottom w:val="single" w:sz="4" w:space="0" w:color="auto"/>
            </w:tcBorders>
          </w:tcPr>
          <w:p w:rsidR="00A130DC" w:rsidRPr="0009239B" w:rsidRDefault="00A130DC" w:rsidP="00A130DC">
            <w:pPr>
              <w:keepNext/>
              <w:jc w:val="both"/>
              <w:rPr>
                <w:rFonts w:ascii="Arial Narrow" w:eastAsia="Times New Roman" w:hAnsi="Arial Narrow" w:cs="Arial"/>
                <w:b/>
                <w:sz w:val="20"/>
                <w:szCs w:val="20"/>
                <w:lang w:val="fr-FR" w:eastAsia="en-AU"/>
              </w:rPr>
            </w:pPr>
            <w:r w:rsidRPr="0009239B">
              <w:rPr>
                <w:rFonts w:ascii="Arial Narrow" w:eastAsia="Times New Roman" w:hAnsi="Arial Narrow" w:cs="Arial"/>
                <w:b/>
                <w:sz w:val="20"/>
                <w:szCs w:val="20"/>
                <w:lang w:eastAsia="en-AU"/>
              </w:rPr>
              <w:t>Proprietary Name and Manufacturer</w:t>
            </w:r>
          </w:p>
        </w:tc>
      </w:tr>
      <w:tr w:rsidR="00A130DC" w:rsidRPr="00145749" w:rsidTr="00A130DC">
        <w:trPr>
          <w:cantSplit/>
          <w:trHeight w:val="577"/>
        </w:trPr>
        <w:tc>
          <w:tcPr>
            <w:tcW w:w="3261" w:type="dxa"/>
            <w:gridSpan w:val="2"/>
          </w:tcPr>
          <w:p w:rsidR="00A130DC" w:rsidRPr="00145749" w:rsidRDefault="00A130DC" w:rsidP="00A130DC">
            <w:pPr>
              <w:keepNext/>
              <w:ind w:left="-108"/>
              <w:jc w:val="both"/>
              <w:rPr>
                <w:rFonts w:ascii="Arial Narrow" w:eastAsia="Times New Roman" w:hAnsi="Arial Narrow" w:cs="Arial"/>
                <w:smallCaps/>
                <w:sz w:val="20"/>
                <w:szCs w:val="20"/>
                <w:lang w:eastAsia="en-AU"/>
              </w:rPr>
            </w:pPr>
            <w:r w:rsidRPr="00145749">
              <w:rPr>
                <w:rFonts w:ascii="Arial Narrow" w:eastAsia="Times New Roman" w:hAnsi="Arial Narrow" w:cs="Arial"/>
                <w:smallCaps/>
                <w:sz w:val="20"/>
                <w:szCs w:val="20"/>
                <w:lang w:eastAsia="en-AU"/>
              </w:rPr>
              <w:t>TOCILIZUMAB</w:t>
            </w:r>
          </w:p>
          <w:p w:rsidR="00A130DC" w:rsidRPr="0009239B" w:rsidRDefault="00A130DC" w:rsidP="00A130DC">
            <w:pPr>
              <w:keepNext/>
              <w:ind w:left="-108"/>
              <w:jc w:val="both"/>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 xml:space="preserve">162 mg/0.9 mL injection, 4 x 0.9 mL </w:t>
            </w:r>
          </w:p>
          <w:p w:rsidR="00A130DC" w:rsidRPr="0009239B" w:rsidRDefault="00A130DC" w:rsidP="00A130DC">
            <w:pPr>
              <w:keepNext/>
              <w:ind w:left="-108"/>
              <w:jc w:val="both"/>
              <w:rPr>
                <w:rFonts w:ascii="Arial Narrow" w:eastAsia="Times New Roman" w:hAnsi="Arial Narrow" w:cs="Arial"/>
                <w:sz w:val="20"/>
                <w:szCs w:val="20"/>
                <w:lang w:eastAsia="en-AU"/>
              </w:rPr>
            </w:pPr>
            <w:r w:rsidRPr="0009239B">
              <w:rPr>
                <w:rFonts w:ascii="Arial Narrow" w:eastAsia="Times New Roman" w:hAnsi="Arial Narrow" w:cs="Arial"/>
                <w:sz w:val="20"/>
                <w:szCs w:val="20"/>
                <w:lang w:eastAsia="en-AU"/>
              </w:rPr>
              <w:t>pre-filled syringe</w:t>
            </w:r>
          </w:p>
          <w:p w:rsidR="00A130DC" w:rsidRPr="00145749" w:rsidRDefault="00A130DC" w:rsidP="00A130DC">
            <w:pPr>
              <w:keepNext/>
              <w:ind w:left="-108"/>
              <w:jc w:val="both"/>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162 mg/0.9 mL injection, 4 x 0.9 mL pre-filled pen</w:t>
            </w:r>
          </w:p>
        </w:tc>
        <w:tc>
          <w:tcPr>
            <w:tcW w:w="850" w:type="dxa"/>
          </w:tcPr>
          <w:p w:rsidR="00A130DC" w:rsidRPr="00145749" w:rsidRDefault="00A130DC" w:rsidP="00A130DC">
            <w:pPr>
              <w:keepNext/>
              <w:ind w:left="-108"/>
              <w:jc w:val="center"/>
              <w:rPr>
                <w:rFonts w:ascii="Arial Narrow" w:eastAsia="Times New Roman" w:hAnsi="Arial Narrow" w:cs="Arial"/>
                <w:sz w:val="20"/>
                <w:szCs w:val="20"/>
                <w:lang w:eastAsia="en-AU"/>
              </w:rPr>
            </w:pPr>
          </w:p>
          <w:p w:rsidR="00A130DC" w:rsidRDefault="00A130DC" w:rsidP="00A130DC">
            <w:pPr>
              <w:keepNext/>
              <w:ind w:left="-108"/>
              <w:jc w:val="cente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1</w:t>
            </w:r>
          </w:p>
          <w:p w:rsidR="00EA4C04" w:rsidRDefault="00EA4C04" w:rsidP="00A130DC">
            <w:pPr>
              <w:keepNext/>
              <w:ind w:left="-108"/>
              <w:jc w:val="center"/>
              <w:rPr>
                <w:rFonts w:ascii="Arial Narrow" w:eastAsia="Times New Roman" w:hAnsi="Arial Narrow" w:cs="Arial"/>
                <w:sz w:val="20"/>
                <w:szCs w:val="20"/>
                <w:lang w:eastAsia="en-AU"/>
              </w:rPr>
            </w:pPr>
          </w:p>
          <w:p w:rsidR="00EA4C04" w:rsidRPr="00145749" w:rsidRDefault="00EA4C04" w:rsidP="00A130DC">
            <w:pPr>
              <w:keepNext/>
              <w:ind w:left="-108"/>
              <w:jc w:val="cente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1</w:t>
            </w:r>
          </w:p>
        </w:tc>
        <w:tc>
          <w:tcPr>
            <w:tcW w:w="851" w:type="dxa"/>
          </w:tcPr>
          <w:p w:rsidR="00A130DC" w:rsidRPr="00145749" w:rsidRDefault="00A130DC" w:rsidP="00A130DC">
            <w:pPr>
              <w:jc w:val="center"/>
              <w:rPr>
                <w:rFonts w:ascii="Arial Narrow" w:eastAsia="Times New Roman" w:hAnsi="Arial Narrow" w:cs="Arial"/>
                <w:sz w:val="20"/>
                <w:szCs w:val="20"/>
                <w:lang w:eastAsia="en-AU"/>
              </w:rPr>
            </w:pPr>
          </w:p>
          <w:p w:rsidR="00A130DC" w:rsidRDefault="00A130DC" w:rsidP="00A130DC">
            <w:pPr>
              <w:keepNext/>
              <w:jc w:val="cente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4</w:t>
            </w:r>
          </w:p>
          <w:p w:rsidR="00EA4C04" w:rsidRDefault="00EA4C04" w:rsidP="00A130DC">
            <w:pPr>
              <w:keepNext/>
              <w:jc w:val="center"/>
              <w:rPr>
                <w:rFonts w:ascii="Arial Narrow" w:eastAsia="Times New Roman" w:hAnsi="Arial Narrow" w:cs="Arial"/>
                <w:sz w:val="20"/>
                <w:szCs w:val="20"/>
                <w:lang w:eastAsia="en-AU"/>
              </w:rPr>
            </w:pPr>
          </w:p>
          <w:p w:rsidR="00EA4C04" w:rsidRPr="00145749" w:rsidRDefault="00EA4C04" w:rsidP="00A130DC">
            <w:pPr>
              <w:keepNext/>
              <w:jc w:val="cente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4</w:t>
            </w:r>
          </w:p>
        </w:tc>
        <w:tc>
          <w:tcPr>
            <w:tcW w:w="567" w:type="dxa"/>
          </w:tcPr>
          <w:p w:rsidR="00A130DC" w:rsidRPr="00145749" w:rsidRDefault="00A130DC" w:rsidP="00A130DC">
            <w:pPr>
              <w:keepNext/>
              <w:ind w:left="-108"/>
              <w:jc w:val="center"/>
              <w:rPr>
                <w:rFonts w:ascii="Arial Narrow" w:eastAsia="Times New Roman" w:hAnsi="Arial Narrow" w:cs="Arial"/>
                <w:sz w:val="20"/>
                <w:szCs w:val="20"/>
                <w:lang w:eastAsia="en-AU"/>
              </w:rPr>
            </w:pPr>
          </w:p>
          <w:p w:rsidR="00A130DC" w:rsidRDefault="00A130DC" w:rsidP="00A130DC">
            <w:pPr>
              <w:keepNext/>
              <w:ind w:left="-108"/>
              <w:jc w:val="cente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6</w:t>
            </w:r>
          </w:p>
          <w:p w:rsidR="00EA4C04" w:rsidRDefault="00EA4C04" w:rsidP="00A130DC">
            <w:pPr>
              <w:keepNext/>
              <w:ind w:left="-108"/>
              <w:jc w:val="center"/>
              <w:rPr>
                <w:rFonts w:ascii="Arial Narrow" w:eastAsia="Times New Roman" w:hAnsi="Arial Narrow" w:cs="Arial"/>
                <w:sz w:val="20"/>
                <w:szCs w:val="20"/>
                <w:lang w:eastAsia="en-AU"/>
              </w:rPr>
            </w:pPr>
          </w:p>
          <w:p w:rsidR="00EA4C04" w:rsidRPr="00145749" w:rsidRDefault="00EA4C04" w:rsidP="00A130DC">
            <w:pPr>
              <w:keepNext/>
              <w:ind w:left="-108"/>
              <w:jc w:val="center"/>
              <w:rPr>
                <w:rFonts w:ascii="Arial Narrow" w:eastAsia="Times New Roman" w:hAnsi="Arial Narrow" w:cs="Arial"/>
                <w:sz w:val="20"/>
                <w:szCs w:val="20"/>
                <w:lang w:eastAsia="en-AU"/>
              </w:rPr>
            </w:pPr>
            <w:r>
              <w:rPr>
                <w:rFonts w:ascii="Arial Narrow" w:eastAsia="Times New Roman" w:hAnsi="Arial Narrow" w:cs="Arial"/>
                <w:sz w:val="20"/>
                <w:szCs w:val="20"/>
                <w:lang w:eastAsia="en-AU"/>
              </w:rPr>
              <w:t>6</w:t>
            </w:r>
          </w:p>
        </w:tc>
        <w:tc>
          <w:tcPr>
            <w:tcW w:w="1417" w:type="dxa"/>
          </w:tcPr>
          <w:p w:rsidR="00A130DC" w:rsidRPr="00145749" w:rsidRDefault="00A130DC" w:rsidP="00A130DC">
            <w:pPr>
              <w:keepNext/>
              <w:ind w:left="-108"/>
              <w:jc w:val="center"/>
              <w:rPr>
                <w:rFonts w:ascii="Arial Narrow" w:eastAsia="Times New Roman" w:hAnsi="Arial Narrow" w:cs="Arial"/>
                <w:sz w:val="20"/>
                <w:szCs w:val="20"/>
                <w:lang w:eastAsia="en-AU"/>
              </w:rPr>
            </w:pPr>
          </w:p>
          <w:p w:rsidR="00A130DC" w:rsidRPr="00145749" w:rsidRDefault="00A130DC" w:rsidP="00A130DC">
            <w:pPr>
              <w:keepNext/>
              <w:ind w:left="-108"/>
              <w:jc w:val="cente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$953.23</w:t>
            </w:r>
          </w:p>
        </w:tc>
        <w:tc>
          <w:tcPr>
            <w:tcW w:w="992" w:type="dxa"/>
          </w:tcPr>
          <w:p w:rsidR="00A130DC" w:rsidRDefault="00A130DC" w:rsidP="00A130DC">
            <w:pPr>
              <w:keepNext/>
              <w:jc w:val="both"/>
              <w:rPr>
                <w:rFonts w:ascii="Arial Narrow" w:eastAsia="Times New Roman" w:hAnsi="Arial Narrow" w:cs="Arial"/>
                <w:sz w:val="20"/>
                <w:szCs w:val="20"/>
                <w:lang w:eastAsia="en-AU"/>
              </w:rPr>
            </w:pPr>
          </w:p>
          <w:p w:rsidR="00A130DC" w:rsidRPr="00145749" w:rsidRDefault="00A130DC" w:rsidP="00A130DC">
            <w:pPr>
              <w:keepNext/>
              <w:jc w:val="both"/>
              <w:rPr>
                <w:rFonts w:ascii="Arial Narrow" w:eastAsia="Times New Roman" w:hAnsi="Arial Narrow" w:cs="Arial"/>
                <w:sz w:val="20"/>
                <w:szCs w:val="20"/>
                <w:lang w:eastAsia="en-AU"/>
              </w:rPr>
            </w:pPr>
            <w:proofErr w:type="spellStart"/>
            <w:r w:rsidRPr="00145749">
              <w:rPr>
                <w:rFonts w:ascii="Arial Narrow" w:eastAsia="Times New Roman" w:hAnsi="Arial Narrow" w:cs="Arial"/>
                <w:sz w:val="20"/>
                <w:szCs w:val="20"/>
                <w:lang w:eastAsia="en-AU"/>
              </w:rPr>
              <w:t>Actem</w:t>
            </w:r>
            <w:r w:rsidR="001E15D8">
              <w:rPr>
                <w:rFonts w:ascii="Arial Narrow" w:eastAsia="Times New Roman" w:hAnsi="Arial Narrow" w:cs="Arial"/>
                <w:sz w:val="20"/>
                <w:szCs w:val="20"/>
                <w:lang w:eastAsia="en-AU"/>
              </w:rPr>
              <w:t>r</w:t>
            </w:r>
            <w:r w:rsidRPr="00145749">
              <w:rPr>
                <w:rFonts w:ascii="Arial Narrow" w:eastAsia="Times New Roman" w:hAnsi="Arial Narrow" w:cs="Arial"/>
                <w:sz w:val="20"/>
                <w:szCs w:val="20"/>
                <w:lang w:eastAsia="en-AU"/>
              </w:rPr>
              <w:t>a</w:t>
            </w:r>
            <w:proofErr w:type="spellEnd"/>
            <w:r w:rsidRPr="0009239B">
              <w:rPr>
                <w:rFonts w:ascii="Arial Narrow" w:eastAsia="Times New Roman" w:hAnsi="Arial Narrow" w:cs="Arial"/>
                <w:sz w:val="20"/>
                <w:szCs w:val="20"/>
                <w:vertAlign w:val="superscript"/>
                <w:lang w:eastAsia="en-AU"/>
              </w:rPr>
              <w:t>®</w:t>
            </w:r>
          </w:p>
        </w:tc>
        <w:tc>
          <w:tcPr>
            <w:tcW w:w="1276" w:type="dxa"/>
          </w:tcPr>
          <w:p w:rsidR="00A130DC" w:rsidRDefault="00A130DC" w:rsidP="00A130DC">
            <w:pPr>
              <w:keepNext/>
              <w:jc w:val="both"/>
              <w:rPr>
                <w:rFonts w:ascii="Arial Narrow" w:eastAsia="Times New Roman" w:hAnsi="Arial Narrow" w:cs="Arial"/>
                <w:sz w:val="20"/>
                <w:szCs w:val="20"/>
                <w:lang w:eastAsia="en-AU"/>
              </w:rPr>
            </w:pPr>
          </w:p>
          <w:p w:rsidR="00A130DC" w:rsidRPr="00145749" w:rsidRDefault="00A130DC" w:rsidP="00A130DC">
            <w:pPr>
              <w:keepNext/>
              <w:jc w:val="both"/>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Roche</w:t>
            </w:r>
          </w:p>
        </w:tc>
      </w:tr>
      <w:tr w:rsidR="00A130DC" w:rsidRPr="00145749" w:rsidTr="00A130DC">
        <w:trPr>
          <w:cantSplit/>
          <w:trHeight w:val="360"/>
        </w:trPr>
        <w:tc>
          <w:tcPr>
            <w:tcW w:w="9214" w:type="dxa"/>
            <w:gridSpan w:val="8"/>
            <w:tcBorders>
              <w:bottom w:val="single" w:sz="4" w:space="0" w:color="auto"/>
            </w:tcBorders>
          </w:tcPr>
          <w:p w:rsidR="00A130DC" w:rsidRPr="00145749" w:rsidRDefault="00A130DC" w:rsidP="00A130DC">
            <w:pPr>
              <w:jc w:val="both"/>
              <w:rPr>
                <w:rFonts w:ascii="Arial Narrow" w:eastAsia="Times New Roman" w:hAnsi="Arial Narrow" w:cs="Arial"/>
                <w:sz w:val="20"/>
                <w:szCs w:val="20"/>
                <w:lang w:eastAsia="en-AU"/>
              </w:rPr>
            </w:pP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Category / Program</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GENERAL – General Schedule (Code GE)</w:t>
            </w: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Prescriber type:</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 xml:space="preserve">Dental  </w:t>
            </w:r>
            <w:r w:rsidRPr="00145749">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 xml:space="preserve">Medical Practitioners  </w:t>
            </w:r>
            <w:r w:rsidRPr="00145749">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 xml:space="preserve">Nurse practitioners  </w:t>
            </w:r>
            <w:r w:rsidRPr="00145749">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Optometrists</w:t>
            </w:r>
            <w:r>
              <w:rPr>
                <w:rFonts w:ascii="Arial Narrow" w:eastAsia="Times New Roman" w:hAnsi="Arial Narrow" w:cs="Arial"/>
                <w:sz w:val="20"/>
                <w:szCs w:val="20"/>
                <w:lang w:eastAsia="en-AU"/>
              </w:rPr>
              <w:t xml:space="preserve"> </w:t>
            </w:r>
            <w:r w:rsidRPr="00145749">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145749">
              <w:rPr>
                <w:rFonts w:ascii="Arial Narrow" w:eastAsia="Times New Roman" w:hAnsi="Arial Narrow" w:cs="Arial"/>
                <w:sz w:val="20"/>
                <w:szCs w:val="20"/>
                <w:lang w:eastAsia="en-AU"/>
              </w:rPr>
              <w:instrText xml:space="preserve"> FORMCHECKBOX </w:instrText>
            </w:r>
            <w:r w:rsidR="001A27EE">
              <w:rPr>
                <w:rFonts w:ascii="Arial Narrow" w:eastAsia="Times New Roman" w:hAnsi="Arial Narrow" w:cs="Arial"/>
                <w:sz w:val="20"/>
                <w:szCs w:val="20"/>
                <w:lang w:eastAsia="en-AU"/>
              </w:rPr>
            </w:r>
            <w:r w:rsidR="001A27EE">
              <w:rPr>
                <w:rFonts w:ascii="Arial Narrow" w:eastAsia="Times New Roman" w:hAnsi="Arial Narrow" w:cs="Arial"/>
                <w:sz w:val="20"/>
                <w:szCs w:val="20"/>
                <w:lang w:eastAsia="en-AU"/>
              </w:rPr>
              <w:fldChar w:fldCharType="separate"/>
            </w:r>
            <w:r w:rsidRPr="00145749">
              <w:rPr>
                <w:rFonts w:ascii="Arial Narrow" w:eastAsia="Times New Roman" w:hAnsi="Arial Narrow" w:cs="Arial"/>
                <w:sz w:val="20"/>
                <w:szCs w:val="20"/>
                <w:lang w:eastAsia="en-AU"/>
              </w:rPr>
              <w:fldChar w:fldCharType="end"/>
            </w:r>
            <w:r w:rsidRPr="00145749">
              <w:rPr>
                <w:rFonts w:ascii="Arial Narrow" w:eastAsia="Times New Roman" w:hAnsi="Arial Narrow" w:cs="Arial"/>
                <w:sz w:val="20"/>
                <w:szCs w:val="20"/>
                <w:lang w:eastAsia="en-AU"/>
              </w:rPr>
              <w:t>Midwives</w:t>
            </w: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Severity:</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keepNext/>
              <w:keepLines/>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Active</w:t>
            </w: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Condition:</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keepNext/>
              <w:keepLines/>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Giant cell arteritis</w:t>
            </w: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EA4C04">
            <w:pPr>
              <w:jc w:val="both"/>
              <w:rPr>
                <w:rFonts w:ascii="Arial Narrow" w:eastAsia="Times New Roman" w:hAnsi="Arial Narrow" w:cs="Arial"/>
                <w:i/>
                <w:sz w:val="20"/>
                <w:szCs w:val="20"/>
                <w:lang w:eastAsia="en-AU"/>
              </w:rPr>
            </w:pPr>
            <w:r w:rsidRPr="00145749">
              <w:rPr>
                <w:rFonts w:ascii="Arial Narrow" w:eastAsia="Times New Roman" w:hAnsi="Arial Narrow" w:cs="Arial"/>
                <w:b/>
                <w:sz w:val="20"/>
                <w:szCs w:val="20"/>
                <w:lang w:eastAsia="en-AU"/>
              </w:rPr>
              <w:t>PBS Indication:</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Active giant cell arteritis</w:t>
            </w: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09239B"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Treatment phase:</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Continuing</w:t>
            </w:r>
          </w:p>
        </w:tc>
      </w:tr>
      <w:tr w:rsidR="00A130DC" w:rsidRPr="00145749" w:rsidTr="00F97A90">
        <w:trPr>
          <w:cantSplit/>
          <w:trHeight w:val="17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EA4C04">
            <w:pPr>
              <w:rPr>
                <w:rFonts w:ascii="Arial Narrow" w:eastAsia="Times New Roman" w:hAnsi="Arial Narrow" w:cs="Arial"/>
                <w:i/>
                <w:sz w:val="20"/>
                <w:szCs w:val="20"/>
                <w:lang w:eastAsia="en-AU"/>
              </w:rPr>
            </w:pPr>
            <w:r w:rsidRPr="00145749">
              <w:rPr>
                <w:rFonts w:ascii="Arial Narrow" w:eastAsia="Times New Roman" w:hAnsi="Arial Narrow" w:cs="Arial"/>
                <w:b/>
                <w:sz w:val="20"/>
                <w:szCs w:val="20"/>
                <w:lang w:eastAsia="en-AU"/>
              </w:rPr>
              <w:t>Restriction Level / Method:</w:t>
            </w: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EA4C04">
            <w:pPr>
              <w:rPr>
                <w:rFonts w:ascii="Arial Narrow" w:eastAsia="Times New Roman" w:hAnsi="Arial Narrow" w:cs="Arial"/>
                <w:sz w:val="20"/>
                <w:szCs w:val="20"/>
                <w:lang w:eastAsia="en-AU"/>
              </w:rPr>
            </w:pPr>
            <w:r>
              <w:rPr>
                <w:rFonts w:ascii="Arial Narrow" w:eastAsia="Times New Roman" w:hAnsi="Arial Narrow" w:cs="Arial"/>
                <w:i/>
                <w:sz w:val="20"/>
                <w:szCs w:val="20"/>
                <w:lang w:eastAsia="en-AU"/>
              </w:rPr>
              <w:fldChar w:fldCharType="begin">
                <w:ffData>
                  <w:name w:val="Check3"/>
                  <w:enabled/>
                  <w:calcOnExit w:val="0"/>
                  <w:checkBox>
                    <w:sizeAuto/>
                    <w:default w:val="1"/>
                  </w:checkBox>
                </w:ffData>
              </w:fldChar>
            </w:r>
            <w:bookmarkStart w:id="5" w:name="Check3"/>
            <w:r>
              <w:rPr>
                <w:rFonts w:ascii="Arial Narrow" w:eastAsia="Times New Roman" w:hAnsi="Arial Narrow" w:cs="Arial"/>
                <w:i/>
                <w:sz w:val="20"/>
                <w:szCs w:val="20"/>
                <w:lang w:eastAsia="en-AU"/>
              </w:rPr>
              <w:instrText xml:space="preserve"> FORMCHECKBOX </w:instrText>
            </w:r>
            <w:r w:rsidR="001A27EE">
              <w:rPr>
                <w:rFonts w:ascii="Arial Narrow" w:eastAsia="Times New Roman" w:hAnsi="Arial Narrow" w:cs="Arial"/>
                <w:i/>
                <w:sz w:val="20"/>
                <w:szCs w:val="20"/>
                <w:lang w:eastAsia="en-AU"/>
              </w:rPr>
            </w:r>
            <w:r w:rsidR="001A27EE">
              <w:rPr>
                <w:rFonts w:ascii="Arial Narrow" w:eastAsia="Times New Roman" w:hAnsi="Arial Narrow" w:cs="Arial"/>
                <w:i/>
                <w:sz w:val="20"/>
                <w:szCs w:val="20"/>
                <w:lang w:eastAsia="en-AU"/>
              </w:rPr>
              <w:fldChar w:fldCharType="separate"/>
            </w:r>
            <w:r>
              <w:rPr>
                <w:rFonts w:ascii="Arial Narrow" w:eastAsia="Times New Roman" w:hAnsi="Arial Narrow" w:cs="Arial"/>
                <w:i/>
                <w:sz w:val="20"/>
                <w:szCs w:val="20"/>
                <w:lang w:eastAsia="en-AU"/>
              </w:rPr>
              <w:fldChar w:fldCharType="end"/>
            </w:r>
            <w:bookmarkEnd w:id="5"/>
            <w:r w:rsidRPr="00EA4C04">
              <w:rPr>
                <w:rFonts w:ascii="Arial Narrow" w:eastAsia="Times New Roman" w:hAnsi="Arial Narrow" w:cs="Arial"/>
                <w:sz w:val="20"/>
                <w:szCs w:val="20"/>
                <w:lang w:eastAsia="en-AU"/>
              </w:rPr>
              <w:t>Authority Required - Telephone</w:t>
            </w:r>
          </w:p>
        </w:tc>
      </w:tr>
      <w:tr w:rsidR="00A130DC" w:rsidRPr="00145749" w:rsidTr="00A130DC">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Treatment criteria:</w:t>
            </w:r>
          </w:p>
          <w:p w:rsidR="00A130DC" w:rsidRPr="00145749" w:rsidRDefault="00A130DC" w:rsidP="00A130DC">
            <w:pPr>
              <w:rPr>
                <w:rFonts w:ascii="Arial Narrow" w:eastAsia="Times New Roman" w:hAnsi="Arial Narrow" w:cs="Arial"/>
                <w:sz w:val="20"/>
                <w:szCs w:val="20"/>
                <w:lang w:eastAsia="en-AU"/>
              </w:rPr>
            </w:pP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64257B" w:rsidP="00A130DC">
            <w:pPr>
              <w:rPr>
                <w:rFonts w:ascii="Arial Narrow" w:eastAsia="Times New Roman" w:hAnsi="Arial Narrow" w:cs="Arial"/>
                <w:sz w:val="20"/>
                <w:szCs w:val="20"/>
                <w:lang w:eastAsia="en-AU"/>
              </w:rPr>
            </w:pPr>
            <w:r w:rsidRPr="00C23947">
              <w:rPr>
                <w:rFonts w:ascii="Arial Narrow" w:eastAsia="Times New Roman" w:hAnsi="Arial Narrow" w:cs="Arial"/>
                <w:i/>
                <w:sz w:val="20"/>
                <w:szCs w:val="20"/>
                <w:lang w:eastAsia="en-AU"/>
              </w:rPr>
              <w:t>Patient</w:t>
            </w:r>
            <w:r w:rsidRPr="000D4B93">
              <w:rPr>
                <w:rFonts w:ascii="Arial Narrow" w:eastAsia="Times New Roman" w:hAnsi="Arial Narrow" w:cs="Arial"/>
                <w:sz w:val="20"/>
                <w:szCs w:val="20"/>
                <w:lang w:eastAsia="en-AU"/>
              </w:rPr>
              <w:t xml:space="preserve"> must be</w:t>
            </w:r>
            <w:r w:rsidRPr="00145749">
              <w:rPr>
                <w:rFonts w:ascii="Arial Narrow" w:eastAsia="Times New Roman" w:hAnsi="Arial Narrow" w:cs="Arial"/>
                <w:i/>
                <w:sz w:val="20"/>
                <w:szCs w:val="20"/>
                <w:lang w:eastAsia="en-AU"/>
              </w:rPr>
              <w:t xml:space="preserve"> </w:t>
            </w:r>
            <w:r w:rsidRPr="00145749">
              <w:rPr>
                <w:rFonts w:ascii="Arial Narrow" w:eastAsia="Times New Roman" w:hAnsi="Arial Narrow" w:cs="Arial"/>
                <w:sz w:val="20"/>
                <w:szCs w:val="20"/>
                <w:lang w:eastAsia="en-AU"/>
              </w:rPr>
              <w:t xml:space="preserve">treated by a </w:t>
            </w:r>
            <w:r w:rsidRPr="00073352">
              <w:rPr>
                <w:rFonts w:ascii="Arial Narrow" w:eastAsia="Times New Roman" w:hAnsi="Arial Narrow" w:cs="Arial"/>
                <w:strike/>
                <w:sz w:val="20"/>
                <w:szCs w:val="20"/>
                <w:lang w:eastAsia="en-AU"/>
              </w:rPr>
              <w:t xml:space="preserve">specialist </w:t>
            </w:r>
            <w:r w:rsidRPr="00E62126">
              <w:rPr>
                <w:rFonts w:ascii="Arial Narrow" w:eastAsia="Times New Roman" w:hAnsi="Arial Narrow" w:cs="Arial"/>
                <w:strike/>
                <w:sz w:val="20"/>
                <w:szCs w:val="20"/>
                <w:lang w:eastAsia="en-AU"/>
              </w:rPr>
              <w:t xml:space="preserve">or </w:t>
            </w:r>
            <w:r w:rsidRPr="00073352">
              <w:rPr>
                <w:rFonts w:ascii="Arial Narrow" w:eastAsia="Times New Roman" w:hAnsi="Arial Narrow" w:cs="Arial"/>
                <w:strike/>
                <w:sz w:val="20"/>
                <w:szCs w:val="20"/>
                <w:lang w:eastAsia="en-AU"/>
              </w:rPr>
              <w:t>consultant physician</w:t>
            </w:r>
            <w:r w:rsidRPr="00145749">
              <w:rPr>
                <w:rFonts w:ascii="Arial Narrow" w:eastAsia="Times New Roman" w:hAnsi="Arial Narrow" w:cs="Arial"/>
                <w:sz w:val="20"/>
                <w:szCs w:val="20"/>
                <w:lang w:eastAsia="en-AU"/>
              </w:rPr>
              <w:t xml:space="preserve"> </w:t>
            </w:r>
            <w:r>
              <w:rPr>
                <w:rFonts w:ascii="Arial Narrow" w:eastAsia="Times New Roman" w:hAnsi="Arial Narrow" w:cs="Arial"/>
                <w:i/>
                <w:sz w:val="20"/>
                <w:szCs w:val="20"/>
                <w:lang w:eastAsia="en-AU"/>
              </w:rPr>
              <w:t xml:space="preserve">rheumatologist, clinical immunologist or neurologist </w:t>
            </w:r>
            <w:r w:rsidRPr="00145749">
              <w:rPr>
                <w:rFonts w:ascii="Arial Narrow" w:eastAsia="Times New Roman" w:hAnsi="Arial Narrow" w:cs="Arial"/>
                <w:sz w:val="20"/>
                <w:szCs w:val="20"/>
                <w:lang w:eastAsia="en-AU"/>
              </w:rPr>
              <w:t xml:space="preserve">experienced in the </w:t>
            </w:r>
            <w:r w:rsidRPr="00073352">
              <w:rPr>
                <w:rFonts w:ascii="Arial Narrow" w:eastAsia="Times New Roman" w:hAnsi="Arial Narrow" w:cs="Arial"/>
                <w:strike/>
                <w:sz w:val="20"/>
                <w:szCs w:val="20"/>
                <w:lang w:eastAsia="en-AU"/>
              </w:rPr>
              <w:t xml:space="preserve">treatment </w:t>
            </w:r>
            <w:r>
              <w:rPr>
                <w:rFonts w:ascii="Arial Narrow" w:eastAsia="Times New Roman" w:hAnsi="Arial Narrow" w:cs="Arial"/>
                <w:i/>
                <w:sz w:val="20"/>
                <w:szCs w:val="20"/>
                <w:lang w:eastAsia="en-AU"/>
              </w:rPr>
              <w:t xml:space="preserve">management </w:t>
            </w:r>
            <w:r w:rsidRPr="00EA4C04">
              <w:rPr>
                <w:rFonts w:ascii="Arial Narrow" w:eastAsia="Times New Roman" w:hAnsi="Arial Narrow" w:cs="Arial"/>
                <w:sz w:val="20"/>
                <w:szCs w:val="20"/>
                <w:lang w:eastAsia="en-AU"/>
              </w:rPr>
              <w:t>of giant cell arteritis</w:t>
            </w:r>
          </w:p>
        </w:tc>
      </w:tr>
      <w:tr w:rsidR="00A130DC" w:rsidRPr="00145749" w:rsidTr="00A130DC">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30DC" w:rsidRPr="00145749" w:rsidRDefault="00A130DC" w:rsidP="00A130DC">
            <w:pPr>
              <w:jc w:val="both"/>
              <w:rPr>
                <w:rFonts w:ascii="Arial Narrow" w:eastAsia="Times New Roman" w:hAnsi="Arial Narrow" w:cs="Arial"/>
                <w:b/>
                <w:sz w:val="20"/>
                <w:szCs w:val="20"/>
                <w:lang w:eastAsia="en-AU"/>
              </w:rPr>
            </w:pPr>
            <w:r w:rsidRPr="00145749">
              <w:rPr>
                <w:rFonts w:ascii="Arial Narrow" w:eastAsia="Times New Roman" w:hAnsi="Arial Narrow" w:cs="Arial"/>
                <w:b/>
                <w:sz w:val="20"/>
                <w:szCs w:val="20"/>
                <w:lang w:eastAsia="en-AU"/>
              </w:rPr>
              <w:t>Clinical criteria:</w:t>
            </w:r>
          </w:p>
          <w:p w:rsidR="00A130DC" w:rsidRPr="00145749" w:rsidRDefault="00A130DC" w:rsidP="00A130DC">
            <w:pPr>
              <w:jc w:val="both"/>
              <w:rPr>
                <w:rFonts w:ascii="Arial Narrow" w:eastAsia="Times New Roman" w:hAnsi="Arial Narrow" w:cs="Arial"/>
                <w:i/>
                <w:sz w:val="20"/>
                <w:szCs w:val="20"/>
                <w:lang w:eastAsia="en-AU"/>
              </w:rPr>
            </w:pPr>
          </w:p>
          <w:p w:rsidR="00A130DC" w:rsidRPr="00145749" w:rsidRDefault="00A130DC" w:rsidP="00A130DC">
            <w:pPr>
              <w:jc w:val="both"/>
              <w:rPr>
                <w:rFonts w:ascii="Arial Narrow" w:eastAsia="Times New Roman" w:hAnsi="Arial Narrow" w:cs="Arial"/>
                <w:sz w:val="20"/>
                <w:szCs w:val="20"/>
                <w:lang w:eastAsia="en-AU"/>
              </w:rPr>
            </w:pPr>
          </w:p>
        </w:tc>
        <w:tc>
          <w:tcPr>
            <w:tcW w:w="7229" w:type="dxa"/>
            <w:gridSpan w:val="7"/>
            <w:tcBorders>
              <w:top w:val="single" w:sz="4" w:space="0" w:color="auto"/>
              <w:left w:val="single" w:sz="4" w:space="0" w:color="auto"/>
              <w:bottom w:val="single" w:sz="4" w:space="0" w:color="auto"/>
              <w:right w:val="single" w:sz="4" w:space="0" w:color="auto"/>
            </w:tcBorders>
          </w:tcPr>
          <w:p w:rsidR="00A130DC" w:rsidRPr="00145749" w:rsidRDefault="00A130DC" w:rsidP="00A130DC">
            <w:pPr>
              <w:spacing w:line="276" w:lineRule="auto"/>
              <w:jc w:val="both"/>
              <w:rPr>
                <w:rFonts w:ascii="Arial Narrow" w:eastAsia="Calibri" w:hAnsi="Arial Narrow" w:cs="Arial"/>
                <w:i/>
                <w:sz w:val="20"/>
                <w:szCs w:val="20"/>
              </w:rPr>
            </w:pPr>
            <w:r w:rsidRPr="00145749">
              <w:rPr>
                <w:rFonts w:ascii="Arial Narrow" w:eastAsia="Calibri" w:hAnsi="Arial Narrow" w:cs="Arial"/>
                <w:sz w:val="20"/>
                <w:szCs w:val="20"/>
              </w:rPr>
              <w:t xml:space="preserve">Patient must have previously received PBS-subsidised treatment with this drug </w:t>
            </w:r>
            <w:r w:rsidRPr="00EA4C04">
              <w:rPr>
                <w:rFonts w:ascii="Arial Narrow" w:eastAsia="Calibri" w:hAnsi="Arial Narrow" w:cs="Arial"/>
                <w:i/>
                <w:sz w:val="20"/>
                <w:szCs w:val="20"/>
              </w:rPr>
              <w:t>for this condition</w:t>
            </w:r>
          </w:p>
          <w:p w:rsidR="00A130DC" w:rsidRPr="00145749" w:rsidRDefault="00A130DC" w:rsidP="00A130DC">
            <w:pPr>
              <w:spacing w:line="276" w:lineRule="auto"/>
              <w:jc w:val="both"/>
              <w:rPr>
                <w:rFonts w:ascii="Arial Narrow" w:eastAsia="Calibri" w:hAnsi="Arial Narrow" w:cs="Arial"/>
                <w:sz w:val="20"/>
                <w:szCs w:val="20"/>
              </w:rPr>
            </w:pPr>
            <w:r w:rsidRPr="00145749">
              <w:rPr>
                <w:rFonts w:ascii="Arial Narrow" w:eastAsia="Calibri" w:hAnsi="Arial Narrow" w:cs="Arial"/>
                <w:sz w:val="20"/>
                <w:szCs w:val="20"/>
              </w:rPr>
              <w:t>AND</w:t>
            </w:r>
          </w:p>
          <w:p w:rsidR="00A130DC" w:rsidRPr="00145749" w:rsidRDefault="00EA4C04" w:rsidP="00EA4C04">
            <w:pPr>
              <w:jc w:val="both"/>
              <w:rPr>
                <w:rFonts w:ascii="Arial Narrow" w:eastAsia="Times New Roman" w:hAnsi="Arial Narrow" w:cs="Arial"/>
                <w:sz w:val="20"/>
                <w:szCs w:val="20"/>
                <w:lang w:eastAsia="en-AU"/>
              </w:rPr>
            </w:pPr>
            <w:r w:rsidRPr="00145749">
              <w:rPr>
                <w:rFonts w:ascii="Arial Narrow" w:eastAsia="Times New Roman" w:hAnsi="Arial Narrow" w:cs="Arial"/>
                <w:sz w:val="20"/>
                <w:szCs w:val="20"/>
                <w:lang w:eastAsia="en-AU"/>
              </w:rPr>
              <w:t xml:space="preserve">The treatment </w:t>
            </w:r>
            <w:r>
              <w:rPr>
                <w:rFonts w:ascii="Arial Narrow" w:eastAsia="Times New Roman" w:hAnsi="Arial Narrow" w:cs="Arial"/>
                <w:i/>
                <w:sz w:val="20"/>
                <w:szCs w:val="20"/>
                <w:lang w:eastAsia="en-AU"/>
              </w:rPr>
              <w:t xml:space="preserve">with this drug for this condition </w:t>
            </w:r>
            <w:r w:rsidRPr="00145749">
              <w:rPr>
                <w:rFonts w:ascii="Arial Narrow" w:eastAsia="Times New Roman" w:hAnsi="Arial Narrow" w:cs="Arial"/>
                <w:sz w:val="20"/>
                <w:szCs w:val="20"/>
                <w:lang w:eastAsia="en-AU"/>
              </w:rPr>
              <w:t>must not</w:t>
            </w:r>
            <w:r>
              <w:rPr>
                <w:rFonts w:ascii="Arial Narrow" w:eastAsia="Times New Roman" w:hAnsi="Arial Narrow" w:cs="Arial"/>
                <w:sz w:val="20"/>
                <w:szCs w:val="20"/>
                <w:lang w:eastAsia="en-AU"/>
              </w:rPr>
              <w:t xml:space="preserve"> </w:t>
            </w:r>
            <w:r w:rsidRPr="00145749">
              <w:rPr>
                <w:rFonts w:ascii="Arial Narrow" w:eastAsia="Times New Roman" w:hAnsi="Arial Narrow" w:cs="Arial"/>
                <w:sz w:val="20"/>
                <w:szCs w:val="20"/>
                <w:lang w:eastAsia="en-AU"/>
              </w:rPr>
              <w:t xml:space="preserve">exceed a </w:t>
            </w:r>
            <w:r w:rsidRPr="00145749">
              <w:rPr>
                <w:rFonts w:ascii="Arial Narrow" w:eastAsia="Times New Roman" w:hAnsi="Arial Narrow" w:cs="Arial"/>
                <w:i/>
                <w:sz w:val="20"/>
                <w:szCs w:val="20"/>
                <w:lang w:eastAsia="en-AU"/>
              </w:rPr>
              <w:t>total of</w:t>
            </w:r>
            <w:r w:rsidRPr="00145749">
              <w:rPr>
                <w:rFonts w:ascii="Arial Narrow" w:eastAsia="Times New Roman" w:hAnsi="Arial Narrow" w:cs="Arial"/>
                <w:sz w:val="20"/>
                <w:szCs w:val="20"/>
                <w:lang w:eastAsia="en-AU"/>
              </w:rPr>
              <w:t xml:space="preserve"> </w:t>
            </w:r>
            <w:r>
              <w:rPr>
                <w:rFonts w:ascii="Arial Narrow" w:eastAsia="Times New Roman" w:hAnsi="Arial Narrow" w:cs="Arial"/>
                <w:i/>
                <w:sz w:val="20"/>
                <w:szCs w:val="20"/>
                <w:lang w:eastAsia="en-AU"/>
              </w:rPr>
              <w:t>12 months therapy</w:t>
            </w:r>
            <w:r w:rsidRPr="00145749">
              <w:rPr>
                <w:rFonts w:ascii="Arial Narrow" w:eastAsia="Times New Roman" w:hAnsi="Arial Narrow" w:cs="Arial"/>
                <w:i/>
                <w:sz w:val="20"/>
                <w:szCs w:val="20"/>
                <w:lang w:eastAsia="en-AU"/>
              </w:rPr>
              <w:t xml:space="preserve">. </w:t>
            </w:r>
            <w:r w:rsidRPr="00C23947">
              <w:rPr>
                <w:rFonts w:ascii="Arial Narrow" w:eastAsia="Times New Roman" w:hAnsi="Arial Narrow" w:cs="Arial"/>
                <w:strike/>
                <w:sz w:val="20"/>
                <w:szCs w:val="20"/>
                <w:lang w:eastAsia="en-AU"/>
              </w:rPr>
              <w:t>a lifetime maximum of 52 injections of therapy</w:t>
            </w:r>
            <w:r w:rsidRPr="00145749">
              <w:rPr>
                <w:rFonts w:ascii="Arial Narrow" w:eastAsia="Times New Roman" w:hAnsi="Arial Narrow" w:cs="Arial"/>
                <w:i/>
                <w:sz w:val="20"/>
                <w:szCs w:val="20"/>
                <w:lang w:eastAsia="en-AU"/>
              </w:rPr>
              <w:t xml:space="preserve"> </w:t>
            </w:r>
          </w:p>
        </w:tc>
      </w:tr>
      <w:tr w:rsidR="00A130DC" w:rsidRPr="00145749" w:rsidTr="00A130DC">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30DC" w:rsidRPr="00EA4C04" w:rsidRDefault="00A130DC" w:rsidP="00A130DC">
            <w:pPr>
              <w:jc w:val="both"/>
              <w:rPr>
                <w:rFonts w:ascii="Arial Narrow" w:eastAsia="Times New Roman" w:hAnsi="Arial Narrow" w:cs="Arial"/>
                <w:i/>
                <w:sz w:val="20"/>
                <w:szCs w:val="20"/>
                <w:lang w:eastAsia="en-AU"/>
              </w:rPr>
            </w:pPr>
            <w:r w:rsidRPr="00EA4C04">
              <w:rPr>
                <w:rFonts w:ascii="Arial Narrow" w:eastAsia="Times New Roman" w:hAnsi="Arial Narrow" w:cs="Arial"/>
                <w:b/>
                <w:i/>
                <w:sz w:val="20"/>
                <w:szCs w:val="20"/>
                <w:lang w:eastAsia="en-AU"/>
              </w:rPr>
              <w:t>Administrative Advice</w:t>
            </w:r>
          </w:p>
          <w:p w:rsidR="00A130DC" w:rsidRPr="00EA4C04" w:rsidRDefault="00A130DC" w:rsidP="00A130DC">
            <w:pPr>
              <w:jc w:val="both"/>
              <w:rPr>
                <w:rFonts w:ascii="Arial Narrow" w:eastAsia="Times New Roman" w:hAnsi="Arial Narrow" w:cs="Arial"/>
                <w:i/>
                <w:sz w:val="20"/>
                <w:szCs w:val="20"/>
                <w:lang w:eastAsia="en-AU"/>
              </w:rPr>
            </w:pPr>
          </w:p>
        </w:tc>
        <w:tc>
          <w:tcPr>
            <w:tcW w:w="7229" w:type="dxa"/>
            <w:gridSpan w:val="7"/>
            <w:tcBorders>
              <w:top w:val="single" w:sz="4" w:space="0" w:color="auto"/>
              <w:left w:val="single" w:sz="4" w:space="0" w:color="auto"/>
              <w:bottom w:val="single" w:sz="4" w:space="0" w:color="auto"/>
              <w:right w:val="single" w:sz="4" w:space="0" w:color="auto"/>
            </w:tcBorders>
          </w:tcPr>
          <w:p w:rsidR="00A130DC" w:rsidRPr="00EA4C04" w:rsidRDefault="00A130DC" w:rsidP="00EA4C04">
            <w:pPr>
              <w:rPr>
                <w:rFonts w:ascii="Arial Narrow" w:eastAsia="Times New Roman" w:hAnsi="Arial Narrow" w:cs="Arial"/>
                <w:i/>
                <w:sz w:val="20"/>
                <w:szCs w:val="20"/>
                <w:lang w:eastAsia="en-AU"/>
              </w:rPr>
            </w:pPr>
            <w:r w:rsidRPr="00EA4C04">
              <w:rPr>
                <w:rFonts w:ascii="Arial Narrow" w:eastAsia="Times New Roman" w:hAnsi="Arial Narrow" w:cs="Arial"/>
                <w:i/>
                <w:sz w:val="20"/>
                <w:szCs w:val="20"/>
                <w:lang w:eastAsia="en-AU"/>
              </w:rPr>
              <w:t xml:space="preserve">Any queries concerning the arrangements to prescribe may be directed to the Department of Human Services on 1800 700 270 (hours of operation 8 a.m. to 5 p.m. EST Monday to Friday).  </w:t>
            </w:r>
          </w:p>
        </w:tc>
      </w:tr>
    </w:tbl>
    <w:p w:rsidR="001E2268" w:rsidRPr="002861C4" w:rsidRDefault="001E2268" w:rsidP="00C46E06">
      <w:pPr>
        <w:pStyle w:val="ListParagraph"/>
        <w:ind w:left="0"/>
        <w:jc w:val="both"/>
        <w:rPr>
          <w:color w:val="000000" w:themeColor="text1"/>
        </w:rPr>
      </w:pPr>
    </w:p>
    <w:p w:rsidR="001E2268" w:rsidRPr="00C47DE4" w:rsidRDefault="001E2268" w:rsidP="009722D0">
      <w:pPr>
        <w:pStyle w:val="ListParagraph"/>
        <w:numPr>
          <w:ilvl w:val="1"/>
          <w:numId w:val="1"/>
        </w:numPr>
        <w:spacing w:after="120"/>
        <w:ind w:left="720" w:hanging="720"/>
        <w:jc w:val="both"/>
        <w:rPr>
          <w:color w:val="000000" w:themeColor="text1"/>
        </w:rPr>
      </w:pPr>
      <w:r w:rsidRPr="00C47DE4">
        <w:rPr>
          <w:color w:val="000000" w:themeColor="text1"/>
        </w:rPr>
        <w:t xml:space="preserve">The requested listing was narrower than the TGA indication, as the TGA indication does not restrict </w:t>
      </w:r>
      <w:proofErr w:type="spellStart"/>
      <w:r w:rsidRPr="00C47DE4">
        <w:rPr>
          <w:color w:val="000000" w:themeColor="text1"/>
        </w:rPr>
        <w:t>tocilizumab</w:t>
      </w:r>
      <w:proofErr w:type="spellEnd"/>
      <w:r w:rsidRPr="00C47DE4">
        <w:rPr>
          <w:color w:val="000000" w:themeColor="text1"/>
        </w:rPr>
        <w:t xml:space="preserve"> to patients with active disease, and does not limit </w:t>
      </w:r>
      <w:r w:rsidR="006549F6" w:rsidRPr="00C47DE4">
        <w:rPr>
          <w:color w:val="000000" w:themeColor="text1"/>
        </w:rPr>
        <w:t xml:space="preserve">the </w:t>
      </w:r>
      <w:proofErr w:type="spellStart"/>
      <w:r w:rsidR="006549F6" w:rsidRPr="00C47DE4">
        <w:rPr>
          <w:color w:val="000000" w:themeColor="text1"/>
        </w:rPr>
        <w:t>tocilizumab</w:t>
      </w:r>
      <w:proofErr w:type="spellEnd"/>
      <w:r w:rsidR="006549F6" w:rsidRPr="00C47DE4">
        <w:rPr>
          <w:color w:val="000000" w:themeColor="text1"/>
        </w:rPr>
        <w:t xml:space="preserve"> </w:t>
      </w:r>
      <w:r w:rsidRPr="00C47DE4">
        <w:rPr>
          <w:color w:val="000000" w:themeColor="text1"/>
        </w:rPr>
        <w:t>treatment duration</w:t>
      </w:r>
      <w:r w:rsidR="006549F6" w:rsidRPr="00C47DE4">
        <w:rPr>
          <w:color w:val="000000" w:themeColor="text1"/>
        </w:rPr>
        <w:t>.</w:t>
      </w:r>
    </w:p>
    <w:p w:rsidR="001E2268" w:rsidRPr="00C47DE4" w:rsidRDefault="001E2268" w:rsidP="009722D0">
      <w:pPr>
        <w:pStyle w:val="ListParagraph"/>
        <w:numPr>
          <w:ilvl w:val="1"/>
          <w:numId w:val="1"/>
        </w:numPr>
        <w:spacing w:after="120"/>
        <w:ind w:left="720" w:hanging="720"/>
        <w:jc w:val="both"/>
        <w:rPr>
          <w:color w:val="000000" w:themeColor="text1"/>
        </w:rPr>
      </w:pPr>
      <w:r w:rsidRPr="00C47DE4">
        <w:rPr>
          <w:color w:val="000000" w:themeColor="text1"/>
        </w:rPr>
        <w:lastRenderedPageBreak/>
        <w:t xml:space="preserve">The proposed restriction states that treatment must be in combination with a tapering course of corticosteroids. The restriction does not nominate a particular steroid tapering regimen. In the </w:t>
      </w:r>
      <w:proofErr w:type="spellStart"/>
      <w:r w:rsidRPr="00C47DE4">
        <w:rPr>
          <w:color w:val="000000" w:themeColor="text1"/>
        </w:rPr>
        <w:t>GiACTA</w:t>
      </w:r>
      <w:proofErr w:type="spellEnd"/>
      <w:r w:rsidRPr="00C47DE4">
        <w:rPr>
          <w:color w:val="000000" w:themeColor="text1"/>
        </w:rPr>
        <w:t xml:space="preserve"> trial, </w:t>
      </w:r>
      <w:r w:rsidR="002861C4" w:rsidRPr="00C47DE4">
        <w:rPr>
          <w:color w:val="000000" w:themeColor="text1"/>
        </w:rPr>
        <w:t xml:space="preserve">treatment with </w:t>
      </w:r>
      <w:proofErr w:type="spellStart"/>
      <w:r w:rsidRPr="00C47DE4">
        <w:rPr>
          <w:color w:val="000000" w:themeColor="text1"/>
        </w:rPr>
        <w:t>tocilizumab</w:t>
      </w:r>
      <w:proofErr w:type="spellEnd"/>
      <w:r w:rsidRPr="00C47DE4">
        <w:rPr>
          <w:color w:val="000000" w:themeColor="text1"/>
        </w:rPr>
        <w:t xml:space="preserve"> was in </w:t>
      </w:r>
      <w:r w:rsidR="002861C4" w:rsidRPr="00C47DE4">
        <w:rPr>
          <w:color w:val="000000" w:themeColor="text1"/>
        </w:rPr>
        <w:t xml:space="preserve">conjunction </w:t>
      </w:r>
      <w:r w:rsidRPr="00C47DE4">
        <w:rPr>
          <w:color w:val="000000" w:themeColor="text1"/>
        </w:rPr>
        <w:t xml:space="preserve">with a 26-week </w:t>
      </w:r>
      <w:r w:rsidR="006549F6" w:rsidRPr="00C47DE4">
        <w:rPr>
          <w:color w:val="000000" w:themeColor="text1"/>
        </w:rPr>
        <w:t>prednisone</w:t>
      </w:r>
      <w:r w:rsidRPr="00C47DE4">
        <w:rPr>
          <w:color w:val="000000" w:themeColor="text1"/>
        </w:rPr>
        <w:t xml:space="preserve"> tapering regimen. </w:t>
      </w:r>
      <w:r w:rsidR="00C47DE4">
        <w:rPr>
          <w:color w:val="000000" w:themeColor="text1"/>
        </w:rPr>
        <w:t>The evaluation and the PBAC considered that it</w:t>
      </w:r>
      <w:r w:rsidRPr="00C47DE4">
        <w:rPr>
          <w:color w:val="000000" w:themeColor="text1"/>
        </w:rPr>
        <w:t xml:space="preserve"> is unclear whether a 26-week corticosteroid tapering regimen, or a longer regimen, would be used in clinical practice</w:t>
      </w:r>
      <w:r w:rsidR="006B6F3F" w:rsidRPr="00C47DE4">
        <w:rPr>
          <w:color w:val="000000" w:themeColor="text1"/>
        </w:rPr>
        <w:t xml:space="preserve"> with </w:t>
      </w:r>
      <w:proofErr w:type="spellStart"/>
      <w:r w:rsidR="006B6F3F" w:rsidRPr="00C47DE4">
        <w:rPr>
          <w:color w:val="000000" w:themeColor="text1"/>
        </w:rPr>
        <w:t>tocilizumab</w:t>
      </w:r>
      <w:proofErr w:type="spellEnd"/>
      <w:r w:rsidRPr="00C47DE4">
        <w:rPr>
          <w:color w:val="000000" w:themeColor="text1"/>
        </w:rPr>
        <w:t>.</w:t>
      </w:r>
    </w:p>
    <w:p w:rsidR="006C21FA" w:rsidRDefault="001E2268" w:rsidP="006C21FA">
      <w:pPr>
        <w:pStyle w:val="ListParagraph"/>
        <w:numPr>
          <w:ilvl w:val="1"/>
          <w:numId w:val="1"/>
        </w:numPr>
        <w:spacing w:after="120"/>
        <w:ind w:left="720" w:hanging="720"/>
        <w:jc w:val="both"/>
        <w:rPr>
          <w:color w:val="000000" w:themeColor="text1"/>
        </w:rPr>
      </w:pPr>
      <w:r w:rsidRPr="0068463E">
        <w:rPr>
          <w:color w:val="000000" w:themeColor="text1"/>
        </w:rPr>
        <w:t>The</w:t>
      </w:r>
      <w:r w:rsidR="009F3105">
        <w:rPr>
          <w:color w:val="000000" w:themeColor="text1"/>
        </w:rPr>
        <w:t xml:space="preserve"> PBAC considered that the initiation</w:t>
      </w:r>
      <w:r w:rsidRPr="0068463E">
        <w:rPr>
          <w:color w:val="000000" w:themeColor="text1"/>
        </w:rPr>
        <w:t xml:space="preserve"> </w:t>
      </w:r>
      <w:r w:rsidR="00B97362" w:rsidRPr="0068463E">
        <w:rPr>
          <w:color w:val="000000" w:themeColor="text1"/>
        </w:rPr>
        <w:t>restriction</w:t>
      </w:r>
      <w:r w:rsidR="00BF2CFD" w:rsidRPr="0068463E">
        <w:rPr>
          <w:color w:val="000000" w:themeColor="text1"/>
        </w:rPr>
        <w:t xml:space="preserve"> </w:t>
      </w:r>
      <w:r w:rsidR="009F3105">
        <w:rPr>
          <w:color w:val="000000" w:themeColor="text1"/>
        </w:rPr>
        <w:t>should</w:t>
      </w:r>
      <w:r w:rsidR="00BF2CFD" w:rsidRPr="0068463E">
        <w:rPr>
          <w:color w:val="000000" w:themeColor="text1"/>
        </w:rPr>
        <w:t xml:space="preserve"> clearly specify that the </w:t>
      </w:r>
      <w:r w:rsidR="00600755">
        <w:rPr>
          <w:color w:val="000000" w:themeColor="text1"/>
        </w:rPr>
        <w:t xml:space="preserve">‘presence of </w:t>
      </w:r>
      <w:r w:rsidR="00600755" w:rsidRPr="0068463E">
        <w:rPr>
          <w:color w:val="000000" w:themeColor="text1"/>
        </w:rPr>
        <w:t xml:space="preserve">clinical signs and symptoms AND ESR ≥30 mm/hour </w:t>
      </w:r>
      <w:r w:rsidR="00600755">
        <w:rPr>
          <w:i/>
          <w:color w:val="000000" w:themeColor="text1"/>
        </w:rPr>
        <w:t>or</w:t>
      </w:r>
      <w:r w:rsidR="00600755">
        <w:rPr>
          <w:color w:val="000000" w:themeColor="text1"/>
        </w:rPr>
        <w:t xml:space="preserve"> </w:t>
      </w:r>
      <w:r w:rsidR="00600755" w:rsidRPr="0068463E">
        <w:rPr>
          <w:color w:val="000000" w:themeColor="text1"/>
        </w:rPr>
        <w:t>CRP ≥1</w:t>
      </w:r>
      <w:r w:rsidR="00600755">
        <w:rPr>
          <w:color w:val="000000" w:themeColor="text1"/>
        </w:rPr>
        <w:t>0</w:t>
      </w:r>
      <w:r w:rsidR="00600755" w:rsidRPr="0068463E">
        <w:rPr>
          <w:color w:val="000000" w:themeColor="text1"/>
        </w:rPr>
        <w:t xml:space="preserve"> mg/L</w:t>
      </w:r>
      <w:r w:rsidR="00600755">
        <w:rPr>
          <w:color w:val="000000" w:themeColor="text1"/>
        </w:rPr>
        <w:t>’</w:t>
      </w:r>
      <w:r w:rsidR="00600755" w:rsidRPr="0068463E">
        <w:rPr>
          <w:color w:val="000000" w:themeColor="text1"/>
        </w:rPr>
        <w:t xml:space="preserve"> </w:t>
      </w:r>
      <w:r w:rsidR="00600755">
        <w:rPr>
          <w:color w:val="000000" w:themeColor="text1"/>
        </w:rPr>
        <w:t xml:space="preserve">(i.e. the </w:t>
      </w:r>
      <w:r w:rsidR="00BF2CFD" w:rsidRPr="0068463E">
        <w:rPr>
          <w:color w:val="000000" w:themeColor="text1"/>
        </w:rPr>
        <w:t xml:space="preserve">first </w:t>
      </w:r>
      <w:r w:rsidR="009F3105">
        <w:rPr>
          <w:color w:val="000000" w:themeColor="text1"/>
        </w:rPr>
        <w:t xml:space="preserve">clinical </w:t>
      </w:r>
      <w:r w:rsidR="00BF2CFD" w:rsidRPr="0068463E">
        <w:rPr>
          <w:color w:val="000000" w:themeColor="text1"/>
        </w:rPr>
        <w:t xml:space="preserve">criterion </w:t>
      </w:r>
      <w:r w:rsidR="009F3105">
        <w:rPr>
          <w:color w:val="000000" w:themeColor="text1"/>
        </w:rPr>
        <w:t>defining</w:t>
      </w:r>
      <w:r w:rsidR="00BF2CFD" w:rsidRPr="0068463E">
        <w:rPr>
          <w:color w:val="000000" w:themeColor="text1"/>
        </w:rPr>
        <w:t xml:space="preserve"> active </w:t>
      </w:r>
      <w:r w:rsidR="009F3105">
        <w:rPr>
          <w:color w:val="000000" w:themeColor="text1"/>
        </w:rPr>
        <w:t>GCA</w:t>
      </w:r>
      <w:r w:rsidR="00BF2CFD" w:rsidRPr="0068463E">
        <w:rPr>
          <w:color w:val="000000" w:themeColor="text1"/>
        </w:rPr>
        <w:t xml:space="preserve">) must be satisfied </w:t>
      </w:r>
      <w:r w:rsidR="00853667" w:rsidRPr="0068463E">
        <w:rPr>
          <w:color w:val="000000" w:themeColor="text1"/>
        </w:rPr>
        <w:t>in the prior</w:t>
      </w:r>
      <w:r w:rsidR="00B97362" w:rsidRPr="0068463E">
        <w:rPr>
          <w:color w:val="000000" w:themeColor="text1"/>
        </w:rPr>
        <w:t xml:space="preserve"> </w:t>
      </w:r>
      <w:r w:rsidR="006C21FA">
        <w:rPr>
          <w:color w:val="000000" w:themeColor="text1"/>
        </w:rPr>
        <w:t>si</w:t>
      </w:r>
      <w:r w:rsidR="00E713E4">
        <w:rPr>
          <w:color w:val="000000" w:themeColor="text1"/>
        </w:rPr>
        <w:t>x</w:t>
      </w:r>
      <w:r w:rsidR="00BF2CFD" w:rsidRPr="0068463E">
        <w:rPr>
          <w:color w:val="000000" w:themeColor="text1"/>
        </w:rPr>
        <w:t xml:space="preserve"> weeks</w:t>
      </w:r>
      <w:r w:rsidR="00BA1731">
        <w:rPr>
          <w:color w:val="000000" w:themeColor="text1"/>
        </w:rPr>
        <w:t xml:space="preserve">, consistent with the </w:t>
      </w:r>
      <w:proofErr w:type="spellStart"/>
      <w:r w:rsidR="00BA1731" w:rsidRPr="001E2268">
        <w:rPr>
          <w:color w:val="000000" w:themeColor="text1"/>
        </w:rPr>
        <w:t>GiACTA</w:t>
      </w:r>
      <w:proofErr w:type="spellEnd"/>
      <w:r w:rsidR="00BA1731" w:rsidRPr="001E2268">
        <w:rPr>
          <w:color w:val="000000" w:themeColor="text1"/>
        </w:rPr>
        <w:t xml:space="preserve"> trial</w:t>
      </w:r>
      <w:r w:rsidR="00BF2CFD" w:rsidRPr="0068463E">
        <w:rPr>
          <w:color w:val="000000" w:themeColor="text1"/>
        </w:rPr>
        <w:t>.</w:t>
      </w:r>
      <w:r w:rsidR="006C21FA">
        <w:rPr>
          <w:color w:val="000000" w:themeColor="text1"/>
        </w:rPr>
        <w:t xml:space="preserve"> </w:t>
      </w:r>
    </w:p>
    <w:p w:rsidR="001E2268" w:rsidRPr="0068463E" w:rsidRDefault="006C21FA" w:rsidP="006C21FA">
      <w:pPr>
        <w:pStyle w:val="ListParagraph"/>
        <w:numPr>
          <w:ilvl w:val="1"/>
          <w:numId w:val="1"/>
        </w:numPr>
        <w:spacing w:after="120"/>
        <w:ind w:left="720" w:hanging="720"/>
        <w:jc w:val="both"/>
        <w:rPr>
          <w:color w:val="000000" w:themeColor="text1"/>
        </w:rPr>
      </w:pPr>
      <w:r>
        <w:rPr>
          <w:color w:val="000000" w:themeColor="text1"/>
        </w:rPr>
        <w:t xml:space="preserve">The PBAC noted that the </w:t>
      </w:r>
      <w:r w:rsidR="00600755">
        <w:rPr>
          <w:color w:val="000000" w:themeColor="text1"/>
        </w:rPr>
        <w:t>requested restriction</w:t>
      </w:r>
      <w:r>
        <w:rPr>
          <w:color w:val="000000" w:themeColor="text1"/>
        </w:rPr>
        <w:t xml:space="preserve"> had proposed </w:t>
      </w:r>
      <w:r w:rsidR="00600755">
        <w:rPr>
          <w:color w:val="000000" w:themeColor="text1"/>
        </w:rPr>
        <w:t xml:space="preserve">that ‘active GCA </w:t>
      </w:r>
      <w:r w:rsidRPr="006C21FA">
        <w:rPr>
          <w:color w:val="000000" w:themeColor="text1"/>
        </w:rPr>
        <w:t>confirm</w:t>
      </w:r>
      <w:r>
        <w:rPr>
          <w:color w:val="000000" w:themeColor="text1"/>
        </w:rPr>
        <w:t>ation</w:t>
      </w:r>
      <w:r w:rsidRPr="006C21FA">
        <w:rPr>
          <w:color w:val="000000" w:themeColor="text1"/>
        </w:rPr>
        <w:t xml:space="preserve"> by positive temporal artery biopsy or imaging</w:t>
      </w:r>
      <w:r w:rsidR="00600755">
        <w:rPr>
          <w:color w:val="000000" w:themeColor="text1"/>
        </w:rPr>
        <w:t xml:space="preserve">’ (i.e. part of the second clinical </w:t>
      </w:r>
      <w:r w:rsidR="00600755" w:rsidRPr="0068463E">
        <w:rPr>
          <w:color w:val="000000" w:themeColor="text1"/>
        </w:rPr>
        <w:t xml:space="preserve">criterion </w:t>
      </w:r>
      <w:r w:rsidR="00600755">
        <w:rPr>
          <w:color w:val="000000" w:themeColor="text1"/>
        </w:rPr>
        <w:t>defining</w:t>
      </w:r>
      <w:r w:rsidR="00600755" w:rsidRPr="0068463E">
        <w:rPr>
          <w:color w:val="000000" w:themeColor="text1"/>
        </w:rPr>
        <w:t xml:space="preserve"> active </w:t>
      </w:r>
      <w:r w:rsidR="00600755">
        <w:rPr>
          <w:color w:val="000000" w:themeColor="text1"/>
        </w:rPr>
        <w:t>GCA), must have been conducted within</w:t>
      </w:r>
      <w:r>
        <w:rPr>
          <w:color w:val="000000" w:themeColor="text1"/>
        </w:rPr>
        <w:t xml:space="preserve"> the previous six week</w:t>
      </w:r>
      <w:r w:rsidR="00600755">
        <w:rPr>
          <w:color w:val="000000" w:themeColor="text1"/>
        </w:rPr>
        <w:t>s</w:t>
      </w:r>
      <w:r>
        <w:rPr>
          <w:color w:val="000000" w:themeColor="text1"/>
        </w:rPr>
        <w:t>. The PBAC considered that it may not be necessary for the biopsy or imaging to have been conducted in the previous six weeks as this may create a requirement for patients to undergo a second biopsy.</w:t>
      </w:r>
    </w:p>
    <w:p w:rsidR="0070716A" w:rsidRPr="007B241F" w:rsidRDefault="00600755" w:rsidP="009722D0">
      <w:pPr>
        <w:pStyle w:val="ListParagraph"/>
        <w:numPr>
          <w:ilvl w:val="1"/>
          <w:numId w:val="1"/>
        </w:numPr>
        <w:spacing w:after="120"/>
        <w:ind w:left="720" w:hanging="720"/>
        <w:jc w:val="both"/>
        <w:rPr>
          <w:color w:val="000000" w:themeColor="text1"/>
        </w:rPr>
      </w:pPr>
      <w:r>
        <w:rPr>
          <w:color w:val="000000" w:themeColor="text1"/>
        </w:rPr>
        <w:t xml:space="preserve">The evaluation, ESC and PBAC noted that </w:t>
      </w:r>
      <w:proofErr w:type="spellStart"/>
      <w:r>
        <w:rPr>
          <w:color w:val="000000" w:themeColor="text1"/>
        </w:rPr>
        <w:t>tocilizumab</w:t>
      </w:r>
      <w:proofErr w:type="spellEnd"/>
      <w:r>
        <w:rPr>
          <w:color w:val="000000" w:themeColor="text1"/>
        </w:rPr>
        <w:t xml:space="preserve"> may be used fortnightly (rather than weekly) in some patients. T</w:t>
      </w:r>
      <w:r w:rsidR="00BF7C13">
        <w:rPr>
          <w:color w:val="000000" w:themeColor="text1"/>
        </w:rPr>
        <w:t xml:space="preserve">he </w:t>
      </w:r>
      <w:r w:rsidR="009F3105">
        <w:rPr>
          <w:color w:val="000000" w:themeColor="text1"/>
        </w:rPr>
        <w:t>Product Information</w:t>
      </w:r>
      <w:r w:rsidR="00BF7C13">
        <w:rPr>
          <w:color w:val="000000" w:themeColor="text1"/>
        </w:rPr>
        <w:t xml:space="preserve"> </w:t>
      </w:r>
      <w:r w:rsidR="009F3105">
        <w:rPr>
          <w:color w:val="000000" w:themeColor="text1"/>
        </w:rPr>
        <w:t>stat</w:t>
      </w:r>
      <w:r>
        <w:rPr>
          <w:color w:val="000000" w:themeColor="text1"/>
        </w:rPr>
        <w:t>es</w:t>
      </w:r>
      <w:r w:rsidR="009F3105">
        <w:rPr>
          <w:color w:val="000000" w:themeColor="text1"/>
        </w:rPr>
        <w:t xml:space="preserve"> that </w:t>
      </w:r>
      <w:r w:rsidR="001E2268" w:rsidRPr="0068463E">
        <w:rPr>
          <w:color w:val="000000" w:themeColor="text1"/>
        </w:rPr>
        <w:t xml:space="preserve">fortnightly treatment </w:t>
      </w:r>
      <w:r w:rsidR="009F3105">
        <w:rPr>
          <w:color w:val="000000" w:themeColor="text1"/>
        </w:rPr>
        <w:t>(</w:t>
      </w:r>
      <w:r w:rsidR="001E2268" w:rsidRPr="0068463E">
        <w:rPr>
          <w:color w:val="000000" w:themeColor="text1"/>
        </w:rPr>
        <w:t>in conjunction with a tapering course of glucocorticoids</w:t>
      </w:r>
      <w:r w:rsidR="009F3105">
        <w:rPr>
          <w:color w:val="000000" w:themeColor="text1"/>
        </w:rPr>
        <w:t>)</w:t>
      </w:r>
      <w:r w:rsidR="001E2268" w:rsidRPr="0068463E">
        <w:rPr>
          <w:color w:val="000000" w:themeColor="text1"/>
        </w:rPr>
        <w:t xml:space="preserve"> may be prescribed ba</w:t>
      </w:r>
      <w:r w:rsidR="004A3ACD" w:rsidRPr="0068463E">
        <w:rPr>
          <w:color w:val="000000" w:themeColor="text1"/>
        </w:rPr>
        <w:t xml:space="preserve">sed on clinical considerations. </w:t>
      </w:r>
      <w:r w:rsidR="00BF7C13">
        <w:rPr>
          <w:color w:val="000000" w:themeColor="text1"/>
        </w:rPr>
        <w:t xml:space="preserve">The pre-PBAC response (p. 2) stated that clinician feedback suggested that some patients may receive treatment every two weeks once their active disease is under control. </w:t>
      </w:r>
      <w:r w:rsidR="009F3105">
        <w:rPr>
          <w:color w:val="000000" w:themeColor="text1"/>
        </w:rPr>
        <w:t>Further, t</w:t>
      </w:r>
      <w:r w:rsidR="00AE3101" w:rsidRPr="001E43CB">
        <w:rPr>
          <w:color w:val="000000" w:themeColor="text1"/>
        </w:rPr>
        <w:t xml:space="preserve">he ESC </w:t>
      </w:r>
      <w:r w:rsidR="003F1F3F" w:rsidRPr="00A130DC">
        <w:rPr>
          <w:color w:val="000000" w:themeColor="text1"/>
        </w:rPr>
        <w:t>and the PBAC</w:t>
      </w:r>
      <w:r w:rsidR="003F1F3F">
        <w:rPr>
          <w:i/>
          <w:color w:val="000000" w:themeColor="text1"/>
        </w:rPr>
        <w:t xml:space="preserve"> </w:t>
      </w:r>
      <w:r w:rsidR="00AE3101" w:rsidRPr="001E43CB">
        <w:rPr>
          <w:color w:val="000000" w:themeColor="text1"/>
        </w:rPr>
        <w:t>noted that f</w:t>
      </w:r>
      <w:r w:rsidR="00300CD8" w:rsidRPr="001E43CB">
        <w:rPr>
          <w:color w:val="000000" w:themeColor="text1"/>
        </w:rPr>
        <w:t xml:space="preserve">ortnightly use </w:t>
      </w:r>
      <w:r w:rsidR="000B02F6" w:rsidRPr="001E43CB">
        <w:rPr>
          <w:color w:val="000000" w:themeColor="text1"/>
        </w:rPr>
        <w:t xml:space="preserve">is supported by the </w:t>
      </w:r>
      <w:proofErr w:type="spellStart"/>
      <w:r w:rsidR="00186F33">
        <w:rPr>
          <w:color w:val="000000" w:themeColor="text1"/>
        </w:rPr>
        <w:t>GiACTA</w:t>
      </w:r>
      <w:proofErr w:type="spellEnd"/>
      <w:r w:rsidR="00186F33">
        <w:rPr>
          <w:color w:val="000000" w:themeColor="text1"/>
        </w:rPr>
        <w:t xml:space="preserve"> </w:t>
      </w:r>
      <w:r w:rsidR="000B02F6" w:rsidRPr="001E43CB">
        <w:rPr>
          <w:color w:val="000000" w:themeColor="text1"/>
        </w:rPr>
        <w:t>clinical trial</w:t>
      </w:r>
      <w:r w:rsidR="003B3531" w:rsidRPr="001E43CB">
        <w:rPr>
          <w:color w:val="000000" w:themeColor="text1"/>
        </w:rPr>
        <w:t xml:space="preserve"> (refer to Section 6)</w:t>
      </w:r>
      <w:r w:rsidR="000B02F6" w:rsidRPr="001E43CB">
        <w:rPr>
          <w:color w:val="000000" w:themeColor="text1"/>
        </w:rPr>
        <w:t>.</w:t>
      </w:r>
      <w:r w:rsidR="000B02F6" w:rsidRPr="000B02F6">
        <w:rPr>
          <w:i/>
          <w:color w:val="000000" w:themeColor="text1"/>
        </w:rPr>
        <w:t xml:space="preserve"> </w:t>
      </w:r>
    </w:p>
    <w:p w:rsidR="001E2268" w:rsidRDefault="00600755" w:rsidP="00600755">
      <w:pPr>
        <w:pStyle w:val="ListParagraph"/>
        <w:numPr>
          <w:ilvl w:val="1"/>
          <w:numId w:val="1"/>
        </w:numPr>
        <w:spacing w:after="120"/>
        <w:ind w:left="720" w:hanging="720"/>
        <w:jc w:val="both"/>
        <w:rPr>
          <w:color w:val="000000" w:themeColor="text1"/>
        </w:rPr>
      </w:pPr>
      <w:r w:rsidRPr="0068463E">
        <w:rPr>
          <w:color w:val="000000" w:themeColor="text1"/>
        </w:rPr>
        <w:t xml:space="preserve">The initial and continuing restrictions </w:t>
      </w:r>
      <w:r>
        <w:rPr>
          <w:color w:val="000000" w:themeColor="text1"/>
        </w:rPr>
        <w:t xml:space="preserve">proposed by the submission </w:t>
      </w:r>
      <w:r w:rsidRPr="0068463E">
        <w:rPr>
          <w:color w:val="000000" w:themeColor="text1"/>
        </w:rPr>
        <w:t>both state</w:t>
      </w:r>
      <w:r>
        <w:rPr>
          <w:color w:val="000000" w:themeColor="text1"/>
        </w:rPr>
        <w:t>d</w:t>
      </w:r>
      <w:r w:rsidRPr="0068463E">
        <w:rPr>
          <w:color w:val="000000" w:themeColor="text1"/>
        </w:rPr>
        <w:t xml:space="preserve"> that the treatment must not exceed a lifetime maximum of 52 injections. </w:t>
      </w:r>
      <w:r>
        <w:rPr>
          <w:color w:val="000000" w:themeColor="text1"/>
        </w:rPr>
        <w:t xml:space="preserve">However, 52 injections would provide more than 12 months of treatment if </w:t>
      </w:r>
      <w:proofErr w:type="spellStart"/>
      <w:r>
        <w:rPr>
          <w:color w:val="000000" w:themeColor="text1"/>
        </w:rPr>
        <w:t>tocilizumab</w:t>
      </w:r>
      <w:proofErr w:type="spellEnd"/>
      <w:r>
        <w:rPr>
          <w:color w:val="000000" w:themeColor="text1"/>
        </w:rPr>
        <w:t xml:space="preserve"> is used fortnightly rather than weekly.</w:t>
      </w:r>
      <w:r w:rsidR="004A3ACD" w:rsidRPr="0068463E">
        <w:rPr>
          <w:color w:val="000000" w:themeColor="text1"/>
        </w:rPr>
        <w:t xml:space="preserve"> </w:t>
      </w:r>
      <w:r>
        <w:rPr>
          <w:color w:val="000000" w:themeColor="text1"/>
        </w:rPr>
        <w:t>T</w:t>
      </w:r>
      <w:r w:rsidRPr="001E43CB">
        <w:rPr>
          <w:color w:val="000000" w:themeColor="text1"/>
        </w:rPr>
        <w:t xml:space="preserve">he ESC </w:t>
      </w:r>
      <w:r w:rsidRPr="00260913">
        <w:rPr>
          <w:color w:val="000000" w:themeColor="text1"/>
        </w:rPr>
        <w:t>and the PBAC</w:t>
      </w:r>
      <w:r>
        <w:rPr>
          <w:i/>
          <w:color w:val="000000" w:themeColor="text1"/>
        </w:rPr>
        <w:t xml:space="preserve"> </w:t>
      </w:r>
      <w:r w:rsidRPr="001E43CB">
        <w:rPr>
          <w:color w:val="000000" w:themeColor="text1"/>
        </w:rPr>
        <w:t>considered that a 12 month treatment limitation should be included in the restriction</w:t>
      </w:r>
      <w:r>
        <w:rPr>
          <w:color w:val="000000" w:themeColor="text1"/>
        </w:rPr>
        <w:t xml:space="preserve">, as the </w:t>
      </w:r>
      <w:r w:rsidR="000B02F6" w:rsidRPr="001E43CB">
        <w:rPr>
          <w:color w:val="000000" w:themeColor="text1"/>
        </w:rPr>
        <w:t>trial data</w:t>
      </w:r>
      <w:r w:rsidR="00260913">
        <w:rPr>
          <w:color w:val="000000" w:themeColor="text1"/>
        </w:rPr>
        <w:t xml:space="preserve"> presented was limited to 12 months of therapy with </w:t>
      </w:r>
      <w:proofErr w:type="spellStart"/>
      <w:r w:rsidR="00260913">
        <w:rPr>
          <w:color w:val="000000" w:themeColor="text1"/>
        </w:rPr>
        <w:t>tocilizumab</w:t>
      </w:r>
      <w:proofErr w:type="spellEnd"/>
      <w:r>
        <w:rPr>
          <w:color w:val="000000" w:themeColor="text1"/>
        </w:rPr>
        <w:t>.</w:t>
      </w:r>
      <w:r w:rsidR="00E722B8">
        <w:rPr>
          <w:color w:val="000000" w:themeColor="text1"/>
        </w:rPr>
        <w:t xml:space="preserve"> </w:t>
      </w:r>
      <w:r w:rsidR="007D37FA">
        <w:rPr>
          <w:color w:val="000000" w:themeColor="text1"/>
        </w:rPr>
        <w:t>The PBAC considered there was a r</w:t>
      </w:r>
      <w:r w:rsidR="00E722B8">
        <w:rPr>
          <w:color w:val="000000" w:themeColor="text1"/>
        </w:rPr>
        <w:t xml:space="preserve">isk of use beyond 12 months and considered that a written </w:t>
      </w:r>
      <w:r w:rsidR="007D37FA">
        <w:rPr>
          <w:color w:val="000000" w:themeColor="text1"/>
        </w:rPr>
        <w:t xml:space="preserve">(initial) </w:t>
      </w:r>
      <w:r w:rsidR="00E722B8">
        <w:rPr>
          <w:color w:val="000000" w:themeColor="text1"/>
        </w:rPr>
        <w:t>and telephone</w:t>
      </w:r>
      <w:r w:rsidR="007D37FA">
        <w:rPr>
          <w:color w:val="000000" w:themeColor="text1"/>
        </w:rPr>
        <w:t xml:space="preserve"> (continuing)</w:t>
      </w:r>
      <w:r w:rsidR="00E722B8">
        <w:rPr>
          <w:color w:val="000000" w:themeColor="text1"/>
        </w:rPr>
        <w:t xml:space="preserve"> authority would be required to mitigate this risk.</w:t>
      </w:r>
      <w:r w:rsidR="007D37FA" w:rsidRPr="007D37FA">
        <w:rPr>
          <w:color w:val="000000" w:themeColor="text1"/>
        </w:rPr>
        <w:t xml:space="preserve"> </w:t>
      </w:r>
    </w:p>
    <w:p w:rsidR="00BA1731" w:rsidRDefault="00BA1731" w:rsidP="00BA1731">
      <w:pPr>
        <w:pStyle w:val="ListParagraph"/>
        <w:numPr>
          <w:ilvl w:val="1"/>
          <w:numId w:val="1"/>
        </w:numPr>
        <w:spacing w:after="120"/>
        <w:ind w:left="720" w:hanging="720"/>
        <w:jc w:val="both"/>
        <w:rPr>
          <w:color w:val="000000" w:themeColor="text1"/>
        </w:rPr>
      </w:pPr>
      <w:r w:rsidRPr="00BA1731">
        <w:rPr>
          <w:color w:val="000000" w:themeColor="text1"/>
        </w:rPr>
        <w:t xml:space="preserve">The PBAC noted that the proposed restriction did not require patients to experience a particular level of response in order to continue </w:t>
      </w:r>
      <w:proofErr w:type="spellStart"/>
      <w:r w:rsidRPr="00BA1731">
        <w:rPr>
          <w:color w:val="000000" w:themeColor="text1"/>
        </w:rPr>
        <w:t>tocilizumab</w:t>
      </w:r>
      <w:proofErr w:type="spellEnd"/>
      <w:r w:rsidRPr="00BA1731">
        <w:rPr>
          <w:color w:val="000000" w:themeColor="text1"/>
        </w:rPr>
        <w:t xml:space="preserve"> therapy. The PBAC considered that this was appropriate given that, in the trial, patients continued </w:t>
      </w:r>
      <w:proofErr w:type="spellStart"/>
      <w:r w:rsidRPr="00BA1731">
        <w:rPr>
          <w:color w:val="000000" w:themeColor="text1"/>
        </w:rPr>
        <w:t>tocilizumab</w:t>
      </w:r>
      <w:proofErr w:type="spellEnd"/>
      <w:r w:rsidRPr="00BA1731">
        <w:rPr>
          <w:color w:val="000000" w:themeColor="text1"/>
        </w:rPr>
        <w:t xml:space="preserve"> after a flare</w:t>
      </w:r>
      <w:r>
        <w:rPr>
          <w:color w:val="000000" w:themeColor="text1"/>
        </w:rPr>
        <w:t>. The PBA</w:t>
      </w:r>
      <w:r w:rsidRPr="00BA1731">
        <w:rPr>
          <w:color w:val="000000" w:themeColor="text1"/>
        </w:rPr>
        <w:t xml:space="preserve">C considered that </w:t>
      </w:r>
      <w:proofErr w:type="spellStart"/>
      <w:r w:rsidRPr="00BA1731">
        <w:rPr>
          <w:color w:val="000000" w:themeColor="text1"/>
        </w:rPr>
        <w:t>tocilizumab</w:t>
      </w:r>
      <w:proofErr w:type="spellEnd"/>
      <w:r w:rsidRPr="00BA1731">
        <w:rPr>
          <w:color w:val="000000" w:themeColor="text1"/>
        </w:rPr>
        <w:t xml:space="preserve"> may continue to have a steroid-sparing effect in these patients.</w:t>
      </w:r>
    </w:p>
    <w:p w:rsidR="001831AC" w:rsidRDefault="001831AC" w:rsidP="001831AC">
      <w:pPr>
        <w:pStyle w:val="ListParagraph"/>
        <w:numPr>
          <w:ilvl w:val="1"/>
          <w:numId w:val="1"/>
        </w:numPr>
        <w:spacing w:after="120"/>
        <w:ind w:left="720" w:hanging="720"/>
        <w:jc w:val="both"/>
        <w:rPr>
          <w:color w:val="000000" w:themeColor="text1"/>
        </w:rPr>
      </w:pPr>
      <w:r>
        <w:rPr>
          <w:color w:val="000000" w:themeColor="text1"/>
        </w:rPr>
        <w:t xml:space="preserve">The PBAC considered that the restriction should specify that the patient must be treated by a </w:t>
      </w:r>
      <w:r w:rsidRPr="001831AC">
        <w:rPr>
          <w:color w:val="000000" w:themeColor="text1"/>
        </w:rPr>
        <w:t xml:space="preserve">rheumatologist, clinical immunologist or neurologist experienced in the management of </w:t>
      </w:r>
      <w:r>
        <w:rPr>
          <w:color w:val="000000" w:themeColor="text1"/>
        </w:rPr>
        <w:t>GCA.</w:t>
      </w:r>
    </w:p>
    <w:p w:rsidR="001831AC" w:rsidRPr="00CB78C8" w:rsidRDefault="006F2FE4" w:rsidP="00CB78C8">
      <w:pPr>
        <w:pStyle w:val="ListParagraph"/>
        <w:numPr>
          <w:ilvl w:val="1"/>
          <w:numId w:val="1"/>
        </w:numPr>
        <w:spacing w:after="120"/>
        <w:ind w:left="720" w:hanging="720"/>
        <w:jc w:val="both"/>
        <w:rPr>
          <w:color w:val="000000" w:themeColor="text1"/>
        </w:rPr>
      </w:pPr>
      <w:r>
        <w:rPr>
          <w:color w:val="000000" w:themeColor="text1"/>
        </w:rPr>
        <w:lastRenderedPageBreak/>
        <w:t>T</w:t>
      </w:r>
      <w:r w:rsidRPr="006F2FE4">
        <w:rPr>
          <w:color w:val="000000" w:themeColor="text1"/>
        </w:rPr>
        <w:t xml:space="preserve">he PBAC considered </w:t>
      </w:r>
      <w:r w:rsidR="00CB78C8">
        <w:rPr>
          <w:color w:val="000000" w:themeColor="text1"/>
        </w:rPr>
        <w:t>further</w:t>
      </w:r>
      <w:r w:rsidRPr="006F2FE4">
        <w:rPr>
          <w:color w:val="000000" w:themeColor="text1"/>
        </w:rPr>
        <w:t xml:space="preserve"> work </w:t>
      </w:r>
      <w:r w:rsidR="00CB78C8">
        <w:rPr>
          <w:color w:val="000000" w:themeColor="text1"/>
        </w:rPr>
        <w:t>was</w:t>
      </w:r>
      <w:r w:rsidRPr="006F2FE4">
        <w:rPr>
          <w:color w:val="000000" w:themeColor="text1"/>
        </w:rPr>
        <w:t xml:space="preserve"> required </w:t>
      </w:r>
      <w:r w:rsidR="00CB78C8" w:rsidRPr="00CB78C8">
        <w:rPr>
          <w:color w:val="000000" w:themeColor="text1"/>
        </w:rPr>
        <w:t xml:space="preserve">around the imaging and biopsy requirements for diagnosis of GCA </w:t>
      </w:r>
      <w:r w:rsidRPr="006F2FE4">
        <w:rPr>
          <w:color w:val="000000" w:themeColor="text1"/>
        </w:rPr>
        <w:t>in the proposed restriction to</w:t>
      </w:r>
      <w:r w:rsidR="00CB78C8">
        <w:rPr>
          <w:color w:val="000000" w:themeColor="text1"/>
        </w:rPr>
        <w:t xml:space="preserve"> ensure accurate diagnosis of GCA, and that expert input </w:t>
      </w:r>
      <w:r w:rsidR="00823AD3">
        <w:rPr>
          <w:color w:val="000000" w:themeColor="text1"/>
        </w:rPr>
        <w:t>would</w:t>
      </w:r>
      <w:r w:rsidR="00CB78C8">
        <w:rPr>
          <w:color w:val="000000" w:themeColor="text1"/>
        </w:rPr>
        <w:t xml:space="preserve"> be required to inform this aspect of the restriction.</w:t>
      </w:r>
      <w:r w:rsidRPr="006F2FE4">
        <w:rPr>
          <w:color w:val="000000" w:themeColor="text1"/>
        </w:rPr>
        <w:t xml:space="preserve"> </w:t>
      </w:r>
    </w:p>
    <w:p w:rsidR="000D4B93" w:rsidRPr="0068463E" w:rsidRDefault="000D4B93" w:rsidP="009722D0">
      <w:pPr>
        <w:pStyle w:val="ListParagraph"/>
        <w:spacing w:after="120"/>
        <w:jc w:val="both"/>
        <w:rPr>
          <w:color w:val="000000" w:themeColor="text1"/>
        </w:rPr>
      </w:pPr>
      <w:r w:rsidRPr="00525B39">
        <w:rPr>
          <w:i/>
        </w:rPr>
        <w:t>For more detail on PBAC’s view, see section 7 PBAC outcome.</w:t>
      </w:r>
    </w:p>
    <w:p w:rsidR="00C317F3" w:rsidRDefault="00C317F3" w:rsidP="000A734B">
      <w:pPr>
        <w:pStyle w:val="Heading1"/>
      </w:pPr>
      <w:bookmarkStart w:id="6" w:name="_Toc413139273"/>
      <w:bookmarkStart w:id="7" w:name="_Toc523934600"/>
      <w:r w:rsidRPr="008329D7">
        <w:t>Background</w:t>
      </w:r>
      <w:bookmarkEnd w:id="6"/>
      <w:bookmarkEnd w:id="7"/>
    </w:p>
    <w:p w:rsidR="0017638E" w:rsidRPr="000A734B" w:rsidRDefault="0017638E" w:rsidP="000A734B">
      <w:pPr>
        <w:pStyle w:val="Heading2"/>
      </w:pPr>
      <w:bookmarkStart w:id="8" w:name="_Toc523934601"/>
      <w:r w:rsidRPr="000A734B">
        <w:t>Registration status</w:t>
      </w:r>
      <w:bookmarkEnd w:id="8"/>
    </w:p>
    <w:p w:rsidR="001E2268" w:rsidRPr="00A130DC" w:rsidRDefault="001E2268" w:rsidP="009722D0">
      <w:pPr>
        <w:pStyle w:val="ListParagraph"/>
        <w:numPr>
          <w:ilvl w:val="1"/>
          <w:numId w:val="1"/>
        </w:numPr>
        <w:spacing w:after="120"/>
        <w:ind w:left="720" w:hanging="720"/>
        <w:jc w:val="both"/>
        <w:rPr>
          <w:color w:val="000000" w:themeColor="text1"/>
        </w:rPr>
      </w:pPr>
      <w:r w:rsidRPr="00A130DC">
        <w:rPr>
          <w:color w:val="000000" w:themeColor="text1"/>
        </w:rPr>
        <w:t xml:space="preserve">The subcutaneous formulation of </w:t>
      </w:r>
      <w:proofErr w:type="spellStart"/>
      <w:r w:rsidRPr="00A130DC">
        <w:rPr>
          <w:color w:val="000000" w:themeColor="text1"/>
        </w:rPr>
        <w:t>tocilizumab</w:t>
      </w:r>
      <w:proofErr w:type="spellEnd"/>
      <w:r w:rsidRPr="00A130DC">
        <w:rPr>
          <w:color w:val="000000" w:themeColor="text1"/>
        </w:rPr>
        <w:t xml:space="preserve"> was registered on the ARTG on 14 November 2017 for the treatment of giant cell arteritis in adult patients.</w:t>
      </w:r>
    </w:p>
    <w:p w:rsidR="001E2268" w:rsidRPr="00A130DC" w:rsidRDefault="001E2268" w:rsidP="009722D0">
      <w:pPr>
        <w:pStyle w:val="ListParagraph"/>
        <w:numPr>
          <w:ilvl w:val="1"/>
          <w:numId w:val="1"/>
        </w:numPr>
        <w:spacing w:after="120"/>
        <w:ind w:left="720" w:hanging="720"/>
        <w:jc w:val="both"/>
        <w:rPr>
          <w:color w:val="000000" w:themeColor="text1"/>
        </w:rPr>
      </w:pPr>
      <w:proofErr w:type="spellStart"/>
      <w:r w:rsidRPr="00A130DC">
        <w:rPr>
          <w:color w:val="000000" w:themeColor="text1"/>
        </w:rPr>
        <w:t>Tocilizumab</w:t>
      </w:r>
      <w:proofErr w:type="spellEnd"/>
      <w:r w:rsidRPr="00A130DC">
        <w:rPr>
          <w:color w:val="000000" w:themeColor="text1"/>
        </w:rPr>
        <w:t xml:space="preserve"> is also TGA registered for use in rheumatoid arthritis (intravenous and subcutaneous formulations), </w:t>
      </w:r>
      <w:proofErr w:type="spellStart"/>
      <w:r w:rsidRPr="00A130DC">
        <w:rPr>
          <w:color w:val="000000" w:themeColor="text1"/>
        </w:rPr>
        <w:t>polyarticular</w:t>
      </w:r>
      <w:proofErr w:type="spellEnd"/>
      <w:r w:rsidRPr="00A130DC">
        <w:rPr>
          <w:color w:val="000000" w:themeColor="text1"/>
        </w:rPr>
        <w:t xml:space="preserve"> juvenile idiopathic arthritis (intravenous formulation), and systemic juvenile idiopathic arthritis (intravenous formulation).</w:t>
      </w:r>
    </w:p>
    <w:p w:rsidR="00C317F3" w:rsidRDefault="00C317F3" w:rsidP="000A734B">
      <w:pPr>
        <w:pStyle w:val="Heading1"/>
      </w:pPr>
      <w:bookmarkStart w:id="9" w:name="_Toc523934602"/>
      <w:r w:rsidRPr="008329D7">
        <w:t>Population and disease</w:t>
      </w:r>
      <w:bookmarkEnd w:id="9"/>
    </w:p>
    <w:p w:rsidR="00C317F3" w:rsidRDefault="002A551A" w:rsidP="009722D0">
      <w:pPr>
        <w:pStyle w:val="ListParagraph"/>
        <w:numPr>
          <w:ilvl w:val="1"/>
          <w:numId w:val="1"/>
        </w:numPr>
        <w:spacing w:after="120"/>
        <w:ind w:left="709" w:hanging="709"/>
        <w:jc w:val="both"/>
        <w:rPr>
          <w:color w:val="000000" w:themeColor="text1"/>
        </w:rPr>
      </w:pPr>
      <w:r>
        <w:rPr>
          <w:color w:val="000000" w:themeColor="text1"/>
        </w:rPr>
        <w:t>GCA</w:t>
      </w:r>
      <w:r w:rsidR="001E2268" w:rsidRPr="001E2268">
        <w:rPr>
          <w:color w:val="000000" w:themeColor="text1"/>
        </w:rPr>
        <w:t xml:space="preserve"> (formerly known as temporal arteritis or cranial arteritis) is a systemic inflammatory vasculitis of medium- and large-size arteries, occurring almost exclusively in people aged over 50 years.</w:t>
      </w:r>
      <w:r w:rsidR="001E2268" w:rsidRPr="001E2268">
        <w:t xml:space="preserve"> </w:t>
      </w:r>
      <w:r w:rsidR="001E2268" w:rsidRPr="001E2268">
        <w:rPr>
          <w:color w:val="000000" w:themeColor="text1"/>
        </w:rPr>
        <w:t xml:space="preserve">Inflammation </w:t>
      </w:r>
      <w:r w:rsidR="00CC3036">
        <w:rPr>
          <w:color w:val="000000" w:themeColor="text1"/>
        </w:rPr>
        <w:t xml:space="preserve">associated with </w:t>
      </w:r>
      <w:r>
        <w:rPr>
          <w:color w:val="000000" w:themeColor="text1"/>
        </w:rPr>
        <w:t>GCA</w:t>
      </w:r>
      <w:r w:rsidR="00CC3036">
        <w:rPr>
          <w:color w:val="000000" w:themeColor="text1"/>
        </w:rPr>
        <w:t xml:space="preserve"> </w:t>
      </w:r>
      <w:r w:rsidR="001E2268" w:rsidRPr="001E2268">
        <w:rPr>
          <w:color w:val="000000" w:themeColor="text1"/>
        </w:rPr>
        <w:t xml:space="preserve">typically involves the </w:t>
      </w:r>
      <w:proofErr w:type="spellStart"/>
      <w:r w:rsidR="001E2268" w:rsidRPr="001E2268">
        <w:rPr>
          <w:color w:val="000000" w:themeColor="text1"/>
        </w:rPr>
        <w:t>extracranial</w:t>
      </w:r>
      <w:proofErr w:type="spellEnd"/>
      <w:r w:rsidR="001E2268" w:rsidRPr="001E2268">
        <w:rPr>
          <w:color w:val="000000" w:themeColor="text1"/>
        </w:rPr>
        <w:t xml:space="preserve"> branches of the carotid arteries, but may also affect the aorta, aortic arch and its branches.</w:t>
      </w:r>
    </w:p>
    <w:p w:rsidR="001E2268" w:rsidRDefault="001E2268" w:rsidP="009722D0">
      <w:pPr>
        <w:pStyle w:val="ListParagraph"/>
        <w:numPr>
          <w:ilvl w:val="1"/>
          <w:numId w:val="1"/>
        </w:numPr>
        <w:spacing w:after="120"/>
        <w:ind w:left="709" w:hanging="709"/>
        <w:jc w:val="both"/>
        <w:rPr>
          <w:color w:val="000000" w:themeColor="text1"/>
        </w:rPr>
      </w:pPr>
      <w:r w:rsidRPr="001E2268">
        <w:rPr>
          <w:color w:val="000000" w:themeColor="text1"/>
        </w:rPr>
        <w:t xml:space="preserve">Typical symptoms of active disease include jaw pain, severe headache, polymyalgia </w:t>
      </w:r>
      <w:proofErr w:type="spellStart"/>
      <w:r w:rsidRPr="001E2268">
        <w:rPr>
          <w:color w:val="000000" w:themeColor="text1"/>
        </w:rPr>
        <w:t>rheumatica</w:t>
      </w:r>
      <w:proofErr w:type="spellEnd"/>
      <w:r w:rsidRPr="001E2268">
        <w:rPr>
          <w:color w:val="000000" w:themeColor="text1"/>
        </w:rPr>
        <w:t xml:space="preserve"> (bilateral aching and stiffness of the shoulders and hip-girdle area), visual symptoms (diplopia or visual loss), scalp tenderness</w:t>
      </w:r>
      <w:r w:rsidR="00957B33">
        <w:rPr>
          <w:color w:val="000000" w:themeColor="text1"/>
        </w:rPr>
        <w:t>,</w:t>
      </w:r>
      <w:r w:rsidR="009D2B03">
        <w:rPr>
          <w:color w:val="000000" w:themeColor="text1"/>
        </w:rPr>
        <w:t xml:space="preserve"> and malaise. Systemic symptoms</w:t>
      </w:r>
      <w:r w:rsidRPr="001E2268">
        <w:rPr>
          <w:color w:val="000000" w:themeColor="text1"/>
        </w:rPr>
        <w:t xml:space="preserve"> such as fever, fatigue, and weight loss are also common.</w:t>
      </w:r>
      <w:r w:rsidR="00074717" w:rsidRPr="00074717">
        <w:t xml:space="preserve"> </w:t>
      </w:r>
      <w:r w:rsidR="00074717" w:rsidRPr="00074717">
        <w:rPr>
          <w:color w:val="000000" w:themeColor="text1"/>
        </w:rPr>
        <w:t xml:space="preserve">Active disease is typically associated with increases in inflammatory biomarkers, including the C-reactive protein (CRP) and </w:t>
      </w:r>
      <w:r w:rsidR="00CC3036">
        <w:rPr>
          <w:color w:val="000000" w:themeColor="text1"/>
        </w:rPr>
        <w:t xml:space="preserve">the </w:t>
      </w:r>
      <w:r w:rsidR="00074717" w:rsidRPr="00074717">
        <w:rPr>
          <w:color w:val="000000" w:themeColor="text1"/>
        </w:rPr>
        <w:t>erythrocyte sedimentation rate (ESR).</w:t>
      </w:r>
    </w:p>
    <w:p w:rsidR="001E2268" w:rsidRDefault="002A551A" w:rsidP="009722D0">
      <w:pPr>
        <w:pStyle w:val="ListParagraph"/>
        <w:numPr>
          <w:ilvl w:val="1"/>
          <w:numId w:val="1"/>
        </w:numPr>
        <w:spacing w:after="120"/>
        <w:ind w:left="709" w:hanging="709"/>
        <w:jc w:val="both"/>
        <w:rPr>
          <w:color w:val="000000" w:themeColor="text1"/>
        </w:rPr>
      </w:pPr>
      <w:r>
        <w:rPr>
          <w:color w:val="000000" w:themeColor="text1"/>
        </w:rPr>
        <w:t>GCA</w:t>
      </w:r>
      <w:r w:rsidR="001E2268" w:rsidRPr="001E2268">
        <w:rPr>
          <w:color w:val="000000" w:themeColor="text1"/>
        </w:rPr>
        <w:t xml:space="preserve"> is treated with high-dose corticosteroid therapy, typically 40 mg to 60 mg</w:t>
      </w:r>
      <w:r w:rsidR="00517C70">
        <w:rPr>
          <w:color w:val="000000" w:themeColor="text1"/>
        </w:rPr>
        <w:t xml:space="preserve"> per day </w:t>
      </w:r>
      <w:r w:rsidR="001E2268" w:rsidRPr="001E2268">
        <w:rPr>
          <w:color w:val="000000" w:themeColor="text1"/>
        </w:rPr>
        <w:t xml:space="preserve">of oral prednisone/prednisolone. Patients with evolving visual loss or a recent history of transient visual loss receive initial treatment with intravenous methylprednisolone. </w:t>
      </w:r>
      <w:r w:rsidR="002861C4">
        <w:rPr>
          <w:color w:val="000000" w:themeColor="text1"/>
        </w:rPr>
        <w:t>Corticosteroids</w:t>
      </w:r>
      <w:r w:rsidR="001E2268" w:rsidRPr="001E2268">
        <w:rPr>
          <w:color w:val="000000" w:themeColor="text1"/>
        </w:rPr>
        <w:t xml:space="preserve"> produce rapid improvement in systemic symptoms and signs and can prevent visual loss if administered early.</w:t>
      </w:r>
      <w:r w:rsidR="001E2268" w:rsidRPr="001E2268">
        <w:t xml:space="preserve"> </w:t>
      </w:r>
      <w:r w:rsidR="001E2268" w:rsidRPr="001E2268">
        <w:rPr>
          <w:color w:val="000000" w:themeColor="text1"/>
        </w:rPr>
        <w:t>Following remission of symptoms and normalisation of inflammatory markers, the dose of corticosteroids is gradually tapered.</w:t>
      </w:r>
    </w:p>
    <w:p w:rsidR="001E2268" w:rsidRPr="001E2268" w:rsidRDefault="001E2268" w:rsidP="009722D0">
      <w:pPr>
        <w:pStyle w:val="ListParagraph"/>
        <w:numPr>
          <w:ilvl w:val="1"/>
          <w:numId w:val="1"/>
        </w:numPr>
        <w:spacing w:after="120"/>
        <w:ind w:left="709" w:hanging="709"/>
        <w:jc w:val="both"/>
        <w:rPr>
          <w:color w:val="000000" w:themeColor="text1"/>
        </w:rPr>
      </w:pPr>
      <w:r w:rsidRPr="001E2268">
        <w:rPr>
          <w:color w:val="000000" w:themeColor="text1"/>
        </w:rPr>
        <w:t>Methotrexate may be used in combination with corticosteroid therapy initially, or as a corticosteroid-sparing drug</w:t>
      </w:r>
      <w:r w:rsidR="00957B33">
        <w:rPr>
          <w:color w:val="000000" w:themeColor="text1"/>
        </w:rPr>
        <w:t>,</w:t>
      </w:r>
      <w:r w:rsidRPr="001E2268">
        <w:rPr>
          <w:color w:val="000000" w:themeColor="text1"/>
        </w:rPr>
        <w:t xml:space="preserve"> in patients who </w:t>
      </w:r>
      <w:r w:rsidR="00260913">
        <w:rPr>
          <w:color w:val="000000" w:themeColor="text1"/>
        </w:rPr>
        <w:t>require</w:t>
      </w:r>
      <w:r w:rsidRPr="001E2268">
        <w:rPr>
          <w:color w:val="000000" w:themeColor="text1"/>
        </w:rPr>
        <w:t xml:space="preserve"> prolonged high-dose corticosteroid therapy or who develop early or severe corticosteroid adverse effects</w:t>
      </w:r>
      <w:r>
        <w:rPr>
          <w:color w:val="000000" w:themeColor="text1"/>
        </w:rPr>
        <w:t>.</w:t>
      </w:r>
      <w:r w:rsidR="000B02F6">
        <w:rPr>
          <w:color w:val="000000" w:themeColor="text1"/>
        </w:rPr>
        <w:t xml:space="preserve"> </w:t>
      </w:r>
      <w:proofErr w:type="spellStart"/>
      <w:r w:rsidR="000B02F6" w:rsidRPr="001E43CB">
        <w:rPr>
          <w:color w:val="000000" w:themeColor="text1"/>
        </w:rPr>
        <w:t>Cyclosporin</w:t>
      </w:r>
      <w:proofErr w:type="spellEnd"/>
      <w:r w:rsidR="000B02F6" w:rsidRPr="001E43CB">
        <w:rPr>
          <w:color w:val="000000" w:themeColor="text1"/>
        </w:rPr>
        <w:t xml:space="preserve"> and azathioprine </w:t>
      </w:r>
      <w:r w:rsidR="00655BAB" w:rsidRPr="001E43CB">
        <w:rPr>
          <w:color w:val="000000" w:themeColor="text1"/>
        </w:rPr>
        <w:t>are</w:t>
      </w:r>
      <w:r w:rsidR="000B02F6" w:rsidRPr="001E43CB">
        <w:rPr>
          <w:color w:val="000000" w:themeColor="text1"/>
        </w:rPr>
        <w:t xml:space="preserve"> also used in relapsed patients as steroid</w:t>
      </w:r>
      <w:r w:rsidR="008E301D" w:rsidRPr="001E43CB">
        <w:rPr>
          <w:color w:val="000000" w:themeColor="text1"/>
        </w:rPr>
        <w:t>-</w:t>
      </w:r>
      <w:r w:rsidR="000B02F6" w:rsidRPr="001E43CB">
        <w:rPr>
          <w:color w:val="000000" w:themeColor="text1"/>
        </w:rPr>
        <w:t>sparing agents</w:t>
      </w:r>
      <w:r w:rsidR="007B241F" w:rsidRPr="001E43CB">
        <w:rPr>
          <w:color w:val="000000" w:themeColor="text1"/>
        </w:rPr>
        <w:t>, though the ESC acknowledged there are limited data available on outcomes with these agents</w:t>
      </w:r>
      <w:r w:rsidR="000B02F6" w:rsidRPr="000B02F6">
        <w:rPr>
          <w:i/>
          <w:color w:val="000000" w:themeColor="text1"/>
        </w:rPr>
        <w:t>.</w:t>
      </w:r>
    </w:p>
    <w:p w:rsidR="00C317F3" w:rsidRDefault="006511F1" w:rsidP="009722D0">
      <w:pPr>
        <w:pStyle w:val="ListParagraph"/>
        <w:numPr>
          <w:ilvl w:val="1"/>
          <w:numId w:val="1"/>
        </w:numPr>
        <w:spacing w:after="120"/>
        <w:ind w:left="709" w:hanging="709"/>
        <w:jc w:val="both"/>
        <w:rPr>
          <w:color w:val="000000" w:themeColor="text1"/>
        </w:rPr>
      </w:pPr>
      <w:r w:rsidRPr="006511F1">
        <w:rPr>
          <w:color w:val="000000" w:themeColor="text1"/>
        </w:rPr>
        <w:lastRenderedPageBreak/>
        <w:t xml:space="preserve">The submission positioned </w:t>
      </w:r>
      <w:proofErr w:type="spellStart"/>
      <w:r w:rsidR="00062F0A" w:rsidRPr="006511F1">
        <w:rPr>
          <w:color w:val="000000" w:themeColor="text1"/>
        </w:rPr>
        <w:t>tocilizumab</w:t>
      </w:r>
      <w:proofErr w:type="spellEnd"/>
      <w:r w:rsidRPr="006511F1">
        <w:rPr>
          <w:color w:val="000000" w:themeColor="text1"/>
        </w:rPr>
        <w:t xml:space="preserve"> </w:t>
      </w:r>
      <w:r w:rsidR="00957B33">
        <w:rPr>
          <w:color w:val="000000" w:themeColor="text1"/>
        </w:rPr>
        <w:t xml:space="preserve">as a treatment option for </w:t>
      </w:r>
      <w:r w:rsidR="00260913">
        <w:rPr>
          <w:color w:val="000000" w:themeColor="text1"/>
        </w:rPr>
        <w:t xml:space="preserve">patients with either </w:t>
      </w:r>
      <w:r w:rsidR="00957B33">
        <w:rPr>
          <w:color w:val="000000" w:themeColor="text1"/>
        </w:rPr>
        <w:t>newly-</w:t>
      </w:r>
      <w:r w:rsidRPr="006511F1">
        <w:rPr>
          <w:color w:val="000000" w:themeColor="text1"/>
        </w:rPr>
        <w:t>diagnosed</w:t>
      </w:r>
      <w:r w:rsidR="00957B33">
        <w:rPr>
          <w:color w:val="000000" w:themeColor="text1"/>
        </w:rPr>
        <w:t xml:space="preserve"> </w:t>
      </w:r>
      <w:r w:rsidR="00260913">
        <w:rPr>
          <w:color w:val="000000" w:themeColor="text1"/>
        </w:rPr>
        <w:t>or</w:t>
      </w:r>
      <w:r w:rsidR="00957B33">
        <w:rPr>
          <w:color w:val="000000" w:themeColor="text1"/>
        </w:rPr>
        <w:t xml:space="preserve"> relapsed GCA.</w:t>
      </w:r>
    </w:p>
    <w:p w:rsidR="006511F1" w:rsidRDefault="00C317F3" w:rsidP="000A734B">
      <w:pPr>
        <w:pStyle w:val="Heading1"/>
      </w:pPr>
      <w:bookmarkStart w:id="10" w:name="_Toc413139275"/>
      <w:bookmarkStart w:id="11" w:name="_Toc523934603"/>
      <w:r w:rsidRPr="008329D7">
        <w:t>Comparator</w:t>
      </w:r>
      <w:bookmarkEnd w:id="10"/>
      <w:bookmarkEnd w:id="11"/>
    </w:p>
    <w:p w:rsidR="006511F1" w:rsidRPr="0068463E" w:rsidRDefault="006511F1" w:rsidP="009722D0">
      <w:pPr>
        <w:pStyle w:val="ListParagraph"/>
        <w:numPr>
          <w:ilvl w:val="1"/>
          <w:numId w:val="1"/>
        </w:numPr>
        <w:spacing w:after="120"/>
        <w:ind w:left="709" w:hanging="709"/>
        <w:jc w:val="both"/>
        <w:rPr>
          <w:color w:val="000000" w:themeColor="text1"/>
        </w:rPr>
      </w:pPr>
      <w:r w:rsidRPr="0068463E">
        <w:rPr>
          <w:color w:val="000000" w:themeColor="text1"/>
        </w:rPr>
        <w:t xml:space="preserve">The submission nominated standard care, represented by a </w:t>
      </w:r>
      <w:r w:rsidR="00B32AD7" w:rsidRPr="0068463E">
        <w:rPr>
          <w:color w:val="000000" w:themeColor="text1"/>
        </w:rPr>
        <w:t xml:space="preserve">52-week </w:t>
      </w:r>
      <w:r w:rsidRPr="0068463E">
        <w:rPr>
          <w:color w:val="000000" w:themeColor="text1"/>
        </w:rPr>
        <w:t xml:space="preserve">tapering course of corticosteroids, as the main comparator. Standard care is </w:t>
      </w:r>
      <w:r w:rsidR="000B02F6" w:rsidRPr="001E43CB">
        <w:rPr>
          <w:color w:val="000000" w:themeColor="text1"/>
        </w:rPr>
        <w:t>the</w:t>
      </w:r>
      <w:r w:rsidRPr="001E43CB">
        <w:rPr>
          <w:color w:val="000000" w:themeColor="text1"/>
        </w:rPr>
        <w:t xml:space="preserve"> </w:t>
      </w:r>
      <w:r w:rsidRPr="0068463E">
        <w:rPr>
          <w:color w:val="000000" w:themeColor="text1"/>
        </w:rPr>
        <w:t xml:space="preserve">appropriate </w:t>
      </w:r>
      <w:r w:rsidR="005A2345" w:rsidRPr="001E43CB">
        <w:rPr>
          <w:color w:val="000000" w:themeColor="text1"/>
        </w:rPr>
        <w:t>main</w:t>
      </w:r>
      <w:r w:rsidR="005A2345">
        <w:rPr>
          <w:i/>
          <w:color w:val="000000" w:themeColor="text1"/>
        </w:rPr>
        <w:t xml:space="preserve"> </w:t>
      </w:r>
      <w:r w:rsidRPr="0068463E">
        <w:rPr>
          <w:color w:val="000000" w:themeColor="text1"/>
        </w:rPr>
        <w:t>comparator. However, treatment g</w:t>
      </w:r>
      <w:r w:rsidR="00B97362" w:rsidRPr="0068463E">
        <w:rPr>
          <w:color w:val="000000" w:themeColor="text1"/>
        </w:rPr>
        <w:t>uidelines generally recommend treatment with corticosteroids for at least 18 months</w:t>
      </w:r>
      <w:r w:rsidRPr="0068463E">
        <w:rPr>
          <w:color w:val="000000" w:themeColor="text1"/>
        </w:rPr>
        <w:t xml:space="preserve">. </w:t>
      </w:r>
    </w:p>
    <w:p w:rsidR="009925DB" w:rsidRPr="007B241F" w:rsidRDefault="0070716A" w:rsidP="009722D0">
      <w:pPr>
        <w:pStyle w:val="ListParagraph"/>
        <w:numPr>
          <w:ilvl w:val="1"/>
          <w:numId w:val="1"/>
        </w:numPr>
        <w:spacing w:after="120"/>
        <w:ind w:left="709" w:hanging="709"/>
        <w:jc w:val="both"/>
        <w:rPr>
          <w:color w:val="000000" w:themeColor="text1"/>
          <w:lang w:val="en-GB"/>
        </w:rPr>
      </w:pPr>
      <w:r w:rsidRPr="001E43CB">
        <w:rPr>
          <w:color w:val="000000" w:themeColor="text1"/>
        </w:rPr>
        <w:t>The evaluation considered that m</w:t>
      </w:r>
      <w:r w:rsidR="006511F1" w:rsidRPr="0068463E">
        <w:rPr>
          <w:color w:val="000000" w:themeColor="text1"/>
        </w:rPr>
        <w:t xml:space="preserve">ethotrexate is a potential secondary comparator. Treatment guidelines suggest that methotrexate may be used in combination with corticosteroid therapy as a corticosteroid-sparing drug in patients who </w:t>
      </w:r>
      <w:r w:rsidR="00260913">
        <w:rPr>
          <w:color w:val="000000" w:themeColor="text1"/>
        </w:rPr>
        <w:t>require</w:t>
      </w:r>
      <w:r w:rsidR="006511F1" w:rsidRPr="0068463E">
        <w:rPr>
          <w:color w:val="000000" w:themeColor="text1"/>
        </w:rPr>
        <w:t xml:space="preserve"> prolonged high-dose corticosteroid therapy, or for patients who develop early or severe corticosteroid adverse effects.</w:t>
      </w:r>
    </w:p>
    <w:p w:rsidR="0070716A" w:rsidRDefault="0070716A" w:rsidP="009722D0">
      <w:pPr>
        <w:pStyle w:val="ListParagraph"/>
        <w:numPr>
          <w:ilvl w:val="1"/>
          <w:numId w:val="1"/>
        </w:numPr>
        <w:spacing w:after="120"/>
        <w:ind w:left="709" w:hanging="709"/>
        <w:jc w:val="both"/>
        <w:rPr>
          <w:i/>
          <w:color w:val="000000" w:themeColor="text1"/>
          <w:lang w:val="en-GB"/>
        </w:rPr>
      </w:pPr>
      <w:r w:rsidRPr="001E43CB">
        <w:rPr>
          <w:color w:val="000000" w:themeColor="text1"/>
          <w:lang w:val="en-GB"/>
        </w:rPr>
        <w:t>In addition to methotrexate, the ESC considered that other steroid</w:t>
      </w:r>
      <w:r w:rsidR="008E301D" w:rsidRPr="001E43CB">
        <w:rPr>
          <w:color w:val="000000" w:themeColor="text1"/>
          <w:lang w:val="en-GB"/>
        </w:rPr>
        <w:t>-</w:t>
      </w:r>
      <w:r w:rsidRPr="001E43CB">
        <w:rPr>
          <w:color w:val="000000" w:themeColor="text1"/>
          <w:lang w:val="en-GB"/>
        </w:rPr>
        <w:t xml:space="preserve">sparing agents and immunosuppressive agents that are used in relapsed GCA (such as </w:t>
      </w:r>
      <w:proofErr w:type="spellStart"/>
      <w:r w:rsidRPr="001E43CB">
        <w:rPr>
          <w:color w:val="000000" w:themeColor="text1"/>
          <w:lang w:val="en-GB"/>
        </w:rPr>
        <w:t>cyclosporin</w:t>
      </w:r>
      <w:proofErr w:type="spellEnd"/>
      <w:r w:rsidRPr="001E43CB">
        <w:rPr>
          <w:color w:val="000000" w:themeColor="text1"/>
          <w:lang w:val="en-GB"/>
        </w:rPr>
        <w:t xml:space="preserve"> and azathioprine) may also be appropriate clinical comparators for relapsed patients</w:t>
      </w:r>
      <w:r w:rsidRPr="007B241F">
        <w:rPr>
          <w:i/>
          <w:color w:val="000000" w:themeColor="text1"/>
          <w:lang w:val="en-GB"/>
        </w:rPr>
        <w:t>.</w:t>
      </w:r>
    </w:p>
    <w:p w:rsidR="00C070FD" w:rsidRDefault="00C070FD" w:rsidP="009722D0">
      <w:pPr>
        <w:pStyle w:val="ListParagraph"/>
        <w:numPr>
          <w:ilvl w:val="1"/>
          <w:numId w:val="1"/>
        </w:numPr>
        <w:spacing w:after="120"/>
        <w:ind w:left="709" w:hanging="709"/>
        <w:jc w:val="both"/>
        <w:rPr>
          <w:i/>
          <w:color w:val="000000" w:themeColor="text1"/>
          <w:lang w:val="en-GB"/>
        </w:rPr>
      </w:pPr>
      <w:r>
        <w:rPr>
          <w:color w:val="000000" w:themeColor="text1"/>
          <w:lang w:val="en-GB"/>
        </w:rPr>
        <w:t xml:space="preserve">The pre-PBAC response (p. 2) stated that </w:t>
      </w:r>
      <w:r w:rsidR="00E464C9">
        <w:rPr>
          <w:color w:val="000000" w:themeColor="text1"/>
          <w:lang w:val="en-GB"/>
        </w:rPr>
        <w:t>there is limited clinical data for the steroid-sparing agents including methotrexate in GCA, and that these agents are not commonly used.</w:t>
      </w:r>
    </w:p>
    <w:p w:rsidR="000D4B93" w:rsidRPr="007B241F" w:rsidRDefault="000D4B93" w:rsidP="00337FCD">
      <w:pPr>
        <w:pStyle w:val="ListParagraph"/>
        <w:spacing w:after="120"/>
        <w:ind w:left="567" w:firstLine="142"/>
        <w:jc w:val="both"/>
        <w:rPr>
          <w:i/>
          <w:color w:val="000000" w:themeColor="text1"/>
          <w:lang w:val="en-GB"/>
        </w:rPr>
      </w:pPr>
      <w:r w:rsidRPr="00525B39">
        <w:rPr>
          <w:i/>
        </w:rPr>
        <w:t>For more detail on PBAC’s view, see section 7 PBAC outcome.</w:t>
      </w:r>
    </w:p>
    <w:p w:rsidR="00C317F3" w:rsidRDefault="00C317F3" w:rsidP="000A734B">
      <w:pPr>
        <w:pStyle w:val="Heading1"/>
      </w:pPr>
      <w:bookmarkStart w:id="12" w:name="_Toc413139276"/>
      <w:bookmarkStart w:id="13" w:name="_Toc523934604"/>
      <w:r w:rsidRPr="008329D7">
        <w:t>Consideration of the evidence</w:t>
      </w:r>
      <w:bookmarkEnd w:id="12"/>
      <w:bookmarkEnd w:id="13"/>
    </w:p>
    <w:p w:rsidR="007734DD" w:rsidRPr="000A734B" w:rsidRDefault="007734DD" w:rsidP="007734DD">
      <w:pPr>
        <w:widowControl w:val="0"/>
        <w:spacing w:before="240" w:line="276" w:lineRule="auto"/>
        <w:jc w:val="both"/>
        <w:rPr>
          <w:rFonts w:cs="Arial"/>
          <w:b/>
          <w:bCs/>
          <w:i/>
          <w:snapToGrid w:val="0"/>
          <w:sz w:val="28"/>
          <w:szCs w:val="28"/>
        </w:rPr>
      </w:pPr>
      <w:r w:rsidRPr="000A734B">
        <w:rPr>
          <w:rFonts w:cs="Arial"/>
          <w:b/>
          <w:bCs/>
          <w:i/>
          <w:snapToGrid w:val="0"/>
          <w:sz w:val="28"/>
          <w:szCs w:val="28"/>
        </w:rPr>
        <w:t>Sponsor hearing</w:t>
      </w:r>
    </w:p>
    <w:p w:rsidR="002E7237" w:rsidRDefault="007734DD" w:rsidP="009722D0">
      <w:pPr>
        <w:widowControl w:val="0"/>
        <w:numPr>
          <w:ilvl w:val="1"/>
          <w:numId w:val="1"/>
        </w:numPr>
        <w:spacing w:after="120"/>
        <w:ind w:left="709" w:hanging="709"/>
        <w:jc w:val="both"/>
        <w:rPr>
          <w:rFonts w:cs="Arial"/>
          <w:bCs/>
          <w:snapToGrid w:val="0"/>
        </w:rPr>
      </w:pPr>
      <w:r w:rsidRPr="00A130DC">
        <w:rPr>
          <w:rFonts w:cs="Arial"/>
          <w:bCs/>
          <w:snapToGrid w:val="0"/>
        </w:rPr>
        <w:t xml:space="preserve">The sponsor requested a hearing for this item. </w:t>
      </w:r>
      <w:r w:rsidR="003542C3">
        <w:rPr>
          <w:rFonts w:cs="Arial"/>
          <w:bCs/>
          <w:snapToGrid w:val="0"/>
        </w:rPr>
        <w:t>The</w:t>
      </w:r>
      <w:r w:rsidRPr="00A130DC">
        <w:rPr>
          <w:rFonts w:cs="Arial"/>
          <w:bCs/>
          <w:snapToGrid w:val="0"/>
        </w:rPr>
        <w:t xml:space="preserve"> </w:t>
      </w:r>
      <w:r w:rsidR="008D415C" w:rsidRPr="00A130DC">
        <w:rPr>
          <w:rFonts w:cs="Arial"/>
          <w:bCs/>
          <w:snapToGrid w:val="0"/>
        </w:rPr>
        <w:t xml:space="preserve">rheumatologist </w:t>
      </w:r>
      <w:r w:rsidR="003542C3">
        <w:rPr>
          <w:rFonts w:cs="Arial"/>
          <w:bCs/>
          <w:snapToGrid w:val="0"/>
        </w:rPr>
        <w:t xml:space="preserve">who </w:t>
      </w:r>
      <w:r w:rsidRPr="00A130DC">
        <w:rPr>
          <w:rFonts w:cs="Arial"/>
          <w:bCs/>
          <w:snapToGrid w:val="0"/>
        </w:rPr>
        <w:t xml:space="preserve">presented </w:t>
      </w:r>
      <w:r w:rsidR="003542C3">
        <w:rPr>
          <w:rFonts w:cs="Arial"/>
          <w:bCs/>
          <w:snapToGrid w:val="0"/>
        </w:rPr>
        <w:t xml:space="preserve">at the hearing outlined </w:t>
      </w:r>
      <w:r w:rsidR="008D415C" w:rsidRPr="00A130DC">
        <w:rPr>
          <w:rFonts w:cs="Arial"/>
          <w:bCs/>
          <w:snapToGrid w:val="0"/>
        </w:rPr>
        <w:t xml:space="preserve">his </w:t>
      </w:r>
      <w:r w:rsidR="002E7237">
        <w:rPr>
          <w:rFonts w:cs="Arial"/>
          <w:bCs/>
          <w:snapToGrid w:val="0"/>
        </w:rPr>
        <w:t xml:space="preserve">clinical </w:t>
      </w:r>
      <w:r w:rsidR="008D415C" w:rsidRPr="00A130DC">
        <w:rPr>
          <w:rFonts w:cs="Arial"/>
          <w:bCs/>
          <w:snapToGrid w:val="0"/>
        </w:rPr>
        <w:t xml:space="preserve">experience treating </w:t>
      </w:r>
      <w:r w:rsidR="002E7237">
        <w:rPr>
          <w:rFonts w:cs="Arial"/>
          <w:bCs/>
          <w:snapToGrid w:val="0"/>
        </w:rPr>
        <w:t xml:space="preserve">patients with </w:t>
      </w:r>
      <w:r w:rsidR="008D415C" w:rsidRPr="00A130DC">
        <w:rPr>
          <w:rFonts w:cs="Arial"/>
          <w:bCs/>
          <w:snapToGrid w:val="0"/>
        </w:rPr>
        <w:t>GCA</w:t>
      </w:r>
      <w:r w:rsidR="002E7237">
        <w:rPr>
          <w:rFonts w:cs="Arial"/>
          <w:bCs/>
          <w:snapToGrid w:val="0"/>
        </w:rPr>
        <w:t xml:space="preserve"> including the debilitating nature of the condition, the adverse events of corticosteroids in this population who are predominantly older patients</w:t>
      </w:r>
      <w:r w:rsidR="00186F33">
        <w:rPr>
          <w:rFonts w:cs="Arial"/>
          <w:bCs/>
          <w:snapToGrid w:val="0"/>
        </w:rPr>
        <w:t xml:space="preserve"> with more comorbidities and higher risk for adverse steroid effects</w:t>
      </w:r>
      <w:r w:rsidR="002E7237">
        <w:rPr>
          <w:rFonts w:cs="Arial"/>
          <w:bCs/>
          <w:snapToGrid w:val="0"/>
        </w:rPr>
        <w:t xml:space="preserve">, and the </w:t>
      </w:r>
      <w:r w:rsidR="002F5379">
        <w:rPr>
          <w:rFonts w:cs="Arial"/>
          <w:bCs/>
          <w:snapToGrid w:val="0"/>
        </w:rPr>
        <w:t xml:space="preserve">high </w:t>
      </w:r>
      <w:r w:rsidR="002E7237">
        <w:rPr>
          <w:rFonts w:cs="Arial"/>
          <w:bCs/>
          <w:snapToGrid w:val="0"/>
        </w:rPr>
        <w:t xml:space="preserve">clinical need for </w:t>
      </w:r>
      <w:r w:rsidR="002F5379">
        <w:rPr>
          <w:rFonts w:cs="Arial"/>
          <w:bCs/>
          <w:snapToGrid w:val="0"/>
        </w:rPr>
        <w:t>alternative therapies</w:t>
      </w:r>
      <w:r w:rsidR="002E7237">
        <w:rPr>
          <w:rFonts w:cs="Arial"/>
          <w:bCs/>
          <w:snapToGrid w:val="0"/>
        </w:rPr>
        <w:t xml:space="preserve"> in patients with relaps</w:t>
      </w:r>
      <w:r w:rsidR="002F5379">
        <w:rPr>
          <w:rFonts w:cs="Arial"/>
          <w:bCs/>
          <w:snapToGrid w:val="0"/>
        </w:rPr>
        <w:t>ed or refractory</w:t>
      </w:r>
      <w:r w:rsidR="002E7237">
        <w:rPr>
          <w:rFonts w:cs="Arial"/>
          <w:bCs/>
          <w:snapToGrid w:val="0"/>
        </w:rPr>
        <w:t xml:space="preserve"> GCA. The rheumatologist outlined that there was no standard corticosteroid regimen used consistently in clinical practice, and there was a tendency </w:t>
      </w:r>
      <w:r w:rsidR="003542C3">
        <w:rPr>
          <w:rFonts w:cs="Arial"/>
          <w:bCs/>
          <w:snapToGrid w:val="0"/>
        </w:rPr>
        <w:t>to use long courses of</w:t>
      </w:r>
      <w:r w:rsidR="002E7237">
        <w:rPr>
          <w:rFonts w:cs="Arial"/>
          <w:bCs/>
          <w:snapToGrid w:val="0"/>
        </w:rPr>
        <w:t xml:space="preserve"> corticosteroids out of fear of relapse.  </w:t>
      </w:r>
    </w:p>
    <w:p w:rsidR="007734DD" w:rsidRPr="000A734B" w:rsidRDefault="007734DD" w:rsidP="000A734B">
      <w:pPr>
        <w:pStyle w:val="Heading2"/>
      </w:pPr>
      <w:r w:rsidRPr="000A734B">
        <w:t>Consumer comments</w:t>
      </w:r>
    </w:p>
    <w:p w:rsidR="007734DD" w:rsidRPr="003542C3" w:rsidRDefault="007734DD" w:rsidP="003542C3">
      <w:pPr>
        <w:widowControl w:val="0"/>
        <w:numPr>
          <w:ilvl w:val="1"/>
          <w:numId w:val="1"/>
        </w:numPr>
        <w:spacing w:after="120"/>
        <w:ind w:left="709" w:hanging="709"/>
        <w:jc w:val="both"/>
        <w:rPr>
          <w:rFonts w:cs="Arial"/>
          <w:bCs/>
          <w:snapToGrid w:val="0"/>
        </w:rPr>
      </w:pPr>
      <w:r w:rsidRPr="003542C3">
        <w:rPr>
          <w:rFonts w:cs="Arial"/>
          <w:bCs/>
          <w:snapToGrid w:val="0"/>
        </w:rPr>
        <w:t xml:space="preserve">The PBAC noted and welcomed the input from an individual (1) and health care professionals (8) </w:t>
      </w:r>
      <w:r w:rsidR="005B2AC4" w:rsidRPr="003542C3">
        <w:rPr>
          <w:rFonts w:cs="Arial"/>
          <w:bCs/>
          <w:snapToGrid w:val="0"/>
        </w:rPr>
        <w:t xml:space="preserve">via the Consumer Comments facility on the PBS website. </w:t>
      </w:r>
      <w:r w:rsidRPr="003542C3">
        <w:rPr>
          <w:rFonts w:cs="Arial"/>
          <w:bCs/>
          <w:snapToGrid w:val="0"/>
        </w:rPr>
        <w:t xml:space="preserve">The comments </w:t>
      </w:r>
      <w:r w:rsidR="003542C3" w:rsidRPr="003542C3">
        <w:rPr>
          <w:rFonts w:cs="Arial"/>
          <w:bCs/>
          <w:snapToGrid w:val="0"/>
        </w:rPr>
        <w:t>outlined t</w:t>
      </w:r>
      <w:r w:rsidR="003542C3" w:rsidRPr="003542C3">
        <w:rPr>
          <w:bCs/>
          <w:szCs w:val="28"/>
        </w:rPr>
        <w:t>hat GCA is associated with significant disease-</w:t>
      </w:r>
      <w:r w:rsidR="00916B34">
        <w:rPr>
          <w:bCs/>
          <w:szCs w:val="28"/>
        </w:rPr>
        <w:t>related morbidity and</w:t>
      </w:r>
      <w:r w:rsidR="003542C3" w:rsidRPr="003542C3">
        <w:rPr>
          <w:bCs/>
          <w:szCs w:val="28"/>
        </w:rPr>
        <w:t xml:space="preserve"> treatment-related morbidity from prolonged use of high dose corticosteroids. </w:t>
      </w:r>
      <w:r w:rsidR="003542C3" w:rsidRPr="003542C3">
        <w:rPr>
          <w:rFonts w:cs="Arial"/>
          <w:bCs/>
          <w:snapToGrid w:val="0"/>
        </w:rPr>
        <w:t xml:space="preserve">The comments </w:t>
      </w:r>
      <w:r w:rsidR="00916B34">
        <w:rPr>
          <w:rFonts w:cs="Arial"/>
          <w:bCs/>
          <w:snapToGrid w:val="0"/>
        </w:rPr>
        <w:t xml:space="preserve">outlined that </w:t>
      </w:r>
      <w:proofErr w:type="spellStart"/>
      <w:r w:rsidR="005B2AC4" w:rsidRPr="003542C3">
        <w:rPr>
          <w:rFonts w:cs="Arial"/>
          <w:bCs/>
          <w:snapToGrid w:val="0"/>
        </w:rPr>
        <w:t>tocilizumab</w:t>
      </w:r>
      <w:proofErr w:type="spellEnd"/>
      <w:r w:rsidRPr="003542C3">
        <w:rPr>
          <w:rFonts w:cs="Arial"/>
          <w:bCs/>
          <w:snapToGrid w:val="0"/>
        </w:rPr>
        <w:t xml:space="preserve"> </w:t>
      </w:r>
      <w:r w:rsidR="003542C3" w:rsidRPr="003542C3">
        <w:rPr>
          <w:rFonts w:cs="Arial"/>
          <w:bCs/>
          <w:snapToGrid w:val="0"/>
        </w:rPr>
        <w:t>can be</w:t>
      </w:r>
      <w:r w:rsidRPr="003542C3">
        <w:rPr>
          <w:rFonts w:cs="Arial"/>
          <w:bCs/>
          <w:snapToGrid w:val="0"/>
        </w:rPr>
        <w:t xml:space="preserve"> </w:t>
      </w:r>
      <w:r w:rsidR="003542C3" w:rsidRPr="003542C3">
        <w:rPr>
          <w:rFonts w:cs="Arial"/>
          <w:bCs/>
          <w:snapToGrid w:val="0"/>
        </w:rPr>
        <w:t>steroid-sparing</w:t>
      </w:r>
      <w:r w:rsidR="00916B34">
        <w:rPr>
          <w:rFonts w:cs="Arial"/>
          <w:bCs/>
          <w:snapToGrid w:val="0"/>
        </w:rPr>
        <w:t xml:space="preserve"> which was described as an important patient-relevant outcome</w:t>
      </w:r>
      <w:r w:rsidR="003542C3" w:rsidRPr="003542C3">
        <w:rPr>
          <w:rFonts w:cs="Arial"/>
          <w:bCs/>
          <w:snapToGrid w:val="0"/>
        </w:rPr>
        <w:t>.</w:t>
      </w:r>
    </w:p>
    <w:p w:rsidR="007734DD" w:rsidRPr="000A734B" w:rsidRDefault="007734DD" w:rsidP="000A734B">
      <w:pPr>
        <w:pStyle w:val="Heading2"/>
      </w:pPr>
      <w:bookmarkStart w:id="14" w:name="_Toc413139277"/>
      <w:bookmarkStart w:id="15" w:name="_Toc523934605"/>
      <w:r w:rsidRPr="000A734B">
        <w:lastRenderedPageBreak/>
        <w:t>Clinical trials</w:t>
      </w:r>
      <w:bookmarkEnd w:id="14"/>
      <w:bookmarkEnd w:id="15"/>
    </w:p>
    <w:p w:rsidR="006511F1" w:rsidRDefault="006511F1" w:rsidP="004D616F">
      <w:pPr>
        <w:pStyle w:val="ListParagraph"/>
        <w:keepNext/>
        <w:keepLines/>
        <w:numPr>
          <w:ilvl w:val="1"/>
          <w:numId w:val="1"/>
        </w:numPr>
        <w:spacing w:after="120"/>
        <w:ind w:left="709" w:hanging="709"/>
        <w:jc w:val="both"/>
        <w:rPr>
          <w:color w:val="000000" w:themeColor="text1"/>
        </w:rPr>
      </w:pPr>
      <w:r w:rsidRPr="006511F1">
        <w:rPr>
          <w:color w:val="000000" w:themeColor="text1"/>
        </w:rPr>
        <w:t xml:space="preserve">The submission was based on one randomised trial </w:t>
      </w:r>
      <w:r w:rsidR="00E20AB3">
        <w:rPr>
          <w:color w:val="000000" w:themeColor="text1"/>
        </w:rPr>
        <w:t xml:space="preserve">comparing </w:t>
      </w:r>
      <w:proofErr w:type="spellStart"/>
      <w:r w:rsidR="00E20AB3">
        <w:rPr>
          <w:color w:val="000000" w:themeColor="text1"/>
        </w:rPr>
        <w:t>tocilizumab</w:t>
      </w:r>
      <w:proofErr w:type="spellEnd"/>
      <w:r w:rsidR="00E20AB3">
        <w:rPr>
          <w:color w:val="000000" w:themeColor="text1"/>
        </w:rPr>
        <w:t xml:space="preserve"> to placebo </w:t>
      </w:r>
      <w:r w:rsidRPr="006511F1">
        <w:rPr>
          <w:color w:val="000000" w:themeColor="text1"/>
        </w:rPr>
        <w:t>(</w:t>
      </w:r>
      <w:proofErr w:type="spellStart"/>
      <w:r w:rsidRPr="006511F1">
        <w:rPr>
          <w:color w:val="000000" w:themeColor="text1"/>
        </w:rPr>
        <w:t>GiACTA</w:t>
      </w:r>
      <w:proofErr w:type="spellEnd"/>
      <w:r w:rsidRPr="006511F1">
        <w:rPr>
          <w:color w:val="000000" w:themeColor="text1"/>
        </w:rPr>
        <w:t>).</w:t>
      </w:r>
    </w:p>
    <w:p w:rsidR="00C317F3" w:rsidRPr="008329D7" w:rsidRDefault="00C317F3" w:rsidP="009722D0">
      <w:pPr>
        <w:pStyle w:val="ListParagraph"/>
        <w:numPr>
          <w:ilvl w:val="1"/>
          <w:numId w:val="1"/>
        </w:numPr>
        <w:spacing w:after="120"/>
        <w:ind w:left="709" w:hanging="709"/>
        <w:jc w:val="both"/>
        <w:rPr>
          <w:color w:val="000000" w:themeColor="text1"/>
        </w:rPr>
      </w:pPr>
      <w:r w:rsidRPr="008329D7">
        <w:rPr>
          <w:color w:val="000000" w:themeColor="text1"/>
        </w:rPr>
        <w:t xml:space="preserve">Details of the </w:t>
      </w:r>
      <w:proofErr w:type="spellStart"/>
      <w:r w:rsidR="006511F1">
        <w:rPr>
          <w:color w:val="000000" w:themeColor="text1"/>
        </w:rPr>
        <w:t>GiACTA</w:t>
      </w:r>
      <w:proofErr w:type="spellEnd"/>
      <w:r w:rsidR="006511F1">
        <w:rPr>
          <w:color w:val="000000" w:themeColor="text1"/>
        </w:rPr>
        <w:t xml:space="preserve"> trial are</w:t>
      </w:r>
      <w:r w:rsidRPr="008329D7">
        <w:rPr>
          <w:color w:val="000000" w:themeColor="text1"/>
        </w:rPr>
        <w:t xml:space="preserve"> presented in </w:t>
      </w:r>
      <w:r w:rsidR="00957B33">
        <w:rPr>
          <w:color w:val="000000" w:themeColor="text1"/>
        </w:rPr>
        <w:t>Table 4.</w:t>
      </w:r>
      <w:r w:rsidR="006511F1">
        <w:rPr>
          <w:color w:val="000000" w:themeColor="text1"/>
        </w:rPr>
        <w:t xml:space="preserve"> </w:t>
      </w:r>
    </w:p>
    <w:p w:rsidR="006511F1" w:rsidRPr="008329D7" w:rsidRDefault="006511F1" w:rsidP="00C46E06">
      <w:pPr>
        <w:pStyle w:val="TableHeading0"/>
        <w:jc w:val="both"/>
        <w:rPr>
          <w:color w:val="000000" w:themeColor="text1"/>
        </w:rPr>
      </w:pPr>
      <w:r w:rsidRPr="008329D7">
        <w:rPr>
          <w:color w:val="000000" w:themeColor="text1"/>
        </w:rPr>
        <w:t xml:space="preserve">Table </w:t>
      </w:r>
      <w:r>
        <w:rPr>
          <w:color w:val="000000" w:themeColor="text1"/>
        </w:rPr>
        <w:t>4</w:t>
      </w:r>
      <w:r w:rsidRPr="008329D7">
        <w:rPr>
          <w:color w:val="000000" w:themeColor="text1"/>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5244"/>
        <w:gridCol w:w="2784"/>
      </w:tblGrid>
      <w:tr w:rsidR="006511F1" w:rsidRPr="008329D7" w:rsidTr="00781479">
        <w:tc>
          <w:tcPr>
            <w:tcW w:w="548" w:type="pct"/>
          </w:tcPr>
          <w:p w:rsidR="006511F1" w:rsidRPr="008329D7" w:rsidRDefault="006511F1" w:rsidP="00C46E06">
            <w:pPr>
              <w:pStyle w:val="TableText"/>
              <w:jc w:val="both"/>
              <w:rPr>
                <w:b/>
                <w:color w:val="000000" w:themeColor="text1"/>
              </w:rPr>
            </w:pPr>
            <w:r w:rsidRPr="008329D7">
              <w:rPr>
                <w:b/>
                <w:color w:val="000000" w:themeColor="text1"/>
              </w:rPr>
              <w:t>Trial ID</w:t>
            </w:r>
          </w:p>
        </w:tc>
        <w:tc>
          <w:tcPr>
            <w:tcW w:w="2908" w:type="pct"/>
          </w:tcPr>
          <w:p w:rsidR="006511F1" w:rsidRPr="008329D7" w:rsidRDefault="006511F1" w:rsidP="00C46E06">
            <w:pPr>
              <w:pStyle w:val="TableText"/>
              <w:jc w:val="both"/>
              <w:rPr>
                <w:b/>
                <w:color w:val="000000" w:themeColor="text1"/>
              </w:rPr>
            </w:pPr>
            <w:r w:rsidRPr="008329D7">
              <w:rPr>
                <w:b/>
                <w:color w:val="000000" w:themeColor="text1"/>
              </w:rPr>
              <w:t>Protocol title/ Publication title</w:t>
            </w:r>
          </w:p>
        </w:tc>
        <w:tc>
          <w:tcPr>
            <w:tcW w:w="1544" w:type="pct"/>
          </w:tcPr>
          <w:p w:rsidR="006511F1" w:rsidRPr="008329D7" w:rsidRDefault="006511F1" w:rsidP="00C46E06">
            <w:pPr>
              <w:pStyle w:val="TableText"/>
              <w:jc w:val="both"/>
              <w:rPr>
                <w:b/>
                <w:color w:val="000000" w:themeColor="text1"/>
              </w:rPr>
            </w:pPr>
            <w:r w:rsidRPr="008329D7">
              <w:rPr>
                <w:b/>
                <w:color w:val="000000" w:themeColor="text1"/>
              </w:rPr>
              <w:t>Publication citation</w:t>
            </w:r>
          </w:p>
        </w:tc>
      </w:tr>
      <w:tr w:rsidR="006511F1" w:rsidRPr="008329D7" w:rsidTr="00781479">
        <w:tc>
          <w:tcPr>
            <w:tcW w:w="5000" w:type="pct"/>
            <w:gridSpan w:val="3"/>
          </w:tcPr>
          <w:p w:rsidR="006511F1" w:rsidRPr="008329D7" w:rsidRDefault="006511F1" w:rsidP="00C46E06">
            <w:pPr>
              <w:pStyle w:val="TableText"/>
              <w:jc w:val="both"/>
              <w:rPr>
                <w:b/>
                <w:color w:val="000000" w:themeColor="text1"/>
              </w:rPr>
            </w:pPr>
            <w:r>
              <w:rPr>
                <w:b/>
                <w:color w:val="000000" w:themeColor="text1"/>
              </w:rPr>
              <w:t>Direct randomised trial</w:t>
            </w:r>
            <w:r w:rsidR="00473815">
              <w:rPr>
                <w:b/>
                <w:color w:val="000000" w:themeColor="text1"/>
              </w:rPr>
              <w:t>s</w:t>
            </w:r>
          </w:p>
        </w:tc>
      </w:tr>
      <w:tr w:rsidR="006511F1" w:rsidRPr="008329D7" w:rsidTr="00CA4190">
        <w:tc>
          <w:tcPr>
            <w:tcW w:w="548" w:type="pct"/>
            <w:vMerge w:val="restart"/>
            <w:tcBorders>
              <w:right w:val="single" w:sz="4" w:space="0" w:color="auto"/>
            </w:tcBorders>
          </w:tcPr>
          <w:p w:rsidR="006511F1" w:rsidRPr="008329D7" w:rsidRDefault="006511F1" w:rsidP="00C46E06">
            <w:pPr>
              <w:pStyle w:val="TableText"/>
              <w:jc w:val="left"/>
              <w:rPr>
                <w:color w:val="000000" w:themeColor="text1"/>
              </w:rPr>
            </w:pPr>
            <w:proofErr w:type="spellStart"/>
            <w:r>
              <w:rPr>
                <w:color w:val="000000" w:themeColor="text1"/>
              </w:rPr>
              <w:t>GiACTA</w:t>
            </w:r>
            <w:proofErr w:type="spellEnd"/>
          </w:p>
        </w:tc>
        <w:tc>
          <w:tcPr>
            <w:tcW w:w="2908" w:type="pct"/>
            <w:tcBorders>
              <w:top w:val="single" w:sz="4" w:space="0" w:color="auto"/>
              <w:left w:val="single" w:sz="4" w:space="0" w:color="auto"/>
              <w:bottom w:val="nil"/>
              <w:right w:val="single" w:sz="4" w:space="0" w:color="auto"/>
            </w:tcBorders>
          </w:tcPr>
          <w:p w:rsidR="006511F1" w:rsidRPr="008329D7" w:rsidRDefault="006511F1" w:rsidP="00C46E06">
            <w:pPr>
              <w:pStyle w:val="TableText"/>
              <w:jc w:val="left"/>
              <w:rPr>
                <w:color w:val="000000" w:themeColor="text1"/>
              </w:rPr>
            </w:pPr>
            <w:r w:rsidRPr="0003318C">
              <w:rPr>
                <w:color w:val="000000" w:themeColor="text1"/>
              </w:rPr>
              <w:t xml:space="preserve">A Phase III, </w:t>
            </w:r>
            <w:proofErr w:type="spellStart"/>
            <w:r w:rsidRPr="0003318C">
              <w:rPr>
                <w:color w:val="000000" w:themeColor="text1"/>
              </w:rPr>
              <w:t>multicenter</w:t>
            </w:r>
            <w:proofErr w:type="spellEnd"/>
            <w:r w:rsidRPr="0003318C">
              <w:rPr>
                <w:color w:val="000000" w:themeColor="text1"/>
              </w:rPr>
              <w:t xml:space="preserve">, randomized, double-blind, placebo-controlled study to assess the efficacy and safety of </w:t>
            </w:r>
            <w:proofErr w:type="spellStart"/>
            <w:r w:rsidRPr="0003318C">
              <w:rPr>
                <w:color w:val="000000" w:themeColor="text1"/>
              </w:rPr>
              <w:t>tocilizumab</w:t>
            </w:r>
            <w:proofErr w:type="spellEnd"/>
            <w:r w:rsidRPr="0003318C">
              <w:rPr>
                <w:color w:val="000000" w:themeColor="text1"/>
              </w:rPr>
              <w:t xml:space="preserve"> in subjects with giant cell arteritis. </w:t>
            </w:r>
            <w:r w:rsidRPr="005C52C1">
              <w:rPr>
                <w:color w:val="000000" w:themeColor="text1"/>
              </w:rPr>
              <w:t>NCT01791153</w:t>
            </w:r>
          </w:p>
        </w:tc>
        <w:tc>
          <w:tcPr>
            <w:tcW w:w="1544" w:type="pct"/>
            <w:tcBorders>
              <w:top w:val="single" w:sz="4" w:space="0" w:color="auto"/>
              <w:left w:val="single" w:sz="4" w:space="0" w:color="auto"/>
              <w:bottom w:val="nil"/>
              <w:right w:val="single" w:sz="4" w:space="0" w:color="auto"/>
            </w:tcBorders>
          </w:tcPr>
          <w:p w:rsidR="006511F1" w:rsidRPr="008329D7" w:rsidRDefault="006511F1" w:rsidP="00C46E06">
            <w:pPr>
              <w:pStyle w:val="TableText"/>
              <w:jc w:val="left"/>
              <w:rPr>
                <w:color w:val="000000" w:themeColor="text1"/>
              </w:rPr>
            </w:pPr>
            <w:r w:rsidRPr="0003318C">
              <w:rPr>
                <w:color w:val="000000" w:themeColor="text1"/>
              </w:rPr>
              <w:t xml:space="preserve">Clinical study report, </w:t>
            </w:r>
            <w:r>
              <w:rPr>
                <w:color w:val="000000" w:themeColor="text1"/>
              </w:rPr>
              <w:t>October 2016.</w:t>
            </w:r>
          </w:p>
        </w:tc>
      </w:tr>
      <w:tr w:rsidR="006511F1" w:rsidRPr="008329D7" w:rsidTr="00CA4190">
        <w:tc>
          <w:tcPr>
            <w:tcW w:w="548" w:type="pct"/>
            <w:vMerge/>
            <w:tcBorders>
              <w:right w:val="single" w:sz="4" w:space="0" w:color="auto"/>
            </w:tcBorders>
          </w:tcPr>
          <w:p w:rsidR="006511F1" w:rsidRPr="008329D7" w:rsidRDefault="006511F1" w:rsidP="00C46E06">
            <w:pPr>
              <w:pStyle w:val="TableText"/>
              <w:jc w:val="left"/>
              <w:rPr>
                <w:color w:val="000000" w:themeColor="text1"/>
              </w:rPr>
            </w:pPr>
          </w:p>
        </w:tc>
        <w:tc>
          <w:tcPr>
            <w:tcW w:w="2908" w:type="pct"/>
            <w:tcBorders>
              <w:top w:val="nil"/>
              <w:left w:val="single" w:sz="4" w:space="0" w:color="auto"/>
              <w:bottom w:val="nil"/>
              <w:right w:val="single" w:sz="4" w:space="0" w:color="auto"/>
            </w:tcBorders>
          </w:tcPr>
          <w:p w:rsidR="006511F1" w:rsidRPr="008329D7" w:rsidRDefault="006511F1" w:rsidP="00C46E06">
            <w:pPr>
              <w:pStyle w:val="TableText"/>
              <w:jc w:val="left"/>
              <w:rPr>
                <w:color w:val="000000" w:themeColor="text1"/>
              </w:rPr>
            </w:pPr>
            <w:proofErr w:type="spellStart"/>
            <w:r w:rsidRPr="00E81568">
              <w:rPr>
                <w:color w:val="000000" w:themeColor="text1"/>
              </w:rPr>
              <w:t>Tuckwell</w:t>
            </w:r>
            <w:proofErr w:type="spellEnd"/>
            <w:r>
              <w:rPr>
                <w:color w:val="000000" w:themeColor="text1"/>
              </w:rPr>
              <w:t xml:space="preserve"> K, Collinson N, </w:t>
            </w:r>
            <w:proofErr w:type="spellStart"/>
            <w:r>
              <w:rPr>
                <w:color w:val="000000" w:themeColor="text1"/>
              </w:rPr>
              <w:t>Dimonaco</w:t>
            </w:r>
            <w:proofErr w:type="spellEnd"/>
            <w:r>
              <w:rPr>
                <w:color w:val="000000" w:themeColor="text1"/>
              </w:rPr>
              <w:t xml:space="preserve"> S et al. N</w:t>
            </w:r>
            <w:r w:rsidRPr="00E81568">
              <w:rPr>
                <w:color w:val="000000" w:themeColor="text1"/>
              </w:rPr>
              <w:t>ewly</w:t>
            </w:r>
            <w:r>
              <w:rPr>
                <w:color w:val="000000" w:themeColor="text1"/>
              </w:rPr>
              <w:t xml:space="preserve"> </w:t>
            </w:r>
            <w:r w:rsidRPr="00E81568">
              <w:rPr>
                <w:color w:val="000000" w:themeColor="text1"/>
              </w:rPr>
              <w:t>diagnosed</w:t>
            </w:r>
            <w:r>
              <w:rPr>
                <w:color w:val="000000" w:themeColor="text1"/>
              </w:rPr>
              <w:t xml:space="preserve"> </w:t>
            </w:r>
            <w:r w:rsidRPr="00E81568">
              <w:rPr>
                <w:color w:val="000000" w:themeColor="text1"/>
              </w:rPr>
              <w:t>vs.</w:t>
            </w:r>
            <w:r>
              <w:rPr>
                <w:color w:val="000000" w:themeColor="text1"/>
              </w:rPr>
              <w:t xml:space="preserve"> </w:t>
            </w:r>
            <w:r w:rsidRPr="00E81568">
              <w:rPr>
                <w:color w:val="000000" w:themeColor="text1"/>
              </w:rPr>
              <w:t>relapsing</w:t>
            </w:r>
            <w:r>
              <w:rPr>
                <w:color w:val="000000" w:themeColor="text1"/>
              </w:rPr>
              <w:t xml:space="preserve"> </w:t>
            </w:r>
            <w:r w:rsidRPr="00E81568">
              <w:rPr>
                <w:color w:val="000000" w:themeColor="text1"/>
              </w:rPr>
              <w:t>giant</w:t>
            </w:r>
            <w:r>
              <w:rPr>
                <w:color w:val="000000" w:themeColor="text1"/>
              </w:rPr>
              <w:t xml:space="preserve"> </w:t>
            </w:r>
            <w:r w:rsidRPr="00E81568">
              <w:rPr>
                <w:color w:val="000000" w:themeColor="text1"/>
              </w:rPr>
              <w:t>cell</w:t>
            </w:r>
            <w:r>
              <w:rPr>
                <w:color w:val="000000" w:themeColor="text1"/>
              </w:rPr>
              <w:t xml:space="preserve"> </w:t>
            </w:r>
            <w:r w:rsidRPr="00E81568">
              <w:rPr>
                <w:color w:val="000000" w:themeColor="text1"/>
              </w:rPr>
              <w:t>arteritis:</w:t>
            </w:r>
            <w:r>
              <w:rPr>
                <w:color w:val="000000" w:themeColor="text1"/>
              </w:rPr>
              <w:t xml:space="preserve"> </w:t>
            </w:r>
            <w:r w:rsidRPr="00E81568">
              <w:rPr>
                <w:color w:val="000000" w:themeColor="text1"/>
              </w:rPr>
              <w:t>Baseline</w:t>
            </w:r>
            <w:r>
              <w:rPr>
                <w:color w:val="000000" w:themeColor="text1"/>
              </w:rPr>
              <w:t xml:space="preserve"> </w:t>
            </w:r>
            <w:r w:rsidRPr="00E81568">
              <w:rPr>
                <w:color w:val="000000" w:themeColor="text1"/>
              </w:rPr>
              <w:t>data</w:t>
            </w:r>
            <w:r>
              <w:rPr>
                <w:color w:val="000000" w:themeColor="text1"/>
              </w:rPr>
              <w:t xml:space="preserve"> </w:t>
            </w:r>
            <w:r w:rsidRPr="00E81568">
              <w:rPr>
                <w:color w:val="000000" w:themeColor="text1"/>
              </w:rPr>
              <w:t>from</w:t>
            </w:r>
            <w:r>
              <w:rPr>
                <w:color w:val="000000" w:themeColor="text1"/>
              </w:rPr>
              <w:t xml:space="preserve"> </w:t>
            </w:r>
            <w:r w:rsidRPr="00E81568">
              <w:rPr>
                <w:color w:val="000000" w:themeColor="text1"/>
              </w:rPr>
              <w:t xml:space="preserve">the </w:t>
            </w:r>
            <w:proofErr w:type="spellStart"/>
            <w:r w:rsidRPr="00E81568">
              <w:rPr>
                <w:color w:val="000000" w:themeColor="text1"/>
              </w:rPr>
              <w:t>GiACTA</w:t>
            </w:r>
            <w:proofErr w:type="spellEnd"/>
            <w:r>
              <w:rPr>
                <w:color w:val="000000" w:themeColor="text1"/>
              </w:rPr>
              <w:t xml:space="preserve"> </w:t>
            </w:r>
            <w:r w:rsidRPr="00E81568">
              <w:rPr>
                <w:color w:val="000000" w:themeColor="text1"/>
              </w:rPr>
              <w:t>trial</w:t>
            </w:r>
            <w:r>
              <w:rPr>
                <w:color w:val="000000" w:themeColor="text1"/>
              </w:rPr>
              <w:t>.</w:t>
            </w:r>
          </w:p>
        </w:tc>
        <w:tc>
          <w:tcPr>
            <w:tcW w:w="1544" w:type="pct"/>
            <w:tcBorders>
              <w:top w:val="nil"/>
              <w:left w:val="single" w:sz="4" w:space="0" w:color="auto"/>
              <w:bottom w:val="nil"/>
              <w:right w:val="single" w:sz="4" w:space="0" w:color="auto"/>
            </w:tcBorders>
          </w:tcPr>
          <w:p w:rsidR="006511F1" w:rsidRPr="005B2AC4" w:rsidRDefault="006511F1" w:rsidP="00C46E06">
            <w:pPr>
              <w:pStyle w:val="TableText"/>
              <w:jc w:val="left"/>
              <w:rPr>
                <w:color w:val="000000" w:themeColor="text1"/>
              </w:rPr>
            </w:pPr>
            <w:r w:rsidRPr="005B2AC4">
              <w:rPr>
                <w:color w:val="000000" w:themeColor="text1"/>
              </w:rPr>
              <w:t>Seminars in Arthritis and Rheumatism (2017); 46:657-664.</w:t>
            </w:r>
          </w:p>
        </w:tc>
      </w:tr>
      <w:tr w:rsidR="006511F1" w:rsidRPr="008329D7" w:rsidTr="00CA4190">
        <w:tc>
          <w:tcPr>
            <w:tcW w:w="548" w:type="pct"/>
            <w:vMerge/>
            <w:tcBorders>
              <w:right w:val="single" w:sz="4" w:space="0" w:color="auto"/>
            </w:tcBorders>
          </w:tcPr>
          <w:p w:rsidR="006511F1" w:rsidRPr="008329D7" w:rsidRDefault="006511F1" w:rsidP="00C46E06">
            <w:pPr>
              <w:pStyle w:val="TableText"/>
              <w:jc w:val="left"/>
              <w:rPr>
                <w:color w:val="000000" w:themeColor="text1"/>
              </w:rPr>
            </w:pPr>
          </w:p>
        </w:tc>
        <w:tc>
          <w:tcPr>
            <w:tcW w:w="2908" w:type="pct"/>
            <w:tcBorders>
              <w:top w:val="nil"/>
              <w:left w:val="single" w:sz="4" w:space="0" w:color="auto"/>
              <w:bottom w:val="nil"/>
              <w:right w:val="single" w:sz="4" w:space="0" w:color="auto"/>
            </w:tcBorders>
          </w:tcPr>
          <w:p w:rsidR="006511F1" w:rsidRPr="008329D7" w:rsidRDefault="006511F1" w:rsidP="00C46E06">
            <w:pPr>
              <w:pStyle w:val="TableText"/>
              <w:jc w:val="left"/>
              <w:rPr>
                <w:color w:val="000000" w:themeColor="text1"/>
              </w:rPr>
            </w:pPr>
            <w:proofErr w:type="spellStart"/>
            <w:r>
              <w:rPr>
                <w:color w:val="000000" w:themeColor="text1"/>
              </w:rPr>
              <w:t>Unizony</w:t>
            </w:r>
            <w:proofErr w:type="spellEnd"/>
            <w:r>
              <w:rPr>
                <w:color w:val="000000" w:themeColor="text1"/>
              </w:rPr>
              <w:t xml:space="preserve"> SH, </w:t>
            </w:r>
            <w:proofErr w:type="spellStart"/>
            <w:r w:rsidRPr="00E81568">
              <w:rPr>
                <w:color w:val="000000" w:themeColor="text1"/>
              </w:rPr>
              <w:t>Dasgupta</w:t>
            </w:r>
            <w:proofErr w:type="spellEnd"/>
            <w:r>
              <w:rPr>
                <w:color w:val="000000" w:themeColor="text1"/>
              </w:rPr>
              <w:t xml:space="preserve"> B, </w:t>
            </w:r>
            <w:proofErr w:type="spellStart"/>
            <w:r w:rsidRPr="00E81568">
              <w:rPr>
                <w:color w:val="000000" w:themeColor="text1"/>
              </w:rPr>
              <w:t>Fisheleva</w:t>
            </w:r>
            <w:proofErr w:type="spellEnd"/>
            <w:r>
              <w:rPr>
                <w:color w:val="000000" w:themeColor="text1"/>
              </w:rPr>
              <w:t xml:space="preserve"> E, et al. </w:t>
            </w:r>
            <w:r w:rsidRPr="00E81568">
              <w:rPr>
                <w:color w:val="000000" w:themeColor="text1"/>
              </w:rPr>
              <w:t xml:space="preserve">Design of the </w:t>
            </w:r>
            <w:proofErr w:type="spellStart"/>
            <w:r w:rsidRPr="00E81568">
              <w:rPr>
                <w:color w:val="000000" w:themeColor="text1"/>
              </w:rPr>
              <w:t>Tocilizumab</w:t>
            </w:r>
            <w:proofErr w:type="spellEnd"/>
            <w:r w:rsidRPr="00E81568">
              <w:rPr>
                <w:color w:val="000000" w:themeColor="text1"/>
              </w:rPr>
              <w:t xml:space="preserve"> in Giant Cell Arteritis Trial</w:t>
            </w:r>
            <w:r>
              <w:rPr>
                <w:color w:val="000000" w:themeColor="text1"/>
              </w:rPr>
              <w:t>.</w:t>
            </w:r>
          </w:p>
        </w:tc>
        <w:tc>
          <w:tcPr>
            <w:tcW w:w="1544" w:type="pct"/>
            <w:tcBorders>
              <w:top w:val="nil"/>
              <w:left w:val="single" w:sz="4" w:space="0" w:color="auto"/>
              <w:bottom w:val="nil"/>
              <w:right w:val="single" w:sz="4" w:space="0" w:color="auto"/>
            </w:tcBorders>
          </w:tcPr>
          <w:p w:rsidR="006511F1" w:rsidRPr="005B2AC4" w:rsidRDefault="006511F1" w:rsidP="00C46E06">
            <w:pPr>
              <w:pStyle w:val="TableText"/>
              <w:jc w:val="left"/>
              <w:rPr>
                <w:color w:val="000000" w:themeColor="text1"/>
              </w:rPr>
            </w:pPr>
            <w:r w:rsidRPr="005B2AC4">
              <w:rPr>
                <w:color w:val="000000" w:themeColor="text1"/>
              </w:rPr>
              <w:t>International Journal of Rheumatology (2013); 2013:</w:t>
            </w:r>
            <w:r w:rsidRPr="005B2AC4">
              <w:t xml:space="preserve"> </w:t>
            </w:r>
            <w:r w:rsidRPr="005B2AC4">
              <w:rPr>
                <w:color w:val="000000" w:themeColor="text1"/>
              </w:rPr>
              <w:t>912562.</w:t>
            </w:r>
          </w:p>
        </w:tc>
      </w:tr>
      <w:tr w:rsidR="006511F1" w:rsidRPr="008329D7" w:rsidTr="00CA4190">
        <w:tc>
          <w:tcPr>
            <w:tcW w:w="548" w:type="pct"/>
            <w:vMerge/>
            <w:tcBorders>
              <w:right w:val="single" w:sz="4" w:space="0" w:color="auto"/>
            </w:tcBorders>
          </w:tcPr>
          <w:p w:rsidR="006511F1" w:rsidRPr="008329D7" w:rsidRDefault="006511F1" w:rsidP="00C46E06">
            <w:pPr>
              <w:pStyle w:val="TableText"/>
              <w:jc w:val="left"/>
              <w:rPr>
                <w:color w:val="000000" w:themeColor="text1"/>
              </w:rPr>
            </w:pPr>
          </w:p>
        </w:tc>
        <w:tc>
          <w:tcPr>
            <w:tcW w:w="2908" w:type="pct"/>
            <w:tcBorders>
              <w:top w:val="nil"/>
              <w:left w:val="single" w:sz="4" w:space="0" w:color="auto"/>
              <w:bottom w:val="nil"/>
              <w:right w:val="single" w:sz="4" w:space="0" w:color="auto"/>
            </w:tcBorders>
          </w:tcPr>
          <w:p w:rsidR="006511F1" w:rsidRPr="008329D7" w:rsidRDefault="006511F1" w:rsidP="00C46E06">
            <w:pPr>
              <w:pStyle w:val="TableText"/>
              <w:jc w:val="left"/>
              <w:rPr>
                <w:color w:val="000000" w:themeColor="text1"/>
              </w:rPr>
            </w:pPr>
            <w:r>
              <w:rPr>
                <w:color w:val="000000" w:themeColor="text1"/>
              </w:rPr>
              <w:t xml:space="preserve">Collinson N, </w:t>
            </w:r>
            <w:proofErr w:type="spellStart"/>
            <w:r>
              <w:rPr>
                <w:color w:val="000000" w:themeColor="text1"/>
              </w:rPr>
              <w:t>Tuckwell</w:t>
            </w:r>
            <w:proofErr w:type="spellEnd"/>
            <w:r>
              <w:rPr>
                <w:color w:val="000000" w:themeColor="text1"/>
              </w:rPr>
              <w:t xml:space="preserve"> K, </w:t>
            </w:r>
            <w:proofErr w:type="spellStart"/>
            <w:r>
              <w:rPr>
                <w:color w:val="000000" w:themeColor="text1"/>
              </w:rPr>
              <w:t>Habeck</w:t>
            </w:r>
            <w:proofErr w:type="spellEnd"/>
            <w:r>
              <w:rPr>
                <w:color w:val="000000" w:themeColor="text1"/>
              </w:rPr>
              <w:t xml:space="preserve"> F et al. </w:t>
            </w:r>
            <w:r w:rsidRPr="00F11D1C">
              <w:rPr>
                <w:color w:val="000000" w:themeColor="text1"/>
              </w:rPr>
              <w:t xml:space="preserve">Development and </w:t>
            </w:r>
            <w:r>
              <w:rPr>
                <w:color w:val="000000" w:themeColor="text1"/>
              </w:rPr>
              <w:t>i</w:t>
            </w:r>
            <w:r w:rsidRPr="00F11D1C">
              <w:rPr>
                <w:color w:val="000000" w:themeColor="text1"/>
              </w:rPr>
              <w:t xml:space="preserve">mplementation of a </w:t>
            </w:r>
            <w:r>
              <w:rPr>
                <w:color w:val="000000" w:themeColor="text1"/>
              </w:rPr>
              <w:t>d</w:t>
            </w:r>
            <w:r w:rsidRPr="00F11D1C">
              <w:rPr>
                <w:color w:val="000000" w:themeColor="text1"/>
              </w:rPr>
              <w:t>ouble-</w:t>
            </w:r>
            <w:r>
              <w:rPr>
                <w:color w:val="000000" w:themeColor="text1"/>
              </w:rPr>
              <w:t>b</w:t>
            </w:r>
            <w:r w:rsidRPr="00F11D1C">
              <w:rPr>
                <w:color w:val="000000" w:themeColor="text1"/>
              </w:rPr>
              <w:t>lind</w:t>
            </w:r>
            <w:r>
              <w:rPr>
                <w:color w:val="000000" w:themeColor="text1"/>
              </w:rPr>
              <w:t xml:space="preserve"> c</w:t>
            </w:r>
            <w:r w:rsidRPr="00F11D1C">
              <w:rPr>
                <w:color w:val="000000" w:themeColor="text1"/>
              </w:rPr>
              <w:t>orticosteroid-</w:t>
            </w:r>
            <w:r>
              <w:rPr>
                <w:color w:val="000000" w:themeColor="text1"/>
              </w:rPr>
              <w:t>t</w:t>
            </w:r>
            <w:r w:rsidRPr="00F11D1C">
              <w:rPr>
                <w:color w:val="000000" w:themeColor="text1"/>
              </w:rPr>
              <w:t xml:space="preserve">apering </w:t>
            </w:r>
            <w:r>
              <w:rPr>
                <w:color w:val="000000" w:themeColor="text1"/>
              </w:rPr>
              <w:t>r</w:t>
            </w:r>
            <w:r w:rsidRPr="00F11D1C">
              <w:rPr>
                <w:color w:val="000000" w:themeColor="text1"/>
              </w:rPr>
              <w:t xml:space="preserve">egimen for a </w:t>
            </w:r>
            <w:r>
              <w:rPr>
                <w:color w:val="000000" w:themeColor="text1"/>
              </w:rPr>
              <w:t>c</w:t>
            </w:r>
            <w:r w:rsidRPr="00F11D1C">
              <w:rPr>
                <w:color w:val="000000" w:themeColor="text1"/>
              </w:rPr>
              <w:t xml:space="preserve">linical </w:t>
            </w:r>
            <w:r>
              <w:rPr>
                <w:color w:val="000000" w:themeColor="text1"/>
              </w:rPr>
              <w:t>t</w:t>
            </w:r>
            <w:r w:rsidRPr="00F11D1C">
              <w:rPr>
                <w:color w:val="000000" w:themeColor="text1"/>
              </w:rPr>
              <w:t>rial</w:t>
            </w:r>
            <w:r>
              <w:rPr>
                <w:color w:val="000000" w:themeColor="text1"/>
              </w:rPr>
              <w:t>.</w:t>
            </w:r>
          </w:p>
        </w:tc>
        <w:tc>
          <w:tcPr>
            <w:tcW w:w="1544" w:type="pct"/>
            <w:tcBorders>
              <w:top w:val="nil"/>
              <w:left w:val="single" w:sz="4" w:space="0" w:color="auto"/>
              <w:bottom w:val="nil"/>
              <w:right w:val="single" w:sz="4" w:space="0" w:color="auto"/>
            </w:tcBorders>
          </w:tcPr>
          <w:p w:rsidR="006511F1" w:rsidRPr="005B2AC4" w:rsidRDefault="006511F1" w:rsidP="00C46E06">
            <w:pPr>
              <w:pStyle w:val="TableText"/>
              <w:jc w:val="left"/>
              <w:rPr>
                <w:color w:val="000000" w:themeColor="text1"/>
              </w:rPr>
            </w:pPr>
            <w:r w:rsidRPr="005B2AC4">
              <w:rPr>
                <w:color w:val="000000" w:themeColor="text1"/>
              </w:rPr>
              <w:t>International Journal of Rheumatology (2015); 2015:</w:t>
            </w:r>
            <w:r w:rsidRPr="005B2AC4">
              <w:t xml:space="preserve"> 589841</w:t>
            </w:r>
            <w:r w:rsidRPr="005B2AC4">
              <w:rPr>
                <w:color w:val="000000" w:themeColor="text1"/>
              </w:rPr>
              <w:t>.</w:t>
            </w:r>
          </w:p>
        </w:tc>
      </w:tr>
      <w:tr w:rsidR="006511F1" w:rsidRPr="008329D7" w:rsidTr="00CA4190">
        <w:tc>
          <w:tcPr>
            <w:tcW w:w="548" w:type="pct"/>
            <w:vMerge/>
            <w:tcBorders>
              <w:right w:val="single" w:sz="4" w:space="0" w:color="auto"/>
            </w:tcBorders>
          </w:tcPr>
          <w:p w:rsidR="006511F1" w:rsidRPr="008329D7" w:rsidRDefault="006511F1" w:rsidP="00C46E06">
            <w:pPr>
              <w:pStyle w:val="TableText"/>
              <w:jc w:val="left"/>
              <w:rPr>
                <w:color w:val="000000" w:themeColor="text1"/>
              </w:rPr>
            </w:pPr>
          </w:p>
        </w:tc>
        <w:tc>
          <w:tcPr>
            <w:tcW w:w="2908" w:type="pct"/>
            <w:tcBorders>
              <w:top w:val="nil"/>
              <w:left w:val="single" w:sz="4" w:space="0" w:color="auto"/>
              <w:bottom w:val="single" w:sz="4" w:space="0" w:color="auto"/>
              <w:right w:val="single" w:sz="4" w:space="0" w:color="auto"/>
            </w:tcBorders>
          </w:tcPr>
          <w:p w:rsidR="006511F1" w:rsidRPr="008329D7" w:rsidRDefault="006511F1" w:rsidP="00C46E06">
            <w:pPr>
              <w:pStyle w:val="TableText"/>
              <w:jc w:val="left"/>
              <w:rPr>
                <w:color w:val="000000" w:themeColor="text1"/>
              </w:rPr>
            </w:pPr>
            <w:r>
              <w:rPr>
                <w:color w:val="000000" w:themeColor="text1"/>
              </w:rPr>
              <w:t xml:space="preserve">Stone J, </w:t>
            </w:r>
            <w:proofErr w:type="spellStart"/>
            <w:r>
              <w:rPr>
                <w:color w:val="000000" w:themeColor="text1"/>
              </w:rPr>
              <w:t>Tuckwell</w:t>
            </w:r>
            <w:proofErr w:type="spellEnd"/>
            <w:r>
              <w:rPr>
                <w:color w:val="000000" w:themeColor="text1"/>
              </w:rPr>
              <w:t xml:space="preserve"> SD, </w:t>
            </w:r>
            <w:proofErr w:type="spellStart"/>
            <w:r>
              <w:rPr>
                <w:color w:val="000000" w:themeColor="text1"/>
              </w:rPr>
              <w:t>Klearman</w:t>
            </w:r>
            <w:proofErr w:type="spellEnd"/>
            <w:r>
              <w:rPr>
                <w:color w:val="000000" w:themeColor="text1"/>
              </w:rPr>
              <w:t xml:space="preserve"> M et al. Trial of </w:t>
            </w:r>
            <w:proofErr w:type="spellStart"/>
            <w:r>
              <w:rPr>
                <w:color w:val="000000" w:themeColor="text1"/>
              </w:rPr>
              <w:t>tocilizumab</w:t>
            </w:r>
            <w:proofErr w:type="spellEnd"/>
            <w:r>
              <w:rPr>
                <w:color w:val="000000" w:themeColor="text1"/>
              </w:rPr>
              <w:t xml:space="preserve"> in giant-cell arteritis. </w:t>
            </w:r>
          </w:p>
        </w:tc>
        <w:tc>
          <w:tcPr>
            <w:tcW w:w="1544" w:type="pct"/>
            <w:tcBorders>
              <w:top w:val="nil"/>
              <w:left w:val="single" w:sz="4" w:space="0" w:color="auto"/>
              <w:bottom w:val="single" w:sz="4" w:space="0" w:color="auto"/>
              <w:right w:val="single" w:sz="4" w:space="0" w:color="auto"/>
            </w:tcBorders>
          </w:tcPr>
          <w:p w:rsidR="006511F1" w:rsidRPr="005B2AC4" w:rsidRDefault="006511F1" w:rsidP="00C46E06">
            <w:pPr>
              <w:pStyle w:val="TableText"/>
              <w:jc w:val="left"/>
              <w:rPr>
                <w:color w:val="000000" w:themeColor="text1"/>
              </w:rPr>
            </w:pPr>
            <w:r w:rsidRPr="005B2AC4">
              <w:rPr>
                <w:color w:val="000000" w:themeColor="text1"/>
              </w:rPr>
              <w:t>New England Journal of Medicine (2017); 377(4):317-328.</w:t>
            </w:r>
          </w:p>
        </w:tc>
      </w:tr>
    </w:tbl>
    <w:p w:rsidR="006511F1" w:rsidRDefault="006511F1" w:rsidP="00C46E06">
      <w:pPr>
        <w:pStyle w:val="TableFooter"/>
        <w:widowControl/>
        <w:rPr>
          <w:color w:val="000000" w:themeColor="text1"/>
        </w:rPr>
      </w:pPr>
      <w:r>
        <w:rPr>
          <w:color w:val="000000" w:themeColor="text1"/>
        </w:rPr>
        <w:t>Source: Table 2.4, p.38 of the submission.</w:t>
      </w:r>
    </w:p>
    <w:p w:rsidR="006511F1" w:rsidRDefault="006511F1" w:rsidP="00C46E06"/>
    <w:p w:rsidR="00473815" w:rsidRDefault="00C317F3" w:rsidP="009722D0">
      <w:pPr>
        <w:pStyle w:val="ListParagraph"/>
        <w:numPr>
          <w:ilvl w:val="1"/>
          <w:numId w:val="1"/>
        </w:numPr>
        <w:spacing w:after="120"/>
        <w:ind w:left="709" w:hanging="709"/>
        <w:jc w:val="both"/>
        <w:rPr>
          <w:color w:val="000000" w:themeColor="text1"/>
        </w:rPr>
      </w:pPr>
      <w:r w:rsidRPr="008329D7">
        <w:rPr>
          <w:color w:val="000000" w:themeColor="text1"/>
        </w:rPr>
        <w:t>The key features of the</w:t>
      </w:r>
      <w:r w:rsidR="00473815">
        <w:rPr>
          <w:color w:val="000000" w:themeColor="text1"/>
        </w:rPr>
        <w:t xml:space="preserve"> </w:t>
      </w:r>
      <w:proofErr w:type="spellStart"/>
      <w:r w:rsidR="00473815">
        <w:rPr>
          <w:color w:val="000000" w:themeColor="text1"/>
        </w:rPr>
        <w:t>GiACTA</w:t>
      </w:r>
      <w:proofErr w:type="spellEnd"/>
      <w:r w:rsidR="00473815">
        <w:rPr>
          <w:color w:val="000000" w:themeColor="text1"/>
        </w:rPr>
        <w:t xml:space="preserve"> trial </w:t>
      </w:r>
      <w:r w:rsidRPr="008329D7">
        <w:rPr>
          <w:color w:val="000000" w:themeColor="text1"/>
        </w:rPr>
        <w:t>are summarised in</w:t>
      </w:r>
      <w:r w:rsidR="00473815">
        <w:rPr>
          <w:color w:val="000000" w:themeColor="text1"/>
        </w:rPr>
        <w:t xml:space="preserve"> the table below.</w:t>
      </w:r>
    </w:p>
    <w:p w:rsidR="00473815" w:rsidRPr="001E2319" w:rsidRDefault="00473815" w:rsidP="00C46E06">
      <w:pPr>
        <w:pStyle w:val="TableHeading0"/>
      </w:pPr>
      <w:r>
        <w:t>Table 5</w:t>
      </w:r>
      <w:r w:rsidRPr="001E2319">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0"/>
        <w:gridCol w:w="426"/>
        <w:gridCol w:w="1563"/>
        <w:gridCol w:w="709"/>
        <w:gridCol w:w="1700"/>
        <w:gridCol w:w="2977"/>
        <w:gridCol w:w="941"/>
      </w:tblGrid>
      <w:tr w:rsidR="00473815" w:rsidRPr="00E2771E" w:rsidTr="00143BAE">
        <w:tc>
          <w:tcPr>
            <w:tcW w:w="388" w:type="pct"/>
            <w:shd w:val="clear" w:color="auto" w:fill="auto"/>
            <w:vAlign w:val="center"/>
          </w:tcPr>
          <w:p w:rsidR="00473815" w:rsidRPr="00E2771E" w:rsidRDefault="00473815" w:rsidP="00C46E06">
            <w:pPr>
              <w:keepNext/>
              <w:rPr>
                <w:rFonts w:ascii="Arial Narrow" w:hAnsi="Arial Narrow"/>
                <w:b/>
                <w:sz w:val="20"/>
                <w:lang w:val="en-US"/>
              </w:rPr>
            </w:pPr>
            <w:r w:rsidRPr="00E2771E">
              <w:rPr>
                <w:rFonts w:ascii="Arial Narrow" w:hAnsi="Arial Narrow"/>
                <w:b/>
                <w:sz w:val="20"/>
                <w:lang w:val="en-US"/>
              </w:rPr>
              <w:t>Trial</w:t>
            </w:r>
          </w:p>
        </w:tc>
        <w:tc>
          <w:tcPr>
            <w:tcW w:w="236" w:type="pct"/>
            <w:shd w:val="clear" w:color="auto" w:fill="auto"/>
            <w:vAlign w:val="center"/>
          </w:tcPr>
          <w:p w:rsidR="00473815" w:rsidRPr="00E2771E" w:rsidRDefault="00473815" w:rsidP="00C46E06">
            <w:pPr>
              <w:keepNext/>
              <w:jc w:val="center"/>
              <w:rPr>
                <w:rFonts w:ascii="Arial Narrow" w:hAnsi="Arial Narrow"/>
                <w:b/>
                <w:sz w:val="20"/>
                <w:lang w:val="en-US"/>
              </w:rPr>
            </w:pPr>
            <w:r w:rsidRPr="00E2771E">
              <w:rPr>
                <w:rFonts w:ascii="Arial Narrow" w:hAnsi="Arial Narrow"/>
                <w:b/>
                <w:sz w:val="20"/>
                <w:lang w:val="en-US"/>
              </w:rPr>
              <w:t>N</w:t>
            </w:r>
          </w:p>
        </w:tc>
        <w:tc>
          <w:tcPr>
            <w:tcW w:w="867" w:type="pct"/>
            <w:shd w:val="clear" w:color="auto" w:fill="auto"/>
            <w:vAlign w:val="center"/>
          </w:tcPr>
          <w:p w:rsidR="00473815" w:rsidRPr="00E2771E" w:rsidRDefault="00473815" w:rsidP="00C46E06">
            <w:pPr>
              <w:keepNext/>
              <w:jc w:val="center"/>
              <w:rPr>
                <w:rFonts w:ascii="Arial Narrow" w:hAnsi="Arial Narrow"/>
                <w:b/>
                <w:sz w:val="20"/>
                <w:lang w:val="en-US"/>
              </w:rPr>
            </w:pPr>
            <w:r w:rsidRPr="00E2771E">
              <w:rPr>
                <w:rFonts w:ascii="Arial Narrow" w:hAnsi="Arial Narrow"/>
                <w:b/>
                <w:sz w:val="20"/>
                <w:lang w:val="en-US"/>
              </w:rPr>
              <w:t>Design/ duration</w:t>
            </w:r>
          </w:p>
        </w:tc>
        <w:tc>
          <w:tcPr>
            <w:tcW w:w="393" w:type="pct"/>
            <w:shd w:val="clear" w:color="auto" w:fill="auto"/>
            <w:vAlign w:val="center"/>
          </w:tcPr>
          <w:p w:rsidR="00473815" w:rsidRPr="00E2771E" w:rsidRDefault="00473815" w:rsidP="00C46E06">
            <w:pPr>
              <w:keepNext/>
              <w:jc w:val="center"/>
              <w:rPr>
                <w:rFonts w:ascii="Arial Narrow" w:hAnsi="Arial Narrow"/>
                <w:b/>
                <w:sz w:val="20"/>
                <w:lang w:val="en-US"/>
              </w:rPr>
            </w:pPr>
            <w:r w:rsidRPr="00E2771E">
              <w:rPr>
                <w:rFonts w:ascii="Arial Narrow" w:hAnsi="Arial Narrow"/>
                <w:b/>
                <w:sz w:val="20"/>
                <w:lang w:val="en-US"/>
              </w:rPr>
              <w:t>Risk of bias</w:t>
            </w:r>
          </w:p>
        </w:tc>
        <w:tc>
          <w:tcPr>
            <w:tcW w:w="943" w:type="pct"/>
            <w:shd w:val="clear" w:color="auto" w:fill="auto"/>
            <w:vAlign w:val="center"/>
          </w:tcPr>
          <w:p w:rsidR="00473815" w:rsidRPr="00E2771E" w:rsidRDefault="00473815" w:rsidP="00C46E06">
            <w:pPr>
              <w:keepNext/>
              <w:jc w:val="center"/>
              <w:rPr>
                <w:rFonts w:ascii="Arial Narrow" w:hAnsi="Arial Narrow"/>
                <w:b/>
                <w:sz w:val="20"/>
                <w:lang w:val="en-US"/>
              </w:rPr>
            </w:pPr>
            <w:r w:rsidRPr="00E2771E">
              <w:rPr>
                <w:rFonts w:ascii="Arial Narrow" w:hAnsi="Arial Narrow"/>
                <w:b/>
                <w:sz w:val="20"/>
                <w:lang w:val="en-US"/>
              </w:rPr>
              <w:t>Patient population</w:t>
            </w:r>
          </w:p>
        </w:tc>
        <w:tc>
          <w:tcPr>
            <w:tcW w:w="1651" w:type="pct"/>
            <w:shd w:val="clear" w:color="auto" w:fill="auto"/>
            <w:vAlign w:val="center"/>
          </w:tcPr>
          <w:p w:rsidR="00473815" w:rsidRPr="00E2771E" w:rsidRDefault="00473815" w:rsidP="00C46E06">
            <w:pPr>
              <w:keepNext/>
              <w:jc w:val="center"/>
              <w:rPr>
                <w:rFonts w:ascii="Arial Narrow" w:hAnsi="Arial Narrow"/>
                <w:b/>
                <w:sz w:val="20"/>
                <w:lang w:val="en-US"/>
              </w:rPr>
            </w:pPr>
            <w:r>
              <w:rPr>
                <w:rFonts w:ascii="Arial Narrow" w:hAnsi="Arial Narrow"/>
                <w:b/>
                <w:sz w:val="20"/>
                <w:lang w:val="en-US"/>
              </w:rPr>
              <w:t>Outcomes</w:t>
            </w:r>
          </w:p>
        </w:tc>
        <w:tc>
          <w:tcPr>
            <w:tcW w:w="522" w:type="pct"/>
            <w:shd w:val="clear" w:color="auto" w:fill="auto"/>
            <w:vAlign w:val="center"/>
          </w:tcPr>
          <w:p w:rsidR="00473815" w:rsidRPr="00E2771E" w:rsidRDefault="00473815" w:rsidP="00C46E06">
            <w:pPr>
              <w:keepNext/>
              <w:jc w:val="center"/>
              <w:rPr>
                <w:rFonts w:ascii="Arial Narrow" w:hAnsi="Arial Narrow"/>
                <w:b/>
                <w:sz w:val="20"/>
                <w:lang w:val="en-US"/>
              </w:rPr>
            </w:pPr>
            <w:r w:rsidRPr="00E2771E">
              <w:rPr>
                <w:rFonts w:ascii="Arial Narrow" w:hAnsi="Arial Narrow"/>
                <w:b/>
                <w:sz w:val="20"/>
                <w:lang w:val="en-US"/>
              </w:rPr>
              <w:t>Use in modelled evaluation</w:t>
            </w:r>
          </w:p>
        </w:tc>
      </w:tr>
      <w:tr w:rsidR="00473815" w:rsidRPr="00F84759" w:rsidTr="00143BAE">
        <w:tc>
          <w:tcPr>
            <w:tcW w:w="388" w:type="pct"/>
            <w:shd w:val="clear" w:color="auto" w:fill="auto"/>
            <w:vAlign w:val="center"/>
          </w:tcPr>
          <w:p w:rsidR="00473815" w:rsidRPr="00F84759" w:rsidRDefault="00473815" w:rsidP="00C46E06">
            <w:pPr>
              <w:keepNext/>
              <w:rPr>
                <w:rFonts w:ascii="Arial Narrow" w:hAnsi="Arial Narrow"/>
                <w:sz w:val="20"/>
                <w:lang w:val="en-US"/>
              </w:rPr>
            </w:pPr>
            <w:proofErr w:type="spellStart"/>
            <w:r>
              <w:rPr>
                <w:rFonts w:ascii="Arial Narrow" w:hAnsi="Arial Narrow"/>
                <w:sz w:val="20"/>
                <w:lang w:val="en-US"/>
              </w:rPr>
              <w:t>GiACTA</w:t>
            </w:r>
            <w:proofErr w:type="spellEnd"/>
          </w:p>
        </w:tc>
        <w:tc>
          <w:tcPr>
            <w:tcW w:w="236" w:type="pct"/>
            <w:shd w:val="clear" w:color="auto" w:fill="auto"/>
            <w:vAlign w:val="center"/>
          </w:tcPr>
          <w:p w:rsidR="00473815" w:rsidRPr="00F84759" w:rsidRDefault="00473815" w:rsidP="00C46E06">
            <w:pPr>
              <w:keepNext/>
              <w:jc w:val="center"/>
              <w:rPr>
                <w:rFonts w:ascii="Arial Narrow" w:hAnsi="Arial Narrow"/>
                <w:sz w:val="20"/>
                <w:lang w:val="en-US"/>
              </w:rPr>
            </w:pPr>
            <w:r>
              <w:rPr>
                <w:rFonts w:ascii="Arial Narrow" w:hAnsi="Arial Narrow"/>
                <w:sz w:val="20"/>
                <w:lang w:val="en-US"/>
              </w:rPr>
              <w:t>251</w:t>
            </w:r>
          </w:p>
        </w:tc>
        <w:tc>
          <w:tcPr>
            <w:tcW w:w="867" w:type="pct"/>
            <w:shd w:val="clear" w:color="auto" w:fill="auto"/>
            <w:vAlign w:val="center"/>
          </w:tcPr>
          <w:p w:rsidR="00473815" w:rsidRPr="00F84759" w:rsidRDefault="00473815" w:rsidP="00C46E06">
            <w:pPr>
              <w:keepNext/>
              <w:jc w:val="center"/>
              <w:rPr>
                <w:rFonts w:ascii="Arial Narrow" w:hAnsi="Arial Narrow"/>
                <w:sz w:val="20"/>
                <w:lang w:val="en-US"/>
              </w:rPr>
            </w:pPr>
            <w:proofErr w:type="spellStart"/>
            <w:r>
              <w:rPr>
                <w:rFonts w:ascii="Arial Narrow" w:hAnsi="Arial Narrow"/>
                <w:sz w:val="20"/>
                <w:lang w:val="en-US"/>
              </w:rPr>
              <w:t>Randomised</w:t>
            </w:r>
            <w:proofErr w:type="spellEnd"/>
            <w:r>
              <w:rPr>
                <w:rFonts w:ascii="Arial Narrow" w:hAnsi="Arial Narrow"/>
                <w:sz w:val="20"/>
                <w:lang w:val="en-US"/>
              </w:rPr>
              <w:t>, double-blind, placebo-controlled multi-</w:t>
            </w:r>
            <w:proofErr w:type="spellStart"/>
            <w:r>
              <w:rPr>
                <w:rFonts w:ascii="Arial Narrow" w:hAnsi="Arial Narrow"/>
                <w:sz w:val="20"/>
                <w:lang w:val="en-US"/>
              </w:rPr>
              <w:t>centre</w:t>
            </w:r>
            <w:proofErr w:type="spellEnd"/>
            <w:r>
              <w:rPr>
                <w:rFonts w:ascii="Arial Narrow" w:hAnsi="Arial Narrow"/>
                <w:sz w:val="20"/>
                <w:lang w:val="en-US"/>
              </w:rPr>
              <w:t xml:space="preserve"> trial (52 weeks) with 104-week open-label extension</w:t>
            </w:r>
            <w:r w:rsidR="00781479">
              <w:rPr>
                <w:rFonts w:ascii="Arial Narrow" w:hAnsi="Arial Narrow"/>
                <w:sz w:val="20"/>
                <w:lang w:val="en-US"/>
              </w:rPr>
              <w:t>.</w:t>
            </w:r>
          </w:p>
        </w:tc>
        <w:tc>
          <w:tcPr>
            <w:tcW w:w="393" w:type="pct"/>
            <w:shd w:val="clear" w:color="auto" w:fill="auto"/>
            <w:vAlign w:val="center"/>
          </w:tcPr>
          <w:p w:rsidR="00473815" w:rsidRPr="00F84759" w:rsidRDefault="00473815" w:rsidP="00C46E06">
            <w:pPr>
              <w:keepNext/>
              <w:jc w:val="center"/>
              <w:rPr>
                <w:rFonts w:ascii="Arial Narrow" w:hAnsi="Arial Narrow"/>
                <w:sz w:val="20"/>
                <w:lang w:val="en-US"/>
              </w:rPr>
            </w:pPr>
            <w:r>
              <w:rPr>
                <w:rFonts w:ascii="Arial Narrow" w:hAnsi="Arial Narrow"/>
                <w:sz w:val="20"/>
                <w:lang w:val="en-US"/>
              </w:rPr>
              <w:t>Low</w:t>
            </w:r>
          </w:p>
        </w:tc>
        <w:tc>
          <w:tcPr>
            <w:tcW w:w="943" w:type="pct"/>
            <w:shd w:val="clear" w:color="auto" w:fill="auto"/>
            <w:vAlign w:val="center"/>
          </w:tcPr>
          <w:p w:rsidR="00473815" w:rsidRPr="00F84759" w:rsidRDefault="00473815" w:rsidP="00C46E06">
            <w:pPr>
              <w:keepNext/>
              <w:jc w:val="center"/>
              <w:rPr>
                <w:rFonts w:ascii="Arial Narrow" w:hAnsi="Arial Narrow"/>
                <w:sz w:val="20"/>
                <w:lang w:val="en-US"/>
              </w:rPr>
            </w:pPr>
            <w:r w:rsidRPr="00473815">
              <w:rPr>
                <w:rFonts w:ascii="Arial Narrow" w:hAnsi="Arial Narrow"/>
                <w:sz w:val="20"/>
                <w:lang w:val="en-US"/>
              </w:rPr>
              <w:t>Patients aged ≥50 years with new-onset or relapsed GCA; evidence of active GCA in the prior 6 weeks.</w:t>
            </w:r>
          </w:p>
        </w:tc>
        <w:tc>
          <w:tcPr>
            <w:tcW w:w="1651" w:type="pct"/>
            <w:shd w:val="clear" w:color="auto" w:fill="auto"/>
            <w:vAlign w:val="center"/>
          </w:tcPr>
          <w:p w:rsidR="00781479" w:rsidRDefault="00473815" w:rsidP="00C46E06">
            <w:pPr>
              <w:pStyle w:val="ListParagraph"/>
              <w:keepNext/>
              <w:numPr>
                <w:ilvl w:val="0"/>
                <w:numId w:val="16"/>
              </w:numPr>
              <w:ind w:left="119" w:hanging="79"/>
              <w:rPr>
                <w:rFonts w:ascii="Arial Narrow" w:hAnsi="Arial Narrow"/>
                <w:sz w:val="20"/>
                <w:lang w:val="en-US"/>
              </w:rPr>
            </w:pPr>
            <w:r w:rsidRPr="00781479">
              <w:rPr>
                <w:rFonts w:ascii="Arial Narrow" w:hAnsi="Arial Narrow"/>
                <w:sz w:val="20"/>
                <w:lang w:val="en-US"/>
              </w:rPr>
              <w:t>Sustained remission at Week 52;</w:t>
            </w:r>
          </w:p>
          <w:p w:rsidR="00781479" w:rsidRDefault="00473815" w:rsidP="00C46E06">
            <w:pPr>
              <w:pStyle w:val="ListParagraph"/>
              <w:keepNext/>
              <w:numPr>
                <w:ilvl w:val="0"/>
                <w:numId w:val="16"/>
              </w:numPr>
              <w:ind w:left="119" w:hanging="79"/>
              <w:rPr>
                <w:rFonts w:ascii="Arial Narrow" w:hAnsi="Arial Narrow"/>
                <w:sz w:val="20"/>
                <w:lang w:val="en-US"/>
              </w:rPr>
            </w:pPr>
            <w:r w:rsidRPr="00781479">
              <w:rPr>
                <w:rFonts w:ascii="Arial Narrow" w:hAnsi="Arial Narrow"/>
                <w:sz w:val="20"/>
                <w:lang w:val="en-US"/>
              </w:rPr>
              <w:t>Time to disease flare;</w:t>
            </w:r>
          </w:p>
          <w:p w:rsidR="00781479" w:rsidRDefault="00473815" w:rsidP="00C46E06">
            <w:pPr>
              <w:pStyle w:val="ListParagraph"/>
              <w:keepNext/>
              <w:numPr>
                <w:ilvl w:val="0"/>
                <w:numId w:val="16"/>
              </w:numPr>
              <w:ind w:left="119" w:hanging="79"/>
              <w:rPr>
                <w:rFonts w:ascii="Arial Narrow" w:hAnsi="Arial Narrow"/>
                <w:sz w:val="20"/>
                <w:lang w:val="en-US"/>
              </w:rPr>
            </w:pPr>
            <w:r w:rsidRPr="00781479">
              <w:rPr>
                <w:rFonts w:ascii="Arial Narrow" w:hAnsi="Arial Narrow"/>
                <w:sz w:val="20"/>
                <w:lang w:val="en-US"/>
              </w:rPr>
              <w:t>Cumulative prednisone dose;</w:t>
            </w:r>
          </w:p>
          <w:p w:rsidR="00473815" w:rsidRPr="00781479" w:rsidRDefault="00473815" w:rsidP="00C46E06">
            <w:pPr>
              <w:pStyle w:val="ListParagraph"/>
              <w:keepNext/>
              <w:numPr>
                <w:ilvl w:val="0"/>
                <w:numId w:val="16"/>
              </w:numPr>
              <w:ind w:left="119" w:hanging="79"/>
              <w:rPr>
                <w:rFonts w:ascii="Arial Narrow" w:hAnsi="Arial Narrow"/>
                <w:sz w:val="20"/>
                <w:lang w:val="en-US"/>
              </w:rPr>
            </w:pPr>
            <w:r w:rsidRPr="00781479">
              <w:rPr>
                <w:rFonts w:ascii="Arial Narrow" w:hAnsi="Arial Narrow"/>
                <w:sz w:val="20"/>
                <w:lang w:val="en-US"/>
              </w:rPr>
              <w:t>Health-related quality of life (SF-36 summary scores, Patient’s Global Assessment of disease activity, EQ-5D overall score).</w:t>
            </w:r>
          </w:p>
        </w:tc>
        <w:tc>
          <w:tcPr>
            <w:tcW w:w="522" w:type="pct"/>
            <w:shd w:val="clear" w:color="auto" w:fill="auto"/>
          </w:tcPr>
          <w:p w:rsidR="00473815" w:rsidRDefault="00143BAE" w:rsidP="00C46E06">
            <w:pPr>
              <w:keepNext/>
              <w:jc w:val="center"/>
              <w:rPr>
                <w:rFonts w:ascii="Arial Narrow" w:hAnsi="Arial Narrow"/>
                <w:sz w:val="20"/>
                <w:lang w:val="en-US"/>
              </w:rPr>
            </w:pPr>
            <w:r>
              <w:rPr>
                <w:rFonts w:ascii="Arial Narrow" w:hAnsi="Arial Narrow"/>
                <w:sz w:val="20"/>
                <w:lang w:val="en-US"/>
              </w:rPr>
              <w:t>No</w:t>
            </w:r>
          </w:p>
          <w:p w:rsidR="00143BAE" w:rsidRDefault="00143BAE" w:rsidP="00C46E06">
            <w:pPr>
              <w:keepNext/>
              <w:jc w:val="center"/>
              <w:rPr>
                <w:rFonts w:ascii="Arial Narrow" w:hAnsi="Arial Narrow"/>
                <w:sz w:val="20"/>
                <w:lang w:val="en-US"/>
              </w:rPr>
            </w:pPr>
            <w:r>
              <w:rPr>
                <w:rFonts w:ascii="Arial Narrow" w:hAnsi="Arial Narrow"/>
                <w:sz w:val="20"/>
                <w:lang w:val="en-US"/>
              </w:rPr>
              <w:t>Yes</w:t>
            </w:r>
          </w:p>
          <w:p w:rsidR="00143BAE" w:rsidRDefault="00143BAE" w:rsidP="00C46E06">
            <w:pPr>
              <w:keepNext/>
              <w:jc w:val="center"/>
              <w:rPr>
                <w:rFonts w:ascii="Arial Narrow" w:hAnsi="Arial Narrow"/>
                <w:sz w:val="20"/>
                <w:lang w:val="en-US"/>
              </w:rPr>
            </w:pPr>
            <w:r>
              <w:rPr>
                <w:rFonts w:ascii="Arial Narrow" w:hAnsi="Arial Narrow"/>
                <w:sz w:val="20"/>
                <w:lang w:val="en-US"/>
              </w:rPr>
              <w:t>Yes</w:t>
            </w:r>
          </w:p>
          <w:p w:rsidR="00143BAE" w:rsidRPr="005B2AC4" w:rsidRDefault="00A25115" w:rsidP="00C46E06">
            <w:pPr>
              <w:keepNext/>
              <w:jc w:val="center"/>
              <w:rPr>
                <w:rFonts w:ascii="Arial Narrow" w:hAnsi="Arial Narrow"/>
                <w:sz w:val="20"/>
                <w:lang w:val="en-US"/>
              </w:rPr>
            </w:pPr>
            <w:r w:rsidRPr="005B2AC4">
              <w:rPr>
                <w:rFonts w:ascii="Arial Narrow" w:hAnsi="Arial Narrow"/>
                <w:sz w:val="20"/>
                <w:lang w:val="en-US"/>
              </w:rPr>
              <w:t>Yes (EQ</w:t>
            </w:r>
            <w:r w:rsidRPr="005B2AC4">
              <w:rPr>
                <w:rFonts w:ascii="Arial Narrow" w:hAnsi="Arial Narrow"/>
                <w:sz w:val="20"/>
                <w:lang w:val="en-US"/>
              </w:rPr>
              <w:noBreakHyphen/>
              <w:t>5D)</w:t>
            </w:r>
          </w:p>
        </w:tc>
      </w:tr>
    </w:tbl>
    <w:p w:rsidR="00473815" w:rsidRPr="00514FD4" w:rsidRDefault="00473815" w:rsidP="00C46E06">
      <w:pPr>
        <w:pStyle w:val="TableFooter"/>
        <w:widowControl/>
      </w:pPr>
      <w:r w:rsidRPr="00514FD4">
        <w:t xml:space="preserve">Source: </w:t>
      </w:r>
      <w:r w:rsidRPr="00473815">
        <w:t>Tables 2.7 to 2.11, pp45-50; Tables 2.14 to 2.15, pp56-58 of the submission.</w:t>
      </w:r>
    </w:p>
    <w:p w:rsidR="00473815" w:rsidRDefault="00473815" w:rsidP="00C46E06">
      <w:pPr>
        <w:pStyle w:val="TableFooter"/>
        <w:widowControl/>
      </w:pPr>
      <w:r w:rsidRPr="00514FD4">
        <w:t xml:space="preserve">Abbreviations: </w:t>
      </w:r>
      <w:r w:rsidR="00514DC8" w:rsidRPr="00473815">
        <w:t>CRP, C-reactive protein;</w:t>
      </w:r>
      <w:r w:rsidR="00514DC8">
        <w:t xml:space="preserve"> </w:t>
      </w:r>
      <w:r w:rsidR="00514DC8" w:rsidRPr="00473815">
        <w:t xml:space="preserve">EQ-5D, </w:t>
      </w:r>
      <w:proofErr w:type="spellStart"/>
      <w:r w:rsidR="00514DC8" w:rsidRPr="00473815">
        <w:t>EuroQol</w:t>
      </w:r>
      <w:proofErr w:type="spellEnd"/>
      <w:r w:rsidR="00514DC8" w:rsidRPr="00473815">
        <w:t xml:space="preserve"> five dimension</w:t>
      </w:r>
      <w:r w:rsidR="00514DC8">
        <w:t>;</w:t>
      </w:r>
      <w:r w:rsidR="00514DC8" w:rsidRPr="00473815">
        <w:t xml:space="preserve"> ESR, erythrocyte sedimentation rate; </w:t>
      </w:r>
      <w:r w:rsidRPr="00473815">
        <w:t xml:space="preserve">GCA, giant cell arteritis; </w:t>
      </w:r>
      <w:r w:rsidR="00514DC8" w:rsidRPr="00473815">
        <w:t>SF-36,</w:t>
      </w:r>
      <w:r w:rsidR="00514DC8">
        <w:t xml:space="preserve"> </w:t>
      </w:r>
      <w:r w:rsidRPr="00473815">
        <w:t>S</w:t>
      </w:r>
      <w:r w:rsidR="00514DC8">
        <w:t>hort Form-36 questionnaire</w:t>
      </w:r>
      <w:r w:rsidRPr="00473815">
        <w:t>.</w:t>
      </w:r>
    </w:p>
    <w:p w:rsidR="00013797" w:rsidRPr="00013797" w:rsidRDefault="00013797" w:rsidP="00C46E06">
      <w:pPr>
        <w:rPr>
          <w:color w:val="000000" w:themeColor="text1"/>
        </w:rPr>
      </w:pPr>
    </w:p>
    <w:p w:rsidR="00013797" w:rsidRDefault="00013797" w:rsidP="009722D0">
      <w:pPr>
        <w:pStyle w:val="ListParagraph"/>
        <w:numPr>
          <w:ilvl w:val="1"/>
          <w:numId w:val="1"/>
        </w:numPr>
        <w:spacing w:after="120"/>
        <w:ind w:left="709" w:hanging="709"/>
        <w:jc w:val="both"/>
        <w:rPr>
          <w:color w:val="000000" w:themeColor="text1"/>
        </w:rPr>
      </w:pPr>
      <w:r>
        <w:rPr>
          <w:color w:val="000000" w:themeColor="text1"/>
        </w:rPr>
        <w:t xml:space="preserve">The </w:t>
      </w:r>
      <w:proofErr w:type="spellStart"/>
      <w:r w:rsidR="00E3365F">
        <w:rPr>
          <w:color w:val="000000" w:themeColor="text1"/>
        </w:rPr>
        <w:t>GiACTA</w:t>
      </w:r>
      <w:proofErr w:type="spellEnd"/>
      <w:r w:rsidR="00E3365F">
        <w:rPr>
          <w:color w:val="000000" w:themeColor="text1"/>
        </w:rPr>
        <w:t xml:space="preserve"> </w:t>
      </w:r>
      <w:r>
        <w:rPr>
          <w:color w:val="000000" w:themeColor="text1"/>
        </w:rPr>
        <w:t xml:space="preserve">trial included four treatment </w:t>
      </w:r>
      <w:r w:rsidR="00781479">
        <w:rPr>
          <w:color w:val="000000" w:themeColor="text1"/>
        </w:rPr>
        <w:t>arms</w:t>
      </w:r>
      <w:r w:rsidR="00440607">
        <w:rPr>
          <w:color w:val="000000" w:themeColor="text1"/>
        </w:rPr>
        <w:t>:</w:t>
      </w:r>
    </w:p>
    <w:p w:rsidR="00013797" w:rsidRDefault="00013797" w:rsidP="009722D0">
      <w:pPr>
        <w:pStyle w:val="ListParagraph"/>
        <w:numPr>
          <w:ilvl w:val="0"/>
          <w:numId w:val="14"/>
        </w:numPr>
        <w:ind w:left="1418" w:hanging="709"/>
        <w:jc w:val="both"/>
        <w:rPr>
          <w:color w:val="000000" w:themeColor="text1"/>
        </w:rPr>
      </w:pPr>
      <w:proofErr w:type="spellStart"/>
      <w:r>
        <w:rPr>
          <w:color w:val="000000" w:themeColor="text1"/>
        </w:rPr>
        <w:t>Tocilizumab</w:t>
      </w:r>
      <w:proofErr w:type="spellEnd"/>
      <w:r>
        <w:rPr>
          <w:color w:val="000000" w:themeColor="text1"/>
        </w:rPr>
        <w:t xml:space="preserve"> 162 mg subcutaneously once a week in conjunction with a 26-week prednisone taper;</w:t>
      </w:r>
    </w:p>
    <w:p w:rsidR="00013797" w:rsidRDefault="00013797" w:rsidP="009722D0">
      <w:pPr>
        <w:pStyle w:val="ListParagraph"/>
        <w:numPr>
          <w:ilvl w:val="0"/>
          <w:numId w:val="14"/>
        </w:numPr>
        <w:ind w:left="1418" w:hanging="709"/>
        <w:jc w:val="both"/>
        <w:rPr>
          <w:color w:val="000000" w:themeColor="text1"/>
        </w:rPr>
      </w:pPr>
      <w:proofErr w:type="spellStart"/>
      <w:r w:rsidRPr="00013797">
        <w:rPr>
          <w:color w:val="000000" w:themeColor="text1"/>
        </w:rPr>
        <w:t>Tocilizumab</w:t>
      </w:r>
      <w:proofErr w:type="spellEnd"/>
      <w:r w:rsidRPr="00013797">
        <w:rPr>
          <w:color w:val="000000" w:themeColor="text1"/>
        </w:rPr>
        <w:t xml:space="preserve"> 162 mg subcutaneously </w:t>
      </w:r>
      <w:r>
        <w:rPr>
          <w:color w:val="000000" w:themeColor="text1"/>
        </w:rPr>
        <w:t>once a fortnight</w:t>
      </w:r>
      <w:r w:rsidRPr="00013797">
        <w:rPr>
          <w:color w:val="000000" w:themeColor="text1"/>
        </w:rPr>
        <w:t xml:space="preserve"> </w:t>
      </w:r>
      <w:r>
        <w:rPr>
          <w:color w:val="000000" w:themeColor="text1"/>
        </w:rPr>
        <w:t>(</w:t>
      </w:r>
      <w:proofErr w:type="spellStart"/>
      <w:r w:rsidR="00E915EA">
        <w:rPr>
          <w:color w:val="000000" w:themeColor="text1"/>
        </w:rPr>
        <w:t>tocilizumab</w:t>
      </w:r>
      <w:proofErr w:type="spellEnd"/>
      <w:r>
        <w:rPr>
          <w:color w:val="000000" w:themeColor="text1"/>
        </w:rPr>
        <w:t xml:space="preserve"> alternating with </w:t>
      </w:r>
      <w:r w:rsidR="00E915EA">
        <w:rPr>
          <w:color w:val="000000" w:themeColor="text1"/>
        </w:rPr>
        <w:t>placebo</w:t>
      </w:r>
      <w:r>
        <w:rPr>
          <w:color w:val="000000" w:themeColor="text1"/>
        </w:rPr>
        <w:t xml:space="preserve"> once a week) </w:t>
      </w:r>
      <w:r w:rsidRPr="00013797">
        <w:rPr>
          <w:color w:val="000000" w:themeColor="text1"/>
        </w:rPr>
        <w:t>in conjunction with a 26-week prednisone taper</w:t>
      </w:r>
      <w:r>
        <w:rPr>
          <w:color w:val="000000" w:themeColor="text1"/>
        </w:rPr>
        <w:t>;</w:t>
      </w:r>
    </w:p>
    <w:p w:rsidR="00013797" w:rsidRDefault="00013797" w:rsidP="009722D0">
      <w:pPr>
        <w:pStyle w:val="ListParagraph"/>
        <w:numPr>
          <w:ilvl w:val="0"/>
          <w:numId w:val="14"/>
        </w:numPr>
        <w:ind w:left="1418" w:hanging="709"/>
        <w:jc w:val="both"/>
        <w:rPr>
          <w:color w:val="000000" w:themeColor="text1"/>
        </w:rPr>
      </w:pPr>
      <w:r>
        <w:rPr>
          <w:color w:val="000000" w:themeColor="text1"/>
        </w:rPr>
        <w:t>Placebo subcutaneously once a week in conjunction with a 26-week prednisone taper;</w:t>
      </w:r>
    </w:p>
    <w:p w:rsidR="00013797" w:rsidRDefault="00013797" w:rsidP="009722D0">
      <w:pPr>
        <w:pStyle w:val="ListParagraph"/>
        <w:numPr>
          <w:ilvl w:val="0"/>
          <w:numId w:val="14"/>
        </w:numPr>
        <w:spacing w:after="120"/>
        <w:ind w:left="1418" w:hanging="709"/>
        <w:jc w:val="both"/>
        <w:rPr>
          <w:color w:val="000000" w:themeColor="text1"/>
        </w:rPr>
      </w:pPr>
      <w:r>
        <w:rPr>
          <w:color w:val="000000" w:themeColor="text1"/>
        </w:rPr>
        <w:t>Placebo subcutaneously once a week in conjunction with a 52-week prednisone taper.</w:t>
      </w:r>
    </w:p>
    <w:p w:rsidR="00781479" w:rsidRPr="00A25115" w:rsidRDefault="00A25115" w:rsidP="009722D0">
      <w:pPr>
        <w:pStyle w:val="ListParagraph"/>
        <w:numPr>
          <w:ilvl w:val="1"/>
          <w:numId w:val="1"/>
        </w:numPr>
        <w:spacing w:after="120"/>
        <w:ind w:left="709" w:hanging="709"/>
        <w:jc w:val="both"/>
        <w:rPr>
          <w:i/>
          <w:color w:val="000000" w:themeColor="text1"/>
        </w:rPr>
      </w:pPr>
      <w:r w:rsidRPr="001E43CB">
        <w:rPr>
          <w:color w:val="000000" w:themeColor="text1"/>
        </w:rPr>
        <w:lastRenderedPageBreak/>
        <w:t xml:space="preserve">The </w:t>
      </w:r>
      <w:proofErr w:type="spellStart"/>
      <w:r w:rsidRPr="001E43CB">
        <w:rPr>
          <w:color w:val="000000" w:themeColor="text1"/>
        </w:rPr>
        <w:t>GiACTA</w:t>
      </w:r>
      <w:proofErr w:type="spellEnd"/>
      <w:r w:rsidRPr="001E43CB">
        <w:rPr>
          <w:color w:val="000000" w:themeColor="text1"/>
        </w:rPr>
        <w:t xml:space="preserve"> trial recruited patients with either new-onset or relapsed disease.</w:t>
      </w:r>
      <w:r w:rsidRPr="00A25115">
        <w:rPr>
          <w:i/>
          <w:color w:val="000000" w:themeColor="text1"/>
        </w:rPr>
        <w:t xml:space="preserve"> </w:t>
      </w:r>
      <w:r w:rsidR="00074717" w:rsidRPr="00A25115">
        <w:rPr>
          <w:color w:val="000000" w:themeColor="text1"/>
        </w:rPr>
        <w:t xml:space="preserve">Patients were screened up to 6 weeks prior to the baseline randomisation visit. During screening, patients received </w:t>
      </w:r>
      <w:r w:rsidR="00086BA8" w:rsidRPr="00A25115">
        <w:rPr>
          <w:color w:val="000000" w:themeColor="text1"/>
        </w:rPr>
        <w:t>corticosteroids</w:t>
      </w:r>
      <w:r w:rsidR="00074717" w:rsidRPr="00A25115">
        <w:rPr>
          <w:color w:val="000000" w:themeColor="text1"/>
        </w:rPr>
        <w:t xml:space="preserve"> for the treatment of GCA at the discretion of the investigator. </w:t>
      </w:r>
      <w:r w:rsidR="00781479" w:rsidRPr="00A25115">
        <w:rPr>
          <w:color w:val="000000" w:themeColor="text1"/>
        </w:rPr>
        <w:t xml:space="preserve">At the end of the screening period, patients were required to be on </w:t>
      </w:r>
      <w:r w:rsidR="00C2577C" w:rsidRPr="00A25115">
        <w:rPr>
          <w:color w:val="000000" w:themeColor="text1"/>
        </w:rPr>
        <w:t xml:space="preserve">a prednisone dose </w:t>
      </w:r>
      <w:r w:rsidR="00781479" w:rsidRPr="00A25115">
        <w:rPr>
          <w:color w:val="000000" w:themeColor="text1"/>
        </w:rPr>
        <w:t>of between 20 mg and 60 mg</w:t>
      </w:r>
      <w:r w:rsidR="00641879" w:rsidRPr="00A25115">
        <w:rPr>
          <w:color w:val="000000" w:themeColor="text1"/>
        </w:rPr>
        <w:t xml:space="preserve"> per day</w:t>
      </w:r>
      <w:r w:rsidR="00781479" w:rsidRPr="00A25115">
        <w:rPr>
          <w:color w:val="000000" w:themeColor="text1"/>
        </w:rPr>
        <w:t>. Patients switched to the s</w:t>
      </w:r>
      <w:r w:rsidR="00E3365F" w:rsidRPr="00A25115">
        <w:rPr>
          <w:color w:val="000000" w:themeColor="text1"/>
        </w:rPr>
        <w:t>pons</w:t>
      </w:r>
      <w:r w:rsidR="00C2577C" w:rsidRPr="00A25115">
        <w:rPr>
          <w:color w:val="000000" w:themeColor="text1"/>
        </w:rPr>
        <w:t xml:space="preserve">or-provided prednisone </w:t>
      </w:r>
      <w:r w:rsidR="00E3365F" w:rsidRPr="00A25115">
        <w:rPr>
          <w:color w:val="000000" w:themeColor="text1"/>
        </w:rPr>
        <w:t xml:space="preserve">and </w:t>
      </w:r>
      <w:r w:rsidR="00781479" w:rsidRPr="00A25115">
        <w:rPr>
          <w:color w:val="000000" w:themeColor="text1"/>
        </w:rPr>
        <w:t xml:space="preserve">commenced </w:t>
      </w:r>
      <w:r w:rsidR="00C2577C" w:rsidRPr="00A25115">
        <w:rPr>
          <w:color w:val="000000" w:themeColor="text1"/>
        </w:rPr>
        <w:t>an open-label,</w:t>
      </w:r>
      <w:r w:rsidR="00781479" w:rsidRPr="00A25115">
        <w:rPr>
          <w:color w:val="000000" w:themeColor="text1"/>
        </w:rPr>
        <w:t xml:space="preserve"> protocol-defined tapering schedule</w:t>
      </w:r>
      <w:r w:rsidR="00C2577C" w:rsidRPr="00A25115">
        <w:rPr>
          <w:color w:val="000000" w:themeColor="text1"/>
        </w:rPr>
        <w:t xml:space="preserve">, with </w:t>
      </w:r>
      <w:r w:rsidR="005563C4" w:rsidRPr="00A25115">
        <w:rPr>
          <w:color w:val="000000" w:themeColor="text1"/>
        </w:rPr>
        <w:t xml:space="preserve">a </w:t>
      </w:r>
      <w:r w:rsidR="00C2577C" w:rsidRPr="00A25115">
        <w:rPr>
          <w:color w:val="000000" w:themeColor="text1"/>
        </w:rPr>
        <w:t xml:space="preserve">weekly reduction in prednisone dose </w:t>
      </w:r>
      <w:r w:rsidR="00957B33" w:rsidRPr="00A25115">
        <w:rPr>
          <w:color w:val="000000" w:themeColor="text1"/>
        </w:rPr>
        <w:t>based on</w:t>
      </w:r>
      <w:r w:rsidR="00C2577C" w:rsidRPr="00A25115">
        <w:rPr>
          <w:color w:val="000000" w:themeColor="text1"/>
        </w:rPr>
        <w:t xml:space="preserve"> dose increments </w:t>
      </w:r>
      <w:r w:rsidR="00957B33" w:rsidRPr="00A25115">
        <w:rPr>
          <w:color w:val="000000" w:themeColor="text1"/>
        </w:rPr>
        <w:t>of</w:t>
      </w:r>
      <w:r w:rsidR="00C2577C" w:rsidRPr="00A25115">
        <w:rPr>
          <w:color w:val="000000" w:themeColor="text1"/>
        </w:rPr>
        <w:t xml:space="preserve"> 60 mg, 50 mg, 40 mg, 35 mg, 30 mg, 25 mg and 20 mg. Once patients</w:t>
      </w:r>
      <w:r w:rsidR="005563C4" w:rsidRPr="00A25115">
        <w:rPr>
          <w:color w:val="000000" w:themeColor="text1"/>
        </w:rPr>
        <w:t xml:space="preserve"> completed a week of 20 mg prednisone, they</w:t>
      </w:r>
      <w:r w:rsidR="00C2577C" w:rsidRPr="00A25115">
        <w:rPr>
          <w:color w:val="000000" w:themeColor="text1"/>
        </w:rPr>
        <w:t xml:space="preserve"> </w:t>
      </w:r>
      <w:r w:rsidR="005563C4" w:rsidRPr="00A25115">
        <w:rPr>
          <w:color w:val="000000" w:themeColor="text1"/>
        </w:rPr>
        <w:t>entered a b</w:t>
      </w:r>
      <w:r w:rsidR="00C2577C" w:rsidRPr="00A25115">
        <w:rPr>
          <w:color w:val="000000" w:themeColor="text1"/>
        </w:rPr>
        <w:t xml:space="preserve">linded </w:t>
      </w:r>
      <w:r w:rsidR="005563C4" w:rsidRPr="00A25115">
        <w:rPr>
          <w:color w:val="000000" w:themeColor="text1"/>
        </w:rPr>
        <w:t>tapering phase in which either a short or long tapering schedule was followed.</w:t>
      </w:r>
    </w:p>
    <w:p w:rsidR="00781479" w:rsidRPr="0068463E" w:rsidRDefault="00781479" w:rsidP="009722D0">
      <w:pPr>
        <w:pStyle w:val="ListParagraph"/>
        <w:numPr>
          <w:ilvl w:val="1"/>
          <w:numId w:val="1"/>
        </w:numPr>
        <w:spacing w:after="120"/>
        <w:ind w:left="709" w:hanging="709"/>
        <w:jc w:val="both"/>
        <w:rPr>
          <w:color w:val="000000" w:themeColor="text1"/>
        </w:rPr>
      </w:pPr>
      <w:r w:rsidRPr="0068463E">
        <w:rPr>
          <w:color w:val="000000" w:themeColor="text1"/>
        </w:rPr>
        <w:t xml:space="preserve">Patients in the </w:t>
      </w:r>
      <w:proofErr w:type="spellStart"/>
      <w:r w:rsidRPr="0068463E">
        <w:rPr>
          <w:color w:val="000000" w:themeColor="text1"/>
        </w:rPr>
        <w:t>tocilizumab</w:t>
      </w:r>
      <w:proofErr w:type="spellEnd"/>
      <w:r w:rsidRPr="0068463E">
        <w:rPr>
          <w:color w:val="000000" w:themeColor="text1"/>
        </w:rPr>
        <w:t xml:space="preserve"> weekly, </w:t>
      </w:r>
      <w:proofErr w:type="spellStart"/>
      <w:r w:rsidRPr="0068463E">
        <w:rPr>
          <w:color w:val="000000" w:themeColor="text1"/>
        </w:rPr>
        <w:t>tocilizumab</w:t>
      </w:r>
      <w:proofErr w:type="spellEnd"/>
      <w:r w:rsidR="000924D6" w:rsidRPr="0068463E">
        <w:rPr>
          <w:color w:val="000000" w:themeColor="text1"/>
        </w:rPr>
        <w:t xml:space="preserve"> </w:t>
      </w:r>
      <w:r w:rsidRPr="0068463E">
        <w:rPr>
          <w:color w:val="000000" w:themeColor="text1"/>
        </w:rPr>
        <w:t xml:space="preserve">fortnightly, and placebo plus 26-week taper groups </w:t>
      </w:r>
      <w:r w:rsidR="005563C4" w:rsidRPr="0068463E">
        <w:rPr>
          <w:color w:val="000000" w:themeColor="text1"/>
        </w:rPr>
        <w:t>were treated with</w:t>
      </w:r>
      <w:r w:rsidRPr="0068463E">
        <w:rPr>
          <w:color w:val="000000" w:themeColor="text1"/>
        </w:rPr>
        <w:t xml:space="preserve"> </w:t>
      </w:r>
      <w:r w:rsidR="00923EB8" w:rsidRPr="0068463E">
        <w:rPr>
          <w:color w:val="000000" w:themeColor="text1"/>
        </w:rPr>
        <w:t>a shorter prednisone taper</w:t>
      </w:r>
      <w:r w:rsidR="005563C4" w:rsidRPr="0068463E">
        <w:rPr>
          <w:color w:val="000000" w:themeColor="text1"/>
        </w:rPr>
        <w:t>ing regimen</w:t>
      </w:r>
      <w:r w:rsidR="00923EB8" w:rsidRPr="0068463E">
        <w:rPr>
          <w:color w:val="000000" w:themeColor="text1"/>
        </w:rPr>
        <w:t xml:space="preserve">, </w:t>
      </w:r>
      <w:r w:rsidR="000924D6" w:rsidRPr="0068463E">
        <w:rPr>
          <w:color w:val="000000" w:themeColor="text1"/>
        </w:rPr>
        <w:t xml:space="preserve">with a total prednisone </w:t>
      </w:r>
      <w:r w:rsidR="00923EB8" w:rsidRPr="0068463E">
        <w:rPr>
          <w:color w:val="000000" w:themeColor="text1"/>
        </w:rPr>
        <w:t>duration of up to 26-weeks</w:t>
      </w:r>
      <w:r w:rsidRPr="0068463E">
        <w:rPr>
          <w:color w:val="000000" w:themeColor="text1"/>
        </w:rPr>
        <w:t>. Patients in the placebo p</w:t>
      </w:r>
      <w:r w:rsidR="00923EB8" w:rsidRPr="0068463E">
        <w:rPr>
          <w:color w:val="000000" w:themeColor="text1"/>
        </w:rPr>
        <w:t xml:space="preserve">lus 52-week taper arm </w:t>
      </w:r>
      <w:r w:rsidR="005563C4" w:rsidRPr="0068463E">
        <w:rPr>
          <w:color w:val="000000" w:themeColor="text1"/>
        </w:rPr>
        <w:t>were treated with</w:t>
      </w:r>
      <w:r w:rsidR="00923EB8" w:rsidRPr="0068463E">
        <w:rPr>
          <w:color w:val="000000" w:themeColor="text1"/>
        </w:rPr>
        <w:t xml:space="preserve"> prednisone for up to 52 weeks.</w:t>
      </w:r>
      <w:r w:rsidRPr="0068463E">
        <w:t xml:space="preserve"> </w:t>
      </w:r>
      <w:r w:rsidR="00FD65A9" w:rsidRPr="0068463E">
        <w:rPr>
          <w:color w:val="000000" w:themeColor="text1"/>
        </w:rPr>
        <w:t xml:space="preserve"> </w:t>
      </w:r>
    </w:p>
    <w:p w:rsidR="00676E4C" w:rsidRPr="001E43CB" w:rsidRDefault="00047C61" w:rsidP="009722D0">
      <w:pPr>
        <w:pStyle w:val="ListParagraph"/>
        <w:numPr>
          <w:ilvl w:val="1"/>
          <w:numId w:val="1"/>
        </w:numPr>
        <w:spacing w:after="120"/>
        <w:ind w:left="709" w:hanging="709"/>
        <w:jc w:val="both"/>
        <w:rPr>
          <w:color w:val="000000" w:themeColor="text1"/>
        </w:rPr>
      </w:pPr>
      <w:r w:rsidRPr="00EE1044">
        <w:rPr>
          <w:color w:val="000000" w:themeColor="text1"/>
        </w:rPr>
        <w:t>The evaluation</w:t>
      </w:r>
      <w:r w:rsidR="003F1F3F">
        <w:rPr>
          <w:color w:val="000000" w:themeColor="text1"/>
        </w:rPr>
        <w:t xml:space="preserve">, </w:t>
      </w:r>
      <w:r w:rsidR="003F1F3F" w:rsidRPr="00E270A1">
        <w:rPr>
          <w:color w:val="000000" w:themeColor="text1"/>
        </w:rPr>
        <w:t>the ESC</w:t>
      </w:r>
      <w:r w:rsidRPr="00E270A1">
        <w:rPr>
          <w:color w:val="000000" w:themeColor="text1"/>
        </w:rPr>
        <w:t xml:space="preserve"> and the </w:t>
      </w:r>
      <w:r w:rsidR="003F1F3F" w:rsidRPr="00E270A1">
        <w:rPr>
          <w:color w:val="000000" w:themeColor="text1"/>
        </w:rPr>
        <w:t>PBAC</w:t>
      </w:r>
      <w:r>
        <w:rPr>
          <w:i/>
          <w:color w:val="000000" w:themeColor="text1"/>
        </w:rPr>
        <w:t xml:space="preserve"> </w:t>
      </w:r>
      <w:r w:rsidRPr="00EE1044">
        <w:rPr>
          <w:color w:val="000000" w:themeColor="text1"/>
        </w:rPr>
        <w:t>considered that t</w:t>
      </w:r>
      <w:r w:rsidR="00676E4C" w:rsidRPr="00047C61">
        <w:rPr>
          <w:color w:val="000000" w:themeColor="text1"/>
        </w:rPr>
        <w:t>he</w:t>
      </w:r>
      <w:r w:rsidR="00676E4C" w:rsidRPr="0068463E">
        <w:rPr>
          <w:color w:val="000000" w:themeColor="text1"/>
        </w:rPr>
        <w:t xml:space="preserve"> prednisone dosing in the trial may not be representative of clinical practice, </w:t>
      </w:r>
      <w:r w:rsidRPr="001E43CB">
        <w:rPr>
          <w:color w:val="000000" w:themeColor="text1"/>
        </w:rPr>
        <w:t>as clinical guidelines recommend tapering following resolution of symptoms and normalisation of inflammatory markers, while in the trial</w:t>
      </w:r>
      <w:r w:rsidR="00676E4C" w:rsidRPr="001E43CB">
        <w:rPr>
          <w:color w:val="000000" w:themeColor="text1"/>
        </w:rPr>
        <w:t xml:space="preserve"> </w:t>
      </w:r>
      <w:r w:rsidR="00676E4C" w:rsidRPr="0068463E">
        <w:rPr>
          <w:color w:val="000000" w:themeColor="text1"/>
        </w:rPr>
        <w:t xml:space="preserve">tapering of the prednisone dose </w:t>
      </w:r>
      <w:r w:rsidR="00464D79" w:rsidRPr="001E43CB">
        <w:rPr>
          <w:color w:val="000000" w:themeColor="text1"/>
        </w:rPr>
        <w:t>may have been</w:t>
      </w:r>
      <w:r w:rsidR="00676E4C" w:rsidRPr="001E43CB">
        <w:rPr>
          <w:color w:val="000000" w:themeColor="text1"/>
        </w:rPr>
        <w:t xml:space="preserve"> </w:t>
      </w:r>
      <w:r w:rsidR="00676E4C" w:rsidRPr="0068463E">
        <w:rPr>
          <w:color w:val="000000" w:themeColor="text1"/>
        </w:rPr>
        <w:t xml:space="preserve">commenced prior to achieving disease remission in some patients. </w:t>
      </w:r>
      <w:r>
        <w:rPr>
          <w:color w:val="000000" w:themeColor="text1"/>
        </w:rPr>
        <w:t>Further, t</w:t>
      </w:r>
      <w:r w:rsidR="00676E4C" w:rsidRPr="0068463E">
        <w:t xml:space="preserve">he total duration of the prednisone taper was shorter than recommended in clinical guidelines. </w:t>
      </w:r>
      <w:r w:rsidR="00EF75F9" w:rsidRPr="0068463E">
        <w:t xml:space="preserve">Treatment in the placebo plus 52-week taper group was for a maximum of 52 </w:t>
      </w:r>
      <w:r w:rsidR="0009239B" w:rsidRPr="0068463E">
        <w:t>weeks;</w:t>
      </w:r>
      <w:r w:rsidR="00EF75F9" w:rsidRPr="0068463E">
        <w:t xml:space="preserve"> however, clinical guidelines </w:t>
      </w:r>
      <w:r w:rsidR="00464D79" w:rsidRPr="001E43CB">
        <w:t xml:space="preserve">generally </w:t>
      </w:r>
      <w:r w:rsidR="00EF75F9" w:rsidRPr="0068463E">
        <w:t xml:space="preserve">recommend treatment with prednisone for at least </w:t>
      </w:r>
      <w:r w:rsidR="00464D79" w:rsidRPr="00A24733">
        <w:t>12</w:t>
      </w:r>
      <w:r w:rsidR="00303A41" w:rsidRPr="00A24733">
        <w:t xml:space="preserve"> to</w:t>
      </w:r>
      <w:r w:rsidR="00303A41">
        <w:rPr>
          <w:i/>
        </w:rPr>
        <w:t xml:space="preserve"> </w:t>
      </w:r>
      <w:r w:rsidR="00EF75F9" w:rsidRPr="0068463E">
        <w:t>18 months.</w:t>
      </w:r>
      <w:r>
        <w:t xml:space="preserve"> </w:t>
      </w:r>
      <w:r w:rsidRPr="001E43CB">
        <w:rPr>
          <w:color w:val="000000" w:themeColor="text1"/>
        </w:rPr>
        <w:t xml:space="preserve">While acknowledging that treatment guidelines for GCA are limited and poorly evidence based, the </w:t>
      </w:r>
      <w:r w:rsidRPr="00E270A1">
        <w:rPr>
          <w:color w:val="000000" w:themeColor="text1"/>
        </w:rPr>
        <w:t xml:space="preserve">ESC </w:t>
      </w:r>
      <w:r w:rsidR="003F1F3F" w:rsidRPr="00E270A1">
        <w:rPr>
          <w:color w:val="000000" w:themeColor="text1"/>
        </w:rPr>
        <w:t>and the PBAC</w:t>
      </w:r>
      <w:r w:rsidR="003F1F3F">
        <w:rPr>
          <w:i/>
          <w:color w:val="000000" w:themeColor="text1"/>
        </w:rPr>
        <w:t xml:space="preserve"> </w:t>
      </w:r>
      <w:r w:rsidRPr="001E43CB">
        <w:rPr>
          <w:color w:val="000000" w:themeColor="text1"/>
        </w:rPr>
        <w:t>considered that the steroid tapering regimens used in the trial were not representative of clinical practice.</w:t>
      </w:r>
    </w:p>
    <w:p w:rsidR="008646C8" w:rsidRDefault="00E733B8" w:rsidP="009722D0">
      <w:pPr>
        <w:pStyle w:val="ListParagraph"/>
        <w:numPr>
          <w:ilvl w:val="1"/>
          <w:numId w:val="1"/>
        </w:numPr>
        <w:spacing w:after="120"/>
        <w:ind w:left="709" w:hanging="709"/>
        <w:jc w:val="both"/>
        <w:rPr>
          <w:color w:val="000000" w:themeColor="text1"/>
        </w:rPr>
      </w:pPr>
      <w:r w:rsidRPr="001E43CB">
        <w:rPr>
          <w:color w:val="000000" w:themeColor="text1"/>
        </w:rPr>
        <w:t xml:space="preserve">The </w:t>
      </w:r>
      <w:r w:rsidR="0080381B">
        <w:rPr>
          <w:color w:val="000000" w:themeColor="text1"/>
        </w:rPr>
        <w:t>Pre-Sub-Committee Response (</w:t>
      </w:r>
      <w:r w:rsidR="008646C8" w:rsidRPr="001E43CB">
        <w:rPr>
          <w:color w:val="000000" w:themeColor="text1"/>
        </w:rPr>
        <w:t>PSCR</w:t>
      </w:r>
      <w:r w:rsidR="0080381B">
        <w:rPr>
          <w:color w:val="000000" w:themeColor="text1"/>
        </w:rPr>
        <w:t>,</w:t>
      </w:r>
      <w:r w:rsidRPr="001E43CB">
        <w:rPr>
          <w:color w:val="000000" w:themeColor="text1"/>
        </w:rPr>
        <w:t xml:space="preserve"> </w:t>
      </w:r>
      <w:r w:rsidR="008646C8" w:rsidRPr="001E43CB">
        <w:rPr>
          <w:color w:val="000000" w:themeColor="text1"/>
        </w:rPr>
        <w:t>acknowledge</w:t>
      </w:r>
      <w:r w:rsidRPr="001E43CB">
        <w:rPr>
          <w:color w:val="000000" w:themeColor="text1"/>
        </w:rPr>
        <w:t>d that</w:t>
      </w:r>
      <w:r w:rsidR="008646C8" w:rsidRPr="001E43CB">
        <w:rPr>
          <w:color w:val="000000" w:themeColor="text1"/>
        </w:rPr>
        <w:t xml:space="preserve"> there are limitations in applying the </w:t>
      </w:r>
      <w:proofErr w:type="spellStart"/>
      <w:r w:rsidR="008646C8" w:rsidRPr="001E43CB">
        <w:rPr>
          <w:color w:val="000000" w:themeColor="text1"/>
        </w:rPr>
        <w:t>GiACTA</w:t>
      </w:r>
      <w:proofErr w:type="spellEnd"/>
      <w:r w:rsidR="008646C8" w:rsidRPr="001E43CB">
        <w:rPr>
          <w:color w:val="000000" w:themeColor="text1"/>
        </w:rPr>
        <w:t xml:space="preserve"> study to clinical practice </w:t>
      </w:r>
      <w:r w:rsidRPr="001E43CB">
        <w:rPr>
          <w:color w:val="000000" w:themeColor="text1"/>
        </w:rPr>
        <w:t>where</w:t>
      </w:r>
      <w:r w:rsidR="008646C8" w:rsidRPr="001E43CB">
        <w:rPr>
          <w:color w:val="000000" w:themeColor="text1"/>
        </w:rPr>
        <w:t xml:space="preserve"> patients are generally treated according to their individual circumstances. </w:t>
      </w:r>
    </w:p>
    <w:p w:rsidR="00186F33" w:rsidRPr="001E43CB" w:rsidRDefault="00186F33" w:rsidP="009722D0">
      <w:pPr>
        <w:pStyle w:val="ListParagraph"/>
        <w:numPr>
          <w:ilvl w:val="1"/>
          <w:numId w:val="1"/>
        </w:numPr>
        <w:spacing w:after="120"/>
        <w:ind w:left="709" w:hanging="709"/>
        <w:jc w:val="both"/>
        <w:rPr>
          <w:color w:val="000000" w:themeColor="text1"/>
        </w:rPr>
      </w:pPr>
      <w:r>
        <w:rPr>
          <w:color w:val="000000" w:themeColor="text1"/>
        </w:rPr>
        <w:t xml:space="preserve">The PBAC noted that patients who required initial treatment with IV methylprednisolone were excluded from the </w:t>
      </w:r>
      <w:proofErr w:type="spellStart"/>
      <w:r>
        <w:rPr>
          <w:color w:val="000000" w:themeColor="text1"/>
        </w:rPr>
        <w:t>GiACTA</w:t>
      </w:r>
      <w:proofErr w:type="spellEnd"/>
      <w:r>
        <w:rPr>
          <w:color w:val="000000" w:themeColor="text1"/>
        </w:rPr>
        <w:t xml:space="preserve"> trial. This is likely to have had the effect of excluding more severe presentations of GCA and hence the effect of </w:t>
      </w:r>
      <w:proofErr w:type="spellStart"/>
      <w:r>
        <w:rPr>
          <w:color w:val="000000" w:themeColor="text1"/>
        </w:rPr>
        <w:t>tocilizumab</w:t>
      </w:r>
      <w:proofErr w:type="spellEnd"/>
      <w:r>
        <w:rPr>
          <w:color w:val="000000" w:themeColor="text1"/>
        </w:rPr>
        <w:t xml:space="preserve"> in this subgroup is uncertain.  </w:t>
      </w:r>
    </w:p>
    <w:p w:rsidR="00D322C0" w:rsidRPr="006A3097" w:rsidRDefault="00D322C0" w:rsidP="009722D0">
      <w:pPr>
        <w:pStyle w:val="ListParagraph"/>
        <w:numPr>
          <w:ilvl w:val="1"/>
          <w:numId w:val="1"/>
        </w:numPr>
        <w:spacing w:after="120"/>
        <w:ind w:left="709" w:hanging="709"/>
        <w:jc w:val="both"/>
        <w:rPr>
          <w:color w:val="000000" w:themeColor="text1"/>
        </w:rPr>
      </w:pPr>
      <w:r w:rsidRPr="00D322C0">
        <w:rPr>
          <w:color w:val="000000" w:themeColor="text1"/>
        </w:rPr>
        <w:t xml:space="preserve">The primary outcome </w:t>
      </w:r>
      <w:r w:rsidR="005563C4">
        <w:rPr>
          <w:color w:val="000000" w:themeColor="text1"/>
        </w:rPr>
        <w:t xml:space="preserve">of the </w:t>
      </w:r>
      <w:proofErr w:type="spellStart"/>
      <w:r w:rsidR="005563C4">
        <w:rPr>
          <w:color w:val="000000" w:themeColor="text1"/>
        </w:rPr>
        <w:t>GiACTA</w:t>
      </w:r>
      <w:proofErr w:type="spellEnd"/>
      <w:r w:rsidR="005563C4">
        <w:rPr>
          <w:color w:val="000000" w:themeColor="text1"/>
        </w:rPr>
        <w:t xml:space="preserve"> trial </w:t>
      </w:r>
      <w:r w:rsidRPr="00D322C0">
        <w:rPr>
          <w:color w:val="000000" w:themeColor="text1"/>
        </w:rPr>
        <w:t xml:space="preserve">was the proportion of </w:t>
      </w:r>
      <w:proofErr w:type="spellStart"/>
      <w:r w:rsidR="005563C4">
        <w:rPr>
          <w:color w:val="000000" w:themeColor="text1"/>
        </w:rPr>
        <w:t>tocilizumab</w:t>
      </w:r>
      <w:proofErr w:type="spellEnd"/>
      <w:r w:rsidR="005563C4">
        <w:rPr>
          <w:color w:val="000000" w:themeColor="text1"/>
        </w:rPr>
        <w:t xml:space="preserve">-treated </w:t>
      </w:r>
      <w:r w:rsidRPr="00D322C0">
        <w:rPr>
          <w:color w:val="000000" w:themeColor="text1"/>
        </w:rPr>
        <w:t xml:space="preserve">patients in sustained remission at Week 52 versus placebo plus a 26-week prednisone taper. Remission was defined as the absence of flare and normalisation of the CRP </w:t>
      </w:r>
      <w:r w:rsidR="00186F33">
        <w:rPr>
          <w:color w:val="000000" w:themeColor="text1"/>
        </w:rPr>
        <w:t>&lt;10mg/L</w:t>
      </w:r>
      <w:r w:rsidRPr="00D322C0">
        <w:rPr>
          <w:color w:val="000000" w:themeColor="text1"/>
        </w:rPr>
        <w:t xml:space="preserve">). Sustained remission was defined as the absence of flare following induction of remission within 12 weeks of randomisation and maintained from week 12 up to the 52-week </w:t>
      </w:r>
      <w:proofErr w:type="spellStart"/>
      <w:r w:rsidRPr="00D322C0">
        <w:rPr>
          <w:color w:val="000000" w:themeColor="text1"/>
        </w:rPr>
        <w:t>timepoint</w:t>
      </w:r>
      <w:proofErr w:type="spellEnd"/>
      <w:r w:rsidRPr="00D322C0">
        <w:rPr>
          <w:color w:val="000000" w:themeColor="text1"/>
        </w:rPr>
        <w:t xml:space="preserve">. Flare was determined by the investigator and defined as the recurrence of signs or symptoms of GCA and/or </w:t>
      </w:r>
      <w:r w:rsidR="005563C4">
        <w:rPr>
          <w:color w:val="000000" w:themeColor="text1"/>
        </w:rPr>
        <w:t xml:space="preserve">an </w:t>
      </w:r>
      <w:r w:rsidRPr="00D322C0">
        <w:rPr>
          <w:color w:val="000000" w:themeColor="text1"/>
        </w:rPr>
        <w:t>ESR ≥30 mm/hr attributable to GCA</w:t>
      </w:r>
      <w:r>
        <w:rPr>
          <w:color w:val="000000" w:themeColor="text1"/>
        </w:rPr>
        <w:t>.</w:t>
      </w:r>
    </w:p>
    <w:p w:rsidR="00D322C0" w:rsidRDefault="00D322C0" w:rsidP="009722D0">
      <w:pPr>
        <w:pStyle w:val="ListParagraph"/>
        <w:numPr>
          <w:ilvl w:val="1"/>
          <w:numId w:val="1"/>
        </w:numPr>
        <w:spacing w:after="120"/>
        <w:ind w:left="709" w:hanging="709"/>
        <w:jc w:val="both"/>
        <w:rPr>
          <w:color w:val="000000" w:themeColor="text1"/>
        </w:rPr>
      </w:pPr>
      <w:r w:rsidRPr="00D322C0">
        <w:rPr>
          <w:color w:val="000000" w:themeColor="text1"/>
        </w:rPr>
        <w:lastRenderedPageBreak/>
        <w:t>Patients were considered non-responders if they did not achieve remission within 12 weeks of baseline, experienced a flare, had elevated CRP values at two consecutive study visits from Week 12 onwards, received escape therapy, did not adhere to the prednisone taper regimen, withdrew from the study prior to Week 52, or if remission status could not be determined at Week 52.</w:t>
      </w:r>
    </w:p>
    <w:p w:rsidR="00676E4C" w:rsidRDefault="00676E4C" w:rsidP="009722D0">
      <w:pPr>
        <w:pStyle w:val="ListParagraph"/>
        <w:numPr>
          <w:ilvl w:val="1"/>
          <w:numId w:val="1"/>
        </w:numPr>
        <w:spacing w:after="120"/>
        <w:ind w:left="709" w:hanging="709"/>
        <w:jc w:val="both"/>
        <w:rPr>
          <w:color w:val="000000" w:themeColor="text1"/>
        </w:rPr>
      </w:pPr>
      <w:r w:rsidRPr="00FD65A9">
        <w:t>The</w:t>
      </w:r>
      <w:r w:rsidRPr="00676E4C">
        <w:rPr>
          <w:color w:val="000000" w:themeColor="text1"/>
        </w:rPr>
        <w:t xml:space="preserve"> clinical claim in the submission was based on a comparison of </w:t>
      </w:r>
      <w:proofErr w:type="spellStart"/>
      <w:r w:rsidRPr="00676E4C">
        <w:rPr>
          <w:color w:val="000000" w:themeColor="text1"/>
        </w:rPr>
        <w:t>tocilizumab</w:t>
      </w:r>
      <w:proofErr w:type="spellEnd"/>
      <w:r w:rsidRPr="00676E4C">
        <w:rPr>
          <w:color w:val="000000" w:themeColor="text1"/>
        </w:rPr>
        <w:t xml:space="preserve"> plus 26-week prednisone tapering regimen to placebo plus a 52-week </w:t>
      </w:r>
      <w:r w:rsidR="003F22A3">
        <w:rPr>
          <w:color w:val="000000" w:themeColor="text1"/>
        </w:rPr>
        <w:t xml:space="preserve">prednisone </w:t>
      </w:r>
      <w:r w:rsidRPr="00676E4C">
        <w:rPr>
          <w:color w:val="000000" w:themeColor="text1"/>
        </w:rPr>
        <w:t xml:space="preserve">tapering </w:t>
      </w:r>
      <w:r w:rsidR="003F22A3">
        <w:rPr>
          <w:color w:val="000000" w:themeColor="text1"/>
        </w:rPr>
        <w:t>regimen</w:t>
      </w:r>
      <w:r w:rsidRPr="00676E4C">
        <w:rPr>
          <w:color w:val="000000" w:themeColor="text1"/>
        </w:rPr>
        <w:t>.</w:t>
      </w:r>
    </w:p>
    <w:p w:rsidR="00C317F3" w:rsidRPr="007734DD" w:rsidRDefault="00C317F3" w:rsidP="000A734B">
      <w:pPr>
        <w:pStyle w:val="Heading2"/>
      </w:pPr>
      <w:bookmarkStart w:id="16" w:name="_Toc413139278"/>
      <w:bookmarkStart w:id="17" w:name="_Toc523934606"/>
      <w:r w:rsidRPr="007734DD">
        <w:t>Comparative effectiveness</w:t>
      </w:r>
      <w:bookmarkEnd w:id="16"/>
      <w:bookmarkEnd w:id="17"/>
      <w:r w:rsidRPr="007734DD">
        <w:t xml:space="preserve"> </w:t>
      </w:r>
    </w:p>
    <w:p w:rsidR="00E915EA" w:rsidRDefault="000C3FBF" w:rsidP="009722D0">
      <w:pPr>
        <w:pStyle w:val="ListParagraph"/>
        <w:numPr>
          <w:ilvl w:val="1"/>
          <w:numId w:val="1"/>
        </w:numPr>
        <w:spacing w:after="120"/>
        <w:ind w:left="709" w:hanging="709"/>
        <w:jc w:val="both"/>
        <w:rPr>
          <w:color w:val="000000" w:themeColor="text1"/>
        </w:rPr>
      </w:pPr>
      <w:r w:rsidRPr="00EE1044">
        <w:t>Table</w:t>
      </w:r>
      <w:r w:rsidRPr="00303A41">
        <w:rPr>
          <w:color w:val="000000" w:themeColor="text1"/>
        </w:rPr>
        <w:t xml:space="preserve"> 6</w:t>
      </w:r>
      <w:r w:rsidR="00E915EA" w:rsidRPr="00E915EA">
        <w:rPr>
          <w:color w:val="000000" w:themeColor="text1"/>
        </w:rPr>
        <w:t xml:space="preserve"> presents the results for the proportion of patients in sustained remission at Week 52 in the </w:t>
      </w:r>
      <w:proofErr w:type="spellStart"/>
      <w:r w:rsidR="00E915EA" w:rsidRPr="00E915EA">
        <w:rPr>
          <w:color w:val="000000" w:themeColor="text1"/>
        </w:rPr>
        <w:t>GiACTA</w:t>
      </w:r>
      <w:proofErr w:type="spellEnd"/>
      <w:r w:rsidR="00E915EA" w:rsidRPr="00E915EA">
        <w:rPr>
          <w:color w:val="000000" w:themeColor="text1"/>
        </w:rPr>
        <w:t xml:space="preserve"> trial. </w:t>
      </w:r>
    </w:p>
    <w:p w:rsidR="00E915EA" w:rsidRPr="008329D7" w:rsidRDefault="000C3FBF" w:rsidP="00C46E06">
      <w:pPr>
        <w:pStyle w:val="TableHeading0"/>
        <w:jc w:val="both"/>
        <w:rPr>
          <w:color w:val="000000" w:themeColor="text1"/>
        </w:rPr>
      </w:pPr>
      <w:r>
        <w:rPr>
          <w:color w:val="000000" w:themeColor="text1"/>
        </w:rPr>
        <w:t>Table 6</w:t>
      </w:r>
      <w:r w:rsidR="00E915EA" w:rsidRPr="008329D7">
        <w:rPr>
          <w:color w:val="000000" w:themeColor="text1"/>
        </w:rPr>
        <w:t xml:space="preserve">: </w:t>
      </w:r>
      <w:r w:rsidR="00E915EA">
        <w:rPr>
          <w:color w:val="000000" w:themeColor="text1"/>
        </w:rPr>
        <w:t>Proportion of patients in sustained remission at Week 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639"/>
        <w:gridCol w:w="1639"/>
        <w:gridCol w:w="1538"/>
        <w:gridCol w:w="1535"/>
      </w:tblGrid>
      <w:tr w:rsidR="00E915EA" w:rsidRPr="00A85519" w:rsidTr="00A91C3A">
        <w:tc>
          <w:tcPr>
            <w:tcW w:w="1478" w:type="pct"/>
            <w:shd w:val="clear" w:color="auto" w:fill="auto"/>
            <w:vAlign w:val="center"/>
          </w:tcPr>
          <w:p w:rsidR="00E915EA" w:rsidRPr="0005503F" w:rsidRDefault="00E915EA" w:rsidP="00C46E06">
            <w:pPr>
              <w:pStyle w:val="TableHeadingRow"/>
              <w:spacing w:before="0" w:after="0"/>
              <w:jc w:val="center"/>
              <w:rPr>
                <w:rFonts w:ascii="Arial Narrow" w:hAnsi="Arial Narrow"/>
              </w:rPr>
            </w:pPr>
          </w:p>
        </w:tc>
        <w:tc>
          <w:tcPr>
            <w:tcW w:w="909" w:type="pct"/>
          </w:tcPr>
          <w:p w:rsidR="00E915EA" w:rsidRDefault="00E915EA" w:rsidP="00C46E06">
            <w:pPr>
              <w:pStyle w:val="TableHeadingRow"/>
              <w:spacing w:before="0" w:after="0"/>
              <w:jc w:val="center"/>
              <w:rPr>
                <w:rFonts w:ascii="Arial Narrow" w:hAnsi="Arial Narrow"/>
              </w:rPr>
            </w:pPr>
            <w:r>
              <w:rPr>
                <w:rFonts w:ascii="Arial Narrow" w:hAnsi="Arial Narrow"/>
              </w:rPr>
              <w:t>PBO + 26-week taper</w:t>
            </w:r>
            <w:r w:rsidRPr="0005503F">
              <w:rPr>
                <w:rFonts w:ascii="Arial Narrow" w:hAnsi="Arial Narrow"/>
              </w:rPr>
              <w:t xml:space="preserve"> </w:t>
            </w:r>
          </w:p>
          <w:p w:rsidR="00E915EA" w:rsidRDefault="00E915EA"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=50</w:t>
            </w:r>
            <w:r>
              <w:rPr>
                <w:rFonts w:ascii="Arial Narrow" w:hAnsi="Arial Narrow"/>
              </w:rPr>
              <w:t>)</w:t>
            </w:r>
          </w:p>
        </w:tc>
        <w:tc>
          <w:tcPr>
            <w:tcW w:w="909" w:type="pct"/>
            <w:shd w:val="clear" w:color="auto" w:fill="auto"/>
            <w:vAlign w:val="center"/>
            <w:hideMark/>
          </w:tcPr>
          <w:p w:rsidR="00E915EA" w:rsidRDefault="00E915EA" w:rsidP="00C46E06">
            <w:pPr>
              <w:pStyle w:val="TableHeadingRow"/>
              <w:spacing w:before="0" w:after="0"/>
              <w:jc w:val="center"/>
              <w:rPr>
                <w:rFonts w:ascii="Arial Narrow" w:hAnsi="Arial Narrow"/>
              </w:rPr>
            </w:pPr>
            <w:r>
              <w:rPr>
                <w:rFonts w:ascii="Arial Narrow" w:hAnsi="Arial Narrow"/>
              </w:rPr>
              <w:t>PBO + 52-week taper</w:t>
            </w:r>
            <w:r w:rsidRPr="0005503F">
              <w:rPr>
                <w:rFonts w:ascii="Arial Narrow" w:hAnsi="Arial Narrow"/>
              </w:rPr>
              <w:t xml:space="preserve"> </w:t>
            </w:r>
          </w:p>
          <w:p w:rsidR="00E915EA" w:rsidRPr="0005503F" w:rsidRDefault="00E915EA"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=5</w:t>
            </w:r>
            <w:r>
              <w:rPr>
                <w:rFonts w:ascii="Arial Narrow" w:hAnsi="Arial Narrow"/>
              </w:rPr>
              <w:t>1)</w:t>
            </w:r>
          </w:p>
        </w:tc>
        <w:tc>
          <w:tcPr>
            <w:tcW w:w="853" w:type="pct"/>
            <w:shd w:val="clear" w:color="auto" w:fill="auto"/>
            <w:vAlign w:val="center"/>
            <w:hideMark/>
          </w:tcPr>
          <w:p w:rsidR="00E915EA" w:rsidRPr="0005503F" w:rsidRDefault="00E915EA" w:rsidP="00C46E06">
            <w:pPr>
              <w:pStyle w:val="TableHeadingRow"/>
              <w:spacing w:before="0" w:after="0"/>
              <w:jc w:val="center"/>
              <w:rPr>
                <w:rFonts w:ascii="Arial Narrow" w:hAnsi="Arial Narrow"/>
              </w:rPr>
            </w:pPr>
            <w:r w:rsidRPr="0005503F">
              <w:rPr>
                <w:rFonts w:ascii="Arial Narrow" w:hAnsi="Arial Narrow"/>
              </w:rPr>
              <w:t xml:space="preserve">TCZ </w:t>
            </w:r>
            <w:r>
              <w:rPr>
                <w:rFonts w:ascii="Arial Narrow" w:hAnsi="Arial Narrow"/>
              </w:rPr>
              <w:t>weekly</w:t>
            </w:r>
            <w:r w:rsidRPr="0005503F">
              <w:rPr>
                <w:rFonts w:ascii="Arial Narrow" w:hAnsi="Arial Narrow"/>
              </w:rPr>
              <w:t xml:space="preserve"> + 26</w:t>
            </w:r>
            <w:r>
              <w:rPr>
                <w:rFonts w:ascii="Arial Narrow" w:hAnsi="Arial Narrow"/>
              </w:rPr>
              <w:t>-</w:t>
            </w:r>
            <w:r w:rsidRPr="0005503F">
              <w:rPr>
                <w:rFonts w:ascii="Arial Narrow" w:hAnsi="Arial Narrow"/>
              </w:rPr>
              <w:t>w</w:t>
            </w:r>
            <w:r>
              <w:rPr>
                <w:rFonts w:ascii="Arial Narrow" w:hAnsi="Arial Narrow"/>
              </w:rPr>
              <w:t>ee</w:t>
            </w:r>
            <w:r w:rsidRPr="0005503F">
              <w:rPr>
                <w:rFonts w:ascii="Arial Narrow" w:hAnsi="Arial Narrow"/>
              </w:rPr>
              <w:t>k</w:t>
            </w:r>
            <w:r>
              <w:rPr>
                <w:rFonts w:ascii="Arial Narrow" w:hAnsi="Arial Narrow"/>
              </w:rPr>
              <w:t xml:space="preserve"> taper</w:t>
            </w:r>
          </w:p>
          <w:p w:rsidR="00E915EA" w:rsidRPr="0005503F" w:rsidRDefault="00E915EA"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100</w:t>
            </w:r>
            <w:r>
              <w:rPr>
                <w:rFonts w:ascii="Arial Narrow" w:hAnsi="Arial Narrow"/>
              </w:rPr>
              <w:t>)</w:t>
            </w:r>
          </w:p>
        </w:tc>
        <w:tc>
          <w:tcPr>
            <w:tcW w:w="851" w:type="pct"/>
            <w:shd w:val="clear" w:color="auto" w:fill="auto"/>
            <w:vAlign w:val="center"/>
            <w:hideMark/>
          </w:tcPr>
          <w:p w:rsidR="00E915EA" w:rsidRPr="0005503F" w:rsidRDefault="00E915EA" w:rsidP="00C46E06">
            <w:pPr>
              <w:pStyle w:val="TableHeadingRow"/>
              <w:spacing w:before="0" w:after="0"/>
              <w:jc w:val="center"/>
              <w:rPr>
                <w:rFonts w:ascii="Arial Narrow" w:hAnsi="Arial Narrow"/>
              </w:rPr>
            </w:pPr>
            <w:r w:rsidRPr="0005503F">
              <w:rPr>
                <w:rFonts w:ascii="Arial Narrow" w:hAnsi="Arial Narrow"/>
              </w:rPr>
              <w:t xml:space="preserve">TCZ </w:t>
            </w:r>
            <w:r>
              <w:rPr>
                <w:rFonts w:ascii="Arial Narrow" w:hAnsi="Arial Narrow"/>
              </w:rPr>
              <w:t>fortnightly</w:t>
            </w:r>
            <w:r w:rsidRPr="0005503F">
              <w:rPr>
                <w:rFonts w:ascii="Arial Narrow" w:hAnsi="Arial Narrow"/>
              </w:rPr>
              <w:t xml:space="preserve"> + 26</w:t>
            </w:r>
            <w:r>
              <w:rPr>
                <w:rFonts w:ascii="Arial Narrow" w:hAnsi="Arial Narrow"/>
              </w:rPr>
              <w:t>-</w:t>
            </w:r>
            <w:r w:rsidRPr="0005503F">
              <w:rPr>
                <w:rFonts w:ascii="Arial Narrow" w:hAnsi="Arial Narrow"/>
              </w:rPr>
              <w:t>w</w:t>
            </w:r>
            <w:r>
              <w:rPr>
                <w:rFonts w:ascii="Arial Narrow" w:hAnsi="Arial Narrow"/>
              </w:rPr>
              <w:t>ee</w:t>
            </w:r>
            <w:r w:rsidRPr="0005503F">
              <w:rPr>
                <w:rFonts w:ascii="Arial Narrow" w:hAnsi="Arial Narrow"/>
              </w:rPr>
              <w:t>k</w:t>
            </w:r>
            <w:r>
              <w:rPr>
                <w:rFonts w:ascii="Arial Narrow" w:hAnsi="Arial Narrow"/>
              </w:rPr>
              <w:t xml:space="preserve"> taper</w:t>
            </w:r>
          </w:p>
          <w:p w:rsidR="00E915EA" w:rsidRPr="0005503F" w:rsidRDefault="00E915EA"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49</w:t>
            </w:r>
            <w:r>
              <w:rPr>
                <w:rFonts w:ascii="Arial Narrow" w:hAnsi="Arial Narrow"/>
              </w:rPr>
              <w:t>)</w:t>
            </w:r>
          </w:p>
        </w:tc>
      </w:tr>
      <w:tr w:rsidR="00E915EA" w:rsidRPr="00A85519" w:rsidTr="00A91C3A">
        <w:tc>
          <w:tcPr>
            <w:tcW w:w="1478" w:type="pct"/>
            <w:shd w:val="clear" w:color="auto" w:fill="auto"/>
            <w:hideMark/>
          </w:tcPr>
          <w:p w:rsidR="00E915EA" w:rsidRPr="0005503F" w:rsidRDefault="00E915EA" w:rsidP="00C46E06">
            <w:pPr>
              <w:pStyle w:val="TableText1"/>
              <w:spacing w:before="0" w:after="0"/>
            </w:pPr>
            <w:r w:rsidRPr="0005503F">
              <w:t>Responders</w:t>
            </w:r>
            <w:r>
              <w:t>, n (%)</w:t>
            </w:r>
          </w:p>
        </w:tc>
        <w:tc>
          <w:tcPr>
            <w:tcW w:w="909" w:type="pct"/>
            <w:vAlign w:val="center"/>
          </w:tcPr>
          <w:p w:rsidR="00E915EA" w:rsidRPr="0005503F" w:rsidRDefault="00E915EA" w:rsidP="00C46E06">
            <w:pPr>
              <w:pStyle w:val="TableText1"/>
              <w:spacing w:before="0" w:after="0"/>
              <w:jc w:val="center"/>
            </w:pPr>
            <w:r w:rsidRPr="0005503F">
              <w:t>7 (14.0)</w:t>
            </w:r>
          </w:p>
        </w:tc>
        <w:tc>
          <w:tcPr>
            <w:tcW w:w="909" w:type="pct"/>
            <w:shd w:val="clear" w:color="auto" w:fill="auto"/>
            <w:vAlign w:val="center"/>
          </w:tcPr>
          <w:p w:rsidR="00E915EA" w:rsidRPr="0005503F" w:rsidRDefault="00E915EA" w:rsidP="00C46E06">
            <w:pPr>
              <w:pStyle w:val="TableText1"/>
              <w:spacing w:before="0" w:after="0"/>
              <w:jc w:val="center"/>
            </w:pPr>
            <w:r w:rsidRPr="00617922">
              <w:t>9 (17.6)</w:t>
            </w:r>
          </w:p>
        </w:tc>
        <w:tc>
          <w:tcPr>
            <w:tcW w:w="853" w:type="pct"/>
            <w:shd w:val="clear" w:color="auto" w:fill="auto"/>
            <w:vAlign w:val="center"/>
            <w:hideMark/>
          </w:tcPr>
          <w:p w:rsidR="00E915EA" w:rsidRPr="0005503F" w:rsidRDefault="00E915EA" w:rsidP="00C46E06">
            <w:pPr>
              <w:pStyle w:val="TableText1"/>
              <w:spacing w:before="0" w:after="0"/>
              <w:jc w:val="center"/>
            </w:pPr>
            <w:r w:rsidRPr="0005503F">
              <w:t>56 (56.0)</w:t>
            </w:r>
          </w:p>
        </w:tc>
        <w:tc>
          <w:tcPr>
            <w:tcW w:w="851" w:type="pct"/>
            <w:shd w:val="clear" w:color="auto" w:fill="auto"/>
            <w:vAlign w:val="center"/>
            <w:hideMark/>
          </w:tcPr>
          <w:p w:rsidR="00E915EA" w:rsidRPr="0005503F" w:rsidRDefault="00E915EA" w:rsidP="00C46E06">
            <w:pPr>
              <w:pStyle w:val="TableText1"/>
              <w:spacing w:before="0" w:after="0"/>
              <w:jc w:val="center"/>
            </w:pPr>
            <w:r w:rsidRPr="0005503F">
              <w:t>26 (53.1)</w:t>
            </w:r>
          </w:p>
        </w:tc>
      </w:tr>
      <w:tr w:rsidR="00E915EA" w:rsidRPr="00A85519" w:rsidTr="00A91C3A">
        <w:tc>
          <w:tcPr>
            <w:tcW w:w="5000" w:type="pct"/>
            <w:gridSpan w:val="5"/>
            <w:shd w:val="clear" w:color="auto" w:fill="auto"/>
          </w:tcPr>
          <w:p w:rsidR="00E915EA" w:rsidRPr="008F1FAD" w:rsidRDefault="00E915EA" w:rsidP="00C46E06">
            <w:pPr>
              <w:pStyle w:val="TableText1"/>
              <w:spacing w:before="0" w:after="0"/>
              <w:rPr>
                <w:b/>
              </w:rPr>
            </w:pPr>
            <w:r w:rsidRPr="008F1FAD">
              <w:rPr>
                <w:b/>
              </w:rPr>
              <w:t>Difference in response rates (99.5% CI)</w:t>
            </w:r>
          </w:p>
        </w:tc>
      </w:tr>
      <w:tr w:rsidR="00E915EA" w:rsidRPr="00A85519" w:rsidTr="00A91C3A">
        <w:trPr>
          <w:trHeight w:val="189"/>
        </w:trPr>
        <w:tc>
          <w:tcPr>
            <w:tcW w:w="3296" w:type="pct"/>
            <w:gridSpan w:val="3"/>
            <w:shd w:val="clear" w:color="auto" w:fill="auto"/>
            <w:hideMark/>
          </w:tcPr>
          <w:p w:rsidR="00E915EA" w:rsidRPr="008F1FAD" w:rsidRDefault="00E915EA" w:rsidP="00C46E06">
            <w:pPr>
              <w:pStyle w:val="TableText1"/>
              <w:spacing w:before="0" w:after="0"/>
            </w:pPr>
            <w:r>
              <w:t>vs.</w:t>
            </w:r>
            <w:r w:rsidRPr="008F1FAD">
              <w:t xml:space="preserve"> PBO + 26-week prednisone taper (primary outcome)</w:t>
            </w:r>
          </w:p>
        </w:tc>
        <w:tc>
          <w:tcPr>
            <w:tcW w:w="853" w:type="pct"/>
            <w:shd w:val="clear" w:color="auto" w:fill="auto"/>
            <w:vAlign w:val="center"/>
            <w:hideMark/>
          </w:tcPr>
          <w:p w:rsidR="00E915EA" w:rsidRPr="0005503F" w:rsidRDefault="00E915EA" w:rsidP="00C46E06">
            <w:pPr>
              <w:pStyle w:val="TableText1"/>
              <w:spacing w:before="0" w:after="0"/>
              <w:jc w:val="center"/>
            </w:pPr>
            <w:r w:rsidRPr="0005503F">
              <w:t>42.0 (18.0, 66.0)</w:t>
            </w:r>
          </w:p>
        </w:tc>
        <w:tc>
          <w:tcPr>
            <w:tcW w:w="851" w:type="pct"/>
            <w:shd w:val="clear" w:color="auto" w:fill="auto"/>
            <w:vAlign w:val="center"/>
            <w:hideMark/>
          </w:tcPr>
          <w:p w:rsidR="00E915EA" w:rsidRPr="0005503F" w:rsidRDefault="00E915EA" w:rsidP="00C46E06">
            <w:pPr>
              <w:pStyle w:val="TableText1"/>
              <w:spacing w:before="0" w:after="0"/>
              <w:jc w:val="center"/>
            </w:pPr>
            <w:r w:rsidRPr="0005503F">
              <w:t>3</w:t>
            </w:r>
            <w:r>
              <w:t>9.1 (12.5, 65.7</w:t>
            </w:r>
            <w:r w:rsidRPr="0005503F">
              <w:t>)</w:t>
            </w:r>
          </w:p>
        </w:tc>
      </w:tr>
      <w:tr w:rsidR="00E915EA" w:rsidRPr="00A85519" w:rsidTr="00A91C3A">
        <w:trPr>
          <w:trHeight w:val="50"/>
        </w:trPr>
        <w:tc>
          <w:tcPr>
            <w:tcW w:w="3296" w:type="pct"/>
            <w:gridSpan w:val="3"/>
            <w:shd w:val="clear" w:color="auto" w:fill="auto"/>
          </w:tcPr>
          <w:p w:rsidR="00E915EA" w:rsidRPr="008F1FAD" w:rsidRDefault="00E915EA" w:rsidP="00C46E06">
            <w:pPr>
              <w:pStyle w:val="TableText1"/>
              <w:spacing w:before="0" w:after="0"/>
            </w:pPr>
            <w:r>
              <w:t>vs.</w:t>
            </w:r>
            <w:r w:rsidRPr="008F1FAD">
              <w:t xml:space="preserve"> PBO + 52-week prednisone taper (key secondary outcome) </w:t>
            </w:r>
          </w:p>
        </w:tc>
        <w:tc>
          <w:tcPr>
            <w:tcW w:w="853" w:type="pct"/>
            <w:shd w:val="clear" w:color="auto" w:fill="auto"/>
            <w:vAlign w:val="center"/>
          </w:tcPr>
          <w:p w:rsidR="00E915EA" w:rsidRPr="0005503F" w:rsidRDefault="00E915EA" w:rsidP="00C46E06">
            <w:pPr>
              <w:pStyle w:val="TableText1"/>
              <w:spacing w:before="0" w:after="0"/>
              <w:jc w:val="center"/>
            </w:pPr>
            <w:r>
              <w:t>38.4 (17.9, 58.8</w:t>
            </w:r>
            <w:r w:rsidRPr="00617922">
              <w:t>)</w:t>
            </w:r>
          </w:p>
        </w:tc>
        <w:tc>
          <w:tcPr>
            <w:tcW w:w="851" w:type="pct"/>
            <w:shd w:val="clear" w:color="auto" w:fill="auto"/>
            <w:vAlign w:val="center"/>
          </w:tcPr>
          <w:p w:rsidR="00E915EA" w:rsidRPr="0005503F" w:rsidRDefault="00E915EA" w:rsidP="00C46E06">
            <w:pPr>
              <w:pStyle w:val="TableText1"/>
              <w:spacing w:before="0" w:after="0"/>
              <w:jc w:val="center"/>
            </w:pPr>
            <w:r w:rsidRPr="00617922">
              <w:t>35.4 (10.4, 60.4)</w:t>
            </w:r>
          </w:p>
        </w:tc>
      </w:tr>
    </w:tbl>
    <w:p w:rsidR="00E915EA" w:rsidRPr="008329D7" w:rsidRDefault="00E915EA" w:rsidP="00C46E06">
      <w:pPr>
        <w:pStyle w:val="TableFooter"/>
        <w:widowControl/>
        <w:rPr>
          <w:color w:val="000000" w:themeColor="text1"/>
        </w:rPr>
      </w:pPr>
      <w:r w:rsidRPr="008329D7">
        <w:rPr>
          <w:color w:val="000000" w:themeColor="text1"/>
        </w:rPr>
        <w:t xml:space="preserve">Source: </w:t>
      </w:r>
      <w:r>
        <w:rPr>
          <w:color w:val="000000" w:themeColor="text1"/>
        </w:rPr>
        <w:t>Table 2.19, p.61 of the submission.</w:t>
      </w:r>
    </w:p>
    <w:p w:rsidR="00E915EA" w:rsidRPr="000A734B" w:rsidRDefault="00E915EA" w:rsidP="000A734B">
      <w:pPr>
        <w:pStyle w:val="TableFooter"/>
        <w:widowControl/>
        <w:spacing w:after="240"/>
        <w:rPr>
          <w:rFonts w:eastAsia="Calibri"/>
          <w:color w:val="000000" w:themeColor="text1"/>
        </w:rPr>
      </w:pPr>
      <w:r>
        <w:rPr>
          <w:rFonts w:eastAsia="Calibri"/>
          <w:color w:val="000000" w:themeColor="text1"/>
        </w:rPr>
        <w:t xml:space="preserve">Abbreviations: </w:t>
      </w:r>
      <w:r w:rsidR="00514DC8">
        <w:rPr>
          <w:rFonts w:eastAsia="Calibri"/>
          <w:color w:val="000000" w:themeColor="text1"/>
        </w:rPr>
        <w:t xml:space="preserve">CI, confidence interval; PBO, placebo; TCZ, </w:t>
      </w:r>
      <w:proofErr w:type="spellStart"/>
      <w:r w:rsidR="00514DC8">
        <w:rPr>
          <w:rFonts w:eastAsia="Calibri"/>
          <w:color w:val="000000" w:themeColor="text1"/>
        </w:rPr>
        <w:t>tocilizumab</w:t>
      </w:r>
      <w:proofErr w:type="spellEnd"/>
      <w:r w:rsidR="00514DC8">
        <w:rPr>
          <w:rFonts w:eastAsia="Calibri"/>
          <w:color w:val="000000" w:themeColor="text1"/>
        </w:rPr>
        <w:t>.</w:t>
      </w:r>
    </w:p>
    <w:p w:rsidR="00E915EA" w:rsidRDefault="00E915EA" w:rsidP="009722D0">
      <w:pPr>
        <w:pStyle w:val="ListParagraph"/>
        <w:numPr>
          <w:ilvl w:val="1"/>
          <w:numId w:val="1"/>
        </w:numPr>
        <w:spacing w:after="120"/>
        <w:ind w:left="720" w:hanging="720"/>
        <w:jc w:val="both"/>
        <w:rPr>
          <w:color w:val="000000" w:themeColor="text1"/>
        </w:rPr>
      </w:pPr>
      <w:r w:rsidRPr="00E915EA">
        <w:rPr>
          <w:color w:val="000000" w:themeColor="text1"/>
        </w:rPr>
        <w:t xml:space="preserve">Treatment with </w:t>
      </w:r>
      <w:proofErr w:type="spellStart"/>
      <w:r w:rsidRPr="00E915EA">
        <w:rPr>
          <w:color w:val="000000" w:themeColor="text1"/>
        </w:rPr>
        <w:t>tocilizumab</w:t>
      </w:r>
      <w:proofErr w:type="spellEnd"/>
      <w:r w:rsidRPr="00E915EA">
        <w:rPr>
          <w:color w:val="000000" w:themeColor="text1"/>
        </w:rPr>
        <w:t xml:space="preserve"> once weekly in conjunction with a 26-week prednisone taper was associated with a statistically significant </w:t>
      </w:r>
      <w:r w:rsidR="00946321">
        <w:rPr>
          <w:color w:val="000000" w:themeColor="text1"/>
        </w:rPr>
        <w:t xml:space="preserve">increase </w:t>
      </w:r>
      <w:r w:rsidRPr="00E915EA">
        <w:rPr>
          <w:color w:val="000000" w:themeColor="text1"/>
        </w:rPr>
        <w:t xml:space="preserve">in response rates compared to placebo plus </w:t>
      </w:r>
      <w:r w:rsidR="00676E4C">
        <w:rPr>
          <w:color w:val="000000" w:themeColor="text1"/>
        </w:rPr>
        <w:t xml:space="preserve">a </w:t>
      </w:r>
      <w:r w:rsidR="00EF75F9">
        <w:rPr>
          <w:color w:val="000000" w:themeColor="text1"/>
        </w:rPr>
        <w:t>26-week prednisone taper</w:t>
      </w:r>
      <w:r w:rsidR="00946321">
        <w:rPr>
          <w:color w:val="000000" w:themeColor="text1"/>
        </w:rPr>
        <w:t>, or</w:t>
      </w:r>
      <w:r w:rsidR="00EF75F9">
        <w:rPr>
          <w:color w:val="000000" w:themeColor="text1"/>
        </w:rPr>
        <w:t xml:space="preserve"> </w:t>
      </w:r>
      <w:r w:rsidRPr="00E915EA">
        <w:rPr>
          <w:color w:val="000000" w:themeColor="text1"/>
        </w:rPr>
        <w:t>placeb</w:t>
      </w:r>
      <w:r w:rsidR="00EF75F9">
        <w:rPr>
          <w:color w:val="000000" w:themeColor="text1"/>
        </w:rPr>
        <w:t>o plus 52-week prednisone taper.</w:t>
      </w:r>
      <w:r w:rsidRPr="00E915EA">
        <w:rPr>
          <w:color w:val="000000" w:themeColor="text1"/>
        </w:rPr>
        <w:t xml:space="preserve"> </w:t>
      </w:r>
      <w:r w:rsidR="00946321" w:rsidRPr="001E43CB">
        <w:rPr>
          <w:color w:val="000000" w:themeColor="text1"/>
        </w:rPr>
        <w:t xml:space="preserve">The ESC </w:t>
      </w:r>
      <w:r w:rsidR="001251D7" w:rsidRPr="00A24733">
        <w:rPr>
          <w:color w:val="000000" w:themeColor="text1"/>
        </w:rPr>
        <w:t>and the PBAC</w:t>
      </w:r>
      <w:r w:rsidR="001251D7">
        <w:rPr>
          <w:i/>
          <w:color w:val="000000" w:themeColor="text1"/>
        </w:rPr>
        <w:t xml:space="preserve"> </w:t>
      </w:r>
      <w:r w:rsidR="00946321" w:rsidRPr="001E43CB">
        <w:rPr>
          <w:color w:val="000000" w:themeColor="text1"/>
        </w:rPr>
        <w:t>noted that t</w:t>
      </w:r>
      <w:r w:rsidRPr="001E43CB">
        <w:rPr>
          <w:color w:val="000000" w:themeColor="text1"/>
        </w:rPr>
        <w:t>reatment</w:t>
      </w:r>
      <w:r w:rsidRPr="00E915EA">
        <w:rPr>
          <w:color w:val="000000" w:themeColor="text1"/>
        </w:rPr>
        <w:t xml:space="preserve"> with fortnightly </w:t>
      </w:r>
      <w:proofErr w:type="spellStart"/>
      <w:r w:rsidRPr="00E915EA">
        <w:rPr>
          <w:color w:val="000000" w:themeColor="text1"/>
        </w:rPr>
        <w:t>tocilizumab</w:t>
      </w:r>
      <w:proofErr w:type="spellEnd"/>
      <w:r w:rsidRPr="00E915EA">
        <w:rPr>
          <w:color w:val="000000" w:themeColor="text1"/>
        </w:rPr>
        <w:t xml:space="preserve"> was also associated with </w:t>
      </w:r>
      <w:r w:rsidR="00946321">
        <w:rPr>
          <w:color w:val="000000" w:themeColor="text1"/>
        </w:rPr>
        <w:t xml:space="preserve">a </w:t>
      </w:r>
      <w:r w:rsidRPr="00E915EA">
        <w:rPr>
          <w:color w:val="000000" w:themeColor="text1"/>
        </w:rPr>
        <w:t xml:space="preserve">statistically significant </w:t>
      </w:r>
      <w:r w:rsidR="00946321">
        <w:rPr>
          <w:color w:val="000000" w:themeColor="text1"/>
        </w:rPr>
        <w:t>increase</w:t>
      </w:r>
      <w:r w:rsidR="00946321" w:rsidRPr="00E915EA">
        <w:rPr>
          <w:color w:val="000000" w:themeColor="text1"/>
        </w:rPr>
        <w:t xml:space="preserve"> </w:t>
      </w:r>
      <w:r w:rsidRPr="00E915EA">
        <w:rPr>
          <w:color w:val="000000" w:themeColor="text1"/>
        </w:rPr>
        <w:t xml:space="preserve">compared to placebo in combination with 26-week </w:t>
      </w:r>
      <w:r w:rsidR="00946321">
        <w:rPr>
          <w:color w:val="000000" w:themeColor="text1"/>
        </w:rPr>
        <w:t>or</w:t>
      </w:r>
      <w:r w:rsidR="00946321" w:rsidRPr="00E915EA">
        <w:rPr>
          <w:color w:val="000000" w:themeColor="text1"/>
        </w:rPr>
        <w:t xml:space="preserve"> </w:t>
      </w:r>
      <w:r w:rsidRPr="00E915EA">
        <w:rPr>
          <w:color w:val="000000" w:themeColor="text1"/>
        </w:rPr>
        <w:t xml:space="preserve">52-week prednisone tapering regimens. </w:t>
      </w:r>
      <w:r w:rsidRPr="0068463E">
        <w:rPr>
          <w:color w:val="000000" w:themeColor="text1"/>
        </w:rPr>
        <w:t xml:space="preserve">However, it is unclear whether the direct biologic effects of </w:t>
      </w:r>
      <w:proofErr w:type="spellStart"/>
      <w:r w:rsidRPr="0068463E">
        <w:rPr>
          <w:color w:val="000000" w:themeColor="text1"/>
        </w:rPr>
        <w:t>tocilizumab</w:t>
      </w:r>
      <w:proofErr w:type="spellEnd"/>
      <w:r w:rsidRPr="0068463E">
        <w:rPr>
          <w:color w:val="000000" w:themeColor="text1"/>
        </w:rPr>
        <w:t xml:space="preserve"> on CRP and ESR levels may have led to an overestimation of the response to treatment with </w:t>
      </w:r>
      <w:proofErr w:type="spellStart"/>
      <w:r w:rsidRPr="0068463E">
        <w:rPr>
          <w:color w:val="000000" w:themeColor="text1"/>
        </w:rPr>
        <w:t>tocilizumab</w:t>
      </w:r>
      <w:proofErr w:type="spellEnd"/>
      <w:r w:rsidRPr="0068463E">
        <w:rPr>
          <w:color w:val="000000" w:themeColor="text1"/>
        </w:rPr>
        <w:t xml:space="preserve">, given that CRP and ESR </w:t>
      </w:r>
      <w:r w:rsidR="001D588F" w:rsidRPr="0068463E">
        <w:rPr>
          <w:color w:val="000000" w:themeColor="text1"/>
        </w:rPr>
        <w:t>were</w:t>
      </w:r>
      <w:r w:rsidRPr="0068463E">
        <w:rPr>
          <w:color w:val="000000" w:themeColor="text1"/>
        </w:rPr>
        <w:t xml:space="preserve"> included as part of the disease response criteria. </w:t>
      </w:r>
    </w:p>
    <w:p w:rsidR="00B06819" w:rsidRPr="0068463E" w:rsidRDefault="00B06819" w:rsidP="009722D0">
      <w:pPr>
        <w:pStyle w:val="ListParagraph"/>
        <w:numPr>
          <w:ilvl w:val="1"/>
          <w:numId w:val="1"/>
        </w:numPr>
        <w:spacing w:after="120"/>
        <w:ind w:left="720" w:hanging="720"/>
        <w:jc w:val="both"/>
        <w:rPr>
          <w:color w:val="000000" w:themeColor="text1"/>
        </w:rPr>
      </w:pPr>
      <w:r>
        <w:rPr>
          <w:color w:val="000000" w:themeColor="text1"/>
        </w:rPr>
        <w:t>The PBAC noted that 17.6% of patients</w:t>
      </w:r>
      <w:r w:rsidR="00F8445E">
        <w:rPr>
          <w:color w:val="000000" w:themeColor="text1"/>
        </w:rPr>
        <w:t xml:space="preserve"> experienced remission </w:t>
      </w:r>
      <w:r w:rsidR="00916B34">
        <w:rPr>
          <w:color w:val="000000" w:themeColor="text1"/>
        </w:rPr>
        <w:t>with</w:t>
      </w:r>
      <w:r w:rsidR="00F8445E">
        <w:rPr>
          <w:color w:val="000000" w:themeColor="text1"/>
        </w:rPr>
        <w:t xml:space="preserve"> </w:t>
      </w:r>
      <w:r w:rsidR="00F8445E">
        <w:rPr>
          <w:rFonts w:cs="Arial"/>
          <w:bCs/>
          <w:snapToGrid w:val="0"/>
          <w:lang w:val="en-GB"/>
        </w:rPr>
        <w:t xml:space="preserve">a 52 week corticosteroid </w:t>
      </w:r>
      <w:r w:rsidR="00A24733">
        <w:rPr>
          <w:rFonts w:cs="Arial"/>
          <w:bCs/>
          <w:snapToGrid w:val="0"/>
          <w:lang w:val="en-GB"/>
        </w:rPr>
        <w:t>taper</w:t>
      </w:r>
      <w:r w:rsidR="00F8445E">
        <w:rPr>
          <w:rFonts w:cs="Arial"/>
          <w:bCs/>
          <w:snapToGrid w:val="0"/>
          <w:lang w:val="en-GB"/>
        </w:rPr>
        <w:t xml:space="preserve"> without the addition of </w:t>
      </w:r>
      <w:proofErr w:type="spellStart"/>
      <w:r w:rsidR="00F8445E">
        <w:rPr>
          <w:rFonts w:cs="Arial"/>
          <w:bCs/>
          <w:snapToGrid w:val="0"/>
          <w:lang w:val="en-GB"/>
        </w:rPr>
        <w:t>tocilizumab</w:t>
      </w:r>
      <w:proofErr w:type="spellEnd"/>
      <w:r w:rsidR="00F8445E">
        <w:rPr>
          <w:rFonts w:cs="Arial"/>
          <w:bCs/>
          <w:snapToGrid w:val="0"/>
          <w:lang w:val="en-GB"/>
        </w:rPr>
        <w:t>.</w:t>
      </w:r>
      <w:r w:rsidR="006C1FB2">
        <w:rPr>
          <w:rFonts w:cs="Arial"/>
          <w:bCs/>
          <w:snapToGrid w:val="0"/>
          <w:lang w:val="en-GB"/>
        </w:rPr>
        <w:t xml:space="preserve"> The PBAC also noted that 38.4% </w:t>
      </w:r>
      <w:r w:rsidR="00A24733">
        <w:rPr>
          <w:rFonts w:cs="Arial"/>
          <w:bCs/>
          <w:snapToGrid w:val="0"/>
          <w:lang w:val="en-GB"/>
        </w:rPr>
        <w:t xml:space="preserve">(95% CI: 17.9%, 58.8%) </w:t>
      </w:r>
      <w:r w:rsidR="006C1FB2">
        <w:rPr>
          <w:rFonts w:cs="Arial"/>
          <w:bCs/>
          <w:snapToGrid w:val="0"/>
          <w:lang w:val="en-GB"/>
        </w:rPr>
        <w:t>more patients respond</w:t>
      </w:r>
      <w:r w:rsidR="00A24733">
        <w:rPr>
          <w:rFonts w:cs="Arial"/>
          <w:bCs/>
          <w:snapToGrid w:val="0"/>
          <w:lang w:val="en-GB"/>
        </w:rPr>
        <w:t>ed</w:t>
      </w:r>
      <w:r w:rsidR="006C1FB2">
        <w:rPr>
          <w:rFonts w:cs="Arial"/>
          <w:bCs/>
          <w:snapToGrid w:val="0"/>
          <w:lang w:val="en-GB"/>
        </w:rPr>
        <w:t xml:space="preserve"> with </w:t>
      </w:r>
      <w:proofErr w:type="spellStart"/>
      <w:r w:rsidR="006C1FB2">
        <w:rPr>
          <w:rFonts w:cs="Arial"/>
          <w:bCs/>
          <w:snapToGrid w:val="0"/>
          <w:lang w:val="en-GB"/>
        </w:rPr>
        <w:t>tocilizumab</w:t>
      </w:r>
      <w:proofErr w:type="spellEnd"/>
      <w:r w:rsidR="006C1FB2">
        <w:rPr>
          <w:rFonts w:cs="Arial"/>
          <w:bCs/>
          <w:snapToGrid w:val="0"/>
          <w:lang w:val="en-GB"/>
        </w:rPr>
        <w:t xml:space="preserve"> </w:t>
      </w:r>
      <w:r w:rsidR="003F22A3">
        <w:rPr>
          <w:rFonts w:cs="Arial"/>
          <w:bCs/>
          <w:snapToGrid w:val="0"/>
          <w:lang w:val="en-GB"/>
        </w:rPr>
        <w:t xml:space="preserve">weekly </w:t>
      </w:r>
      <w:r w:rsidR="006C1FB2">
        <w:rPr>
          <w:rFonts w:cs="Arial"/>
          <w:bCs/>
          <w:snapToGrid w:val="0"/>
          <w:lang w:val="en-GB"/>
        </w:rPr>
        <w:t xml:space="preserve">compared to </w:t>
      </w:r>
      <w:r w:rsidR="00A24733">
        <w:rPr>
          <w:rFonts w:cs="Arial"/>
          <w:bCs/>
          <w:snapToGrid w:val="0"/>
          <w:lang w:val="en-GB"/>
        </w:rPr>
        <w:t xml:space="preserve">a 52 week </w:t>
      </w:r>
      <w:r w:rsidR="006C1FB2">
        <w:rPr>
          <w:rFonts w:cs="Arial"/>
          <w:bCs/>
          <w:snapToGrid w:val="0"/>
          <w:lang w:val="en-GB"/>
        </w:rPr>
        <w:t>corticosteroid</w:t>
      </w:r>
      <w:r w:rsidR="00A24733">
        <w:rPr>
          <w:rFonts w:cs="Arial"/>
          <w:bCs/>
          <w:snapToGrid w:val="0"/>
          <w:lang w:val="en-GB"/>
        </w:rPr>
        <w:t xml:space="preserve"> taper</w:t>
      </w:r>
      <w:r w:rsidR="006C1FB2">
        <w:rPr>
          <w:rFonts w:cs="Arial"/>
          <w:bCs/>
          <w:snapToGrid w:val="0"/>
          <w:lang w:val="en-GB"/>
        </w:rPr>
        <w:t>.</w:t>
      </w:r>
    </w:p>
    <w:p w:rsidR="00865625" w:rsidRPr="00865625" w:rsidRDefault="000C3FBF" w:rsidP="009722D0">
      <w:pPr>
        <w:pStyle w:val="ListParagraph"/>
        <w:numPr>
          <w:ilvl w:val="1"/>
          <w:numId w:val="1"/>
        </w:numPr>
        <w:spacing w:after="120"/>
        <w:ind w:left="720" w:hanging="720"/>
        <w:jc w:val="both"/>
        <w:rPr>
          <w:color w:val="000000" w:themeColor="text1"/>
        </w:rPr>
      </w:pPr>
      <w:r>
        <w:t>Table 7</w:t>
      </w:r>
      <w:r w:rsidR="00865625">
        <w:t xml:space="preserve"> presents the results for the time to first GCA disease flare at Week 52. </w:t>
      </w:r>
    </w:p>
    <w:p w:rsidR="00865625" w:rsidRPr="008329D7" w:rsidRDefault="000C3FBF" w:rsidP="00C46E06">
      <w:pPr>
        <w:pStyle w:val="TableHeading0"/>
        <w:jc w:val="both"/>
        <w:rPr>
          <w:color w:val="000000" w:themeColor="text1"/>
        </w:rPr>
      </w:pPr>
      <w:r>
        <w:rPr>
          <w:color w:val="000000" w:themeColor="text1"/>
        </w:rPr>
        <w:lastRenderedPageBreak/>
        <w:t>Table 7</w:t>
      </w:r>
      <w:r w:rsidR="00865625" w:rsidRPr="008329D7">
        <w:rPr>
          <w:color w:val="000000" w:themeColor="text1"/>
        </w:rPr>
        <w:t xml:space="preserve">: </w:t>
      </w:r>
      <w:r w:rsidR="00865625">
        <w:rPr>
          <w:color w:val="000000" w:themeColor="text1"/>
        </w:rPr>
        <w:t>Time to first giant cell arteritis disease flare at Week 52</w:t>
      </w:r>
      <w:r w:rsidR="00865625" w:rsidRPr="008329D7">
        <w:rPr>
          <w:color w:val="000000" w:themeColor="text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1539"/>
        <w:gridCol w:w="1540"/>
        <w:gridCol w:w="1557"/>
        <w:gridCol w:w="1553"/>
      </w:tblGrid>
      <w:tr w:rsidR="00865625" w:rsidRPr="003E7AE1" w:rsidTr="00071666">
        <w:tc>
          <w:tcPr>
            <w:tcW w:w="2832" w:type="dxa"/>
            <w:shd w:val="clear" w:color="auto" w:fill="auto"/>
          </w:tcPr>
          <w:p w:rsidR="00865625" w:rsidRPr="003E7AE1" w:rsidRDefault="00865625" w:rsidP="00C46E06">
            <w:pPr>
              <w:pStyle w:val="TableHeadingRow"/>
              <w:spacing w:before="0" w:after="0"/>
              <w:rPr>
                <w:rFonts w:ascii="Arial Narrow" w:hAnsi="Arial Narrow"/>
              </w:rPr>
            </w:pPr>
          </w:p>
        </w:tc>
        <w:tc>
          <w:tcPr>
            <w:tcW w:w="1539" w:type="dxa"/>
            <w:shd w:val="clear" w:color="auto" w:fill="auto"/>
            <w:vAlign w:val="center"/>
          </w:tcPr>
          <w:p w:rsidR="00865625" w:rsidRDefault="00865625" w:rsidP="00C46E06">
            <w:pPr>
              <w:pStyle w:val="TableHeadingRow"/>
              <w:spacing w:before="0" w:after="0"/>
              <w:jc w:val="center"/>
              <w:rPr>
                <w:rFonts w:ascii="Arial Narrow" w:hAnsi="Arial Narrow"/>
              </w:rPr>
            </w:pPr>
            <w:r>
              <w:rPr>
                <w:rFonts w:ascii="Arial Narrow" w:hAnsi="Arial Narrow"/>
              </w:rPr>
              <w:t>PBO + 26-week taper</w:t>
            </w:r>
            <w:r w:rsidRPr="0005503F">
              <w:rPr>
                <w:rFonts w:ascii="Arial Narrow" w:hAnsi="Arial Narrow"/>
              </w:rPr>
              <w:t xml:space="preserve"> </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=50</w:t>
            </w:r>
            <w:r>
              <w:rPr>
                <w:rFonts w:ascii="Arial Narrow" w:hAnsi="Arial Narrow"/>
              </w:rPr>
              <w:t>)</w:t>
            </w:r>
          </w:p>
        </w:tc>
        <w:tc>
          <w:tcPr>
            <w:tcW w:w="1540" w:type="dxa"/>
            <w:shd w:val="clear" w:color="auto" w:fill="auto"/>
            <w:vAlign w:val="center"/>
          </w:tcPr>
          <w:p w:rsidR="00865625" w:rsidRDefault="00865625" w:rsidP="00C46E06">
            <w:pPr>
              <w:pStyle w:val="TableHeadingRow"/>
              <w:spacing w:before="0" w:after="0"/>
              <w:jc w:val="center"/>
              <w:rPr>
                <w:rFonts w:ascii="Arial Narrow" w:hAnsi="Arial Narrow"/>
              </w:rPr>
            </w:pPr>
            <w:r>
              <w:rPr>
                <w:rFonts w:ascii="Arial Narrow" w:hAnsi="Arial Narrow"/>
              </w:rPr>
              <w:t>PBO + 52-week taper</w:t>
            </w:r>
            <w:r w:rsidRPr="0005503F">
              <w:rPr>
                <w:rFonts w:ascii="Arial Narrow" w:hAnsi="Arial Narrow"/>
              </w:rPr>
              <w:t xml:space="preserve"> </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=5</w:t>
            </w:r>
            <w:r w:rsidR="002E37F0">
              <w:rPr>
                <w:rFonts w:ascii="Arial Narrow" w:hAnsi="Arial Narrow"/>
              </w:rPr>
              <w:t>1</w:t>
            </w:r>
            <w:r>
              <w:rPr>
                <w:rFonts w:ascii="Arial Narrow" w:hAnsi="Arial Narrow"/>
              </w:rPr>
              <w:t>)</w:t>
            </w:r>
          </w:p>
        </w:tc>
        <w:tc>
          <w:tcPr>
            <w:tcW w:w="1557" w:type="dxa"/>
            <w:shd w:val="clear" w:color="auto" w:fill="auto"/>
            <w:vAlign w:val="center"/>
          </w:tcPr>
          <w:p w:rsidR="00865625" w:rsidRPr="0005503F" w:rsidRDefault="00865625" w:rsidP="00C46E06">
            <w:pPr>
              <w:pStyle w:val="TableHeadingRow"/>
              <w:spacing w:before="0" w:after="0"/>
              <w:jc w:val="center"/>
              <w:rPr>
                <w:rFonts w:ascii="Arial Narrow" w:hAnsi="Arial Narrow"/>
              </w:rPr>
            </w:pPr>
            <w:r w:rsidRPr="0005503F">
              <w:rPr>
                <w:rFonts w:ascii="Arial Narrow" w:hAnsi="Arial Narrow"/>
              </w:rPr>
              <w:t xml:space="preserve">TCZ </w:t>
            </w:r>
            <w:r>
              <w:rPr>
                <w:rFonts w:ascii="Arial Narrow" w:hAnsi="Arial Narrow"/>
              </w:rPr>
              <w:t>weekly</w:t>
            </w:r>
            <w:r w:rsidRPr="0005503F">
              <w:rPr>
                <w:rFonts w:ascii="Arial Narrow" w:hAnsi="Arial Narrow"/>
              </w:rPr>
              <w:t xml:space="preserve"> + 26</w:t>
            </w:r>
            <w:r>
              <w:rPr>
                <w:rFonts w:ascii="Arial Narrow" w:hAnsi="Arial Narrow"/>
              </w:rPr>
              <w:t>-</w:t>
            </w:r>
            <w:r w:rsidRPr="0005503F">
              <w:rPr>
                <w:rFonts w:ascii="Arial Narrow" w:hAnsi="Arial Narrow"/>
              </w:rPr>
              <w:t>w</w:t>
            </w:r>
            <w:r>
              <w:rPr>
                <w:rFonts w:ascii="Arial Narrow" w:hAnsi="Arial Narrow"/>
              </w:rPr>
              <w:t>ee</w:t>
            </w:r>
            <w:r w:rsidRPr="0005503F">
              <w:rPr>
                <w:rFonts w:ascii="Arial Narrow" w:hAnsi="Arial Narrow"/>
              </w:rPr>
              <w:t>k</w:t>
            </w:r>
            <w:r>
              <w:rPr>
                <w:rFonts w:ascii="Arial Narrow" w:hAnsi="Arial Narrow"/>
              </w:rPr>
              <w:t xml:space="preserve"> taper</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100</w:t>
            </w:r>
            <w:r>
              <w:rPr>
                <w:rFonts w:ascii="Arial Narrow" w:hAnsi="Arial Narrow"/>
              </w:rPr>
              <w:t>)</w:t>
            </w:r>
          </w:p>
        </w:tc>
        <w:tc>
          <w:tcPr>
            <w:tcW w:w="1553" w:type="dxa"/>
            <w:shd w:val="clear" w:color="auto" w:fill="auto"/>
            <w:vAlign w:val="center"/>
          </w:tcPr>
          <w:p w:rsidR="00865625" w:rsidRPr="0005503F" w:rsidRDefault="00865625" w:rsidP="00C46E06">
            <w:pPr>
              <w:pStyle w:val="TableHeadingRow"/>
              <w:spacing w:before="0" w:after="0"/>
              <w:jc w:val="center"/>
              <w:rPr>
                <w:rFonts w:ascii="Arial Narrow" w:hAnsi="Arial Narrow"/>
              </w:rPr>
            </w:pPr>
            <w:r w:rsidRPr="0005503F">
              <w:rPr>
                <w:rFonts w:ascii="Arial Narrow" w:hAnsi="Arial Narrow"/>
              </w:rPr>
              <w:t xml:space="preserve">TCZ </w:t>
            </w:r>
            <w:r>
              <w:rPr>
                <w:rFonts w:ascii="Arial Narrow" w:hAnsi="Arial Narrow"/>
              </w:rPr>
              <w:t>fortnightly</w:t>
            </w:r>
            <w:r w:rsidRPr="0005503F">
              <w:rPr>
                <w:rFonts w:ascii="Arial Narrow" w:hAnsi="Arial Narrow"/>
              </w:rPr>
              <w:t xml:space="preserve"> + 26</w:t>
            </w:r>
            <w:r>
              <w:rPr>
                <w:rFonts w:ascii="Arial Narrow" w:hAnsi="Arial Narrow"/>
              </w:rPr>
              <w:t>-</w:t>
            </w:r>
            <w:r w:rsidRPr="0005503F">
              <w:rPr>
                <w:rFonts w:ascii="Arial Narrow" w:hAnsi="Arial Narrow"/>
              </w:rPr>
              <w:t>w</w:t>
            </w:r>
            <w:r>
              <w:rPr>
                <w:rFonts w:ascii="Arial Narrow" w:hAnsi="Arial Narrow"/>
              </w:rPr>
              <w:t>ee</w:t>
            </w:r>
            <w:r w:rsidRPr="0005503F">
              <w:rPr>
                <w:rFonts w:ascii="Arial Narrow" w:hAnsi="Arial Narrow"/>
              </w:rPr>
              <w:t>k</w:t>
            </w:r>
            <w:r>
              <w:rPr>
                <w:rFonts w:ascii="Arial Narrow" w:hAnsi="Arial Narrow"/>
              </w:rPr>
              <w:t xml:space="preserve"> taper</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49</w:t>
            </w:r>
            <w:r>
              <w:rPr>
                <w:rFonts w:ascii="Arial Narrow" w:hAnsi="Arial Narrow"/>
              </w:rPr>
              <w:t>)</w:t>
            </w:r>
          </w:p>
        </w:tc>
      </w:tr>
      <w:tr w:rsidR="00865625" w:rsidRPr="003E7AE1" w:rsidTr="00071666">
        <w:tc>
          <w:tcPr>
            <w:tcW w:w="2832" w:type="dxa"/>
            <w:shd w:val="clear" w:color="auto" w:fill="auto"/>
          </w:tcPr>
          <w:p w:rsidR="00865625" w:rsidRPr="003E7AE1" w:rsidRDefault="00865625" w:rsidP="00C46E06">
            <w:pPr>
              <w:pStyle w:val="TableText1"/>
              <w:spacing w:before="0" w:after="0"/>
            </w:pPr>
            <w:r w:rsidRPr="003E7AE1">
              <w:t>Patient with event</w:t>
            </w:r>
            <w:r>
              <w:t>, n</w:t>
            </w:r>
            <w:r w:rsidRPr="003E7AE1">
              <w:t xml:space="preserve"> (%)</w:t>
            </w:r>
          </w:p>
        </w:tc>
        <w:tc>
          <w:tcPr>
            <w:tcW w:w="1539" w:type="dxa"/>
            <w:shd w:val="clear" w:color="auto" w:fill="auto"/>
          </w:tcPr>
          <w:p w:rsidR="00865625" w:rsidRPr="003E7AE1" w:rsidRDefault="00865625" w:rsidP="00C46E06">
            <w:pPr>
              <w:pStyle w:val="TableText1"/>
              <w:spacing w:before="0" w:after="0"/>
              <w:jc w:val="center"/>
            </w:pPr>
            <w:r w:rsidRPr="003E7AE1">
              <w:t>34 (68)</w:t>
            </w:r>
          </w:p>
        </w:tc>
        <w:tc>
          <w:tcPr>
            <w:tcW w:w="1540" w:type="dxa"/>
            <w:shd w:val="clear" w:color="auto" w:fill="auto"/>
          </w:tcPr>
          <w:p w:rsidR="00865625" w:rsidRPr="003E7AE1" w:rsidRDefault="00865625" w:rsidP="00C46E06">
            <w:pPr>
              <w:pStyle w:val="TableText1"/>
              <w:spacing w:before="0" w:after="0"/>
              <w:jc w:val="center"/>
            </w:pPr>
            <w:r w:rsidRPr="003E7AE1">
              <w:t>25 (49)</w:t>
            </w:r>
          </w:p>
        </w:tc>
        <w:tc>
          <w:tcPr>
            <w:tcW w:w="1557" w:type="dxa"/>
            <w:shd w:val="clear" w:color="auto" w:fill="auto"/>
          </w:tcPr>
          <w:p w:rsidR="00865625" w:rsidRPr="003E7AE1" w:rsidRDefault="00865625" w:rsidP="00C46E06">
            <w:pPr>
              <w:pStyle w:val="TableText1"/>
              <w:spacing w:before="0" w:after="0"/>
              <w:jc w:val="center"/>
            </w:pPr>
            <w:r w:rsidRPr="003E7AE1">
              <w:t>23 (23)</w:t>
            </w:r>
          </w:p>
        </w:tc>
        <w:tc>
          <w:tcPr>
            <w:tcW w:w="1553" w:type="dxa"/>
            <w:shd w:val="clear" w:color="auto" w:fill="auto"/>
          </w:tcPr>
          <w:p w:rsidR="00865625" w:rsidRPr="003E7AE1" w:rsidRDefault="00865625" w:rsidP="00C46E06">
            <w:pPr>
              <w:pStyle w:val="TableText1"/>
              <w:spacing w:before="0" w:after="0"/>
              <w:jc w:val="center"/>
            </w:pPr>
            <w:r>
              <w:t>13 (27</w:t>
            </w:r>
            <w:r w:rsidRPr="003E7AE1">
              <w:t>)</w:t>
            </w:r>
          </w:p>
        </w:tc>
      </w:tr>
      <w:tr w:rsidR="00865625" w:rsidRPr="003E7AE1" w:rsidTr="00071666">
        <w:tc>
          <w:tcPr>
            <w:tcW w:w="2832" w:type="dxa"/>
            <w:shd w:val="clear" w:color="auto" w:fill="auto"/>
          </w:tcPr>
          <w:p w:rsidR="00865625" w:rsidRPr="003E7AE1" w:rsidRDefault="00865625" w:rsidP="00C46E06">
            <w:pPr>
              <w:pStyle w:val="TableText1"/>
              <w:spacing w:before="0" w:after="0"/>
            </w:pPr>
            <w:r w:rsidRPr="003E7AE1">
              <w:t xml:space="preserve">Median </w:t>
            </w:r>
            <w:r>
              <w:t xml:space="preserve">time-to-event, days </w:t>
            </w:r>
            <w:r w:rsidRPr="003E7AE1">
              <w:t xml:space="preserve">(range) </w:t>
            </w:r>
          </w:p>
        </w:tc>
        <w:tc>
          <w:tcPr>
            <w:tcW w:w="1539" w:type="dxa"/>
            <w:shd w:val="clear" w:color="auto" w:fill="auto"/>
          </w:tcPr>
          <w:p w:rsidR="00865625" w:rsidRPr="003E7AE1" w:rsidRDefault="00865625" w:rsidP="00C46E06">
            <w:pPr>
              <w:pStyle w:val="TableText1"/>
              <w:spacing w:before="0" w:after="0"/>
              <w:jc w:val="center"/>
            </w:pPr>
            <w:r>
              <w:t>165 (1-</w:t>
            </w:r>
            <w:r w:rsidRPr="003E7AE1">
              <w:t>365)</w:t>
            </w:r>
          </w:p>
        </w:tc>
        <w:tc>
          <w:tcPr>
            <w:tcW w:w="1540" w:type="dxa"/>
            <w:shd w:val="clear" w:color="auto" w:fill="auto"/>
          </w:tcPr>
          <w:p w:rsidR="00865625" w:rsidRPr="003E7AE1" w:rsidRDefault="00865625" w:rsidP="00C46E06">
            <w:pPr>
              <w:pStyle w:val="TableText1"/>
              <w:spacing w:before="0" w:after="0"/>
              <w:jc w:val="center"/>
            </w:pPr>
            <w:r>
              <w:t>295 (1-</w:t>
            </w:r>
            <w:r w:rsidRPr="003E7AE1">
              <w:t>362)</w:t>
            </w:r>
          </w:p>
        </w:tc>
        <w:tc>
          <w:tcPr>
            <w:tcW w:w="1557" w:type="dxa"/>
            <w:shd w:val="clear" w:color="auto" w:fill="auto"/>
          </w:tcPr>
          <w:p w:rsidR="00865625" w:rsidRPr="003E7AE1" w:rsidRDefault="00865625" w:rsidP="00C46E06">
            <w:pPr>
              <w:pStyle w:val="TableText1"/>
              <w:spacing w:before="0" w:after="0"/>
              <w:jc w:val="center"/>
            </w:pPr>
            <w:r>
              <w:t>NE (1-</w:t>
            </w:r>
            <w:r w:rsidRPr="003E7AE1">
              <w:t>367)</w:t>
            </w:r>
          </w:p>
        </w:tc>
        <w:tc>
          <w:tcPr>
            <w:tcW w:w="1553" w:type="dxa"/>
            <w:shd w:val="clear" w:color="auto" w:fill="auto"/>
          </w:tcPr>
          <w:p w:rsidR="00865625" w:rsidRPr="003E7AE1" w:rsidRDefault="00865625" w:rsidP="00C46E06">
            <w:pPr>
              <w:pStyle w:val="TableText1"/>
              <w:spacing w:before="0" w:after="0"/>
              <w:jc w:val="center"/>
            </w:pPr>
            <w:r>
              <w:t>NE (1-</w:t>
            </w:r>
            <w:r w:rsidRPr="003E7AE1">
              <w:t>364)</w:t>
            </w:r>
          </w:p>
        </w:tc>
      </w:tr>
      <w:tr w:rsidR="00865625" w:rsidRPr="003E7AE1" w:rsidTr="00071666">
        <w:tc>
          <w:tcPr>
            <w:tcW w:w="9021" w:type="dxa"/>
            <w:gridSpan w:val="5"/>
            <w:shd w:val="clear" w:color="auto" w:fill="auto"/>
          </w:tcPr>
          <w:p w:rsidR="00865625" w:rsidRPr="003E7AE1" w:rsidRDefault="00865625" w:rsidP="00C46E06">
            <w:pPr>
              <w:pStyle w:val="TableText1"/>
              <w:spacing w:before="0" w:after="0"/>
            </w:pPr>
            <w:r w:rsidRPr="00891602">
              <w:rPr>
                <w:b/>
                <w:lang w:val="it-IT"/>
              </w:rPr>
              <w:t>H</w:t>
            </w:r>
            <w:r>
              <w:rPr>
                <w:b/>
                <w:lang w:val="it-IT"/>
              </w:rPr>
              <w:t>azard ratio</w:t>
            </w:r>
            <w:r w:rsidRPr="00891602">
              <w:rPr>
                <w:b/>
                <w:lang w:val="it-IT"/>
              </w:rPr>
              <w:t xml:space="preserve"> (99% CI)</w:t>
            </w:r>
          </w:p>
        </w:tc>
      </w:tr>
      <w:tr w:rsidR="00865625" w:rsidRPr="003E7AE1" w:rsidTr="00071666">
        <w:tc>
          <w:tcPr>
            <w:tcW w:w="2832" w:type="dxa"/>
            <w:shd w:val="clear" w:color="auto" w:fill="auto"/>
          </w:tcPr>
          <w:p w:rsidR="00865625" w:rsidRPr="003E7AE1" w:rsidRDefault="00865625" w:rsidP="00C46E06">
            <w:pPr>
              <w:pStyle w:val="TableText1"/>
              <w:spacing w:before="0" w:after="0"/>
              <w:rPr>
                <w:lang w:val="it-IT"/>
              </w:rPr>
            </w:pPr>
            <w:r>
              <w:rPr>
                <w:lang w:val="it-IT"/>
              </w:rPr>
              <w:t>vs. PBO + 26-week taper</w:t>
            </w:r>
          </w:p>
        </w:tc>
        <w:tc>
          <w:tcPr>
            <w:tcW w:w="1539"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40"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57" w:type="dxa"/>
            <w:shd w:val="clear" w:color="auto" w:fill="auto"/>
          </w:tcPr>
          <w:p w:rsidR="00865625" w:rsidRPr="003E7AE1" w:rsidRDefault="00865625" w:rsidP="00C46E06">
            <w:pPr>
              <w:pStyle w:val="TableText1"/>
              <w:spacing w:before="0" w:after="0"/>
              <w:jc w:val="center"/>
            </w:pPr>
            <w:r w:rsidRPr="003E7AE1">
              <w:t>0.23 (0.11, 0.46)</w:t>
            </w:r>
          </w:p>
        </w:tc>
        <w:tc>
          <w:tcPr>
            <w:tcW w:w="1553" w:type="dxa"/>
            <w:shd w:val="clear" w:color="auto" w:fill="auto"/>
          </w:tcPr>
          <w:p w:rsidR="00865625" w:rsidRPr="003E7AE1" w:rsidRDefault="00865625" w:rsidP="00C46E06">
            <w:pPr>
              <w:pStyle w:val="TableText1"/>
              <w:spacing w:before="0" w:after="0"/>
              <w:jc w:val="center"/>
            </w:pPr>
            <w:r w:rsidRPr="003E7AE1">
              <w:t>0.28 (0.12, 0.66)</w:t>
            </w:r>
          </w:p>
        </w:tc>
      </w:tr>
      <w:tr w:rsidR="00865625" w:rsidRPr="003E7AE1" w:rsidTr="00071666">
        <w:tc>
          <w:tcPr>
            <w:tcW w:w="2832" w:type="dxa"/>
            <w:shd w:val="clear" w:color="auto" w:fill="auto"/>
          </w:tcPr>
          <w:p w:rsidR="00865625" w:rsidRPr="003E7AE1" w:rsidRDefault="00865625" w:rsidP="00C46E06">
            <w:pPr>
              <w:pStyle w:val="TableText1"/>
              <w:spacing w:before="0" w:after="0"/>
              <w:rPr>
                <w:lang w:val="it-IT"/>
              </w:rPr>
            </w:pPr>
            <w:r>
              <w:rPr>
                <w:lang w:val="it-IT"/>
              </w:rPr>
              <w:t>vs. PBO + 52-week taper</w:t>
            </w:r>
          </w:p>
        </w:tc>
        <w:tc>
          <w:tcPr>
            <w:tcW w:w="1539"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40"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57" w:type="dxa"/>
            <w:shd w:val="clear" w:color="auto" w:fill="auto"/>
          </w:tcPr>
          <w:p w:rsidR="00865625" w:rsidRPr="003E7AE1" w:rsidRDefault="00865625" w:rsidP="00C46E06">
            <w:pPr>
              <w:pStyle w:val="TableText1"/>
              <w:spacing w:before="0" w:after="0"/>
              <w:jc w:val="center"/>
            </w:pPr>
            <w:r w:rsidRPr="003E7AE1">
              <w:t>0.39 (0.18, 0.82)</w:t>
            </w:r>
          </w:p>
        </w:tc>
        <w:tc>
          <w:tcPr>
            <w:tcW w:w="1553" w:type="dxa"/>
            <w:shd w:val="clear" w:color="auto" w:fill="auto"/>
          </w:tcPr>
          <w:p w:rsidR="00865625" w:rsidRPr="003E7AE1" w:rsidRDefault="00865625" w:rsidP="00C46E06">
            <w:pPr>
              <w:pStyle w:val="TableText1"/>
              <w:spacing w:before="0" w:after="0"/>
              <w:jc w:val="center"/>
            </w:pPr>
            <w:r w:rsidRPr="003E7AE1">
              <w:t>0.48 (0.20, 1.16)</w:t>
            </w:r>
          </w:p>
        </w:tc>
      </w:tr>
    </w:tbl>
    <w:p w:rsidR="00865625" w:rsidRDefault="00865625" w:rsidP="00C46E06">
      <w:pPr>
        <w:pStyle w:val="TableFooter"/>
        <w:widowControl/>
        <w:rPr>
          <w:color w:val="000000" w:themeColor="text1"/>
        </w:rPr>
      </w:pPr>
      <w:r w:rsidRPr="008329D7">
        <w:rPr>
          <w:color w:val="000000" w:themeColor="text1"/>
        </w:rPr>
        <w:t xml:space="preserve">Source: </w:t>
      </w:r>
      <w:r>
        <w:rPr>
          <w:color w:val="000000" w:themeColor="text1"/>
        </w:rPr>
        <w:t>Table 2.21, p.62 of the submission.</w:t>
      </w:r>
    </w:p>
    <w:p w:rsidR="00865625" w:rsidRPr="00116CF7" w:rsidRDefault="00865625" w:rsidP="000A734B">
      <w:pPr>
        <w:pStyle w:val="TableFooter"/>
        <w:widowControl/>
        <w:spacing w:after="240"/>
        <w:rPr>
          <w:rFonts w:eastAsia="Calibri"/>
          <w:color w:val="000000" w:themeColor="text1"/>
        </w:rPr>
      </w:pPr>
      <w:r>
        <w:rPr>
          <w:rFonts w:eastAsia="Calibri"/>
          <w:color w:val="000000" w:themeColor="text1"/>
        </w:rPr>
        <w:t xml:space="preserve">Abbreviations: </w:t>
      </w:r>
      <w:r w:rsidR="00514DC8">
        <w:rPr>
          <w:rFonts w:eastAsia="Calibri"/>
          <w:color w:val="000000" w:themeColor="text1"/>
        </w:rPr>
        <w:t xml:space="preserve">CI, confidence interval; NE, not estimable; </w:t>
      </w:r>
      <w:r>
        <w:rPr>
          <w:rFonts w:eastAsia="Calibri"/>
          <w:color w:val="000000" w:themeColor="text1"/>
        </w:rPr>
        <w:t xml:space="preserve">PBO, placebo; TCZ, </w:t>
      </w:r>
      <w:proofErr w:type="spellStart"/>
      <w:r>
        <w:rPr>
          <w:rFonts w:eastAsia="Calibri"/>
          <w:color w:val="000000" w:themeColor="text1"/>
        </w:rPr>
        <w:t>tocilizumab</w:t>
      </w:r>
      <w:proofErr w:type="spellEnd"/>
      <w:r>
        <w:rPr>
          <w:rFonts w:eastAsia="Calibri"/>
          <w:color w:val="000000" w:themeColor="text1"/>
        </w:rPr>
        <w:t>.</w:t>
      </w:r>
    </w:p>
    <w:p w:rsidR="004F50AD" w:rsidRDefault="00B22A58" w:rsidP="009722D0">
      <w:pPr>
        <w:pStyle w:val="ListParagraph"/>
        <w:numPr>
          <w:ilvl w:val="1"/>
          <w:numId w:val="1"/>
        </w:numPr>
        <w:spacing w:after="120"/>
        <w:ind w:left="720" w:hanging="720"/>
        <w:jc w:val="both"/>
        <w:rPr>
          <w:color w:val="000000" w:themeColor="text1"/>
        </w:rPr>
      </w:pPr>
      <w:proofErr w:type="spellStart"/>
      <w:r w:rsidRPr="00B22A58">
        <w:t>Tocilizumab</w:t>
      </w:r>
      <w:proofErr w:type="spellEnd"/>
      <w:r w:rsidRPr="00B22A58">
        <w:t xml:space="preserve"> weekly plus </w:t>
      </w:r>
      <w:r w:rsidR="00676E4C">
        <w:t xml:space="preserve">a </w:t>
      </w:r>
      <w:r w:rsidRPr="00B22A58">
        <w:t xml:space="preserve">26-week prednisone taper was associated with </w:t>
      </w:r>
      <w:r w:rsidR="00916B34">
        <w:t xml:space="preserve">a </w:t>
      </w:r>
      <w:r w:rsidRPr="00B22A58">
        <w:t xml:space="preserve">61% reduction in risk of first flare compared with placebo plus a 52-week prednisone taper. </w:t>
      </w:r>
      <w:proofErr w:type="spellStart"/>
      <w:r w:rsidRPr="00B22A58">
        <w:t>Tocilizumab</w:t>
      </w:r>
      <w:proofErr w:type="spellEnd"/>
      <w:r w:rsidRPr="00B22A58">
        <w:t xml:space="preserve"> fortnightly plus </w:t>
      </w:r>
      <w:r w:rsidR="00676E4C">
        <w:t xml:space="preserve">a </w:t>
      </w:r>
      <w:r w:rsidRPr="00B22A58">
        <w:t>26-week prednisone taper was associated with a 72% reduction in risk of first flare compared with placebo plus a 26-week prednisone taper; however</w:t>
      </w:r>
      <w:r w:rsidR="009929A4">
        <w:t>,</w:t>
      </w:r>
      <w:r w:rsidRPr="00B22A58">
        <w:t xml:space="preserve"> the risk of first flare </w:t>
      </w:r>
      <w:r w:rsidR="003F22A3">
        <w:t xml:space="preserve">with </w:t>
      </w:r>
      <w:proofErr w:type="spellStart"/>
      <w:r w:rsidR="003F22A3">
        <w:t>tocilizumab</w:t>
      </w:r>
      <w:proofErr w:type="spellEnd"/>
      <w:r w:rsidR="003F22A3">
        <w:t xml:space="preserve"> fortnightly </w:t>
      </w:r>
      <w:r w:rsidRPr="00B22A58">
        <w:t xml:space="preserve">compared with placebo plus a 52-week prednisone taper was </w:t>
      </w:r>
      <w:r w:rsidR="003F22A3">
        <w:t>associated with a non</w:t>
      </w:r>
      <w:r w:rsidR="00330999">
        <w:t>-</w:t>
      </w:r>
      <w:r w:rsidR="003F22A3">
        <w:t>statistically significant 52% reduction in risk of first flare.</w:t>
      </w:r>
    </w:p>
    <w:p w:rsidR="004F50AD" w:rsidRDefault="004F50AD" w:rsidP="009722D0">
      <w:pPr>
        <w:pStyle w:val="ListParagraph"/>
        <w:numPr>
          <w:ilvl w:val="1"/>
          <w:numId w:val="1"/>
        </w:numPr>
        <w:spacing w:after="120"/>
        <w:ind w:left="720" w:hanging="720"/>
        <w:jc w:val="both"/>
        <w:rPr>
          <w:color w:val="000000" w:themeColor="text1"/>
        </w:rPr>
      </w:pPr>
      <w:r w:rsidRPr="002E06AA">
        <w:rPr>
          <w:color w:val="000000" w:themeColor="text1"/>
        </w:rPr>
        <w:t xml:space="preserve">At the time of the </w:t>
      </w:r>
      <w:proofErr w:type="spellStart"/>
      <w:r w:rsidRPr="002E06AA">
        <w:rPr>
          <w:color w:val="000000" w:themeColor="text1"/>
        </w:rPr>
        <w:t>GiACTA</w:t>
      </w:r>
      <w:proofErr w:type="spellEnd"/>
      <w:r w:rsidRPr="002E06AA">
        <w:rPr>
          <w:color w:val="000000" w:themeColor="text1"/>
        </w:rPr>
        <w:t xml:space="preserve"> interim analysis, the duration of follow-up in the open-label extension (Part 2) ranged from 48 to 84 weeks. Of the 45 patients who met the primary endpoint in Part 1 of the study, flares were observed in 18 patients: 1/5 (20%) in the placebo plus 26-week taper group, 1/5 (20%) in the placebo plus 52-week group, 8/24 (33%) in the </w:t>
      </w:r>
      <w:proofErr w:type="spellStart"/>
      <w:r w:rsidRPr="002E06AA">
        <w:rPr>
          <w:color w:val="000000" w:themeColor="text1"/>
        </w:rPr>
        <w:t>tocilizumab</w:t>
      </w:r>
      <w:proofErr w:type="spellEnd"/>
      <w:r w:rsidRPr="002E06AA">
        <w:rPr>
          <w:color w:val="000000" w:themeColor="text1"/>
        </w:rPr>
        <w:t xml:space="preserve"> weekly group, and 8/11 (73%) in the </w:t>
      </w:r>
      <w:proofErr w:type="spellStart"/>
      <w:r w:rsidRPr="002E06AA">
        <w:rPr>
          <w:color w:val="000000" w:themeColor="text1"/>
        </w:rPr>
        <w:t>tocilizumab</w:t>
      </w:r>
      <w:proofErr w:type="spellEnd"/>
      <w:r w:rsidRPr="002E06AA">
        <w:rPr>
          <w:color w:val="000000" w:themeColor="text1"/>
        </w:rPr>
        <w:t xml:space="preserve"> fortnightly group. The remaining 27 </w:t>
      </w:r>
      <w:r w:rsidR="004667A4">
        <w:rPr>
          <w:color w:val="000000" w:themeColor="text1"/>
        </w:rPr>
        <w:t xml:space="preserve">(60%) </w:t>
      </w:r>
      <w:r w:rsidRPr="002E06AA">
        <w:rPr>
          <w:color w:val="000000" w:themeColor="text1"/>
        </w:rPr>
        <w:t xml:space="preserve">patients remained in remission throughout available follow-up. The </w:t>
      </w:r>
      <w:r w:rsidR="004667A4">
        <w:rPr>
          <w:color w:val="000000" w:themeColor="text1"/>
        </w:rPr>
        <w:t xml:space="preserve">PBAC considered that the </w:t>
      </w:r>
      <w:r w:rsidRPr="002E06AA">
        <w:rPr>
          <w:color w:val="000000" w:themeColor="text1"/>
        </w:rPr>
        <w:t>large number of flares in the post-treatment period</w:t>
      </w:r>
      <w:r w:rsidRPr="002E06AA">
        <w:rPr>
          <w:i/>
          <w:color w:val="000000" w:themeColor="text1"/>
        </w:rPr>
        <w:t xml:space="preserve">, </w:t>
      </w:r>
      <w:r w:rsidRPr="001E43CB">
        <w:rPr>
          <w:color w:val="000000" w:themeColor="text1"/>
        </w:rPr>
        <w:t xml:space="preserve">especially </w:t>
      </w:r>
      <w:r w:rsidR="00916B34">
        <w:rPr>
          <w:color w:val="000000" w:themeColor="text1"/>
        </w:rPr>
        <w:t xml:space="preserve">among patients who had been </w:t>
      </w:r>
      <w:r w:rsidRPr="001E43CB">
        <w:rPr>
          <w:color w:val="000000" w:themeColor="text1"/>
        </w:rPr>
        <w:t xml:space="preserve">treated fortnightly, </w:t>
      </w:r>
      <w:r w:rsidRPr="002E06AA">
        <w:rPr>
          <w:color w:val="000000" w:themeColor="text1"/>
        </w:rPr>
        <w:t>suggests that</w:t>
      </w:r>
      <w:r w:rsidR="00655BAB" w:rsidRPr="002E06AA">
        <w:rPr>
          <w:color w:val="000000" w:themeColor="text1"/>
        </w:rPr>
        <w:t xml:space="preserve"> </w:t>
      </w:r>
      <w:proofErr w:type="spellStart"/>
      <w:r w:rsidR="00655BAB" w:rsidRPr="001E43CB">
        <w:rPr>
          <w:color w:val="000000" w:themeColor="text1"/>
        </w:rPr>
        <w:t>tocilizumab</w:t>
      </w:r>
      <w:proofErr w:type="spellEnd"/>
      <w:r w:rsidR="00655BAB" w:rsidRPr="001E43CB">
        <w:rPr>
          <w:color w:val="000000" w:themeColor="text1"/>
        </w:rPr>
        <w:t xml:space="preserve"> may suppress rather than prevent relapse. It also suggests that</w:t>
      </w:r>
      <w:r w:rsidRPr="001E43CB">
        <w:rPr>
          <w:color w:val="000000" w:themeColor="text1"/>
        </w:rPr>
        <w:t xml:space="preserve"> treatment</w:t>
      </w:r>
      <w:r w:rsidR="008A204F" w:rsidRPr="001E43CB">
        <w:rPr>
          <w:rStyle w:val="CommentReference"/>
        </w:rPr>
        <w:t xml:space="preserve"> </w:t>
      </w:r>
      <w:r w:rsidR="009348CA" w:rsidRPr="001E43CB">
        <w:rPr>
          <w:color w:val="000000" w:themeColor="text1"/>
        </w:rPr>
        <w:t xml:space="preserve">(with </w:t>
      </w:r>
      <w:proofErr w:type="spellStart"/>
      <w:r w:rsidR="009348CA" w:rsidRPr="001E43CB">
        <w:rPr>
          <w:color w:val="000000" w:themeColor="text1"/>
        </w:rPr>
        <w:t>tocilizumab</w:t>
      </w:r>
      <w:proofErr w:type="spellEnd"/>
      <w:r w:rsidR="009348CA" w:rsidRPr="001E43CB">
        <w:rPr>
          <w:color w:val="000000" w:themeColor="text1"/>
        </w:rPr>
        <w:t xml:space="preserve"> and/or </w:t>
      </w:r>
      <w:r w:rsidR="00C71DDC" w:rsidRPr="001E43CB">
        <w:rPr>
          <w:color w:val="000000" w:themeColor="text1"/>
        </w:rPr>
        <w:t>corticosteroids</w:t>
      </w:r>
      <w:r w:rsidR="009348CA" w:rsidRPr="001E43CB">
        <w:rPr>
          <w:color w:val="000000" w:themeColor="text1"/>
        </w:rPr>
        <w:t>)</w:t>
      </w:r>
      <w:r w:rsidR="009348CA" w:rsidRPr="001E43CB">
        <w:rPr>
          <w:rStyle w:val="CommentReference"/>
        </w:rPr>
        <w:t xml:space="preserve"> </w:t>
      </w:r>
      <w:r w:rsidRPr="002E06AA">
        <w:rPr>
          <w:color w:val="000000" w:themeColor="text1"/>
        </w:rPr>
        <w:t xml:space="preserve">may be required beyond </w:t>
      </w:r>
      <w:r w:rsidR="00916B34">
        <w:rPr>
          <w:color w:val="000000" w:themeColor="text1"/>
        </w:rPr>
        <w:t>12 months</w:t>
      </w:r>
      <w:r w:rsidR="008A204F" w:rsidRPr="002E06AA">
        <w:rPr>
          <w:color w:val="000000" w:themeColor="text1"/>
        </w:rPr>
        <w:t xml:space="preserve"> </w:t>
      </w:r>
      <w:r w:rsidR="008A204F" w:rsidRPr="001E43CB">
        <w:rPr>
          <w:color w:val="000000" w:themeColor="text1"/>
        </w:rPr>
        <w:t>in some patients</w:t>
      </w:r>
      <w:r w:rsidR="002E06AA" w:rsidRPr="001E43CB">
        <w:rPr>
          <w:color w:val="000000" w:themeColor="text1"/>
        </w:rPr>
        <w:t xml:space="preserve">, though the ESC </w:t>
      </w:r>
      <w:r w:rsidR="001251D7" w:rsidRPr="00A24733">
        <w:rPr>
          <w:color w:val="000000" w:themeColor="text1"/>
        </w:rPr>
        <w:t>and PBAC</w:t>
      </w:r>
      <w:r w:rsidR="001251D7">
        <w:rPr>
          <w:i/>
          <w:color w:val="000000" w:themeColor="text1"/>
        </w:rPr>
        <w:t xml:space="preserve"> </w:t>
      </w:r>
      <w:r w:rsidR="002E06AA" w:rsidRPr="001E43CB">
        <w:rPr>
          <w:color w:val="000000" w:themeColor="text1"/>
        </w:rPr>
        <w:t xml:space="preserve">noted that no data had been provided regarding the efficacy of </w:t>
      </w:r>
      <w:proofErr w:type="spellStart"/>
      <w:r w:rsidR="002E06AA" w:rsidRPr="001E43CB">
        <w:rPr>
          <w:color w:val="000000" w:themeColor="text1"/>
        </w:rPr>
        <w:t>tocilizumab</w:t>
      </w:r>
      <w:proofErr w:type="spellEnd"/>
      <w:r w:rsidR="002E06AA" w:rsidRPr="001E43CB">
        <w:rPr>
          <w:color w:val="000000" w:themeColor="text1"/>
        </w:rPr>
        <w:t xml:space="preserve"> beyond 12 months.</w:t>
      </w:r>
    </w:p>
    <w:p w:rsidR="004667A4" w:rsidRPr="001E43CB" w:rsidRDefault="00452571" w:rsidP="00916B34">
      <w:pPr>
        <w:pStyle w:val="ListParagraph"/>
        <w:numPr>
          <w:ilvl w:val="1"/>
          <w:numId w:val="1"/>
        </w:numPr>
        <w:spacing w:after="120"/>
        <w:ind w:left="720" w:hanging="720"/>
        <w:jc w:val="both"/>
        <w:rPr>
          <w:color w:val="000000" w:themeColor="text1"/>
        </w:rPr>
      </w:pPr>
      <w:r>
        <w:rPr>
          <w:color w:val="000000" w:themeColor="text1"/>
        </w:rPr>
        <w:t xml:space="preserve">The PBAC </w:t>
      </w:r>
      <w:r w:rsidR="006F6112">
        <w:rPr>
          <w:color w:val="000000" w:themeColor="text1"/>
        </w:rPr>
        <w:t xml:space="preserve">also </w:t>
      </w:r>
      <w:r>
        <w:rPr>
          <w:color w:val="000000" w:themeColor="text1"/>
        </w:rPr>
        <w:t>noted a</w:t>
      </w:r>
      <w:r w:rsidR="006F6112">
        <w:rPr>
          <w:color w:val="000000" w:themeColor="text1"/>
        </w:rPr>
        <w:t xml:space="preserve">nother study </w:t>
      </w:r>
      <w:r w:rsidR="002D5B80">
        <w:rPr>
          <w:color w:val="000000" w:themeColor="text1"/>
        </w:rPr>
        <w:t xml:space="preserve">of </w:t>
      </w:r>
      <w:proofErr w:type="spellStart"/>
      <w:r w:rsidR="002D5B80">
        <w:rPr>
          <w:color w:val="000000" w:themeColor="text1"/>
        </w:rPr>
        <w:t>tocilizumab</w:t>
      </w:r>
      <w:proofErr w:type="spellEnd"/>
      <w:r w:rsidR="002D5B80">
        <w:rPr>
          <w:color w:val="000000" w:themeColor="text1"/>
        </w:rPr>
        <w:t xml:space="preserve"> in </w:t>
      </w:r>
      <w:r w:rsidR="002A4DA4">
        <w:rPr>
          <w:color w:val="000000" w:themeColor="text1"/>
        </w:rPr>
        <w:t xml:space="preserve">patients with </w:t>
      </w:r>
      <w:r w:rsidR="002D5B80">
        <w:rPr>
          <w:color w:val="000000" w:themeColor="text1"/>
        </w:rPr>
        <w:t xml:space="preserve">GCA </w:t>
      </w:r>
      <w:r w:rsidR="002A4DA4">
        <w:rPr>
          <w:color w:val="000000" w:themeColor="text1"/>
        </w:rPr>
        <w:t>for which</w:t>
      </w:r>
      <w:r w:rsidR="002D5B80">
        <w:rPr>
          <w:color w:val="000000" w:themeColor="text1"/>
        </w:rPr>
        <w:t xml:space="preserve"> </w:t>
      </w:r>
      <w:r w:rsidR="006F6112">
        <w:rPr>
          <w:color w:val="000000" w:themeColor="text1"/>
        </w:rPr>
        <w:t>long-term follow-up data</w:t>
      </w:r>
      <w:r w:rsidR="002D5B80">
        <w:rPr>
          <w:color w:val="000000" w:themeColor="text1"/>
        </w:rPr>
        <w:t xml:space="preserve"> </w:t>
      </w:r>
      <w:r w:rsidR="002A4DA4">
        <w:rPr>
          <w:color w:val="000000" w:themeColor="text1"/>
        </w:rPr>
        <w:t xml:space="preserve">were </w:t>
      </w:r>
      <w:r w:rsidR="002D5B80">
        <w:rPr>
          <w:color w:val="000000" w:themeColor="text1"/>
        </w:rPr>
        <w:t>available</w:t>
      </w:r>
      <w:r w:rsidR="002A4DA4">
        <w:rPr>
          <w:color w:val="000000" w:themeColor="text1"/>
        </w:rPr>
        <w:t xml:space="preserve"> (</w:t>
      </w:r>
      <w:r w:rsidR="00181C7E">
        <w:rPr>
          <w:color w:val="000000" w:themeColor="text1"/>
        </w:rPr>
        <w:t xml:space="preserve">Adler 2016, </w:t>
      </w:r>
      <w:proofErr w:type="spellStart"/>
      <w:r w:rsidR="002A4DA4">
        <w:rPr>
          <w:color w:val="000000" w:themeColor="text1"/>
        </w:rPr>
        <w:t>Villiger</w:t>
      </w:r>
      <w:proofErr w:type="spellEnd"/>
      <w:r w:rsidR="002A4DA4">
        <w:rPr>
          <w:color w:val="000000" w:themeColor="text1"/>
        </w:rPr>
        <w:t xml:space="preserve"> 2016).</w:t>
      </w:r>
      <w:r w:rsidR="002D5B80">
        <w:rPr>
          <w:rStyle w:val="FootnoteReference"/>
          <w:color w:val="000000" w:themeColor="text1"/>
        </w:rPr>
        <w:footnoteReference w:id="1"/>
      </w:r>
      <w:r w:rsidR="002D5B80">
        <w:rPr>
          <w:color w:val="000000" w:themeColor="text1"/>
          <w:vertAlign w:val="superscript"/>
        </w:rPr>
        <w:t>,</w:t>
      </w:r>
      <w:r w:rsidR="002D5B80">
        <w:rPr>
          <w:rStyle w:val="FootnoteReference"/>
          <w:color w:val="000000" w:themeColor="text1"/>
        </w:rPr>
        <w:footnoteReference w:id="2"/>
      </w:r>
      <w:r w:rsidR="006F6112">
        <w:rPr>
          <w:color w:val="000000" w:themeColor="text1"/>
        </w:rPr>
        <w:t xml:space="preserve"> </w:t>
      </w:r>
      <w:r w:rsidR="002A4DA4">
        <w:rPr>
          <w:color w:val="000000" w:themeColor="text1"/>
        </w:rPr>
        <w:t>This was a</w:t>
      </w:r>
      <w:r>
        <w:rPr>
          <w:color w:val="000000" w:themeColor="text1"/>
        </w:rPr>
        <w:t xml:space="preserve"> </w:t>
      </w:r>
      <w:r w:rsidR="006F6112">
        <w:rPr>
          <w:color w:val="000000" w:themeColor="text1"/>
        </w:rPr>
        <w:t>randomised, double-</w:t>
      </w:r>
      <w:r w:rsidR="006F6112" w:rsidRPr="006F6112">
        <w:rPr>
          <w:color w:val="000000" w:themeColor="text1"/>
        </w:rPr>
        <w:t xml:space="preserve">blind, placebo controlled </w:t>
      </w:r>
      <w:r>
        <w:rPr>
          <w:color w:val="000000" w:themeColor="text1"/>
        </w:rPr>
        <w:t>study</w:t>
      </w:r>
      <w:r w:rsidR="002A4DA4">
        <w:rPr>
          <w:color w:val="000000" w:themeColor="text1"/>
        </w:rPr>
        <w:t xml:space="preserve">, </w:t>
      </w:r>
      <w:r w:rsidR="006F6112">
        <w:rPr>
          <w:color w:val="000000" w:themeColor="text1"/>
        </w:rPr>
        <w:t xml:space="preserve">albeit </w:t>
      </w:r>
      <w:r w:rsidR="002A4DA4">
        <w:rPr>
          <w:color w:val="000000" w:themeColor="text1"/>
        </w:rPr>
        <w:t xml:space="preserve">using </w:t>
      </w:r>
      <w:r w:rsidR="006F6112">
        <w:rPr>
          <w:color w:val="000000" w:themeColor="text1"/>
        </w:rPr>
        <w:t>a different dosing regimen</w:t>
      </w:r>
      <w:r w:rsidR="002A4DA4">
        <w:rPr>
          <w:color w:val="000000" w:themeColor="text1"/>
        </w:rPr>
        <w:t xml:space="preserve"> to that requested for PBS-listing (</w:t>
      </w:r>
      <w:proofErr w:type="spellStart"/>
      <w:r w:rsidR="002A4DA4">
        <w:rPr>
          <w:color w:val="000000" w:themeColor="text1"/>
        </w:rPr>
        <w:t>tocilizumab</w:t>
      </w:r>
      <w:proofErr w:type="spellEnd"/>
      <w:r w:rsidR="002A4DA4">
        <w:rPr>
          <w:color w:val="000000" w:themeColor="text1"/>
        </w:rPr>
        <w:t xml:space="preserve"> was administered as an</w:t>
      </w:r>
      <w:r w:rsidR="006F6112">
        <w:rPr>
          <w:color w:val="000000" w:themeColor="text1"/>
        </w:rPr>
        <w:t xml:space="preserve"> </w:t>
      </w:r>
      <w:r w:rsidR="002A4DA4" w:rsidRPr="006F6112">
        <w:rPr>
          <w:color w:val="000000" w:themeColor="text1"/>
        </w:rPr>
        <w:t xml:space="preserve">8mg </w:t>
      </w:r>
      <w:r w:rsidR="002A4DA4">
        <w:rPr>
          <w:color w:val="000000" w:themeColor="text1"/>
        </w:rPr>
        <w:t>intravenous</w:t>
      </w:r>
      <w:r w:rsidR="002A4DA4" w:rsidRPr="006F6112">
        <w:rPr>
          <w:color w:val="000000" w:themeColor="text1"/>
        </w:rPr>
        <w:t xml:space="preserve"> </w:t>
      </w:r>
      <w:r w:rsidR="002A4DA4">
        <w:rPr>
          <w:color w:val="000000" w:themeColor="text1"/>
        </w:rPr>
        <w:t xml:space="preserve">infusion </w:t>
      </w:r>
      <w:r w:rsidR="002A4DA4" w:rsidRPr="006F6112">
        <w:rPr>
          <w:color w:val="000000" w:themeColor="text1"/>
        </w:rPr>
        <w:t>every 4 weeks for</w:t>
      </w:r>
      <w:r w:rsidR="002A4DA4">
        <w:rPr>
          <w:color w:val="000000" w:themeColor="text1"/>
        </w:rPr>
        <w:t xml:space="preserve"> 52 weeks</w:t>
      </w:r>
      <w:r w:rsidR="002A4DA4" w:rsidRPr="006F6112">
        <w:rPr>
          <w:color w:val="000000" w:themeColor="text1"/>
        </w:rPr>
        <w:t>)</w:t>
      </w:r>
      <w:r w:rsidR="002A4DA4">
        <w:rPr>
          <w:color w:val="000000" w:themeColor="text1"/>
        </w:rPr>
        <w:t xml:space="preserve">, </w:t>
      </w:r>
      <w:r w:rsidR="006F6112">
        <w:rPr>
          <w:color w:val="000000" w:themeColor="text1"/>
        </w:rPr>
        <w:t xml:space="preserve">and </w:t>
      </w:r>
      <w:r w:rsidR="000B3C19">
        <w:rPr>
          <w:color w:val="000000" w:themeColor="text1"/>
        </w:rPr>
        <w:t xml:space="preserve">based on </w:t>
      </w:r>
      <w:r w:rsidR="006F6112">
        <w:rPr>
          <w:color w:val="000000" w:themeColor="text1"/>
        </w:rPr>
        <w:t>fewer patient numbers</w:t>
      </w:r>
      <w:r>
        <w:rPr>
          <w:color w:val="000000" w:themeColor="text1"/>
        </w:rPr>
        <w:t xml:space="preserve"> </w:t>
      </w:r>
      <w:r w:rsidR="002A4DA4">
        <w:rPr>
          <w:color w:val="000000" w:themeColor="text1"/>
        </w:rPr>
        <w:t xml:space="preserve">(n = 30). </w:t>
      </w:r>
      <w:r w:rsidR="000B3C19">
        <w:rPr>
          <w:color w:val="000000" w:themeColor="text1"/>
        </w:rPr>
        <w:t>T</w:t>
      </w:r>
      <w:r w:rsidR="002A4DA4">
        <w:rPr>
          <w:color w:val="000000" w:themeColor="text1"/>
        </w:rPr>
        <w:t xml:space="preserve">his study found that </w:t>
      </w:r>
      <w:r w:rsidR="00181C7E">
        <w:rPr>
          <w:color w:val="000000" w:themeColor="text1"/>
        </w:rPr>
        <w:t>55</w:t>
      </w:r>
      <w:r w:rsidR="006F6112" w:rsidRPr="006F6112">
        <w:rPr>
          <w:color w:val="000000" w:themeColor="text1"/>
        </w:rPr>
        <w:t xml:space="preserve">% </w:t>
      </w:r>
      <w:r w:rsidR="002A4DA4">
        <w:rPr>
          <w:color w:val="000000" w:themeColor="text1"/>
        </w:rPr>
        <w:t>(11/20)</w:t>
      </w:r>
      <w:r w:rsidR="002A4DA4" w:rsidRPr="006F6112">
        <w:rPr>
          <w:color w:val="000000" w:themeColor="text1"/>
        </w:rPr>
        <w:t xml:space="preserve"> </w:t>
      </w:r>
      <w:r w:rsidR="006F6112" w:rsidRPr="006F6112">
        <w:rPr>
          <w:color w:val="000000" w:themeColor="text1"/>
        </w:rPr>
        <w:t xml:space="preserve">of patients </w:t>
      </w:r>
      <w:r w:rsidR="002A4DA4">
        <w:rPr>
          <w:color w:val="000000" w:themeColor="text1"/>
        </w:rPr>
        <w:t xml:space="preserve">treated with </w:t>
      </w:r>
      <w:proofErr w:type="spellStart"/>
      <w:r w:rsidR="002A4DA4">
        <w:rPr>
          <w:color w:val="000000" w:themeColor="text1"/>
        </w:rPr>
        <w:t>tocilizumab</w:t>
      </w:r>
      <w:proofErr w:type="spellEnd"/>
      <w:r w:rsidR="002A4DA4">
        <w:rPr>
          <w:color w:val="000000" w:themeColor="text1"/>
        </w:rPr>
        <w:t xml:space="preserve"> </w:t>
      </w:r>
      <w:r w:rsidR="002A4DA4" w:rsidRPr="006F6112">
        <w:rPr>
          <w:color w:val="000000" w:themeColor="text1"/>
        </w:rPr>
        <w:t>relapse</w:t>
      </w:r>
      <w:r w:rsidR="002A4DA4">
        <w:rPr>
          <w:color w:val="000000" w:themeColor="text1"/>
        </w:rPr>
        <w:t xml:space="preserve">d </w:t>
      </w:r>
      <w:r w:rsidR="002A4DA4" w:rsidRPr="006F6112">
        <w:rPr>
          <w:color w:val="000000" w:themeColor="text1"/>
        </w:rPr>
        <w:t>after a 52 week treatment course</w:t>
      </w:r>
      <w:r w:rsidR="002A4DA4">
        <w:rPr>
          <w:color w:val="000000" w:themeColor="text1"/>
        </w:rPr>
        <w:t>. The</w:t>
      </w:r>
      <w:r w:rsidR="002D5B80" w:rsidRPr="002D5B80">
        <w:rPr>
          <w:color w:val="000000" w:themeColor="text1"/>
        </w:rPr>
        <w:t xml:space="preserve"> median time to relapse </w:t>
      </w:r>
      <w:r w:rsidR="002A4DA4">
        <w:rPr>
          <w:color w:val="000000" w:themeColor="text1"/>
        </w:rPr>
        <w:t xml:space="preserve">was </w:t>
      </w:r>
      <w:r w:rsidR="002D5B80" w:rsidRPr="002D5B80">
        <w:rPr>
          <w:color w:val="000000" w:themeColor="text1"/>
        </w:rPr>
        <w:t>5 months (range 2-14</w:t>
      </w:r>
      <w:r w:rsidR="002A4DA4">
        <w:rPr>
          <w:color w:val="000000" w:themeColor="text1"/>
        </w:rPr>
        <w:t xml:space="preserve"> months</w:t>
      </w:r>
      <w:r w:rsidR="002D5B80" w:rsidRPr="002D5B80">
        <w:rPr>
          <w:color w:val="000000" w:themeColor="text1"/>
        </w:rPr>
        <w:t xml:space="preserve">). </w:t>
      </w:r>
      <w:r w:rsidR="002A4DA4">
        <w:rPr>
          <w:color w:val="000000" w:themeColor="text1"/>
        </w:rPr>
        <w:t xml:space="preserve">The study </w:t>
      </w:r>
      <w:r w:rsidR="00916B34">
        <w:rPr>
          <w:color w:val="000000" w:themeColor="text1"/>
        </w:rPr>
        <w:t xml:space="preserve">authors </w:t>
      </w:r>
      <w:r w:rsidR="002A4DA4">
        <w:rPr>
          <w:color w:val="000000" w:themeColor="text1"/>
        </w:rPr>
        <w:t>concluded that “c</w:t>
      </w:r>
      <w:r w:rsidR="002A4DA4" w:rsidRPr="002A4DA4">
        <w:rPr>
          <w:color w:val="000000" w:themeColor="text1"/>
        </w:rPr>
        <w:t xml:space="preserve">linical and </w:t>
      </w:r>
      <w:r w:rsidR="002A4DA4" w:rsidRPr="002A4DA4">
        <w:rPr>
          <w:color w:val="000000" w:themeColor="text1"/>
        </w:rPr>
        <w:lastRenderedPageBreak/>
        <w:t xml:space="preserve">serologic remission in response to </w:t>
      </w:r>
      <w:proofErr w:type="spellStart"/>
      <w:r w:rsidR="002A4DA4">
        <w:rPr>
          <w:color w:val="000000" w:themeColor="text1"/>
        </w:rPr>
        <w:t>tocilizumab</w:t>
      </w:r>
      <w:proofErr w:type="spellEnd"/>
      <w:r w:rsidR="002A4DA4">
        <w:rPr>
          <w:color w:val="000000" w:themeColor="text1"/>
        </w:rPr>
        <w:t xml:space="preserve"> </w:t>
      </w:r>
      <w:r w:rsidR="002A4DA4" w:rsidRPr="002A4DA4">
        <w:rPr>
          <w:color w:val="000000" w:themeColor="text1"/>
        </w:rPr>
        <w:t xml:space="preserve">for 52 weeks does not result in relapse-free survival after termination of treatment. Although IL-6 blockade using </w:t>
      </w:r>
      <w:proofErr w:type="spellStart"/>
      <w:r w:rsidR="002A4DA4">
        <w:rPr>
          <w:color w:val="000000" w:themeColor="text1"/>
        </w:rPr>
        <w:t>tocilizumab</w:t>
      </w:r>
      <w:proofErr w:type="spellEnd"/>
      <w:r w:rsidR="002A4DA4">
        <w:rPr>
          <w:color w:val="000000" w:themeColor="text1"/>
        </w:rPr>
        <w:t xml:space="preserve"> </w:t>
      </w:r>
      <w:r w:rsidR="002A4DA4" w:rsidRPr="002A4DA4">
        <w:rPr>
          <w:color w:val="000000" w:themeColor="text1"/>
        </w:rPr>
        <w:t xml:space="preserve">controls clinical disease, it may not control pathogenesis in all cases. The fact that 45% of patients remained in lasting remission may help to design treatment protocols to determine appropriate maintenance dosage regimens of </w:t>
      </w:r>
      <w:proofErr w:type="spellStart"/>
      <w:r w:rsidR="002A4DA4">
        <w:rPr>
          <w:color w:val="000000" w:themeColor="text1"/>
        </w:rPr>
        <w:t>tocilizumab</w:t>
      </w:r>
      <w:proofErr w:type="spellEnd"/>
      <w:r w:rsidR="002A4DA4">
        <w:rPr>
          <w:color w:val="000000" w:themeColor="text1"/>
        </w:rPr>
        <w:t xml:space="preserve"> </w:t>
      </w:r>
      <w:r w:rsidR="002A4DA4" w:rsidRPr="002A4DA4">
        <w:rPr>
          <w:color w:val="000000" w:themeColor="text1"/>
        </w:rPr>
        <w:t>after achievement of remission</w:t>
      </w:r>
      <w:r w:rsidR="003F22A3">
        <w:rPr>
          <w:color w:val="000000" w:themeColor="text1"/>
        </w:rPr>
        <w:t>”</w:t>
      </w:r>
      <w:r w:rsidR="002A4DA4">
        <w:rPr>
          <w:color w:val="000000" w:themeColor="text1"/>
        </w:rPr>
        <w:t>.</w:t>
      </w:r>
      <w:r w:rsidR="002A4DA4">
        <w:rPr>
          <w:color w:val="000000" w:themeColor="text1"/>
          <w:vertAlign w:val="superscript"/>
        </w:rPr>
        <w:t>2</w:t>
      </w:r>
    </w:p>
    <w:p w:rsidR="00865625" w:rsidRDefault="000C3FBF" w:rsidP="009722D0">
      <w:pPr>
        <w:pStyle w:val="ListParagraph"/>
        <w:numPr>
          <w:ilvl w:val="1"/>
          <w:numId w:val="1"/>
        </w:numPr>
        <w:spacing w:after="120"/>
        <w:ind w:left="720" w:hanging="720"/>
        <w:jc w:val="both"/>
      </w:pPr>
      <w:r>
        <w:t>Table 8</w:t>
      </w:r>
      <w:r w:rsidR="00865625">
        <w:t xml:space="preserve"> presents the results for cumulative prednisone dose at Week 52. </w:t>
      </w:r>
    </w:p>
    <w:p w:rsidR="00865625" w:rsidRPr="00891602" w:rsidRDefault="000C3FBF" w:rsidP="00C46E06">
      <w:pPr>
        <w:pStyle w:val="TableHeading0"/>
        <w:jc w:val="both"/>
        <w:rPr>
          <w:color w:val="000000" w:themeColor="text1"/>
        </w:rPr>
      </w:pPr>
      <w:r>
        <w:rPr>
          <w:color w:val="000000" w:themeColor="text1"/>
        </w:rPr>
        <w:t>Table 8</w:t>
      </w:r>
      <w:r w:rsidR="00865625" w:rsidRPr="008329D7">
        <w:rPr>
          <w:color w:val="000000" w:themeColor="text1"/>
        </w:rPr>
        <w:t xml:space="preserve">: </w:t>
      </w:r>
      <w:r w:rsidR="00865625">
        <w:rPr>
          <w:color w:val="000000" w:themeColor="text1"/>
        </w:rPr>
        <w:t xml:space="preserve">Results for cumulative prednisone dose at Week 52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1539"/>
        <w:gridCol w:w="1540"/>
        <w:gridCol w:w="1557"/>
        <w:gridCol w:w="1553"/>
      </w:tblGrid>
      <w:tr w:rsidR="00865625" w:rsidRPr="003E7AE1" w:rsidTr="00A91C3A">
        <w:tc>
          <w:tcPr>
            <w:tcW w:w="2832" w:type="dxa"/>
            <w:shd w:val="clear" w:color="auto" w:fill="auto"/>
          </w:tcPr>
          <w:p w:rsidR="00865625" w:rsidRPr="003E7AE1" w:rsidRDefault="00865625" w:rsidP="00C46E06">
            <w:pPr>
              <w:pStyle w:val="TableHeadingRow"/>
              <w:spacing w:before="0" w:after="0"/>
              <w:rPr>
                <w:rFonts w:ascii="Arial Narrow" w:hAnsi="Arial Narrow"/>
              </w:rPr>
            </w:pPr>
          </w:p>
        </w:tc>
        <w:tc>
          <w:tcPr>
            <w:tcW w:w="1539" w:type="dxa"/>
            <w:shd w:val="clear" w:color="auto" w:fill="auto"/>
            <w:vAlign w:val="center"/>
          </w:tcPr>
          <w:p w:rsidR="00865625" w:rsidRDefault="00865625" w:rsidP="00C46E06">
            <w:pPr>
              <w:pStyle w:val="TableHeadingRow"/>
              <w:spacing w:before="0" w:after="0"/>
              <w:jc w:val="center"/>
              <w:rPr>
                <w:rFonts w:ascii="Arial Narrow" w:hAnsi="Arial Narrow"/>
              </w:rPr>
            </w:pPr>
            <w:r>
              <w:rPr>
                <w:rFonts w:ascii="Arial Narrow" w:hAnsi="Arial Narrow"/>
              </w:rPr>
              <w:t>PBO + 26-week taper</w:t>
            </w:r>
            <w:r w:rsidRPr="0005503F">
              <w:rPr>
                <w:rFonts w:ascii="Arial Narrow" w:hAnsi="Arial Narrow"/>
              </w:rPr>
              <w:t xml:space="preserve"> </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=50</w:t>
            </w:r>
            <w:r>
              <w:rPr>
                <w:rFonts w:ascii="Arial Narrow" w:hAnsi="Arial Narrow"/>
              </w:rPr>
              <w:t>)</w:t>
            </w:r>
          </w:p>
        </w:tc>
        <w:tc>
          <w:tcPr>
            <w:tcW w:w="1540" w:type="dxa"/>
            <w:shd w:val="clear" w:color="auto" w:fill="auto"/>
            <w:vAlign w:val="center"/>
          </w:tcPr>
          <w:p w:rsidR="00865625" w:rsidRDefault="00865625" w:rsidP="00C46E06">
            <w:pPr>
              <w:pStyle w:val="TableHeadingRow"/>
              <w:spacing w:before="0" w:after="0"/>
              <w:jc w:val="center"/>
              <w:rPr>
                <w:rFonts w:ascii="Arial Narrow" w:hAnsi="Arial Narrow"/>
              </w:rPr>
            </w:pPr>
            <w:r>
              <w:rPr>
                <w:rFonts w:ascii="Arial Narrow" w:hAnsi="Arial Narrow"/>
              </w:rPr>
              <w:t>PBO + 52-week taper</w:t>
            </w:r>
            <w:r w:rsidRPr="0005503F">
              <w:rPr>
                <w:rFonts w:ascii="Arial Narrow" w:hAnsi="Arial Narrow"/>
              </w:rPr>
              <w:t xml:space="preserve"> </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=50</w:t>
            </w:r>
            <w:r>
              <w:rPr>
                <w:rFonts w:ascii="Arial Narrow" w:hAnsi="Arial Narrow"/>
              </w:rPr>
              <w:t>)</w:t>
            </w:r>
          </w:p>
        </w:tc>
        <w:tc>
          <w:tcPr>
            <w:tcW w:w="1557" w:type="dxa"/>
            <w:shd w:val="clear" w:color="auto" w:fill="auto"/>
            <w:vAlign w:val="center"/>
          </w:tcPr>
          <w:p w:rsidR="00865625" w:rsidRPr="0005503F" w:rsidRDefault="00865625" w:rsidP="00C46E06">
            <w:pPr>
              <w:pStyle w:val="TableHeadingRow"/>
              <w:spacing w:before="0" w:after="0"/>
              <w:jc w:val="center"/>
              <w:rPr>
                <w:rFonts w:ascii="Arial Narrow" w:hAnsi="Arial Narrow"/>
              </w:rPr>
            </w:pPr>
            <w:r w:rsidRPr="0005503F">
              <w:rPr>
                <w:rFonts w:ascii="Arial Narrow" w:hAnsi="Arial Narrow"/>
              </w:rPr>
              <w:t xml:space="preserve">TCZ </w:t>
            </w:r>
            <w:r>
              <w:rPr>
                <w:rFonts w:ascii="Arial Narrow" w:hAnsi="Arial Narrow"/>
              </w:rPr>
              <w:t>weekly</w:t>
            </w:r>
            <w:r w:rsidRPr="0005503F">
              <w:rPr>
                <w:rFonts w:ascii="Arial Narrow" w:hAnsi="Arial Narrow"/>
              </w:rPr>
              <w:t xml:space="preserve"> + 26</w:t>
            </w:r>
            <w:r>
              <w:rPr>
                <w:rFonts w:ascii="Arial Narrow" w:hAnsi="Arial Narrow"/>
              </w:rPr>
              <w:t>-</w:t>
            </w:r>
            <w:r w:rsidRPr="0005503F">
              <w:rPr>
                <w:rFonts w:ascii="Arial Narrow" w:hAnsi="Arial Narrow"/>
              </w:rPr>
              <w:t>w</w:t>
            </w:r>
            <w:r>
              <w:rPr>
                <w:rFonts w:ascii="Arial Narrow" w:hAnsi="Arial Narrow"/>
              </w:rPr>
              <w:t>ee</w:t>
            </w:r>
            <w:r w:rsidRPr="0005503F">
              <w:rPr>
                <w:rFonts w:ascii="Arial Narrow" w:hAnsi="Arial Narrow"/>
              </w:rPr>
              <w:t>k</w:t>
            </w:r>
            <w:r>
              <w:rPr>
                <w:rFonts w:ascii="Arial Narrow" w:hAnsi="Arial Narrow"/>
              </w:rPr>
              <w:t xml:space="preserve"> taper</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100</w:t>
            </w:r>
            <w:r>
              <w:rPr>
                <w:rFonts w:ascii="Arial Narrow" w:hAnsi="Arial Narrow"/>
              </w:rPr>
              <w:t>)</w:t>
            </w:r>
          </w:p>
        </w:tc>
        <w:tc>
          <w:tcPr>
            <w:tcW w:w="1553" w:type="dxa"/>
            <w:shd w:val="clear" w:color="auto" w:fill="auto"/>
            <w:vAlign w:val="center"/>
          </w:tcPr>
          <w:p w:rsidR="00865625" w:rsidRPr="0005503F" w:rsidRDefault="00865625" w:rsidP="00C46E06">
            <w:pPr>
              <w:pStyle w:val="TableHeadingRow"/>
              <w:spacing w:before="0" w:after="0"/>
              <w:jc w:val="center"/>
              <w:rPr>
                <w:rFonts w:ascii="Arial Narrow" w:hAnsi="Arial Narrow"/>
              </w:rPr>
            </w:pPr>
            <w:r w:rsidRPr="0005503F">
              <w:rPr>
                <w:rFonts w:ascii="Arial Narrow" w:hAnsi="Arial Narrow"/>
              </w:rPr>
              <w:t xml:space="preserve">TCZ </w:t>
            </w:r>
            <w:r>
              <w:rPr>
                <w:rFonts w:ascii="Arial Narrow" w:hAnsi="Arial Narrow"/>
              </w:rPr>
              <w:t>fortnightly</w:t>
            </w:r>
            <w:r w:rsidRPr="0005503F">
              <w:rPr>
                <w:rFonts w:ascii="Arial Narrow" w:hAnsi="Arial Narrow"/>
              </w:rPr>
              <w:t xml:space="preserve"> + 26</w:t>
            </w:r>
            <w:r>
              <w:rPr>
                <w:rFonts w:ascii="Arial Narrow" w:hAnsi="Arial Narrow"/>
              </w:rPr>
              <w:t>-</w:t>
            </w:r>
            <w:r w:rsidRPr="0005503F">
              <w:rPr>
                <w:rFonts w:ascii="Arial Narrow" w:hAnsi="Arial Narrow"/>
              </w:rPr>
              <w:t>w</w:t>
            </w:r>
            <w:r>
              <w:rPr>
                <w:rFonts w:ascii="Arial Narrow" w:hAnsi="Arial Narrow"/>
              </w:rPr>
              <w:t>ee</w:t>
            </w:r>
            <w:r w:rsidRPr="0005503F">
              <w:rPr>
                <w:rFonts w:ascii="Arial Narrow" w:hAnsi="Arial Narrow"/>
              </w:rPr>
              <w:t>k</w:t>
            </w:r>
            <w:r>
              <w:rPr>
                <w:rFonts w:ascii="Arial Narrow" w:hAnsi="Arial Narrow"/>
              </w:rPr>
              <w:t xml:space="preserve"> taper</w:t>
            </w:r>
          </w:p>
          <w:p w:rsidR="00865625" w:rsidRPr="003E7AE1" w:rsidRDefault="00865625" w:rsidP="00C46E06">
            <w:pPr>
              <w:pStyle w:val="TableHeadingRow"/>
              <w:spacing w:before="0" w:after="0"/>
              <w:jc w:val="center"/>
              <w:rPr>
                <w:rFonts w:ascii="Arial Narrow" w:hAnsi="Arial Narrow"/>
              </w:rPr>
            </w:pPr>
            <w:r>
              <w:rPr>
                <w:rFonts w:ascii="Arial Narrow" w:hAnsi="Arial Narrow"/>
              </w:rPr>
              <w:t>(N=</w:t>
            </w:r>
            <w:r w:rsidRPr="0005503F">
              <w:rPr>
                <w:rFonts w:ascii="Arial Narrow" w:hAnsi="Arial Narrow"/>
              </w:rPr>
              <w:t>49</w:t>
            </w:r>
            <w:r>
              <w:rPr>
                <w:rFonts w:ascii="Arial Narrow" w:hAnsi="Arial Narrow"/>
              </w:rPr>
              <w:t>)</w:t>
            </w:r>
          </w:p>
        </w:tc>
      </w:tr>
      <w:tr w:rsidR="00865625" w:rsidRPr="003E7AE1" w:rsidTr="00A91C3A">
        <w:tc>
          <w:tcPr>
            <w:tcW w:w="2832" w:type="dxa"/>
            <w:shd w:val="clear" w:color="auto" w:fill="auto"/>
          </w:tcPr>
          <w:p w:rsidR="00865625" w:rsidRPr="003E7AE1" w:rsidRDefault="00865625" w:rsidP="00C46E06">
            <w:pPr>
              <w:pStyle w:val="TableText1"/>
              <w:spacing w:before="0" w:after="0"/>
            </w:pPr>
            <w:r>
              <w:t>Median cumulative prednisone dose, mg (range)</w:t>
            </w:r>
          </w:p>
        </w:tc>
        <w:tc>
          <w:tcPr>
            <w:tcW w:w="1539" w:type="dxa"/>
          </w:tcPr>
          <w:p w:rsidR="00865625" w:rsidRDefault="00865625" w:rsidP="00C46E06">
            <w:pPr>
              <w:pStyle w:val="TableText1"/>
              <w:spacing w:before="0" w:after="0"/>
              <w:jc w:val="center"/>
            </w:pPr>
            <w:r w:rsidRPr="0047362B">
              <w:t xml:space="preserve">3296 </w:t>
            </w:r>
          </w:p>
          <w:p w:rsidR="00865625" w:rsidRPr="003E7AE1" w:rsidRDefault="00865625" w:rsidP="00C46E06">
            <w:pPr>
              <w:pStyle w:val="TableText1"/>
              <w:spacing w:before="0" w:after="0"/>
              <w:jc w:val="center"/>
            </w:pPr>
            <w:r w:rsidRPr="0047362B">
              <w:t>(2729, 4023)</w:t>
            </w:r>
          </w:p>
        </w:tc>
        <w:tc>
          <w:tcPr>
            <w:tcW w:w="1540" w:type="dxa"/>
          </w:tcPr>
          <w:p w:rsidR="00865625" w:rsidRDefault="00865625" w:rsidP="00C46E06">
            <w:pPr>
              <w:pStyle w:val="TableText1"/>
              <w:spacing w:before="0" w:after="0"/>
              <w:jc w:val="center"/>
            </w:pPr>
            <w:r w:rsidRPr="0047362B">
              <w:t xml:space="preserve">3817 </w:t>
            </w:r>
          </w:p>
          <w:p w:rsidR="00865625" w:rsidRPr="003E7AE1" w:rsidRDefault="00865625" w:rsidP="00C46E06">
            <w:pPr>
              <w:pStyle w:val="TableText1"/>
              <w:spacing w:before="0" w:after="0"/>
              <w:jc w:val="center"/>
            </w:pPr>
            <w:r w:rsidRPr="0047362B">
              <w:t>(2817, 4425)</w:t>
            </w:r>
          </w:p>
        </w:tc>
        <w:tc>
          <w:tcPr>
            <w:tcW w:w="1557" w:type="dxa"/>
          </w:tcPr>
          <w:p w:rsidR="00865625" w:rsidRDefault="00865625" w:rsidP="00C46E06">
            <w:pPr>
              <w:pStyle w:val="TableText1"/>
              <w:spacing w:before="0" w:after="0"/>
              <w:jc w:val="center"/>
            </w:pPr>
            <w:r w:rsidRPr="0047362B">
              <w:t xml:space="preserve">1862 </w:t>
            </w:r>
          </w:p>
          <w:p w:rsidR="00865625" w:rsidRPr="003E7AE1" w:rsidRDefault="00865625" w:rsidP="00C46E06">
            <w:pPr>
              <w:pStyle w:val="TableText1"/>
              <w:spacing w:before="0" w:after="0"/>
              <w:jc w:val="center"/>
            </w:pPr>
            <w:r w:rsidRPr="0047362B">
              <w:t>(1582, 1942)</w:t>
            </w:r>
          </w:p>
        </w:tc>
        <w:tc>
          <w:tcPr>
            <w:tcW w:w="1553" w:type="dxa"/>
          </w:tcPr>
          <w:p w:rsidR="00865625" w:rsidRDefault="00865625" w:rsidP="00C46E06">
            <w:pPr>
              <w:pStyle w:val="TableText1"/>
              <w:spacing w:before="0" w:after="0"/>
              <w:jc w:val="center"/>
            </w:pPr>
            <w:r w:rsidRPr="0047362B">
              <w:t xml:space="preserve">1862 </w:t>
            </w:r>
          </w:p>
          <w:p w:rsidR="00865625" w:rsidRPr="003E7AE1" w:rsidRDefault="00865625" w:rsidP="00C46E06">
            <w:pPr>
              <w:pStyle w:val="TableText1"/>
              <w:spacing w:before="0" w:after="0"/>
              <w:jc w:val="center"/>
            </w:pPr>
            <w:r w:rsidRPr="0047362B">
              <w:t>(1568, 2239)</w:t>
            </w:r>
          </w:p>
        </w:tc>
      </w:tr>
      <w:tr w:rsidR="00865625" w:rsidRPr="003E7AE1" w:rsidTr="00A91C3A">
        <w:tc>
          <w:tcPr>
            <w:tcW w:w="9021" w:type="dxa"/>
            <w:gridSpan w:val="5"/>
            <w:shd w:val="clear" w:color="auto" w:fill="auto"/>
          </w:tcPr>
          <w:p w:rsidR="00865625" w:rsidRPr="003E7AE1" w:rsidRDefault="00865625" w:rsidP="00C46E06">
            <w:pPr>
              <w:pStyle w:val="TableText1"/>
              <w:spacing w:before="0" w:after="0"/>
            </w:pPr>
            <w:r>
              <w:rPr>
                <w:b/>
                <w:lang w:val="it-IT"/>
              </w:rPr>
              <w:t>p value</w:t>
            </w:r>
          </w:p>
        </w:tc>
      </w:tr>
      <w:tr w:rsidR="00865625" w:rsidRPr="003E7AE1" w:rsidTr="00A91C3A">
        <w:tc>
          <w:tcPr>
            <w:tcW w:w="2832" w:type="dxa"/>
            <w:shd w:val="clear" w:color="auto" w:fill="auto"/>
          </w:tcPr>
          <w:p w:rsidR="00865625" w:rsidRPr="003E7AE1" w:rsidRDefault="00865625" w:rsidP="00C46E06">
            <w:pPr>
              <w:pStyle w:val="TableText1"/>
              <w:spacing w:before="0" w:after="0"/>
              <w:rPr>
                <w:lang w:val="it-IT"/>
              </w:rPr>
            </w:pPr>
            <w:r>
              <w:rPr>
                <w:lang w:val="it-IT"/>
              </w:rPr>
              <w:t>vs. PBO + 26-week taper</w:t>
            </w:r>
          </w:p>
        </w:tc>
        <w:tc>
          <w:tcPr>
            <w:tcW w:w="1539"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40"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57" w:type="dxa"/>
            <w:shd w:val="clear" w:color="auto" w:fill="auto"/>
          </w:tcPr>
          <w:p w:rsidR="00865625" w:rsidRPr="003E7AE1" w:rsidRDefault="00865625" w:rsidP="00C46E06">
            <w:pPr>
              <w:pStyle w:val="TableText1"/>
              <w:spacing w:before="0" w:after="0"/>
              <w:jc w:val="center"/>
            </w:pPr>
            <w:r w:rsidRPr="004C28E4">
              <w:t>&lt;0.0001</w:t>
            </w:r>
          </w:p>
        </w:tc>
        <w:tc>
          <w:tcPr>
            <w:tcW w:w="1553" w:type="dxa"/>
            <w:shd w:val="clear" w:color="auto" w:fill="auto"/>
          </w:tcPr>
          <w:p w:rsidR="00865625" w:rsidRPr="003E7AE1" w:rsidRDefault="00865625" w:rsidP="00C46E06">
            <w:pPr>
              <w:pStyle w:val="TableText1"/>
              <w:spacing w:before="0" w:after="0"/>
              <w:jc w:val="center"/>
            </w:pPr>
            <w:r w:rsidRPr="004C28E4">
              <w:t>0.0003</w:t>
            </w:r>
          </w:p>
        </w:tc>
      </w:tr>
      <w:tr w:rsidR="00865625" w:rsidRPr="003E7AE1" w:rsidTr="00A91C3A">
        <w:tc>
          <w:tcPr>
            <w:tcW w:w="2832" w:type="dxa"/>
            <w:shd w:val="clear" w:color="auto" w:fill="auto"/>
          </w:tcPr>
          <w:p w:rsidR="00865625" w:rsidRPr="003E7AE1" w:rsidRDefault="00865625" w:rsidP="00C46E06">
            <w:pPr>
              <w:pStyle w:val="TableText1"/>
              <w:spacing w:before="0" w:after="0"/>
              <w:rPr>
                <w:lang w:val="it-IT"/>
              </w:rPr>
            </w:pPr>
            <w:r>
              <w:rPr>
                <w:lang w:val="it-IT"/>
              </w:rPr>
              <w:t>vs. PBO + 52-week taper</w:t>
            </w:r>
          </w:p>
        </w:tc>
        <w:tc>
          <w:tcPr>
            <w:tcW w:w="1539"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40" w:type="dxa"/>
            <w:shd w:val="clear" w:color="auto" w:fill="auto"/>
          </w:tcPr>
          <w:p w:rsidR="00865625" w:rsidRPr="003E7AE1" w:rsidRDefault="00865625" w:rsidP="00C46E06">
            <w:pPr>
              <w:pStyle w:val="TableText1"/>
              <w:spacing w:before="0" w:after="0"/>
              <w:jc w:val="center"/>
              <w:rPr>
                <w:lang w:val="it-IT"/>
              </w:rPr>
            </w:pPr>
            <w:r>
              <w:rPr>
                <w:lang w:val="it-IT"/>
              </w:rPr>
              <w:t>-</w:t>
            </w:r>
          </w:p>
        </w:tc>
        <w:tc>
          <w:tcPr>
            <w:tcW w:w="1557" w:type="dxa"/>
            <w:shd w:val="clear" w:color="auto" w:fill="auto"/>
          </w:tcPr>
          <w:p w:rsidR="00865625" w:rsidRPr="003E7AE1" w:rsidRDefault="00865625" w:rsidP="00C46E06">
            <w:pPr>
              <w:pStyle w:val="TableText1"/>
              <w:spacing w:before="0" w:after="0"/>
              <w:jc w:val="center"/>
            </w:pPr>
            <w:r w:rsidRPr="004C28E4">
              <w:t>&lt;0.0001</w:t>
            </w:r>
          </w:p>
        </w:tc>
        <w:tc>
          <w:tcPr>
            <w:tcW w:w="1553" w:type="dxa"/>
            <w:shd w:val="clear" w:color="auto" w:fill="auto"/>
          </w:tcPr>
          <w:p w:rsidR="00865625" w:rsidRPr="003E7AE1" w:rsidRDefault="00865625" w:rsidP="00C46E06">
            <w:pPr>
              <w:pStyle w:val="TableText1"/>
              <w:spacing w:before="0" w:after="0"/>
              <w:jc w:val="center"/>
            </w:pPr>
            <w:r w:rsidRPr="004C28E4">
              <w:t>&lt;0.0001</w:t>
            </w:r>
          </w:p>
        </w:tc>
      </w:tr>
    </w:tbl>
    <w:p w:rsidR="00865625" w:rsidRDefault="00865625" w:rsidP="00C46E06">
      <w:pPr>
        <w:pStyle w:val="TableFooter"/>
        <w:widowControl/>
        <w:rPr>
          <w:color w:val="000000" w:themeColor="text1"/>
        </w:rPr>
      </w:pPr>
      <w:r w:rsidRPr="008329D7">
        <w:rPr>
          <w:color w:val="000000" w:themeColor="text1"/>
        </w:rPr>
        <w:t xml:space="preserve">Source: </w:t>
      </w:r>
      <w:r>
        <w:rPr>
          <w:color w:val="000000" w:themeColor="text1"/>
        </w:rPr>
        <w:t>Table 2.22, p.64 of the submission.</w:t>
      </w:r>
    </w:p>
    <w:p w:rsidR="00865625" w:rsidRPr="00116CF7" w:rsidRDefault="00865625" w:rsidP="000A734B">
      <w:pPr>
        <w:pStyle w:val="TableFooter"/>
        <w:widowControl/>
        <w:spacing w:after="240"/>
        <w:rPr>
          <w:rFonts w:eastAsia="Calibri"/>
          <w:color w:val="000000" w:themeColor="text1"/>
        </w:rPr>
      </w:pPr>
      <w:r>
        <w:rPr>
          <w:rFonts w:eastAsia="Calibri"/>
          <w:color w:val="000000" w:themeColor="text1"/>
        </w:rPr>
        <w:t xml:space="preserve">Abbreviations: PBO, placebo; TCZ, </w:t>
      </w:r>
      <w:proofErr w:type="spellStart"/>
      <w:r>
        <w:rPr>
          <w:rFonts w:eastAsia="Calibri"/>
          <w:color w:val="000000" w:themeColor="text1"/>
        </w:rPr>
        <w:t>tocilizumab</w:t>
      </w:r>
      <w:proofErr w:type="spellEnd"/>
      <w:r>
        <w:rPr>
          <w:rFonts w:eastAsia="Calibri"/>
          <w:color w:val="000000" w:themeColor="text1"/>
        </w:rPr>
        <w:t>.</w:t>
      </w:r>
    </w:p>
    <w:p w:rsidR="00A91C3A" w:rsidRPr="00A91C3A" w:rsidRDefault="00865625" w:rsidP="009722D0">
      <w:pPr>
        <w:pStyle w:val="ListParagraph"/>
        <w:numPr>
          <w:ilvl w:val="1"/>
          <w:numId w:val="1"/>
        </w:numPr>
        <w:spacing w:after="120"/>
        <w:ind w:left="720" w:hanging="720"/>
        <w:jc w:val="both"/>
        <w:rPr>
          <w:color w:val="000000" w:themeColor="text1"/>
        </w:rPr>
      </w:pPr>
      <w:r>
        <w:t xml:space="preserve">Treatment with </w:t>
      </w:r>
      <w:proofErr w:type="spellStart"/>
      <w:r>
        <w:t>tocilizumab</w:t>
      </w:r>
      <w:proofErr w:type="spellEnd"/>
      <w:r>
        <w:t xml:space="preserve"> (weekly and fortnightly) was associated with a statistically significantly lower median cumulative prednisone dose at Week 52 compared to the placebo plus 26-week and placebo plus 52-week prednisone taper groups.</w:t>
      </w:r>
    </w:p>
    <w:p w:rsidR="000C3FBF" w:rsidRPr="001E43CB" w:rsidRDefault="00A91C3A" w:rsidP="009722D0">
      <w:pPr>
        <w:pStyle w:val="ListParagraph"/>
        <w:numPr>
          <w:ilvl w:val="1"/>
          <w:numId w:val="1"/>
        </w:numPr>
        <w:spacing w:after="120"/>
        <w:ind w:left="720" w:hanging="720"/>
        <w:jc w:val="both"/>
        <w:rPr>
          <w:color w:val="000000" w:themeColor="text1"/>
        </w:rPr>
      </w:pPr>
      <w:r w:rsidRPr="00A91C3A">
        <w:t xml:space="preserve">Treatment with </w:t>
      </w:r>
      <w:proofErr w:type="spellStart"/>
      <w:r w:rsidRPr="00A91C3A">
        <w:t>tocilizumab</w:t>
      </w:r>
      <w:proofErr w:type="spellEnd"/>
      <w:r w:rsidRPr="00A91C3A">
        <w:t xml:space="preserve"> (weekly </w:t>
      </w:r>
      <w:r w:rsidR="008E6B8F">
        <w:t xml:space="preserve">or </w:t>
      </w:r>
      <w:r w:rsidRPr="00A91C3A">
        <w:t xml:space="preserve">fortnightly) was associated with larger improvements in the Patient’s Global Assessment assessed by visual analogue scale compared to the placebo plus 26-week and placebo plus 52-week prednisone taper groups. The differences between </w:t>
      </w:r>
      <w:r w:rsidR="00676E4C">
        <w:t xml:space="preserve">the </w:t>
      </w:r>
      <w:proofErr w:type="spellStart"/>
      <w:r w:rsidRPr="00A91C3A">
        <w:t>tocilizumab</w:t>
      </w:r>
      <w:proofErr w:type="spellEnd"/>
      <w:r w:rsidRPr="00A91C3A">
        <w:t xml:space="preserve"> fortnightly and placebo plus 26-week and 52-week prednisone taper arms were statistically significant.</w:t>
      </w:r>
      <w:r w:rsidR="002223FF" w:rsidRPr="002223FF">
        <w:t xml:space="preserve"> </w:t>
      </w:r>
      <w:r w:rsidR="002223FF" w:rsidRPr="001E43CB">
        <w:t>These results are shown in the table below</w:t>
      </w:r>
      <w:r w:rsidR="00355596" w:rsidRPr="001E43CB">
        <w:t>. N</w:t>
      </w:r>
      <w:r w:rsidR="002223FF" w:rsidRPr="001E43CB">
        <w:t>ote that lower scores indicate less severe disease activity.</w:t>
      </w:r>
    </w:p>
    <w:p w:rsidR="00D37A42" w:rsidRPr="006C1FB2" w:rsidRDefault="00D37A42" w:rsidP="00C46E06">
      <w:pPr>
        <w:pStyle w:val="Caption"/>
        <w:rPr>
          <w:rFonts w:ascii="Arial Narrow" w:hAnsi="Arial Narrow"/>
        </w:rPr>
      </w:pPr>
      <w:bookmarkStart w:id="18" w:name="_Toc518291487"/>
      <w:bookmarkStart w:id="19" w:name="_Toc518301123"/>
      <w:bookmarkStart w:id="20" w:name="_Toc518308866"/>
      <w:bookmarkStart w:id="21" w:name="_Toc518384538"/>
      <w:r w:rsidRPr="006C1FB2">
        <w:rPr>
          <w:rFonts w:ascii="Arial Narrow" w:hAnsi="Arial Narrow"/>
        </w:rPr>
        <w:t>Table 9</w:t>
      </w:r>
      <w:r w:rsidR="00161A51" w:rsidRPr="006C1FB2">
        <w:rPr>
          <w:rFonts w:ascii="Arial Narrow" w:hAnsi="Arial Narrow"/>
        </w:rPr>
        <w:t xml:space="preserve">:  </w:t>
      </w:r>
      <w:r w:rsidR="002223FF" w:rsidRPr="006C1FB2">
        <w:rPr>
          <w:rFonts w:ascii="Arial Narrow" w:hAnsi="Arial Narrow"/>
        </w:rPr>
        <w:t>Results for c</w:t>
      </w:r>
      <w:r w:rsidRPr="006C1FB2">
        <w:rPr>
          <w:rFonts w:ascii="Arial Narrow" w:hAnsi="Arial Narrow"/>
        </w:rPr>
        <w:t xml:space="preserve">hange from </w:t>
      </w:r>
      <w:r w:rsidR="002223FF" w:rsidRPr="006C1FB2">
        <w:rPr>
          <w:rFonts w:ascii="Arial Narrow" w:hAnsi="Arial Narrow"/>
        </w:rPr>
        <w:t>b</w:t>
      </w:r>
      <w:r w:rsidRPr="006C1FB2">
        <w:rPr>
          <w:rFonts w:ascii="Arial Narrow" w:hAnsi="Arial Narrow"/>
        </w:rPr>
        <w:t xml:space="preserve">aseline </w:t>
      </w:r>
      <w:r w:rsidR="002223FF" w:rsidRPr="006C1FB2">
        <w:rPr>
          <w:rFonts w:ascii="Arial Narrow" w:hAnsi="Arial Narrow"/>
        </w:rPr>
        <w:t xml:space="preserve">to Week 52 </w:t>
      </w:r>
      <w:r w:rsidRPr="006C1FB2">
        <w:rPr>
          <w:rFonts w:ascii="Arial Narrow" w:hAnsi="Arial Narrow"/>
        </w:rPr>
        <w:t xml:space="preserve">in Patient's Global VAS Assessment </w:t>
      </w:r>
      <w:bookmarkEnd w:id="18"/>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237"/>
        <w:gridCol w:w="1389"/>
        <w:gridCol w:w="1800"/>
        <w:gridCol w:w="1720"/>
      </w:tblGrid>
      <w:tr w:rsidR="00D37A42" w:rsidRPr="006C1FB2" w:rsidTr="007B241F">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rsidR="00D37A42" w:rsidRPr="006C1FB2" w:rsidRDefault="00D37A42" w:rsidP="00C46E06">
            <w:pPr>
              <w:pStyle w:val="TableHeadingRow"/>
              <w:spacing w:before="0" w:after="0"/>
              <w:jc w:val="center"/>
              <w:rPr>
                <w:rFonts w:ascii="Arial Narrow" w:hAnsi="Arial Narrow"/>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PBO  + 26 </w:t>
            </w:r>
            <w:proofErr w:type="spellStart"/>
            <w:r w:rsidRPr="006C1FB2">
              <w:rPr>
                <w:rFonts w:ascii="Arial Narrow" w:hAnsi="Arial Narrow"/>
              </w:rPr>
              <w:t>wk</w:t>
            </w:r>
            <w:proofErr w:type="spellEnd"/>
            <w:r w:rsidRPr="006C1FB2">
              <w:rPr>
                <w:rFonts w:ascii="Arial Narrow" w:hAnsi="Arial Narrow"/>
              </w:rPr>
              <w:t xml:space="preserve"> (N=50)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PBO + 52 </w:t>
            </w:r>
            <w:proofErr w:type="spellStart"/>
            <w:r w:rsidRPr="006C1FB2">
              <w:rPr>
                <w:rFonts w:ascii="Arial Narrow" w:hAnsi="Arial Narrow"/>
              </w:rPr>
              <w:t>wk</w:t>
            </w:r>
            <w:proofErr w:type="spellEnd"/>
          </w:p>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(N=51)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TCZ QW + 26 </w:t>
            </w:r>
            <w:proofErr w:type="spellStart"/>
            <w:r w:rsidRPr="006C1FB2">
              <w:rPr>
                <w:rFonts w:ascii="Arial Narrow" w:hAnsi="Arial Narrow"/>
              </w:rPr>
              <w:t>wk</w:t>
            </w:r>
            <w:proofErr w:type="spellEnd"/>
          </w:p>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(N=100)</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TCZ Q2W + 26 </w:t>
            </w:r>
            <w:proofErr w:type="spellStart"/>
            <w:r w:rsidRPr="006C1FB2">
              <w:rPr>
                <w:rFonts w:ascii="Arial Narrow" w:hAnsi="Arial Narrow"/>
              </w:rPr>
              <w:t>wk</w:t>
            </w:r>
            <w:proofErr w:type="spellEnd"/>
          </w:p>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(N=49)</w:t>
            </w:r>
          </w:p>
        </w:tc>
      </w:tr>
      <w:tr w:rsidR="00D37A42" w:rsidRPr="006C1FB2" w:rsidTr="007B241F">
        <w:tc>
          <w:tcPr>
            <w:tcW w:w="2960"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pPr>
            <w:r w:rsidRPr="006C1FB2">
              <w:t>n</w:t>
            </w:r>
          </w:p>
        </w:tc>
        <w:tc>
          <w:tcPr>
            <w:tcW w:w="1259"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34</w:t>
            </w:r>
          </w:p>
        </w:tc>
        <w:tc>
          <w:tcPr>
            <w:tcW w:w="1418"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42</w:t>
            </w:r>
          </w:p>
        </w:tc>
        <w:tc>
          <w:tcPr>
            <w:tcW w:w="1842"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88</w:t>
            </w:r>
          </w:p>
        </w:tc>
        <w:tc>
          <w:tcPr>
            <w:tcW w:w="1763"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46</w:t>
            </w:r>
          </w:p>
        </w:tc>
      </w:tr>
      <w:tr w:rsidR="00D37A42" w:rsidRPr="006C1FB2" w:rsidTr="007B241F">
        <w:tc>
          <w:tcPr>
            <w:tcW w:w="2960"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pPr>
            <w:r w:rsidRPr="006C1FB2">
              <w:t xml:space="preserve">Least Square Means </w:t>
            </w:r>
          </w:p>
        </w:tc>
        <w:tc>
          <w:tcPr>
            <w:tcW w:w="1259"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–3.4</w:t>
            </w:r>
          </w:p>
        </w:tc>
        <w:tc>
          <w:tcPr>
            <w:tcW w:w="1418"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–7.2</w:t>
            </w:r>
          </w:p>
        </w:tc>
        <w:tc>
          <w:tcPr>
            <w:tcW w:w="1842"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–19.0</w:t>
            </w:r>
          </w:p>
        </w:tc>
        <w:tc>
          <w:tcPr>
            <w:tcW w:w="1763"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center"/>
            </w:pPr>
            <w:r w:rsidRPr="006C1FB2">
              <w:t>–25.3</w:t>
            </w:r>
          </w:p>
        </w:tc>
      </w:tr>
      <w:tr w:rsidR="00D37A42" w:rsidRPr="006C1FB2" w:rsidTr="007B241F">
        <w:tc>
          <w:tcPr>
            <w:tcW w:w="9242" w:type="dxa"/>
            <w:gridSpan w:val="5"/>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rPr>
                <w:b/>
              </w:rPr>
            </w:pPr>
            <w:r w:rsidRPr="006C1FB2">
              <w:rPr>
                <w:b/>
              </w:rPr>
              <w:t>Differences in Least Square Means</w:t>
            </w:r>
          </w:p>
        </w:tc>
      </w:tr>
      <w:tr w:rsidR="00300CD8" w:rsidRPr="006C1FB2" w:rsidTr="007B241F">
        <w:tc>
          <w:tcPr>
            <w:tcW w:w="2960" w:type="dxa"/>
            <w:tcBorders>
              <w:top w:val="single" w:sz="4" w:space="0" w:color="auto"/>
              <w:left w:val="single" w:sz="4" w:space="0" w:color="auto"/>
              <w:right w:val="single" w:sz="4" w:space="0" w:color="auto"/>
            </w:tcBorders>
            <w:hideMark/>
          </w:tcPr>
          <w:p w:rsidR="00300CD8" w:rsidRPr="006C1FB2" w:rsidRDefault="00300CD8" w:rsidP="00C46E06">
            <w:pPr>
              <w:pStyle w:val="TableText1"/>
              <w:spacing w:before="0" w:after="0"/>
            </w:pPr>
            <w:r w:rsidRPr="006C1FB2">
              <w:t xml:space="preserve">vs PBO + 26 </w:t>
            </w:r>
            <w:proofErr w:type="spellStart"/>
            <w:r w:rsidRPr="006C1FB2">
              <w:t>wk</w:t>
            </w:r>
            <w:proofErr w:type="spellEnd"/>
            <w:r w:rsidRPr="006C1FB2">
              <w:t xml:space="preserve"> (99% CI)</w:t>
            </w:r>
          </w:p>
        </w:tc>
        <w:tc>
          <w:tcPr>
            <w:tcW w:w="1259" w:type="dxa"/>
            <w:tcBorders>
              <w:top w:val="nil"/>
              <w:left w:val="single" w:sz="4" w:space="0" w:color="auto"/>
              <w:bottom w:val="nil"/>
              <w:right w:val="nil"/>
            </w:tcBorders>
            <w:hideMark/>
          </w:tcPr>
          <w:p w:rsidR="00300CD8" w:rsidRPr="006C1FB2" w:rsidRDefault="00300CD8" w:rsidP="00C46E06">
            <w:pPr>
              <w:pStyle w:val="TableText1"/>
              <w:spacing w:before="0" w:after="0"/>
              <w:jc w:val="center"/>
            </w:pPr>
          </w:p>
        </w:tc>
        <w:tc>
          <w:tcPr>
            <w:tcW w:w="1418" w:type="dxa"/>
            <w:tcBorders>
              <w:top w:val="nil"/>
              <w:left w:val="nil"/>
              <w:bottom w:val="nil"/>
              <w:right w:val="single" w:sz="4" w:space="0" w:color="auto"/>
            </w:tcBorders>
          </w:tcPr>
          <w:p w:rsidR="00300CD8" w:rsidRPr="006C1FB2" w:rsidRDefault="00300CD8" w:rsidP="00C46E06">
            <w:pPr>
              <w:pStyle w:val="TableText1"/>
              <w:spacing w:before="0" w:after="0"/>
              <w:jc w:val="center"/>
            </w:pPr>
          </w:p>
        </w:tc>
        <w:tc>
          <w:tcPr>
            <w:tcW w:w="1842" w:type="dxa"/>
            <w:tcBorders>
              <w:top w:val="single" w:sz="4" w:space="0" w:color="auto"/>
              <w:left w:val="single" w:sz="4" w:space="0" w:color="auto"/>
              <w:right w:val="single" w:sz="4" w:space="0" w:color="auto"/>
            </w:tcBorders>
            <w:hideMark/>
          </w:tcPr>
          <w:p w:rsidR="00300CD8" w:rsidRPr="006C1FB2" w:rsidRDefault="00300CD8" w:rsidP="00C46E06">
            <w:pPr>
              <w:pStyle w:val="TableText1"/>
              <w:spacing w:before="0" w:after="0"/>
              <w:jc w:val="center"/>
            </w:pPr>
            <w:r w:rsidRPr="006C1FB2">
              <w:t>–15.6 (–34.3,</w:t>
            </w:r>
            <w:r w:rsidR="002223FF" w:rsidRPr="006C1FB2">
              <w:t xml:space="preserve"> </w:t>
            </w:r>
            <w:r w:rsidRPr="006C1FB2">
              <w:t>3.1)</w:t>
            </w:r>
          </w:p>
        </w:tc>
        <w:tc>
          <w:tcPr>
            <w:tcW w:w="1763" w:type="dxa"/>
            <w:tcBorders>
              <w:top w:val="single" w:sz="4" w:space="0" w:color="auto"/>
              <w:left w:val="single" w:sz="4" w:space="0" w:color="auto"/>
              <w:right w:val="single" w:sz="4" w:space="0" w:color="auto"/>
            </w:tcBorders>
            <w:hideMark/>
          </w:tcPr>
          <w:p w:rsidR="00300CD8" w:rsidRPr="006C1FB2" w:rsidRDefault="00300CD8" w:rsidP="00C46E06">
            <w:pPr>
              <w:pStyle w:val="TableText1"/>
              <w:spacing w:before="0" w:after="0"/>
              <w:jc w:val="center"/>
            </w:pPr>
            <w:r w:rsidRPr="006C1FB2">
              <w:t>–21.9 (–42.4,</w:t>
            </w:r>
            <w:r w:rsidR="002223FF" w:rsidRPr="006C1FB2">
              <w:t xml:space="preserve"> </w:t>
            </w:r>
            <w:r w:rsidRPr="006C1FB2">
              <w:t>–1.4)</w:t>
            </w:r>
          </w:p>
        </w:tc>
      </w:tr>
      <w:tr w:rsidR="00D37A42" w:rsidRPr="006C1FB2" w:rsidTr="007B241F">
        <w:tc>
          <w:tcPr>
            <w:tcW w:w="2960"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right"/>
            </w:pPr>
            <w:r w:rsidRPr="006C1FB2">
              <w:t>P-value</w:t>
            </w:r>
          </w:p>
        </w:tc>
        <w:tc>
          <w:tcPr>
            <w:tcW w:w="1259" w:type="dxa"/>
            <w:tcBorders>
              <w:top w:val="nil"/>
              <w:left w:val="single" w:sz="4" w:space="0" w:color="auto"/>
              <w:bottom w:val="single" w:sz="4" w:space="0" w:color="auto"/>
              <w:right w:val="nil"/>
            </w:tcBorders>
          </w:tcPr>
          <w:p w:rsidR="00D37A42" w:rsidRPr="006C1FB2" w:rsidRDefault="00D37A42" w:rsidP="00C46E06">
            <w:pPr>
              <w:pStyle w:val="TableText1"/>
              <w:spacing w:before="0" w:after="0"/>
              <w:jc w:val="center"/>
            </w:pPr>
          </w:p>
        </w:tc>
        <w:tc>
          <w:tcPr>
            <w:tcW w:w="1418" w:type="dxa"/>
            <w:tcBorders>
              <w:top w:val="nil"/>
              <w:left w:val="nil"/>
              <w:bottom w:val="single" w:sz="4" w:space="0" w:color="auto"/>
              <w:right w:val="single" w:sz="4" w:space="0" w:color="auto"/>
            </w:tcBorders>
          </w:tcPr>
          <w:p w:rsidR="00D37A42" w:rsidRPr="006C1FB2" w:rsidRDefault="00D37A42" w:rsidP="00C46E06">
            <w:pPr>
              <w:pStyle w:val="TableText1"/>
              <w:spacing w:before="0" w:after="0"/>
              <w:jc w:val="center"/>
            </w:pPr>
          </w:p>
        </w:tc>
        <w:tc>
          <w:tcPr>
            <w:tcW w:w="1842" w:type="dxa"/>
            <w:tcBorders>
              <w:top w:val="single" w:sz="4" w:space="0" w:color="auto"/>
              <w:left w:val="single" w:sz="4" w:space="0" w:color="auto"/>
              <w:bottom w:val="single" w:sz="4" w:space="0" w:color="auto"/>
              <w:right w:val="single" w:sz="4" w:space="0" w:color="auto"/>
            </w:tcBorders>
            <w:hideMark/>
          </w:tcPr>
          <w:p w:rsidR="00D37A42" w:rsidRPr="006C1FB2" w:rsidRDefault="00161A51" w:rsidP="00C46E06">
            <w:pPr>
              <w:pStyle w:val="TableText1"/>
              <w:spacing w:before="0" w:after="0"/>
              <w:jc w:val="center"/>
            </w:pPr>
            <w:r w:rsidRPr="006C1FB2">
              <w:t xml:space="preserve">p = </w:t>
            </w:r>
            <w:r w:rsidR="00D37A42" w:rsidRPr="006C1FB2">
              <w:t>0.0312</w:t>
            </w:r>
          </w:p>
        </w:tc>
        <w:tc>
          <w:tcPr>
            <w:tcW w:w="1763" w:type="dxa"/>
            <w:tcBorders>
              <w:top w:val="single" w:sz="4" w:space="0" w:color="auto"/>
              <w:left w:val="single" w:sz="4" w:space="0" w:color="auto"/>
              <w:bottom w:val="single" w:sz="4" w:space="0" w:color="auto"/>
              <w:right w:val="single" w:sz="4" w:space="0" w:color="auto"/>
            </w:tcBorders>
            <w:hideMark/>
          </w:tcPr>
          <w:p w:rsidR="00D37A42" w:rsidRPr="006C1FB2" w:rsidRDefault="00161A51" w:rsidP="00C46E06">
            <w:pPr>
              <w:pStyle w:val="TableText1"/>
              <w:spacing w:before="0" w:after="0"/>
              <w:jc w:val="center"/>
            </w:pPr>
            <w:r w:rsidRPr="006C1FB2">
              <w:t xml:space="preserve">p = </w:t>
            </w:r>
            <w:r w:rsidR="00D37A42" w:rsidRPr="006C1FB2">
              <w:t>0.0059</w:t>
            </w:r>
          </w:p>
        </w:tc>
      </w:tr>
      <w:tr w:rsidR="00161A51" w:rsidRPr="006C1FB2" w:rsidTr="007B241F">
        <w:tc>
          <w:tcPr>
            <w:tcW w:w="2960" w:type="dxa"/>
            <w:tcBorders>
              <w:top w:val="single" w:sz="4" w:space="0" w:color="auto"/>
              <w:left w:val="single" w:sz="4" w:space="0" w:color="auto"/>
              <w:right w:val="single" w:sz="4" w:space="0" w:color="auto"/>
            </w:tcBorders>
            <w:hideMark/>
          </w:tcPr>
          <w:p w:rsidR="00161A51" w:rsidRPr="006C1FB2" w:rsidRDefault="00161A51" w:rsidP="00C46E06">
            <w:pPr>
              <w:pStyle w:val="TableText1"/>
              <w:spacing w:before="0" w:after="0"/>
            </w:pPr>
            <w:r w:rsidRPr="006C1FB2">
              <w:t xml:space="preserve">vs PBO + 52 </w:t>
            </w:r>
            <w:proofErr w:type="spellStart"/>
            <w:r w:rsidRPr="006C1FB2">
              <w:t>wk</w:t>
            </w:r>
            <w:proofErr w:type="spellEnd"/>
            <w:r w:rsidRPr="006C1FB2">
              <w:t xml:space="preserve"> (99% CI)</w:t>
            </w:r>
          </w:p>
        </w:tc>
        <w:tc>
          <w:tcPr>
            <w:tcW w:w="1259" w:type="dxa"/>
            <w:tcBorders>
              <w:top w:val="single" w:sz="4" w:space="0" w:color="auto"/>
              <w:left w:val="single" w:sz="4" w:space="0" w:color="auto"/>
              <w:bottom w:val="nil"/>
              <w:right w:val="nil"/>
            </w:tcBorders>
            <w:hideMark/>
          </w:tcPr>
          <w:p w:rsidR="00161A51" w:rsidRPr="006C1FB2" w:rsidRDefault="00161A51" w:rsidP="00C46E06">
            <w:pPr>
              <w:pStyle w:val="TableText1"/>
              <w:spacing w:before="0" w:after="0"/>
              <w:jc w:val="center"/>
            </w:pPr>
          </w:p>
        </w:tc>
        <w:tc>
          <w:tcPr>
            <w:tcW w:w="1418" w:type="dxa"/>
            <w:tcBorders>
              <w:top w:val="single" w:sz="4" w:space="0" w:color="auto"/>
              <w:left w:val="nil"/>
              <w:bottom w:val="nil"/>
              <w:right w:val="single" w:sz="4" w:space="0" w:color="auto"/>
            </w:tcBorders>
          </w:tcPr>
          <w:p w:rsidR="00161A51" w:rsidRPr="006C1FB2" w:rsidRDefault="00161A51" w:rsidP="00C46E06">
            <w:pPr>
              <w:pStyle w:val="TableText1"/>
              <w:spacing w:before="0" w:after="0"/>
              <w:jc w:val="center"/>
            </w:pPr>
          </w:p>
        </w:tc>
        <w:tc>
          <w:tcPr>
            <w:tcW w:w="1842" w:type="dxa"/>
            <w:tcBorders>
              <w:top w:val="single" w:sz="4" w:space="0" w:color="auto"/>
              <w:left w:val="single" w:sz="4" w:space="0" w:color="auto"/>
              <w:right w:val="single" w:sz="4" w:space="0" w:color="auto"/>
            </w:tcBorders>
            <w:hideMark/>
          </w:tcPr>
          <w:p w:rsidR="00161A51" w:rsidRPr="006C1FB2" w:rsidRDefault="00161A51" w:rsidP="00C46E06">
            <w:pPr>
              <w:pStyle w:val="TableText1"/>
              <w:spacing w:before="0" w:after="0"/>
              <w:jc w:val="center"/>
            </w:pPr>
            <w:r w:rsidRPr="006C1FB2">
              <w:t>–11.8 (–27.2,</w:t>
            </w:r>
            <w:r w:rsidR="002223FF" w:rsidRPr="006C1FB2">
              <w:t xml:space="preserve"> </w:t>
            </w:r>
            <w:r w:rsidRPr="006C1FB2">
              <w:t>3.6)</w:t>
            </w:r>
          </w:p>
        </w:tc>
        <w:tc>
          <w:tcPr>
            <w:tcW w:w="1763" w:type="dxa"/>
            <w:tcBorders>
              <w:top w:val="single" w:sz="4" w:space="0" w:color="auto"/>
              <w:left w:val="single" w:sz="4" w:space="0" w:color="auto"/>
              <w:right w:val="single" w:sz="4" w:space="0" w:color="auto"/>
            </w:tcBorders>
            <w:hideMark/>
          </w:tcPr>
          <w:p w:rsidR="00161A51" w:rsidRPr="006C1FB2" w:rsidRDefault="00161A51" w:rsidP="00C46E06">
            <w:pPr>
              <w:pStyle w:val="TableText1"/>
              <w:spacing w:before="0" w:after="0"/>
              <w:jc w:val="center"/>
            </w:pPr>
            <w:r w:rsidRPr="006C1FB2">
              <w:t>–18.2 (–35.8,</w:t>
            </w:r>
            <w:r w:rsidR="002223FF" w:rsidRPr="006C1FB2">
              <w:t xml:space="preserve"> </w:t>
            </w:r>
            <w:r w:rsidRPr="006C1FB2">
              <w:t>–0.5)</w:t>
            </w:r>
          </w:p>
        </w:tc>
      </w:tr>
      <w:tr w:rsidR="00D37A42" w:rsidRPr="006C1FB2" w:rsidTr="007B241F">
        <w:tc>
          <w:tcPr>
            <w:tcW w:w="2960" w:type="dxa"/>
            <w:tcBorders>
              <w:top w:val="single" w:sz="4" w:space="0" w:color="auto"/>
              <w:left w:val="single" w:sz="4" w:space="0" w:color="auto"/>
              <w:bottom w:val="single" w:sz="4" w:space="0" w:color="auto"/>
              <w:right w:val="single" w:sz="4" w:space="0" w:color="auto"/>
            </w:tcBorders>
            <w:hideMark/>
          </w:tcPr>
          <w:p w:rsidR="00D37A42" w:rsidRPr="006C1FB2" w:rsidRDefault="00D37A42" w:rsidP="00C46E06">
            <w:pPr>
              <w:pStyle w:val="TableText1"/>
              <w:spacing w:before="0" w:after="0"/>
              <w:jc w:val="right"/>
            </w:pPr>
            <w:r w:rsidRPr="006C1FB2">
              <w:t>P-value</w:t>
            </w:r>
          </w:p>
        </w:tc>
        <w:tc>
          <w:tcPr>
            <w:tcW w:w="1259" w:type="dxa"/>
            <w:tcBorders>
              <w:top w:val="nil"/>
              <w:left w:val="single" w:sz="4" w:space="0" w:color="auto"/>
              <w:bottom w:val="single" w:sz="4" w:space="0" w:color="auto"/>
              <w:right w:val="nil"/>
            </w:tcBorders>
          </w:tcPr>
          <w:p w:rsidR="00D37A42" w:rsidRPr="006C1FB2" w:rsidRDefault="00D37A42" w:rsidP="00C46E06">
            <w:pPr>
              <w:pStyle w:val="TableText1"/>
              <w:spacing w:before="0" w:after="0"/>
              <w:jc w:val="center"/>
            </w:pPr>
          </w:p>
        </w:tc>
        <w:tc>
          <w:tcPr>
            <w:tcW w:w="1418" w:type="dxa"/>
            <w:tcBorders>
              <w:top w:val="nil"/>
              <w:left w:val="nil"/>
              <w:bottom w:val="single" w:sz="4" w:space="0" w:color="auto"/>
              <w:right w:val="single" w:sz="4" w:space="0" w:color="auto"/>
            </w:tcBorders>
          </w:tcPr>
          <w:p w:rsidR="00D37A42" w:rsidRPr="006C1FB2" w:rsidRDefault="00D37A42" w:rsidP="00C46E06">
            <w:pPr>
              <w:pStyle w:val="TableText1"/>
              <w:spacing w:before="0" w:after="0"/>
              <w:jc w:val="center"/>
            </w:pPr>
          </w:p>
        </w:tc>
        <w:tc>
          <w:tcPr>
            <w:tcW w:w="1842" w:type="dxa"/>
            <w:tcBorders>
              <w:top w:val="single" w:sz="4" w:space="0" w:color="auto"/>
              <w:left w:val="single" w:sz="4" w:space="0" w:color="auto"/>
              <w:bottom w:val="single" w:sz="4" w:space="0" w:color="auto"/>
              <w:right w:val="single" w:sz="4" w:space="0" w:color="auto"/>
            </w:tcBorders>
            <w:hideMark/>
          </w:tcPr>
          <w:p w:rsidR="00D37A42" w:rsidRPr="006C1FB2" w:rsidRDefault="00161A51" w:rsidP="00C46E06">
            <w:pPr>
              <w:pStyle w:val="TableText1"/>
              <w:spacing w:before="0" w:after="0"/>
              <w:jc w:val="center"/>
            </w:pPr>
            <w:r w:rsidRPr="006C1FB2">
              <w:t xml:space="preserve">p = </w:t>
            </w:r>
            <w:r w:rsidR="00D37A42" w:rsidRPr="006C1FB2">
              <w:t>0.0476</w:t>
            </w:r>
          </w:p>
        </w:tc>
        <w:tc>
          <w:tcPr>
            <w:tcW w:w="1763" w:type="dxa"/>
            <w:tcBorders>
              <w:top w:val="single" w:sz="4" w:space="0" w:color="auto"/>
              <w:left w:val="single" w:sz="4" w:space="0" w:color="auto"/>
              <w:bottom w:val="single" w:sz="4" w:space="0" w:color="auto"/>
              <w:right w:val="single" w:sz="4" w:space="0" w:color="auto"/>
            </w:tcBorders>
            <w:hideMark/>
          </w:tcPr>
          <w:p w:rsidR="00D37A42" w:rsidRPr="006C1FB2" w:rsidRDefault="00161A51" w:rsidP="00C46E06">
            <w:pPr>
              <w:pStyle w:val="TableText1"/>
              <w:spacing w:before="0" w:after="0"/>
              <w:jc w:val="center"/>
            </w:pPr>
            <w:r w:rsidRPr="006C1FB2">
              <w:t xml:space="preserve">p = </w:t>
            </w:r>
            <w:r w:rsidR="00D37A42" w:rsidRPr="006C1FB2">
              <w:t>0.0081</w:t>
            </w:r>
          </w:p>
        </w:tc>
      </w:tr>
    </w:tbl>
    <w:p w:rsidR="00D37A42" w:rsidRPr="006C1FB2" w:rsidRDefault="00D37A42" w:rsidP="00C46E06">
      <w:pPr>
        <w:pStyle w:val="TableNotes"/>
        <w:spacing w:after="0"/>
        <w:rPr>
          <w:rFonts w:ascii="Arial Narrow" w:hAnsi="Arial Narrow"/>
          <w:sz w:val="18"/>
          <w:szCs w:val="18"/>
        </w:rPr>
      </w:pPr>
      <w:r w:rsidRPr="006C1FB2">
        <w:rPr>
          <w:rFonts w:ascii="Arial Narrow" w:hAnsi="Arial Narrow"/>
          <w:sz w:val="18"/>
          <w:szCs w:val="18"/>
        </w:rPr>
        <w:t xml:space="preserve">Source: Table 31, p. 130, </w:t>
      </w:r>
      <w:proofErr w:type="spellStart"/>
      <w:r w:rsidRPr="006C1FB2">
        <w:rPr>
          <w:rFonts w:ascii="Arial Narrow" w:hAnsi="Arial Narrow"/>
          <w:sz w:val="18"/>
          <w:szCs w:val="18"/>
        </w:rPr>
        <w:t>GiACTA</w:t>
      </w:r>
      <w:proofErr w:type="spellEnd"/>
      <w:r w:rsidRPr="006C1FB2">
        <w:rPr>
          <w:rFonts w:ascii="Arial Narrow" w:hAnsi="Arial Narrow"/>
          <w:sz w:val="18"/>
          <w:szCs w:val="18"/>
        </w:rPr>
        <w:t xml:space="preserve"> CSR</w:t>
      </w:r>
    </w:p>
    <w:p w:rsidR="002223FF" w:rsidRPr="006C1FB2" w:rsidRDefault="002223FF" w:rsidP="00C46E06">
      <w:pPr>
        <w:jc w:val="both"/>
        <w:rPr>
          <w:rFonts w:ascii="Arial Narrow" w:hAnsi="Arial Narrow"/>
          <w:color w:val="000000" w:themeColor="text1"/>
          <w:sz w:val="18"/>
          <w:szCs w:val="18"/>
        </w:rPr>
      </w:pPr>
      <w:r w:rsidRPr="006C1FB2">
        <w:rPr>
          <w:rFonts w:ascii="Arial Narrow" w:hAnsi="Arial Narrow"/>
          <w:color w:val="000000" w:themeColor="text1"/>
          <w:sz w:val="18"/>
          <w:szCs w:val="18"/>
        </w:rPr>
        <w:t xml:space="preserve">Abbreviations: CI, confidence interval; PBO, placebo; TCZ, </w:t>
      </w:r>
      <w:proofErr w:type="spellStart"/>
      <w:r w:rsidRPr="006C1FB2">
        <w:rPr>
          <w:rFonts w:ascii="Arial Narrow" w:hAnsi="Arial Narrow"/>
          <w:color w:val="000000" w:themeColor="text1"/>
          <w:sz w:val="18"/>
          <w:szCs w:val="18"/>
        </w:rPr>
        <w:t>tocilizumab</w:t>
      </w:r>
      <w:proofErr w:type="spellEnd"/>
      <w:r w:rsidRPr="006C1FB2">
        <w:rPr>
          <w:rFonts w:ascii="Arial Narrow" w:hAnsi="Arial Narrow"/>
          <w:color w:val="000000" w:themeColor="text1"/>
          <w:sz w:val="18"/>
          <w:szCs w:val="18"/>
        </w:rPr>
        <w:t>.</w:t>
      </w:r>
    </w:p>
    <w:p w:rsidR="00D37A42" w:rsidRPr="006C1FB2" w:rsidRDefault="00D37A42" w:rsidP="00C46E06">
      <w:pPr>
        <w:jc w:val="both"/>
        <w:rPr>
          <w:rFonts w:ascii="Arial Narrow" w:hAnsi="Arial Narrow"/>
          <w:sz w:val="18"/>
          <w:szCs w:val="18"/>
        </w:rPr>
      </w:pPr>
      <w:r w:rsidRPr="006C1FB2">
        <w:rPr>
          <w:rFonts w:ascii="Arial Narrow" w:hAnsi="Arial Narrow"/>
          <w:sz w:val="18"/>
          <w:szCs w:val="18"/>
        </w:rPr>
        <w:t xml:space="preserve">Notes: Repeated measures model used for analysis included the following covariates and interactions: treatment, starting prednisone dose (&lt;=30mg/day, &gt;30mg/day), visit, treatment-by-visit interaction, starting dose-by-visit interaction, baseline score and baseline score-by-visit interaction. </w:t>
      </w:r>
      <w:proofErr w:type="gramStart"/>
      <w:r w:rsidRPr="006C1FB2">
        <w:rPr>
          <w:rFonts w:ascii="Arial Narrow" w:hAnsi="Arial Narrow"/>
          <w:sz w:val="18"/>
          <w:szCs w:val="18"/>
        </w:rPr>
        <w:t>n</w:t>
      </w:r>
      <w:proofErr w:type="gramEnd"/>
      <w:r w:rsidRPr="006C1FB2">
        <w:rPr>
          <w:rFonts w:ascii="Arial Narrow" w:hAnsi="Arial Narrow"/>
          <w:sz w:val="18"/>
          <w:szCs w:val="18"/>
        </w:rPr>
        <w:t xml:space="preserve"> represents patients included in the model.</w:t>
      </w:r>
    </w:p>
    <w:p w:rsidR="00A91C3A" w:rsidRPr="00A91C3A" w:rsidRDefault="00A91C3A" w:rsidP="00C46E06">
      <w:pPr>
        <w:jc w:val="both"/>
        <w:rPr>
          <w:color w:val="000000" w:themeColor="text1"/>
        </w:rPr>
      </w:pPr>
    </w:p>
    <w:p w:rsidR="000C3FBF" w:rsidRDefault="00A91C3A" w:rsidP="000A734B">
      <w:pPr>
        <w:pStyle w:val="ListParagraph"/>
        <w:numPr>
          <w:ilvl w:val="1"/>
          <w:numId w:val="1"/>
        </w:numPr>
        <w:spacing w:after="240"/>
        <w:ind w:left="720" w:hanging="720"/>
        <w:jc w:val="both"/>
      </w:pPr>
      <w:r w:rsidRPr="00A91C3A">
        <w:t xml:space="preserve">There were no statistically significant differences between the </w:t>
      </w:r>
      <w:proofErr w:type="spellStart"/>
      <w:r w:rsidRPr="00A91C3A">
        <w:t>tocilizumab</w:t>
      </w:r>
      <w:proofErr w:type="spellEnd"/>
      <w:r w:rsidRPr="00A91C3A">
        <w:t xml:space="preserve"> groups and the placebo groups for the change from baseline in the SF-36 mental component </w:t>
      </w:r>
      <w:r w:rsidRPr="00A91C3A">
        <w:lastRenderedPageBreak/>
        <w:t xml:space="preserve">score. A statistically significant difference between groups was observed in the </w:t>
      </w:r>
      <w:proofErr w:type="spellStart"/>
      <w:r w:rsidRPr="00A91C3A">
        <w:t>tocilizumab</w:t>
      </w:r>
      <w:proofErr w:type="spellEnd"/>
      <w:r w:rsidRPr="00A91C3A">
        <w:t xml:space="preserve"> weekly group compared to the placebo plus</w:t>
      </w:r>
      <w:r w:rsidR="00676E4C">
        <w:t xml:space="preserve"> 52-week prednisone taper group for the SF-36 physical component score.</w:t>
      </w:r>
    </w:p>
    <w:p w:rsidR="00D37A42" w:rsidRPr="006C1FB2" w:rsidRDefault="00D37A42" w:rsidP="00C46E06">
      <w:pPr>
        <w:pStyle w:val="Caption"/>
        <w:rPr>
          <w:rFonts w:ascii="Arial Narrow" w:hAnsi="Arial Narrow"/>
          <w:szCs w:val="20"/>
        </w:rPr>
      </w:pPr>
      <w:bookmarkStart w:id="22" w:name="_Ref517258439"/>
      <w:bookmarkStart w:id="23" w:name="_Toc518291488"/>
      <w:bookmarkStart w:id="24" w:name="_Toc518301124"/>
      <w:bookmarkStart w:id="25" w:name="_Toc518308867"/>
      <w:bookmarkStart w:id="26" w:name="_Toc518384539"/>
      <w:r w:rsidRPr="006C1FB2">
        <w:rPr>
          <w:rFonts w:ascii="Arial Narrow" w:hAnsi="Arial Narrow"/>
          <w:szCs w:val="20"/>
        </w:rPr>
        <w:t xml:space="preserve">Table </w:t>
      </w:r>
      <w:bookmarkEnd w:id="22"/>
      <w:r w:rsidRPr="006C1FB2">
        <w:rPr>
          <w:rFonts w:ascii="Arial Narrow" w:hAnsi="Arial Narrow"/>
          <w:szCs w:val="20"/>
        </w:rPr>
        <w:t>10</w:t>
      </w:r>
      <w:r w:rsidR="00161A51" w:rsidRPr="006C1FB2">
        <w:rPr>
          <w:rFonts w:ascii="Arial Narrow" w:hAnsi="Arial Narrow"/>
          <w:szCs w:val="20"/>
        </w:rPr>
        <w:t xml:space="preserve">: </w:t>
      </w:r>
      <w:r w:rsidRPr="006C1FB2">
        <w:rPr>
          <w:rFonts w:ascii="Arial Narrow" w:hAnsi="Arial Narrow"/>
          <w:szCs w:val="20"/>
        </w:rPr>
        <w:t xml:space="preserve">Change from Baseline </w:t>
      </w:r>
      <w:r w:rsidR="002223FF" w:rsidRPr="006C1FB2">
        <w:rPr>
          <w:rFonts w:ascii="Arial Narrow" w:hAnsi="Arial Narrow"/>
          <w:szCs w:val="20"/>
        </w:rPr>
        <w:t xml:space="preserve">to Week 52 </w:t>
      </w:r>
      <w:r w:rsidRPr="006C1FB2">
        <w:rPr>
          <w:rFonts w:ascii="Arial Narrow" w:hAnsi="Arial Narrow"/>
          <w:szCs w:val="20"/>
        </w:rPr>
        <w:t xml:space="preserve">in SF-36 Mental and Physical Component Score </w:t>
      </w:r>
      <w:bookmarkEnd w:id="23"/>
      <w:bookmarkEnd w:id="24"/>
      <w:bookmarkEnd w:id="25"/>
      <w:bookmarkEnd w:id="26"/>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245"/>
        <w:gridCol w:w="1276"/>
        <w:gridCol w:w="1984"/>
        <w:gridCol w:w="1844"/>
      </w:tblGrid>
      <w:tr w:rsidR="00D37A42"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D37A42" w:rsidRPr="006C1FB2" w:rsidRDefault="00D37A42" w:rsidP="00C46E06">
            <w:pPr>
              <w:pStyle w:val="TableHeadingRow"/>
              <w:spacing w:before="0" w:after="0"/>
              <w:rPr>
                <w:rFonts w:ascii="Arial Narrow" w:hAnsi="Arial Narrow"/>
              </w:rPr>
            </w:pPr>
            <w:r w:rsidRPr="006C1FB2">
              <w:rPr>
                <w:rFonts w:ascii="Arial Narrow" w:hAnsi="Arial Narrow"/>
              </w:rPr>
              <w:t>Change from baseline at Week 52</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PBO + 26 </w:t>
            </w:r>
            <w:proofErr w:type="spellStart"/>
            <w:r w:rsidRPr="006C1FB2">
              <w:rPr>
                <w:rFonts w:ascii="Arial Narrow" w:hAnsi="Arial Narrow"/>
              </w:rPr>
              <w:t>wk</w:t>
            </w:r>
            <w:proofErr w:type="spellEnd"/>
            <w:r w:rsidRPr="006C1FB2">
              <w:rPr>
                <w:rFonts w:ascii="Arial Narrow" w:hAnsi="Arial Narrow"/>
              </w:rPr>
              <w:t xml:space="preserve"> (n=50)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PBO + 52 </w:t>
            </w:r>
            <w:proofErr w:type="spellStart"/>
            <w:r w:rsidRPr="006C1FB2">
              <w:rPr>
                <w:rFonts w:ascii="Arial Narrow" w:hAnsi="Arial Narrow"/>
              </w:rPr>
              <w:t>wk</w:t>
            </w:r>
            <w:proofErr w:type="spellEnd"/>
            <w:r w:rsidRPr="006C1FB2">
              <w:rPr>
                <w:rFonts w:ascii="Arial Narrow" w:hAnsi="Arial Narrow"/>
              </w:rPr>
              <w:t xml:space="preserve"> (n=51)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TCZ QW + 26 </w:t>
            </w:r>
            <w:proofErr w:type="spellStart"/>
            <w:r w:rsidRPr="006C1FB2">
              <w:rPr>
                <w:rFonts w:ascii="Arial Narrow" w:hAnsi="Arial Narrow"/>
              </w:rPr>
              <w:t>wk</w:t>
            </w:r>
            <w:proofErr w:type="spellEnd"/>
          </w:p>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(n=100)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 xml:space="preserve">TCZ Q2W + 26 </w:t>
            </w:r>
            <w:proofErr w:type="spellStart"/>
            <w:r w:rsidRPr="006C1FB2">
              <w:rPr>
                <w:rFonts w:ascii="Arial Narrow" w:hAnsi="Arial Narrow"/>
              </w:rPr>
              <w:t>wk</w:t>
            </w:r>
            <w:proofErr w:type="spellEnd"/>
          </w:p>
          <w:p w:rsidR="00D37A42" w:rsidRPr="006C1FB2" w:rsidRDefault="00D37A42" w:rsidP="00C46E06">
            <w:pPr>
              <w:pStyle w:val="TableHeadingRow"/>
              <w:spacing w:before="0" w:after="0"/>
              <w:jc w:val="center"/>
              <w:rPr>
                <w:rFonts w:ascii="Arial Narrow" w:hAnsi="Arial Narrow"/>
              </w:rPr>
            </w:pPr>
            <w:r w:rsidRPr="006C1FB2">
              <w:rPr>
                <w:rFonts w:ascii="Arial Narrow" w:hAnsi="Arial Narrow"/>
              </w:rPr>
              <w:t>(n=49)</w:t>
            </w:r>
          </w:p>
        </w:tc>
      </w:tr>
      <w:tr w:rsidR="0095249F"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95249F" w:rsidRPr="006C1FB2" w:rsidRDefault="0095249F" w:rsidP="00C46E06">
            <w:pPr>
              <w:pStyle w:val="TableHeadingRow"/>
              <w:spacing w:before="0" w:after="0"/>
              <w:rPr>
                <w:rFonts w:ascii="Arial Narrow" w:hAnsi="Arial Narrow"/>
              </w:rPr>
            </w:pPr>
            <w:r w:rsidRPr="006C1FB2">
              <w:rPr>
                <w:rFonts w:ascii="Arial Narrow" w:hAnsi="Arial Narrow"/>
              </w:rPr>
              <w:t>n (respondents)</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95249F" w:rsidRPr="006C1FB2" w:rsidRDefault="0095249F" w:rsidP="00C46E06">
            <w:pPr>
              <w:pStyle w:val="TableHeadingRow"/>
              <w:spacing w:before="0" w:after="0"/>
              <w:jc w:val="center"/>
              <w:rPr>
                <w:rFonts w:ascii="Arial Narrow" w:hAnsi="Arial Narrow"/>
                <w:b w:val="0"/>
              </w:rPr>
            </w:pPr>
            <w:r w:rsidRPr="006C1FB2">
              <w:rPr>
                <w:rFonts w:ascii="Arial Narrow" w:hAnsi="Arial Narrow"/>
                <w:b w:val="0"/>
              </w:rPr>
              <w:t>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5249F" w:rsidRPr="006C1FB2" w:rsidRDefault="0095249F" w:rsidP="00C46E06">
            <w:pPr>
              <w:pStyle w:val="TableHeadingRow"/>
              <w:spacing w:before="0" w:after="0"/>
              <w:jc w:val="center"/>
              <w:rPr>
                <w:rFonts w:ascii="Arial Narrow" w:hAnsi="Arial Narrow"/>
                <w:b w:val="0"/>
              </w:rPr>
            </w:pPr>
            <w:r w:rsidRPr="006C1FB2">
              <w:rPr>
                <w:rFonts w:ascii="Arial Narrow" w:hAnsi="Arial Narrow"/>
                <w:b w:val="0"/>
              </w:rPr>
              <w:t>41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5249F" w:rsidRPr="006C1FB2" w:rsidRDefault="0095249F" w:rsidP="00C46E06">
            <w:pPr>
              <w:pStyle w:val="TableHeadingRow"/>
              <w:spacing w:before="0" w:after="0"/>
              <w:jc w:val="center"/>
              <w:rPr>
                <w:rFonts w:ascii="Arial Narrow" w:hAnsi="Arial Narrow"/>
                <w:b w:val="0"/>
              </w:rPr>
            </w:pPr>
            <w:r w:rsidRPr="006C1FB2">
              <w:rPr>
                <w:rFonts w:ascii="Arial Narrow" w:hAnsi="Arial Narrow"/>
                <w:b w:val="0"/>
              </w:rPr>
              <w:t>85</w:t>
            </w:r>
          </w:p>
        </w:tc>
        <w:tc>
          <w:tcPr>
            <w:tcW w:w="1844" w:type="dxa"/>
            <w:tcBorders>
              <w:top w:val="single" w:sz="4" w:space="0" w:color="auto"/>
              <w:left w:val="single" w:sz="4" w:space="0" w:color="auto"/>
              <w:bottom w:val="single" w:sz="4" w:space="0" w:color="auto"/>
              <w:right w:val="single" w:sz="4" w:space="0" w:color="auto"/>
            </w:tcBorders>
            <w:shd w:val="clear" w:color="auto" w:fill="auto"/>
          </w:tcPr>
          <w:p w:rsidR="0095249F" w:rsidRPr="006C1FB2" w:rsidRDefault="0095249F" w:rsidP="00C46E06">
            <w:pPr>
              <w:pStyle w:val="TableHeadingRow"/>
              <w:spacing w:before="0" w:after="0"/>
              <w:jc w:val="center"/>
              <w:rPr>
                <w:rFonts w:ascii="Arial Narrow" w:hAnsi="Arial Narrow"/>
                <w:b w:val="0"/>
              </w:rPr>
            </w:pPr>
            <w:r w:rsidRPr="006C1FB2">
              <w:rPr>
                <w:rFonts w:ascii="Arial Narrow" w:hAnsi="Arial Narrow"/>
                <w:b w:val="0"/>
              </w:rPr>
              <w:t>46</w:t>
            </w:r>
          </w:p>
        </w:tc>
      </w:tr>
      <w:tr w:rsidR="002223FF" w:rsidRPr="006C1FB2" w:rsidTr="008A204F">
        <w:tc>
          <w:tcPr>
            <w:tcW w:w="9465" w:type="dxa"/>
            <w:gridSpan w:val="5"/>
            <w:tcBorders>
              <w:top w:val="single" w:sz="4" w:space="0" w:color="auto"/>
              <w:left w:val="single" w:sz="4" w:space="0" w:color="auto"/>
              <w:bottom w:val="single" w:sz="4" w:space="0" w:color="auto"/>
              <w:right w:val="single" w:sz="4" w:space="0" w:color="auto"/>
            </w:tcBorders>
            <w:shd w:val="clear" w:color="auto" w:fill="auto"/>
            <w:hideMark/>
          </w:tcPr>
          <w:p w:rsidR="002223FF" w:rsidRPr="006C1FB2" w:rsidRDefault="002223FF" w:rsidP="00C46E06">
            <w:pPr>
              <w:pStyle w:val="TableText1"/>
              <w:spacing w:before="0" w:after="0"/>
              <w:rPr>
                <w:b/>
              </w:rPr>
            </w:pPr>
            <w:r w:rsidRPr="006C1FB2">
              <w:rPr>
                <w:b/>
              </w:rPr>
              <w:t>Mental Component Score differences in least square means (99% CI)</w:t>
            </w:r>
          </w:p>
        </w:tc>
      </w:tr>
      <w:tr w:rsidR="00D37A42"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pPr>
            <w:r w:rsidRPr="006C1FB2">
              <w:t>Least Square Means (LSM)</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6.67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2.84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7.28</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6.12</w:t>
            </w:r>
          </w:p>
        </w:tc>
      </w:tr>
      <w:tr w:rsidR="00D37A42"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pPr>
            <w:r w:rsidRPr="006C1FB2">
              <w:t xml:space="preserve">vs PBO + 26 </w:t>
            </w:r>
            <w:proofErr w:type="spellStart"/>
            <w:r w:rsidRPr="006C1FB2">
              <w:t>wk</w:t>
            </w:r>
            <w:proofErr w:type="spellEnd"/>
            <w:r w:rsidR="00161A51" w:rsidRPr="006C1FB2">
              <w:t xml:space="preserve"> (99% CI)</w:t>
            </w:r>
          </w:p>
        </w:tc>
        <w:tc>
          <w:tcPr>
            <w:tcW w:w="1245" w:type="dxa"/>
            <w:tcBorders>
              <w:top w:val="single" w:sz="4" w:space="0" w:color="auto"/>
              <w:left w:val="single" w:sz="4" w:space="0" w:color="auto"/>
              <w:bottom w:val="nil"/>
              <w:right w:val="nil"/>
            </w:tcBorders>
            <w:shd w:val="clear" w:color="auto" w:fill="auto"/>
            <w:hideMark/>
          </w:tcPr>
          <w:p w:rsidR="00D37A42" w:rsidRPr="006C1FB2" w:rsidRDefault="00D37A42" w:rsidP="00C46E06">
            <w:pPr>
              <w:pStyle w:val="TableText1"/>
              <w:spacing w:before="0" w:after="0"/>
            </w:pPr>
          </w:p>
        </w:tc>
        <w:tc>
          <w:tcPr>
            <w:tcW w:w="1276" w:type="dxa"/>
            <w:tcBorders>
              <w:top w:val="single" w:sz="4" w:space="0" w:color="auto"/>
              <w:left w:val="nil"/>
              <w:bottom w:val="nil"/>
              <w:right w:val="single" w:sz="4" w:space="0" w:color="auto"/>
            </w:tcBorders>
            <w:shd w:val="clear" w:color="auto" w:fill="auto"/>
          </w:tcPr>
          <w:p w:rsidR="00D37A42" w:rsidRPr="006C1FB2" w:rsidRDefault="00D37A42"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0.61</w:t>
            </w:r>
            <w:r w:rsidR="00161A51" w:rsidRPr="006C1FB2">
              <w:t xml:space="preserve"> (–5.86,</w:t>
            </w:r>
            <w:r w:rsidR="002223FF" w:rsidRPr="006C1FB2">
              <w:t xml:space="preserve"> </w:t>
            </w:r>
            <w:r w:rsidR="00161A51" w:rsidRPr="006C1FB2">
              <w:t>7.07)</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–0.56</w:t>
            </w:r>
            <w:r w:rsidR="00161A51" w:rsidRPr="006C1FB2">
              <w:t xml:space="preserve"> (–7.64,</w:t>
            </w:r>
            <w:r w:rsidR="002223FF" w:rsidRPr="006C1FB2">
              <w:t xml:space="preserve"> </w:t>
            </w:r>
            <w:r w:rsidR="00161A51" w:rsidRPr="006C1FB2">
              <w:t>6.53)</w:t>
            </w:r>
          </w:p>
        </w:tc>
      </w:tr>
      <w:tr w:rsidR="00D37A42"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right"/>
            </w:pPr>
            <w:r w:rsidRPr="006C1FB2">
              <w:t>P-value</w:t>
            </w:r>
          </w:p>
        </w:tc>
        <w:tc>
          <w:tcPr>
            <w:tcW w:w="1245" w:type="dxa"/>
            <w:tcBorders>
              <w:top w:val="nil"/>
              <w:left w:val="single" w:sz="4" w:space="0" w:color="auto"/>
              <w:bottom w:val="single" w:sz="4" w:space="0" w:color="auto"/>
              <w:right w:val="nil"/>
            </w:tcBorders>
            <w:shd w:val="clear" w:color="auto" w:fill="auto"/>
          </w:tcPr>
          <w:p w:rsidR="00D37A42" w:rsidRPr="006C1FB2" w:rsidRDefault="00D37A42" w:rsidP="00C46E06">
            <w:pPr>
              <w:pStyle w:val="TableText1"/>
              <w:spacing w:before="0" w:after="0"/>
            </w:pPr>
          </w:p>
        </w:tc>
        <w:tc>
          <w:tcPr>
            <w:tcW w:w="1276" w:type="dxa"/>
            <w:tcBorders>
              <w:top w:val="nil"/>
              <w:left w:val="nil"/>
              <w:bottom w:val="single" w:sz="4" w:space="0" w:color="auto"/>
              <w:right w:val="single" w:sz="4" w:space="0" w:color="auto"/>
            </w:tcBorders>
            <w:shd w:val="clear" w:color="auto" w:fill="auto"/>
          </w:tcPr>
          <w:p w:rsidR="00D37A42" w:rsidRPr="006C1FB2" w:rsidRDefault="00D37A42"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95249F" w:rsidP="00C46E06">
            <w:pPr>
              <w:pStyle w:val="TableText1"/>
              <w:spacing w:before="0" w:after="0"/>
              <w:jc w:val="center"/>
            </w:pPr>
            <w:r w:rsidRPr="006C1FB2">
              <w:t xml:space="preserve"> p = </w:t>
            </w:r>
            <w:r w:rsidR="00D37A42" w:rsidRPr="006C1FB2">
              <w:t>0.8067</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95249F" w:rsidP="00C46E06">
            <w:pPr>
              <w:pStyle w:val="TableText1"/>
              <w:spacing w:before="0" w:after="0"/>
              <w:jc w:val="center"/>
            </w:pPr>
            <w:r w:rsidRPr="006C1FB2">
              <w:t xml:space="preserve">p =  </w:t>
            </w:r>
            <w:r w:rsidR="00D37A42" w:rsidRPr="006C1FB2">
              <w:t>0.8374</w:t>
            </w:r>
          </w:p>
        </w:tc>
      </w:tr>
      <w:tr w:rsidR="00D37A42"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pPr>
            <w:r w:rsidRPr="006C1FB2">
              <w:t xml:space="preserve">vs PBO + 52 </w:t>
            </w:r>
            <w:proofErr w:type="spellStart"/>
            <w:r w:rsidRPr="006C1FB2">
              <w:t>wk</w:t>
            </w:r>
            <w:proofErr w:type="spellEnd"/>
            <w:r w:rsidR="00161A51" w:rsidRPr="006C1FB2">
              <w:t xml:space="preserve"> (99% CI)</w:t>
            </w:r>
          </w:p>
        </w:tc>
        <w:tc>
          <w:tcPr>
            <w:tcW w:w="1245" w:type="dxa"/>
            <w:tcBorders>
              <w:top w:val="single" w:sz="4" w:space="0" w:color="auto"/>
              <w:left w:val="single" w:sz="4" w:space="0" w:color="auto"/>
              <w:bottom w:val="nil"/>
              <w:right w:val="nil"/>
            </w:tcBorders>
            <w:shd w:val="clear" w:color="auto" w:fill="auto"/>
            <w:hideMark/>
          </w:tcPr>
          <w:p w:rsidR="00D37A42" w:rsidRPr="006C1FB2" w:rsidRDefault="00D37A42" w:rsidP="00C46E06">
            <w:pPr>
              <w:pStyle w:val="TableText1"/>
              <w:spacing w:before="0" w:after="0"/>
            </w:pPr>
          </w:p>
        </w:tc>
        <w:tc>
          <w:tcPr>
            <w:tcW w:w="1276" w:type="dxa"/>
            <w:tcBorders>
              <w:top w:val="single" w:sz="4" w:space="0" w:color="auto"/>
              <w:left w:val="nil"/>
              <w:bottom w:val="nil"/>
              <w:right w:val="single" w:sz="4" w:space="0" w:color="auto"/>
            </w:tcBorders>
            <w:shd w:val="clear" w:color="auto" w:fill="auto"/>
          </w:tcPr>
          <w:p w:rsidR="00D37A42" w:rsidRPr="006C1FB2" w:rsidRDefault="00D37A42"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4.44</w:t>
            </w:r>
            <w:r w:rsidR="00161A51" w:rsidRPr="006C1FB2">
              <w:t xml:space="preserve"> (–0.69,</w:t>
            </w:r>
            <w:r w:rsidR="002223FF" w:rsidRPr="006C1FB2">
              <w:t xml:space="preserve"> </w:t>
            </w:r>
            <w:r w:rsidR="00161A51" w:rsidRPr="006C1FB2">
              <w:t>9.56)</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center"/>
            </w:pPr>
            <w:r w:rsidRPr="006C1FB2">
              <w:t>3.27</w:t>
            </w:r>
            <w:r w:rsidR="00161A51" w:rsidRPr="006C1FB2">
              <w:t xml:space="preserve"> (–2.59,</w:t>
            </w:r>
            <w:r w:rsidR="002223FF" w:rsidRPr="006C1FB2">
              <w:t xml:space="preserve"> </w:t>
            </w:r>
            <w:r w:rsidR="00161A51" w:rsidRPr="006C1FB2">
              <w:t>9.14)</w:t>
            </w:r>
          </w:p>
        </w:tc>
      </w:tr>
      <w:tr w:rsidR="00D37A42"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D37A42" w:rsidP="00C46E06">
            <w:pPr>
              <w:pStyle w:val="TableText1"/>
              <w:spacing w:before="0" w:after="0"/>
              <w:jc w:val="right"/>
            </w:pPr>
            <w:r w:rsidRPr="006C1FB2">
              <w:t>P-value</w:t>
            </w:r>
          </w:p>
        </w:tc>
        <w:tc>
          <w:tcPr>
            <w:tcW w:w="1245" w:type="dxa"/>
            <w:tcBorders>
              <w:top w:val="nil"/>
              <w:left w:val="single" w:sz="4" w:space="0" w:color="auto"/>
              <w:bottom w:val="single" w:sz="4" w:space="0" w:color="auto"/>
              <w:right w:val="nil"/>
            </w:tcBorders>
            <w:shd w:val="clear" w:color="auto" w:fill="auto"/>
          </w:tcPr>
          <w:p w:rsidR="00D37A42" w:rsidRPr="006C1FB2" w:rsidRDefault="00D37A42" w:rsidP="00C46E06">
            <w:pPr>
              <w:pStyle w:val="TableText1"/>
              <w:spacing w:before="0" w:after="0"/>
            </w:pPr>
          </w:p>
        </w:tc>
        <w:tc>
          <w:tcPr>
            <w:tcW w:w="1276" w:type="dxa"/>
            <w:tcBorders>
              <w:top w:val="nil"/>
              <w:left w:val="nil"/>
              <w:bottom w:val="single" w:sz="4" w:space="0" w:color="auto"/>
              <w:right w:val="single" w:sz="4" w:space="0" w:color="auto"/>
            </w:tcBorders>
            <w:shd w:val="clear" w:color="auto" w:fill="auto"/>
          </w:tcPr>
          <w:p w:rsidR="00D37A42" w:rsidRPr="006C1FB2" w:rsidRDefault="00D37A42"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95249F" w:rsidP="00C46E06">
            <w:pPr>
              <w:pStyle w:val="TableText1"/>
              <w:spacing w:before="0" w:after="0"/>
              <w:jc w:val="center"/>
            </w:pPr>
            <w:r w:rsidRPr="006C1FB2">
              <w:t xml:space="preserve"> p = </w:t>
            </w:r>
            <w:r w:rsidR="00D37A42" w:rsidRPr="006C1FB2">
              <w:t>0.0252</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D37A42" w:rsidRPr="006C1FB2" w:rsidRDefault="0095249F" w:rsidP="00C46E06">
            <w:pPr>
              <w:pStyle w:val="TableText1"/>
              <w:spacing w:before="0" w:after="0"/>
              <w:jc w:val="center"/>
            </w:pPr>
            <w:r w:rsidRPr="006C1FB2">
              <w:t xml:space="preserve">p = </w:t>
            </w:r>
            <w:r w:rsidR="00D37A42" w:rsidRPr="006C1FB2">
              <w:t>0.1468</w:t>
            </w:r>
          </w:p>
        </w:tc>
      </w:tr>
      <w:tr w:rsidR="00D37A42" w:rsidRPr="006C1FB2" w:rsidTr="007B241F">
        <w:tc>
          <w:tcPr>
            <w:tcW w:w="3116" w:type="dxa"/>
            <w:tcBorders>
              <w:top w:val="single" w:sz="4" w:space="0" w:color="auto"/>
              <w:left w:val="single" w:sz="4" w:space="0" w:color="auto"/>
              <w:bottom w:val="single" w:sz="4" w:space="0" w:color="auto"/>
              <w:right w:val="nil"/>
            </w:tcBorders>
            <w:shd w:val="clear" w:color="auto" w:fill="auto"/>
            <w:hideMark/>
          </w:tcPr>
          <w:p w:rsidR="00D37A42" w:rsidRPr="006C1FB2" w:rsidRDefault="00D37A42" w:rsidP="00C46E06">
            <w:pPr>
              <w:pStyle w:val="TableText1"/>
              <w:spacing w:before="0" w:after="0"/>
              <w:rPr>
                <w:b/>
              </w:rPr>
            </w:pPr>
            <w:r w:rsidRPr="006C1FB2">
              <w:rPr>
                <w:b/>
              </w:rPr>
              <w:t>Physical Component Score</w:t>
            </w:r>
          </w:p>
        </w:tc>
        <w:tc>
          <w:tcPr>
            <w:tcW w:w="1245" w:type="dxa"/>
            <w:tcBorders>
              <w:top w:val="single" w:sz="4" w:space="0" w:color="auto"/>
              <w:left w:val="nil"/>
              <w:bottom w:val="single" w:sz="4" w:space="0" w:color="auto"/>
              <w:right w:val="nil"/>
            </w:tcBorders>
            <w:shd w:val="clear" w:color="auto" w:fill="auto"/>
          </w:tcPr>
          <w:p w:rsidR="00D37A42" w:rsidRPr="006C1FB2" w:rsidRDefault="00D37A42" w:rsidP="00C46E06">
            <w:pPr>
              <w:pStyle w:val="TableText1"/>
              <w:spacing w:before="0" w:after="0"/>
              <w:rPr>
                <w:b/>
              </w:rPr>
            </w:pPr>
          </w:p>
        </w:tc>
        <w:tc>
          <w:tcPr>
            <w:tcW w:w="1276" w:type="dxa"/>
            <w:tcBorders>
              <w:top w:val="single" w:sz="4" w:space="0" w:color="auto"/>
              <w:left w:val="nil"/>
              <w:bottom w:val="single" w:sz="4" w:space="0" w:color="auto"/>
              <w:right w:val="nil"/>
            </w:tcBorders>
            <w:shd w:val="clear" w:color="auto" w:fill="auto"/>
          </w:tcPr>
          <w:p w:rsidR="00D37A42" w:rsidRPr="006C1FB2" w:rsidRDefault="00D37A42" w:rsidP="00C46E06">
            <w:pPr>
              <w:pStyle w:val="TableText1"/>
              <w:spacing w:before="0" w:after="0"/>
              <w:rPr>
                <w:b/>
              </w:rPr>
            </w:pPr>
          </w:p>
        </w:tc>
        <w:tc>
          <w:tcPr>
            <w:tcW w:w="1984" w:type="dxa"/>
            <w:tcBorders>
              <w:top w:val="single" w:sz="4" w:space="0" w:color="auto"/>
              <w:left w:val="nil"/>
              <w:bottom w:val="single" w:sz="4" w:space="0" w:color="auto"/>
              <w:right w:val="nil"/>
            </w:tcBorders>
            <w:shd w:val="clear" w:color="auto" w:fill="auto"/>
          </w:tcPr>
          <w:p w:rsidR="00D37A42" w:rsidRPr="006C1FB2" w:rsidRDefault="00D37A42" w:rsidP="00C46E06">
            <w:pPr>
              <w:pStyle w:val="TableText1"/>
              <w:spacing w:before="0" w:after="0"/>
              <w:rPr>
                <w:b/>
              </w:rPr>
            </w:pPr>
          </w:p>
        </w:tc>
        <w:tc>
          <w:tcPr>
            <w:tcW w:w="1844" w:type="dxa"/>
            <w:tcBorders>
              <w:top w:val="single" w:sz="4" w:space="0" w:color="auto"/>
              <w:left w:val="nil"/>
              <w:bottom w:val="single" w:sz="4" w:space="0" w:color="auto"/>
              <w:right w:val="single" w:sz="4" w:space="0" w:color="auto"/>
            </w:tcBorders>
            <w:shd w:val="clear" w:color="auto" w:fill="auto"/>
          </w:tcPr>
          <w:p w:rsidR="00D37A42" w:rsidRPr="006C1FB2" w:rsidRDefault="00D37A42" w:rsidP="00C46E06">
            <w:pPr>
              <w:pStyle w:val="TableText1"/>
              <w:spacing w:before="0" w:after="0"/>
              <w:rPr>
                <w:b/>
              </w:rPr>
            </w:pPr>
          </w:p>
        </w:tc>
      </w:tr>
      <w:tr w:rsidR="0095249F"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pPr>
            <w:r w:rsidRPr="006C1FB2">
              <w:t>Least Square Means (LSM)</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–0.28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–1.49</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4.10</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2.76</w:t>
            </w:r>
          </w:p>
        </w:tc>
      </w:tr>
      <w:tr w:rsidR="0095249F"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pPr>
            <w:r w:rsidRPr="006C1FB2">
              <w:t xml:space="preserve">vs PBO + 26 </w:t>
            </w:r>
            <w:proofErr w:type="spellStart"/>
            <w:r w:rsidRPr="006C1FB2">
              <w:t>wk</w:t>
            </w:r>
            <w:proofErr w:type="spellEnd"/>
            <w:r w:rsidRPr="006C1FB2">
              <w:t xml:space="preserve"> (99% CI)</w:t>
            </w:r>
          </w:p>
        </w:tc>
        <w:tc>
          <w:tcPr>
            <w:tcW w:w="1245" w:type="dxa"/>
            <w:tcBorders>
              <w:top w:val="single" w:sz="4" w:space="0" w:color="auto"/>
              <w:left w:val="single" w:sz="4" w:space="0" w:color="auto"/>
              <w:bottom w:val="nil"/>
              <w:right w:val="nil"/>
            </w:tcBorders>
            <w:shd w:val="clear" w:color="auto" w:fill="auto"/>
            <w:hideMark/>
          </w:tcPr>
          <w:p w:rsidR="0095249F" w:rsidRPr="006C1FB2" w:rsidRDefault="0095249F" w:rsidP="00C46E06">
            <w:pPr>
              <w:pStyle w:val="TableText1"/>
              <w:spacing w:before="0" w:after="0"/>
            </w:pPr>
          </w:p>
        </w:tc>
        <w:tc>
          <w:tcPr>
            <w:tcW w:w="1276" w:type="dxa"/>
            <w:tcBorders>
              <w:top w:val="single" w:sz="4" w:space="0" w:color="auto"/>
              <w:left w:val="nil"/>
              <w:bottom w:val="nil"/>
              <w:right w:val="single" w:sz="4" w:space="0" w:color="auto"/>
            </w:tcBorders>
            <w:shd w:val="clear" w:color="auto" w:fill="auto"/>
          </w:tcPr>
          <w:p w:rsidR="0095249F" w:rsidRPr="006C1FB2" w:rsidRDefault="0095249F"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4.38 (–1.58,</w:t>
            </w:r>
            <w:r w:rsidR="002223FF" w:rsidRPr="006C1FB2">
              <w:t xml:space="preserve"> </w:t>
            </w:r>
            <w:r w:rsidRPr="006C1FB2">
              <w:t>10.34)</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3.04 (–3.43,</w:t>
            </w:r>
            <w:r w:rsidR="002223FF" w:rsidRPr="006C1FB2">
              <w:t xml:space="preserve"> </w:t>
            </w:r>
            <w:r w:rsidRPr="006C1FB2">
              <w:t>9.51)</w:t>
            </w:r>
          </w:p>
        </w:tc>
      </w:tr>
      <w:tr w:rsidR="0095249F"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right"/>
            </w:pPr>
            <w:r w:rsidRPr="006C1FB2">
              <w:t>P-value</w:t>
            </w:r>
          </w:p>
        </w:tc>
        <w:tc>
          <w:tcPr>
            <w:tcW w:w="1245" w:type="dxa"/>
            <w:tcBorders>
              <w:top w:val="nil"/>
              <w:left w:val="single" w:sz="4" w:space="0" w:color="auto"/>
              <w:bottom w:val="single" w:sz="4" w:space="0" w:color="auto"/>
              <w:right w:val="nil"/>
            </w:tcBorders>
            <w:shd w:val="clear" w:color="auto" w:fill="auto"/>
          </w:tcPr>
          <w:p w:rsidR="0095249F" w:rsidRPr="006C1FB2" w:rsidRDefault="0095249F" w:rsidP="00C46E06">
            <w:pPr>
              <w:pStyle w:val="TableText1"/>
              <w:spacing w:before="0" w:after="0"/>
            </w:pPr>
          </w:p>
        </w:tc>
        <w:tc>
          <w:tcPr>
            <w:tcW w:w="1276" w:type="dxa"/>
            <w:tcBorders>
              <w:top w:val="nil"/>
              <w:left w:val="nil"/>
              <w:bottom w:val="single" w:sz="4" w:space="0" w:color="auto"/>
              <w:right w:val="single" w:sz="4" w:space="0" w:color="auto"/>
            </w:tcBorders>
            <w:shd w:val="clear" w:color="auto" w:fill="auto"/>
          </w:tcPr>
          <w:p w:rsidR="0095249F" w:rsidRPr="006C1FB2" w:rsidRDefault="0095249F"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p =  0.0570</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p = 0.2218</w:t>
            </w:r>
          </w:p>
        </w:tc>
      </w:tr>
      <w:tr w:rsidR="0095249F"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pPr>
            <w:r w:rsidRPr="006C1FB2">
              <w:t xml:space="preserve">vs PBO + 52 </w:t>
            </w:r>
            <w:proofErr w:type="spellStart"/>
            <w:r w:rsidRPr="006C1FB2">
              <w:t>wk</w:t>
            </w:r>
            <w:proofErr w:type="spellEnd"/>
            <w:r w:rsidRPr="006C1FB2">
              <w:t xml:space="preserve"> (99% CI)</w:t>
            </w:r>
          </w:p>
        </w:tc>
        <w:tc>
          <w:tcPr>
            <w:tcW w:w="1245" w:type="dxa"/>
            <w:tcBorders>
              <w:top w:val="single" w:sz="4" w:space="0" w:color="auto"/>
              <w:left w:val="single" w:sz="4" w:space="0" w:color="auto"/>
              <w:bottom w:val="nil"/>
              <w:right w:val="nil"/>
            </w:tcBorders>
            <w:shd w:val="clear" w:color="auto" w:fill="auto"/>
            <w:hideMark/>
          </w:tcPr>
          <w:p w:rsidR="0095249F" w:rsidRPr="006C1FB2" w:rsidRDefault="0095249F" w:rsidP="00C46E06">
            <w:pPr>
              <w:pStyle w:val="TableText1"/>
              <w:spacing w:before="0" w:after="0"/>
            </w:pPr>
            <w:r w:rsidRPr="006C1FB2">
              <w:t xml:space="preserve"> </w:t>
            </w:r>
          </w:p>
        </w:tc>
        <w:tc>
          <w:tcPr>
            <w:tcW w:w="1276" w:type="dxa"/>
            <w:tcBorders>
              <w:top w:val="single" w:sz="4" w:space="0" w:color="auto"/>
              <w:left w:val="nil"/>
              <w:bottom w:val="nil"/>
              <w:right w:val="single" w:sz="4" w:space="0" w:color="auto"/>
            </w:tcBorders>
            <w:shd w:val="clear" w:color="auto" w:fill="auto"/>
          </w:tcPr>
          <w:p w:rsidR="0095249F" w:rsidRPr="006C1FB2" w:rsidRDefault="0095249F"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5.59 (0.86,</w:t>
            </w:r>
            <w:r w:rsidR="002223FF" w:rsidRPr="006C1FB2">
              <w:t xml:space="preserve"> </w:t>
            </w:r>
            <w:r w:rsidRPr="006C1FB2">
              <w:t>10.32)</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4.25 (–1.14,</w:t>
            </w:r>
            <w:r w:rsidR="002223FF" w:rsidRPr="006C1FB2">
              <w:t xml:space="preserve"> </w:t>
            </w:r>
            <w:r w:rsidRPr="006C1FB2">
              <w:t>9.64)</w:t>
            </w:r>
          </w:p>
        </w:tc>
      </w:tr>
      <w:tr w:rsidR="0095249F" w:rsidRPr="006C1FB2" w:rsidTr="007B241F">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right"/>
            </w:pPr>
            <w:r w:rsidRPr="006C1FB2">
              <w:t>P-value</w:t>
            </w:r>
          </w:p>
        </w:tc>
        <w:tc>
          <w:tcPr>
            <w:tcW w:w="1245" w:type="dxa"/>
            <w:tcBorders>
              <w:top w:val="nil"/>
              <w:left w:val="single" w:sz="4" w:space="0" w:color="auto"/>
              <w:bottom w:val="single" w:sz="4" w:space="0" w:color="auto"/>
              <w:right w:val="nil"/>
            </w:tcBorders>
            <w:shd w:val="clear" w:color="auto" w:fill="auto"/>
          </w:tcPr>
          <w:p w:rsidR="0095249F" w:rsidRPr="006C1FB2" w:rsidRDefault="0095249F" w:rsidP="00C46E06">
            <w:pPr>
              <w:pStyle w:val="TableText1"/>
              <w:spacing w:before="0" w:after="0"/>
            </w:pPr>
          </w:p>
        </w:tc>
        <w:tc>
          <w:tcPr>
            <w:tcW w:w="1276" w:type="dxa"/>
            <w:tcBorders>
              <w:top w:val="nil"/>
              <w:left w:val="nil"/>
              <w:bottom w:val="single" w:sz="4" w:space="0" w:color="auto"/>
              <w:right w:val="single" w:sz="4" w:space="0" w:color="auto"/>
            </w:tcBorders>
            <w:shd w:val="clear" w:color="auto" w:fill="auto"/>
          </w:tcPr>
          <w:p w:rsidR="0095249F" w:rsidRPr="006C1FB2" w:rsidRDefault="0095249F" w:rsidP="00C46E06">
            <w:pPr>
              <w:pStyle w:val="TableText1"/>
              <w:spacing w:before="0" w:after="0"/>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p = 0.0024</w:t>
            </w: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95249F" w:rsidRPr="006C1FB2" w:rsidRDefault="0095249F" w:rsidP="00C46E06">
            <w:pPr>
              <w:pStyle w:val="TableText1"/>
              <w:spacing w:before="0" w:after="0"/>
              <w:jc w:val="center"/>
            </w:pPr>
            <w:r w:rsidRPr="006C1FB2">
              <w:t>p = 0.0412</w:t>
            </w:r>
          </w:p>
        </w:tc>
      </w:tr>
    </w:tbl>
    <w:p w:rsidR="00D37A42" w:rsidRPr="006C1FB2" w:rsidRDefault="00D37A42" w:rsidP="00C46E06">
      <w:pPr>
        <w:pStyle w:val="TableNotes"/>
        <w:spacing w:after="0"/>
        <w:rPr>
          <w:rFonts w:ascii="Arial Narrow" w:hAnsi="Arial Narrow"/>
          <w:sz w:val="18"/>
          <w:szCs w:val="18"/>
        </w:rPr>
      </w:pPr>
      <w:r w:rsidRPr="006C1FB2">
        <w:rPr>
          <w:rFonts w:ascii="Arial Narrow" w:hAnsi="Arial Narrow"/>
          <w:sz w:val="18"/>
          <w:szCs w:val="18"/>
        </w:rPr>
        <w:t xml:space="preserve">Source: Table 32, p. 131, </w:t>
      </w:r>
      <w:proofErr w:type="spellStart"/>
      <w:r w:rsidRPr="006C1FB2">
        <w:rPr>
          <w:rFonts w:ascii="Arial Narrow" w:hAnsi="Arial Narrow"/>
          <w:sz w:val="18"/>
          <w:szCs w:val="18"/>
        </w:rPr>
        <w:t>GiACTA</w:t>
      </w:r>
      <w:proofErr w:type="spellEnd"/>
      <w:r w:rsidRPr="006C1FB2">
        <w:rPr>
          <w:rFonts w:ascii="Arial Narrow" w:hAnsi="Arial Narrow"/>
          <w:sz w:val="18"/>
          <w:szCs w:val="18"/>
        </w:rPr>
        <w:t xml:space="preserve"> CSR</w:t>
      </w:r>
    </w:p>
    <w:p w:rsidR="002223FF" w:rsidRPr="006C1FB2" w:rsidRDefault="002223FF" w:rsidP="00C46E06">
      <w:pPr>
        <w:pStyle w:val="TableNotes"/>
        <w:spacing w:after="0"/>
        <w:rPr>
          <w:rFonts w:ascii="Arial Narrow" w:hAnsi="Arial Narrow"/>
          <w:sz w:val="18"/>
          <w:szCs w:val="18"/>
        </w:rPr>
      </w:pPr>
      <w:r w:rsidRPr="006C1FB2">
        <w:rPr>
          <w:rFonts w:ascii="Arial Narrow" w:hAnsi="Arial Narrow"/>
          <w:sz w:val="18"/>
          <w:szCs w:val="18"/>
        </w:rPr>
        <w:t xml:space="preserve">Abbreviations: CI, confidence interval; PBO, placebo; TCZ, </w:t>
      </w:r>
      <w:proofErr w:type="spellStart"/>
      <w:r w:rsidRPr="006C1FB2">
        <w:rPr>
          <w:rFonts w:ascii="Arial Narrow" w:hAnsi="Arial Narrow"/>
          <w:sz w:val="18"/>
          <w:szCs w:val="18"/>
        </w:rPr>
        <w:t>tocilizumab</w:t>
      </w:r>
      <w:proofErr w:type="spellEnd"/>
      <w:r w:rsidRPr="006C1FB2">
        <w:rPr>
          <w:rFonts w:ascii="Arial Narrow" w:hAnsi="Arial Narrow"/>
          <w:sz w:val="18"/>
          <w:szCs w:val="18"/>
        </w:rPr>
        <w:t>.</w:t>
      </w:r>
    </w:p>
    <w:p w:rsidR="00D37A42" w:rsidRPr="006C1FB2" w:rsidRDefault="00D37A42" w:rsidP="000A734B">
      <w:pPr>
        <w:spacing w:after="240"/>
        <w:jc w:val="both"/>
        <w:rPr>
          <w:rFonts w:ascii="Arial Narrow" w:hAnsi="Arial Narrow"/>
          <w:sz w:val="18"/>
          <w:szCs w:val="18"/>
        </w:rPr>
      </w:pPr>
      <w:r w:rsidRPr="006C1FB2">
        <w:rPr>
          <w:rFonts w:ascii="Arial Narrow" w:hAnsi="Arial Narrow"/>
          <w:sz w:val="18"/>
          <w:szCs w:val="18"/>
        </w:rPr>
        <w:t>Notes: Repeated measures model used for analysis included the following covariates and interactions:</w:t>
      </w:r>
      <w:r w:rsidR="0095249F" w:rsidRPr="006C1FB2">
        <w:rPr>
          <w:rFonts w:ascii="Arial Narrow" w:hAnsi="Arial Narrow"/>
          <w:sz w:val="18"/>
          <w:szCs w:val="18"/>
        </w:rPr>
        <w:t xml:space="preserve"> </w:t>
      </w:r>
      <w:r w:rsidRPr="006C1FB2">
        <w:rPr>
          <w:rFonts w:ascii="Arial Narrow" w:hAnsi="Arial Narrow"/>
          <w:sz w:val="18"/>
          <w:szCs w:val="18"/>
        </w:rPr>
        <w:t xml:space="preserve">treatment, starting prednisone dose (&lt;=30mg/day, &gt;30mg/day), visit, treatment-by-visit interaction, starting dose-by-visit interaction, baseline score and baseline score-by-visit interaction. No imputation of missing PCS and MCS has been performed. Post-escape SF-36 data will be set to missing. </w:t>
      </w:r>
      <w:proofErr w:type="gramStart"/>
      <w:r w:rsidRPr="006C1FB2">
        <w:rPr>
          <w:rFonts w:ascii="Arial Narrow" w:hAnsi="Arial Narrow"/>
          <w:sz w:val="18"/>
          <w:szCs w:val="18"/>
        </w:rPr>
        <w:t>n</w:t>
      </w:r>
      <w:proofErr w:type="gramEnd"/>
      <w:r w:rsidRPr="006C1FB2">
        <w:rPr>
          <w:rFonts w:ascii="Arial Narrow" w:hAnsi="Arial Narrow"/>
          <w:sz w:val="18"/>
          <w:szCs w:val="18"/>
        </w:rPr>
        <w:t xml:space="preserve"> represents patients included in the model.</w:t>
      </w:r>
    </w:p>
    <w:p w:rsidR="00D37A42" w:rsidRPr="00EE1044" w:rsidRDefault="00355596" w:rsidP="000A734B">
      <w:pPr>
        <w:pStyle w:val="ListParagraph"/>
        <w:numPr>
          <w:ilvl w:val="1"/>
          <w:numId w:val="1"/>
        </w:numPr>
        <w:spacing w:after="240"/>
        <w:ind w:left="720" w:hanging="720"/>
        <w:jc w:val="both"/>
        <w:rPr>
          <w:color w:val="000000" w:themeColor="text1"/>
        </w:rPr>
      </w:pPr>
      <w:r w:rsidRPr="001E43CB">
        <w:t>As shown in the table below,</w:t>
      </w:r>
      <w:r>
        <w:t xml:space="preserve"> t</w:t>
      </w:r>
      <w:r w:rsidR="000C3FBF" w:rsidRPr="000C3FBF">
        <w:t>here were no notable changes in mean overall EQ-5D scores for any of the included treatment groups.</w:t>
      </w:r>
      <w:bookmarkStart w:id="27" w:name="_Ref479151987"/>
      <w:bookmarkStart w:id="28" w:name="_Toc518291474"/>
      <w:bookmarkStart w:id="29" w:name="_Toc518301110"/>
      <w:bookmarkStart w:id="30" w:name="_Toc518308853"/>
      <w:bookmarkStart w:id="31" w:name="_Toc518384525"/>
    </w:p>
    <w:p w:rsidR="008A204F" w:rsidRPr="006C1FB2" w:rsidRDefault="008A204F" w:rsidP="00C46E06">
      <w:pPr>
        <w:pStyle w:val="TableHeading0"/>
        <w:jc w:val="both"/>
        <w:rPr>
          <w:color w:val="000000" w:themeColor="text1"/>
        </w:rPr>
      </w:pPr>
      <w:r w:rsidRPr="006C1FB2">
        <w:rPr>
          <w:color w:val="000000" w:themeColor="text1"/>
        </w:rPr>
        <w:t>Table 11: Results for change from baseline in EQ-5D overall scores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581"/>
        <w:gridCol w:w="1582"/>
        <w:gridCol w:w="1582"/>
        <w:gridCol w:w="1582"/>
      </w:tblGrid>
      <w:tr w:rsidR="008A204F" w:rsidRPr="006C1FB2" w:rsidTr="008A204F">
        <w:tc>
          <w:tcPr>
            <w:tcW w:w="2694" w:type="dxa"/>
            <w:shd w:val="clear" w:color="auto" w:fill="auto"/>
          </w:tcPr>
          <w:p w:rsidR="008A204F" w:rsidRPr="006C1FB2" w:rsidRDefault="008A204F" w:rsidP="00C46E06">
            <w:pPr>
              <w:pStyle w:val="TableHeadingRow"/>
              <w:spacing w:before="0" w:after="0"/>
              <w:rPr>
                <w:rFonts w:ascii="Arial Narrow" w:hAnsi="Arial Narrow"/>
              </w:rPr>
            </w:pPr>
          </w:p>
        </w:tc>
        <w:tc>
          <w:tcPr>
            <w:tcW w:w="1581" w:type="dxa"/>
            <w:shd w:val="clear" w:color="auto" w:fill="auto"/>
            <w:vAlign w:val="center"/>
          </w:tcPr>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 xml:space="preserve">PBO + 26-week taper </w:t>
            </w:r>
          </w:p>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(N=50)</w:t>
            </w:r>
          </w:p>
        </w:tc>
        <w:tc>
          <w:tcPr>
            <w:tcW w:w="1582" w:type="dxa"/>
            <w:shd w:val="clear" w:color="auto" w:fill="auto"/>
            <w:vAlign w:val="center"/>
          </w:tcPr>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 xml:space="preserve">PBO + 52-week taper </w:t>
            </w:r>
          </w:p>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(N=51)</w:t>
            </w:r>
          </w:p>
        </w:tc>
        <w:tc>
          <w:tcPr>
            <w:tcW w:w="1582" w:type="dxa"/>
            <w:shd w:val="clear" w:color="auto" w:fill="auto"/>
            <w:vAlign w:val="center"/>
          </w:tcPr>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TCZ weekly + 26-week taper</w:t>
            </w:r>
          </w:p>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(N=100)</w:t>
            </w:r>
          </w:p>
        </w:tc>
        <w:tc>
          <w:tcPr>
            <w:tcW w:w="1582" w:type="dxa"/>
            <w:shd w:val="clear" w:color="auto" w:fill="auto"/>
            <w:vAlign w:val="center"/>
          </w:tcPr>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TCZ fortnightly + 26-week taper</w:t>
            </w:r>
          </w:p>
          <w:p w:rsidR="008A204F" w:rsidRPr="006C1FB2" w:rsidRDefault="008A204F" w:rsidP="00C46E06">
            <w:pPr>
              <w:pStyle w:val="TableHeadingRow"/>
              <w:spacing w:before="0" w:after="0"/>
              <w:jc w:val="center"/>
              <w:rPr>
                <w:rFonts w:ascii="Arial Narrow" w:hAnsi="Arial Narrow"/>
              </w:rPr>
            </w:pPr>
            <w:r w:rsidRPr="006C1FB2">
              <w:rPr>
                <w:rFonts w:ascii="Arial Narrow" w:hAnsi="Arial Narrow"/>
              </w:rPr>
              <w:t>(N=49)</w:t>
            </w:r>
          </w:p>
        </w:tc>
      </w:tr>
      <w:tr w:rsidR="008A204F" w:rsidRPr="006C1FB2" w:rsidTr="008A204F">
        <w:tc>
          <w:tcPr>
            <w:tcW w:w="9021" w:type="dxa"/>
            <w:gridSpan w:val="5"/>
            <w:tcBorders>
              <w:top w:val="single" w:sz="4" w:space="0" w:color="auto"/>
              <w:left w:val="single" w:sz="4" w:space="0" w:color="auto"/>
              <w:bottom w:val="single" w:sz="4" w:space="0" w:color="auto"/>
              <w:right w:val="single" w:sz="4" w:space="0" w:color="auto"/>
            </w:tcBorders>
            <w:shd w:val="clear" w:color="auto" w:fill="auto"/>
          </w:tcPr>
          <w:p w:rsidR="008A204F" w:rsidRPr="006C1FB2" w:rsidRDefault="008A204F" w:rsidP="00C46E06">
            <w:pPr>
              <w:pStyle w:val="TableText1"/>
              <w:spacing w:before="0" w:after="0"/>
              <w:rPr>
                <w:b/>
              </w:rPr>
            </w:pPr>
            <w:r w:rsidRPr="006C1FB2">
              <w:rPr>
                <w:b/>
              </w:rPr>
              <w:t>Baseline</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Number of patients</w:t>
            </w:r>
          </w:p>
        </w:tc>
        <w:tc>
          <w:tcPr>
            <w:tcW w:w="1581" w:type="dxa"/>
            <w:tcBorders>
              <w:top w:val="nil"/>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50</w:t>
            </w:r>
          </w:p>
        </w:tc>
        <w:tc>
          <w:tcPr>
            <w:tcW w:w="1582" w:type="dxa"/>
            <w:tcBorders>
              <w:top w:val="nil"/>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59</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99</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49</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pPr>
            <w:r w:rsidRPr="006C1FB2">
              <w:rPr>
                <w:lang w:val="it-IT"/>
              </w:rPr>
              <w:t>Mean overall score (SD)</w:t>
            </w:r>
          </w:p>
        </w:tc>
        <w:tc>
          <w:tcPr>
            <w:tcW w:w="1581" w:type="dxa"/>
            <w:tcBorders>
              <w:top w:val="nil"/>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0.74 (0.219)</w:t>
            </w:r>
          </w:p>
        </w:tc>
        <w:tc>
          <w:tcPr>
            <w:tcW w:w="1582" w:type="dxa"/>
            <w:tcBorders>
              <w:top w:val="nil"/>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0.66 (0.264)</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0.74 (0.207)</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0.74 (0.218)</w:t>
            </w:r>
          </w:p>
        </w:tc>
      </w:tr>
      <w:tr w:rsidR="008A204F" w:rsidRPr="006C1FB2" w:rsidTr="008A204F">
        <w:tc>
          <w:tcPr>
            <w:tcW w:w="9021" w:type="dxa"/>
            <w:gridSpan w:val="5"/>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b/>
              </w:rPr>
            </w:pPr>
            <w:r w:rsidRPr="006C1FB2">
              <w:rPr>
                <w:b/>
              </w:rPr>
              <w:t>Week 24</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Number of patients</w:t>
            </w:r>
          </w:p>
        </w:tc>
        <w:tc>
          <w:tcPr>
            <w:tcW w:w="1581"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22</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29</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77</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37</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Mean overall score (SD)</w:t>
            </w:r>
          </w:p>
        </w:tc>
        <w:tc>
          <w:tcPr>
            <w:tcW w:w="1581"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0.68 (0.303)</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 xml:space="preserve">0.79 (0.211) </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0.75 (0.237)</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0.77 (0.172)</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Mean change from baseline (SD)</w:t>
            </w:r>
          </w:p>
        </w:tc>
        <w:tc>
          <w:tcPr>
            <w:tcW w:w="1581"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-0.01 (0.325)</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0.05 (0.136)</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0.00 (0.264)</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-0.01 (0.213)</w:t>
            </w:r>
          </w:p>
        </w:tc>
      </w:tr>
      <w:tr w:rsidR="008A204F" w:rsidRPr="006C1FB2" w:rsidTr="008A204F">
        <w:tc>
          <w:tcPr>
            <w:tcW w:w="9021" w:type="dxa"/>
            <w:gridSpan w:val="5"/>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b/>
              </w:rPr>
            </w:pPr>
            <w:r w:rsidRPr="006C1FB2">
              <w:rPr>
                <w:b/>
              </w:rPr>
              <w:t>Week 52</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Number of patients</w:t>
            </w:r>
          </w:p>
        </w:tc>
        <w:tc>
          <w:tcPr>
            <w:tcW w:w="1581"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11</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17</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60</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26</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Mean overall score (SD)</w:t>
            </w:r>
          </w:p>
        </w:tc>
        <w:tc>
          <w:tcPr>
            <w:tcW w:w="1581"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0.77 (0.272)</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0.78 (0.165)</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0.86 (0.131)</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0.83 (0.132)</w:t>
            </w:r>
          </w:p>
        </w:tc>
      </w:tr>
      <w:tr w:rsidR="008A204F" w:rsidRPr="006C1FB2" w:rsidTr="008A204F">
        <w:tc>
          <w:tcPr>
            <w:tcW w:w="2694"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rPr>
                <w:lang w:val="it-IT"/>
              </w:rPr>
            </w:pPr>
            <w:r w:rsidRPr="006C1FB2">
              <w:rPr>
                <w:lang w:val="it-IT"/>
              </w:rPr>
              <w:t>Mean change from baseline (SD)</w:t>
            </w:r>
          </w:p>
        </w:tc>
        <w:tc>
          <w:tcPr>
            <w:tcW w:w="1581"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0.07 (0.293)</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-0.02 (0.159)</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0.10 (0.198)</w:t>
            </w:r>
          </w:p>
        </w:tc>
        <w:tc>
          <w:tcPr>
            <w:tcW w:w="1582" w:type="dxa"/>
            <w:tcBorders>
              <w:top w:val="single" w:sz="4" w:space="0" w:color="auto"/>
              <w:left w:val="single" w:sz="4" w:space="0" w:color="auto"/>
              <w:bottom w:val="single" w:sz="4" w:space="0" w:color="auto"/>
              <w:right w:val="single" w:sz="4" w:space="0" w:color="auto"/>
            </w:tcBorders>
          </w:tcPr>
          <w:p w:rsidR="008A204F" w:rsidRPr="006C1FB2" w:rsidRDefault="008A204F" w:rsidP="00C46E06">
            <w:pPr>
              <w:pStyle w:val="TableText1"/>
              <w:spacing w:before="0" w:after="0"/>
              <w:jc w:val="center"/>
            </w:pPr>
            <w:r w:rsidRPr="006C1FB2">
              <w:t>0.05 (0.215)</w:t>
            </w:r>
          </w:p>
        </w:tc>
      </w:tr>
    </w:tbl>
    <w:p w:rsidR="008A204F" w:rsidRPr="006C1FB2" w:rsidRDefault="008A204F" w:rsidP="00C46E06">
      <w:pPr>
        <w:pStyle w:val="TableFooter"/>
        <w:widowControl/>
        <w:rPr>
          <w:color w:val="000000" w:themeColor="text1"/>
        </w:rPr>
      </w:pPr>
      <w:r w:rsidRPr="006C1FB2">
        <w:rPr>
          <w:color w:val="000000" w:themeColor="text1"/>
        </w:rPr>
        <w:t>Source: Table 2.21, p.62 of the submission.</w:t>
      </w:r>
    </w:p>
    <w:p w:rsidR="008A204F" w:rsidRPr="006C1FB2" w:rsidRDefault="008A204F" w:rsidP="00C46E06">
      <w:pPr>
        <w:pStyle w:val="TableFooter"/>
        <w:widowControl/>
        <w:rPr>
          <w:rFonts w:eastAsia="Calibri"/>
          <w:color w:val="000000" w:themeColor="text1"/>
        </w:rPr>
      </w:pPr>
      <w:r w:rsidRPr="006C1FB2">
        <w:rPr>
          <w:rFonts w:eastAsia="Calibri"/>
          <w:color w:val="000000" w:themeColor="text1"/>
        </w:rPr>
        <w:t xml:space="preserve">Abbreviations: PBO, placebo; SD, standard deviation; TCZ, </w:t>
      </w:r>
      <w:proofErr w:type="spellStart"/>
      <w:r w:rsidRPr="006C1FB2">
        <w:rPr>
          <w:rFonts w:eastAsia="Calibri"/>
          <w:color w:val="000000" w:themeColor="text1"/>
        </w:rPr>
        <w:t>tocilizumab</w:t>
      </w:r>
      <w:proofErr w:type="spellEnd"/>
      <w:r w:rsidRPr="006C1FB2">
        <w:rPr>
          <w:rFonts w:eastAsia="Calibri"/>
          <w:color w:val="000000" w:themeColor="text1"/>
        </w:rPr>
        <w:t xml:space="preserve">. </w:t>
      </w:r>
    </w:p>
    <w:p w:rsidR="008A204F" w:rsidRDefault="008A204F" w:rsidP="00C46E06">
      <w:pPr>
        <w:pStyle w:val="TableFooter"/>
        <w:widowControl/>
        <w:rPr>
          <w:rFonts w:eastAsia="Calibri"/>
          <w:color w:val="000000" w:themeColor="text1"/>
        </w:rPr>
      </w:pPr>
      <w:r w:rsidRPr="006C1FB2">
        <w:rPr>
          <w:rFonts w:eastAsia="Calibri"/>
          <w:color w:val="000000" w:themeColor="text1"/>
        </w:rPr>
        <w:t>Notes: assessments were also conducted at Weeks 12, 36 and 48. These are not reported in the table above for brevity.</w:t>
      </w:r>
    </w:p>
    <w:p w:rsidR="00C425E6" w:rsidRDefault="00C425E6" w:rsidP="00C46E06">
      <w:pPr>
        <w:pStyle w:val="TableFooter"/>
        <w:widowControl/>
        <w:rPr>
          <w:rFonts w:eastAsia="Calibri"/>
          <w:color w:val="000000" w:themeColor="text1"/>
        </w:rPr>
      </w:pPr>
    </w:p>
    <w:p w:rsidR="00C425E6" w:rsidRPr="006C1FB2" w:rsidRDefault="00C425E6" w:rsidP="00C46E06">
      <w:pPr>
        <w:pStyle w:val="TableFooter"/>
        <w:widowControl/>
        <w:rPr>
          <w:rFonts w:eastAsia="Calibri"/>
          <w:color w:val="000000" w:themeColor="text1"/>
        </w:rPr>
      </w:pPr>
    </w:p>
    <w:p w:rsidR="001A27EE" w:rsidRDefault="001A27EE">
      <w:pPr>
        <w:spacing w:after="160" w:line="259" w:lineRule="auto"/>
        <w:rPr>
          <w:rFonts w:cs="Arial"/>
          <w:b/>
          <w:bCs/>
          <w:i/>
          <w:snapToGrid w:val="0"/>
          <w:sz w:val="28"/>
          <w:szCs w:val="28"/>
        </w:rPr>
      </w:pPr>
      <w:bookmarkStart w:id="32" w:name="_Toc413139279"/>
      <w:bookmarkStart w:id="33" w:name="_Toc523934607"/>
      <w:bookmarkEnd w:id="27"/>
      <w:bookmarkEnd w:id="28"/>
      <w:bookmarkEnd w:id="29"/>
      <w:bookmarkEnd w:id="30"/>
      <w:bookmarkEnd w:id="31"/>
      <w:r>
        <w:br w:type="page"/>
      </w:r>
    </w:p>
    <w:p w:rsidR="00C317F3" w:rsidRPr="007734DD" w:rsidRDefault="00C317F3" w:rsidP="000A734B">
      <w:pPr>
        <w:pStyle w:val="Heading2"/>
      </w:pPr>
      <w:r w:rsidRPr="007734DD">
        <w:lastRenderedPageBreak/>
        <w:t>Comparative harms</w:t>
      </w:r>
      <w:bookmarkEnd w:id="32"/>
      <w:bookmarkEnd w:id="33"/>
    </w:p>
    <w:p w:rsidR="00812AA4" w:rsidRPr="00812AA4" w:rsidRDefault="00812AA4" w:rsidP="001A08FA">
      <w:pPr>
        <w:pStyle w:val="ListParagraph"/>
        <w:numPr>
          <w:ilvl w:val="1"/>
          <w:numId w:val="1"/>
        </w:numPr>
        <w:spacing w:after="240"/>
        <w:ind w:left="720" w:hanging="720"/>
        <w:jc w:val="both"/>
        <w:rPr>
          <w:color w:val="000000" w:themeColor="text1"/>
        </w:rPr>
      </w:pPr>
      <w:r>
        <w:rPr>
          <w:color w:val="000000" w:themeColor="text1"/>
        </w:rPr>
        <w:t xml:space="preserve">Table </w:t>
      </w:r>
      <w:r w:rsidR="007B241F">
        <w:rPr>
          <w:color w:val="000000" w:themeColor="text1"/>
        </w:rPr>
        <w:t>12</w:t>
      </w:r>
      <w:r w:rsidRPr="00812AA4">
        <w:rPr>
          <w:color w:val="000000" w:themeColor="text1"/>
        </w:rPr>
        <w:t xml:space="preserve"> presents a summary of the adverse events reported in the </w:t>
      </w:r>
      <w:proofErr w:type="spellStart"/>
      <w:r w:rsidRPr="00812AA4">
        <w:rPr>
          <w:color w:val="000000" w:themeColor="text1"/>
        </w:rPr>
        <w:t>GiACTA</w:t>
      </w:r>
      <w:proofErr w:type="spellEnd"/>
      <w:r w:rsidRPr="00812AA4">
        <w:rPr>
          <w:color w:val="000000" w:themeColor="text1"/>
        </w:rPr>
        <w:t xml:space="preserve"> trial.</w:t>
      </w:r>
    </w:p>
    <w:p w:rsidR="00812AA4" w:rsidRPr="005C2EDC" w:rsidRDefault="00812AA4" w:rsidP="00675CB1">
      <w:pPr>
        <w:pStyle w:val="TableHeading0"/>
        <w:keepLines/>
      </w:pPr>
      <w:r>
        <w:t xml:space="preserve">Table </w:t>
      </w:r>
      <w:r w:rsidR="007B241F">
        <w:t>12</w:t>
      </w:r>
      <w:r>
        <w:t xml:space="preserve">: Summary of adverse events for the </w:t>
      </w:r>
      <w:proofErr w:type="spellStart"/>
      <w:r w:rsidR="00BE0710">
        <w:t>GiAC</w:t>
      </w:r>
      <w:r w:rsidR="00062F0A">
        <w:t>T</w:t>
      </w:r>
      <w:r w:rsidR="00BE0710">
        <w:t>A</w:t>
      </w:r>
      <w:proofErr w:type="spellEnd"/>
      <w:r w:rsidR="00BE0710">
        <w:t xml:space="preserve"> trial</w:t>
      </w:r>
    </w:p>
    <w:tbl>
      <w:tblPr>
        <w:tblStyle w:val="Summarybox1"/>
        <w:tblW w:w="5000" w:type="pct"/>
        <w:tblLook w:val="04A0" w:firstRow="1" w:lastRow="0" w:firstColumn="1" w:lastColumn="0" w:noHBand="0" w:noVBand="1"/>
        <w:tblCaption w:val="Summary of adverse events for the GiACTA trial"/>
      </w:tblPr>
      <w:tblGrid>
        <w:gridCol w:w="2830"/>
        <w:gridCol w:w="1546"/>
        <w:gridCol w:w="1548"/>
        <w:gridCol w:w="1545"/>
        <w:gridCol w:w="1547"/>
      </w:tblGrid>
      <w:tr w:rsidR="008116F8" w:rsidRPr="00CC7B9C" w:rsidTr="008F4034">
        <w:trPr>
          <w:tblHeader/>
        </w:trPr>
        <w:tc>
          <w:tcPr>
            <w:tcW w:w="1569" w:type="pct"/>
            <w:tcBorders>
              <w:bottom w:val="single" w:sz="4" w:space="0" w:color="auto"/>
            </w:tcBorders>
          </w:tcPr>
          <w:p w:rsidR="008116F8" w:rsidRPr="00CC7B9C" w:rsidRDefault="008116F8" w:rsidP="00675CB1">
            <w:pPr>
              <w:keepNext/>
              <w:keepLines/>
              <w:rPr>
                <w:rFonts w:ascii="Arial Narrow" w:hAnsi="Arial Narrow"/>
                <w:sz w:val="20"/>
              </w:rPr>
            </w:pPr>
          </w:p>
        </w:tc>
        <w:tc>
          <w:tcPr>
            <w:tcW w:w="857" w:type="pct"/>
            <w:tcBorders>
              <w:bottom w:val="single" w:sz="4" w:space="0" w:color="auto"/>
            </w:tcBorders>
            <w:vAlign w:val="center"/>
          </w:tcPr>
          <w:p w:rsidR="008116F8" w:rsidRPr="00CF10A3" w:rsidRDefault="008116F8" w:rsidP="00675CB1">
            <w:pPr>
              <w:pStyle w:val="TableHeadingRow"/>
              <w:keepLines/>
              <w:spacing w:before="0" w:after="0"/>
              <w:jc w:val="center"/>
              <w:rPr>
                <w:rFonts w:ascii="Arial Narrow" w:hAnsi="Arial Narrow"/>
              </w:rPr>
            </w:pPr>
            <w:r w:rsidRPr="00CF10A3">
              <w:rPr>
                <w:rFonts w:ascii="Arial Narrow" w:hAnsi="Arial Narrow"/>
              </w:rPr>
              <w:t xml:space="preserve">PBO + 26-week taper </w:t>
            </w:r>
          </w:p>
          <w:p w:rsidR="008116F8" w:rsidRPr="00CF10A3" w:rsidRDefault="008116F8" w:rsidP="00675CB1">
            <w:pPr>
              <w:keepNext/>
              <w:keepLines/>
              <w:jc w:val="center"/>
              <w:rPr>
                <w:rFonts w:ascii="Arial Narrow" w:hAnsi="Arial Narrow"/>
                <w:b/>
                <w:sz w:val="20"/>
              </w:rPr>
            </w:pPr>
            <w:r w:rsidRPr="00CF10A3">
              <w:rPr>
                <w:rFonts w:ascii="Arial Narrow" w:hAnsi="Arial Narrow"/>
                <w:b/>
                <w:sz w:val="20"/>
              </w:rPr>
              <w:t>(N=50)</w:t>
            </w:r>
          </w:p>
        </w:tc>
        <w:tc>
          <w:tcPr>
            <w:tcW w:w="858" w:type="pct"/>
            <w:tcBorders>
              <w:bottom w:val="single" w:sz="4" w:space="0" w:color="auto"/>
            </w:tcBorders>
            <w:vAlign w:val="center"/>
          </w:tcPr>
          <w:p w:rsidR="008116F8" w:rsidRPr="00CF10A3" w:rsidRDefault="008116F8" w:rsidP="00675CB1">
            <w:pPr>
              <w:pStyle w:val="TableHeadingRow"/>
              <w:keepLines/>
              <w:spacing w:before="0" w:after="0"/>
              <w:jc w:val="center"/>
              <w:rPr>
                <w:rFonts w:ascii="Arial Narrow" w:hAnsi="Arial Narrow"/>
              </w:rPr>
            </w:pPr>
            <w:r w:rsidRPr="00CF10A3">
              <w:rPr>
                <w:rFonts w:ascii="Arial Narrow" w:hAnsi="Arial Narrow"/>
              </w:rPr>
              <w:t xml:space="preserve">PBO + 52-week taper </w:t>
            </w:r>
          </w:p>
          <w:p w:rsidR="008116F8" w:rsidRPr="00CF10A3" w:rsidRDefault="008116F8" w:rsidP="00675CB1">
            <w:pPr>
              <w:keepNext/>
              <w:keepLines/>
              <w:jc w:val="center"/>
              <w:rPr>
                <w:rFonts w:ascii="Arial Narrow" w:hAnsi="Arial Narrow"/>
                <w:b/>
                <w:sz w:val="20"/>
              </w:rPr>
            </w:pPr>
            <w:r w:rsidRPr="00CF10A3">
              <w:rPr>
                <w:rFonts w:ascii="Arial Narrow" w:hAnsi="Arial Narrow"/>
                <w:b/>
                <w:sz w:val="20"/>
              </w:rPr>
              <w:t>(N=5</w:t>
            </w:r>
            <w:r>
              <w:rPr>
                <w:rFonts w:ascii="Arial Narrow" w:hAnsi="Arial Narrow"/>
                <w:b/>
                <w:sz w:val="20"/>
              </w:rPr>
              <w:t>1</w:t>
            </w:r>
            <w:r w:rsidRPr="00CF10A3">
              <w:rPr>
                <w:rFonts w:ascii="Arial Narrow" w:hAnsi="Arial Narrow"/>
                <w:b/>
                <w:sz w:val="20"/>
              </w:rPr>
              <w:t>)</w:t>
            </w:r>
          </w:p>
        </w:tc>
        <w:tc>
          <w:tcPr>
            <w:tcW w:w="857" w:type="pct"/>
            <w:tcBorders>
              <w:bottom w:val="single" w:sz="4" w:space="0" w:color="auto"/>
            </w:tcBorders>
            <w:vAlign w:val="center"/>
          </w:tcPr>
          <w:p w:rsidR="008116F8" w:rsidRPr="00CF10A3" w:rsidRDefault="008116F8" w:rsidP="00675CB1">
            <w:pPr>
              <w:pStyle w:val="TableHeadingRow"/>
              <w:keepLines/>
              <w:spacing w:before="0" w:after="0"/>
              <w:jc w:val="center"/>
              <w:rPr>
                <w:rFonts w:ascii="Arial Narrow" w:hAnsi="Arial Narrow"/>
              </w:rPr>
            </w:pPr>
            <w:r w:rsidRPr="00CF10A3">
              <w:rPr>
                <w:rFonts w:ascii="Arial Narrow" w:hAnsi="Arial Narrow"/>
              </w:rPr>
              <w:t>TCZ weekly + 26-week taper</w:t>
            </w:r>
          </w:p>
          <w:p w:rsidR="008116F8" w:rsidRPr="00CF10A3" w:rsidRDefault="008116F8" w:rsidP="00675CB1">
            <w:pPr>
              <w:keepNext/>
              <w:keepLines/>
              <w:jc w:val="center"/>
              <w:rPr>
                <w:rFonts w:ascii="Arial Narrow" w:hAnsi="Arial Narrow"/>
                <w:b/>
                <w:sz w:val="20"/>
              </w:rPr>
            </w:pPr>
            <w:r w:rsidRPr="00CF10A3">
              <w:rPr>
                <w:rFonts w:ascii="Arial Narrow" w:hAnsi="Arial Narrow"/>
                <w:b/>
                <w:sz w:val="20"/>
              </w:rPr>
              <w:t>(N=100)</w:t>
            </w:r>
          </w:p>
        </w:tc>
        <w:tc>
          <w:tcPr>
            <w:tcW w:w="858" w:type="pct"/>
            <w:tcBorders>
              <w:bottom w:val="single" w:sz="4" w:space="0" w:color="auto"/>
            </w:tcBorders>
            <w:vAlign w:val="center"/>
          </w:tcPr>
          <w:p w:rsidR="008116F8" w:rsidRPr="00CF10A3" w:rsidRDefault="008116F8" w:rsidP="00675CB1">
            <w:pPr>
              <w:pStyle w:val="TableHeadingRow"/>
              <w:keepLines/>
              <w:spacing w:before="0" w:after="0"/>
              <w:jc w:val="center"/>
              <w:rPr>
                <w:rFonts w:ascii="Arial Narrow" w:hAnsi="Arial Narrow"/>
              </w:rPr>
            </w:pPr>
            <w:r w:rsidRPr="00CF10A3">
              <w:rPr>
                <w:rFonts w:ascii="Arial Narrow" w:hAnsi="Arial Narrow"/>
              </w:rPr>
              <w:t>TCZ fortnightly + 26-week taper</w:t>
            </w:r>
          </w:p>
          <w:p w:rsidR="008116F8" w:rsidRPr="00CF10A3" w:rsidRDefault="008116F8" w:rsidP="00675CB1">
            <w:pPr>
              <w:keepNext/>
              <w:keepLines/>
              <w:jc w:val="center"/>
              <w:rPr>
                <w:rFonts w:ascii="Arial Narrow" w:hAnsi="Arial Narrow"/>
                <w:b/>
                <w:sz w:val="20"/>
              </w:rPr>
            </w:pPr>
            <w:r w:rsidRPr="00CF10A3">
              <w:rPr>
                <w:rFonts w:ascii="Arial Narrow" w:hAnsi="Arial Narrow"/>
                <w:b/>
                <w:sz w:val="20"/>
              </w:rPr>
              <w:t>(N=49)</w:t>
            </w:r>
          </w:p>
        </w:tc>
      </w:tr>
      <w:tr w:rsidR="008116F8" w:rsidRPr="00CC7B9C" w:rsidTr="00A91C3A">
        <w:tc>
          <w:tcPr>
            <w:tcW w:w="1569" w:type="pct"/>
            <w:tcBorders>
              <w:top w:val="single" w:sz="4" w:space="0" w:color="auto"/>
            </w:tcBorders>
          </w:tcPr>
          <w:p w:rsidR="008116F8" w:rsidRPr="00D162A1" w:rsidRDefault="008116F8" w:rsidP="00675CB1">
            <w:pPr>
              <w:keepNext/>
              <w:keepLines/>
              <w:rPr>
                <w:rFonts w:ascii="Arial Narrow" w:hAnsi="Arial Narrow"/>
                <w:sz w:val="20"/>
              </w:rPr>
            </w:pPr>
            <w:r w:rsidRPr="00D162A1">
              <w:rPr>
                <w:rFonts w:ascii="Arial Narrow" w:hAnsi="Arial Narrow"/>
                <w:sz w:val="20"/>
              </w:rPr>
              <w:t>Serious AE</w:t>
            </w:r>
            <w:r w:rsidR="007A77ED">
              <w:rPr>
                <w:rFonts w:ascii="Arial Narrow" w:hAnsi="Arial Narrow"/>
                <w:sz w:val="20"/>
              </w:rPr>
              <w:t>, n (%)</w:t>
            </w:r>
          </w:p>
        </w:tc>
        <w:tc>
          <w:tcPr>
            <w:tcW w:w="857" w:type="pct"/>
            <w:tcBorders>
              <w:top w:val="single" w:sz="4" w:space="0" w:color="auto"/>
            </w:tcBorders>
            <w:vAlign w:val="center"/>
          </w:tcPr>
          <w:p w:rsidR="008116F8" w:rsidRPr="00CC7B9C" w:rsidRDefault="008116F8" w:rsidP="00675CB1">
            <w:pPr>
              <w:keepNext/>
              <w:keepLines/>
              <w:jc w:val="center"/>
              <w:rPr>
                <w:rFonts w:ascii="Arial Narrow" w:hAnsi="Arial Narrow"/>
                <w:sz w:val="20"/>
              </w:rPr>
            </w:pPr>
            <w:r w:rsidRPr="00CF10A3">
              <w:rPr>
                <w:rFonts w:ascii="Arial Narrow" w:hAnsi="Arial Narrow"/>
                <w:sz w:val="20"/>
              </w:rPr>
              <w:t>11 (22.0)</w:t>
            </w:r>
          </w:p>
        </w:tc>
        <w:tc>
          <w:tcPr>
            <w:tcW w:w="858" w:type="pct"/>
            <w:tcBorders>
              <w:top w:val="single" w:sz="4" w:space="0" w:color="auto"/>
            </w:tcBorders>
          </w:tcPr>
          <w:p w:rsidR="008116F8" w:rsidRPr="00CC7B9C" w:rsidRDefault="008116F8" w:rsidP="00675CB1">
            <w:pPr>
              <w:keepNext/>
              <w:keepLines/>
              <w:jc w:val="center"/>
              <w:rPr>
                <w:rFonts w:ascii="Arial Narrow" w:hAnsi="Arial Narrow"/>
                <w:sz w:val="20"/>
              </w:rPr>
            </w:pPr>
            <w:r w:rsidRPr="00CF10A3">
              <w:rPr>
                <w:rFonts w:ascii="Arial Narrow" w:hAnsi="Arial Narrow"/>
                <w:sz w:val="20"/>
              </w:rPr>
              <w:t>13 (25.5)</w:t>
            </w:r>
          </w:p>
        </w:tc>
        <w:tc>
          <w:tcPr>
            <w:tcW w:w="857" w:type="pct"/>
            <w:tcBorders>
              <w:top w:val="single" w:sz="4" w:space="0" w:color="auto"/>
            </w:tcBorders>
          </w:tcPr>
          <w:p w:rsidR="008116F8" w:rsidRPr="00CC7B9C" w:rsidRDefault="008116F8" w:rsidP="00675CB1">
            <w:pPr>
              <w:keepNext/>
              <w:keepLines/>
              <w:jc w:val="center"/>
              <w:rPr>
                <w:rFonts w:ascii="Arial Narrow" w:hAnsi="Arial Narrow"/>
                <w:sz w:val="20"/>
              </w:rPr>
            </w:pPr>
            <w:r w:rsidRPr="00CF10A3">
              <w:rPr>
                <w:rFonts w:ascii="Arial Narrow" w:hAnsi="Arial Narrow"/>
                <w:sz w:val="20"/>
              </w:rPr>
              <w:t>15 (15.0)</w:t>
            </w:r>
          </w:p>
        </w:tc>
        <w:tc>
          <w:tcPr>
            <w:tcW w:w="858" w:type="pct"/>
            <w:tcBorders>
              <w:top w:val="single" w:sz="4" w:space="0" w:color="auto"/>
            </w:tcBorders>
            <w:vAlign w:val="center"/>
          </w:tcPr>
          <w:p w:rsidR="008116F8" w:rsidRPr="00CC7B9C" w:rsidRDefault="008116F8" w:rsidP="00675CB1">
            <w:pPr>
              <w:keepNext/>
              <w:keepLines/>
              <w:jc w:val="center"/>
              <w:rPr>
                <w:rFonts w:ascii="Arial Narrow" w:hAnsi="Arial Narrow"/>
                <w:sz w:val="20"/>
              </w:rPr>
            </w:pPr>
            <w:r w:rsidRPr="00CF10A3">
              <w:rPr>
                <w:rFonts w:ascii="Arial Narrow" w:hAnsi="Arial Narrow"/>
                <w:sz w:val="20"/>
              </w:rPr>
              <w:t>7 (14.3)</w:t>
            </w:r>
          </w:p>
        </w:tc>
      </w:tr>
      <w:tr w:rsidR="008116F8" w:rsidRPr="00CC7B9C" w:rsidTr="00A91C3A">
        <w:tc>
          <w:tcPr>
            <w:tcW w:w="1569" w:type="pct"/>
          </w:tcPr>
          <w:p w:rsidR="008116F8" w:rsidRDefault="008116F8" w:rsidP="00675CB1">
            <w:pPr>
              <w:keepNext/>
              <w:keepLines/>
              <w:rPr>
                <w:rFonts w:ascii="Arial Narrow" w:hAnsi="Arial Narrow"/>
                <w:sz w:val="20"/>
              </w:rPr>
            </w:pPr>
            <w:r w:rsidRPr="00D162A1">
              <w:rPr>
                <w:rFonts w:ascii="Arial Narrow" w:hAnsi="Arial Narrow"/>
                <w:sz w:val="20"/>
              </w:rPr>
              <w:t>Treatment related AE</w:t>
            </w:r>
            <w:r w:rsidR="007A77ED">
              <w:rPr>
                <w:rFonts w:ascii="Arial Narrow" w:hAnsi="Arial Narrow"/>
                <w:sz w:val="20"/>
              </w:rPr>
              <w:t>, n (%)</w:t>
            </w:r>
          </w:p>
          <w:p w:rsidR="008116F8" w:rsidRDefault="008116F8" w:rsidP="00675CB1">
            <w:pPr>
              <w:pStyle w:val="ListParagraph"/>
              <w:keepNext/>
              <w:keepLines/>
              <w:numPr>
                <w:ilvl w:val="1"/>
                <w:numId w:val="6"/>
              </w:numPr>
              <w:ind w:left="32" w:hanging="76"/>
              <w:rPr>
                <w:rFonts w:ascii="Arial Narrow" w:hAnsi="Arial Narrow"/>
                <w:sz w:val="20"/>
              </w:rPr>
            </w:pPr>
            <w:proofErr w:type="spellStart"/>
            <w:r>
              <w:rPr>
                <w:rFonts w:ascii="Arial Narrow" w:hAnsi="Arial Narrow"/>
                <w:sz w:val="20"/>
              </w:rPr>
              <w:t>Tocilizumab</w:t>
            </w:r>
            <w:proofErr w:type="spellEnd"/>
            <w:r>
              <w:rPr>
                <w:rFonts w:ascii="Arial Narrow" w:hAnsi="Arial Narrow"/>
                <w:sz w:val="20"/>
              </w:rPr>
              <w:t>/placebo</w:t>
            </w:r>
          </w:p>
          <w:p w:rsidR="008116F8" w:rsidRPr="0042647B" w:rsidRDefault="008116F8" w:rsidP="00675CB1">
            <w:pPr>
              <w:pStyle w:val="ListParagraph"/>
              <w:keepNext/>
              <w:keepLines/>
              <w:numPr>
                <w:ilvl w:val="1"/>
                <w:numId w:val="6"/>
              </w:numPr>
              <w:ind w:left="32" w:hanging="76"/>
              <w:rPr>
                <w:rFonts w:ascii="Arial Narrow" w:hAnsi="Arial Narrow"/>
                <w:sz w:val="20"/>
              </w:rPr>
            </w:pPr>
            <w:r>
              <w:rPr>
                <w:rFonts w:ascii="Arial Narrow" w:hAnsi="Arial Narrow"/>
                <w:sz w:val="20"/>
              </w:rPr>
              <w:t>Prednisone</w:t>
            </w:r>
          </w:p>
        </w:tc>
        <w:tc>
          <w:tcPr>
            <w:tcW w:w="857" w:type="pct"/>
          </w:tcPr>
          <w:p w:rsidR="008116F8" w:rsidRDefault="008116F8" w:rsidP="00675CB1">
            <w:pPr>
              <w:keepNext/>
              <w:keepLines/>
              <w:jc w:val="center"/>
              <w:rPr>
                <w:rFonts w:ascii="Arial Narrow" w:hAnsi="Arial Narrow"/>
                <w:sz w:val="20"/>
              </w:rPr>
            </w:pPr>
            <w:r>
              <w:rPr>
                <w:rFonts w:ascii="Arial Narrow" w:hAnsi="Arial Narrow"/>
                <w:sz w:val="20"/>
              </w:rPr>
              <w:t>32 (64.0)</w:t>
            </w:r>
          </w:p>
          <w:p w:rsidR="008116F8" w:rsidRDefault="008116F8" w:rsidP="00675CB1">
            <w:pPr>
              <w:keepNext/>
              <w:keepLines/>
              <w:jc w:val="center"/>
              <w:rPr>
                <w:rFonts w:ascii="Arial Narrow" w:hAnsi="Arial Narrow"/>
                <w:sz w:val="20"/>
              </w:rPr>
            </w:pPr>
            <w:r w:rsidRPr="0042647B">
              <w:rPr>
                <w:rFonts w:ascii="Arial Narrow" w:hAnsi="Arial Narrow"/>
                <w:sz w:val="20"/>
              </w:rPr>
              <w:t>21 (42.0)</w:t>
            </w:r>
          </w:p>
          <w:p w:rsidR="008116F8" w:rsidRPr="00CC7B9C" w:rsidRDefault="008116F8" w:rsidP="00675CB1">
            <w:pPr>
              <w:keepNext/>
              <w:keepLines/>
              <w:jc w:val="center"/>
              <w:rPr>
                <w:rFonts w:ascii="Arial Narrow" w:hAnsi="Arial Narrow"/>
                <w:sz w:val="20"/>
              </w:rPr>
            </w:pPr>
            <w:r w:rsidRPr="0042647B">
              <w:rPr>
                <w:rFonts w:ascii="Arial Narrow" w:hAnsi="Arial Narrow"/>
                <w:sz w:val="20"/>
              </w:rPr>
              <w:t>31 (62.0)</w:t>
            </w:r>
          </w:p>
        </w:tc>
        <w:tc>
          <w:tcPr>
            <w:tcW w:w="858" w:type="pct"/>
          </w:tcPr>
          <w:p w:rsidR="008116F8" w:rsidRDefault="008116F8" w:rsidP="00675CB1">
            <w:pPr>
              <w:keepNext/>
              <w:keepLines/>
              <w:jc w:val="center"/>
              <w:rPr>
                <w:rFonts w:ascii="Arial Narrow" w:hAnsi="Arial Narrow"/>
                <w:sz w:val="20"/>
              </w:rPr>
            </w:pPr>
            <w:r>
              <w:rPr>
                <w:rFonts w:ascii="Arial Narrow" w:hAnsi="Arial Narrow"/>
                <w:sz w:val="20"/>
              </w:rPr>
              <w:t>27 (52.9)</w:t>
            </w:r>
          </w:p>
          <w:p w:rsidR="008116F8" w:rsidRDefault="008116F8" w:rsidP="00675CB1">
            <w:pPr>
              <w:keepNext/>
              <w:keepLines/>
              <w:jc w:val="center"/>
              <w:rPr>
                <w:rFonts w:ascii="Arial Narrow" w:hAnsi="Arial Narrow"/>
                <w:sz w:val="20"/>
              </w:rPr>
            </w:pPr>
            <w:r w:rsidRPr="0042647B">
              <w:rPr>
                <w:rFonts w:ascii="Arial Narrow" w:hAnsi="Arial Narrow"/>
                <w:sz w:val="20"/>
              </w:rPr>
              <w:t>18 (35.3)</w:t>
            </w:r>
          </w:p>
          <w:p w:rsidR="008116F8" w:rsidRPr="00CC7B9C" w:rsidRDefault="008116F8" w:rsidP="00675CB1">
            <w:pPr>
              <w:keepNext/>
              <w:keepLines/>
              <w:jc w:val="center"/>
              <w:rPr>
                <w:rFonts w:ascii="Arial Narrow" w:hAnsi="Arial Narrow"/>
                <w:sz w:val="20"/>
              </w:rPr>
            </w:pPr>
            <w:r w:rsidRPr="0042647B">
              <w:rPr>
                <w:rFonts w:ascii="Arial Narrow" w:hAnsi="Arial Narrow"/>
                <w:sz w:val="20"/>
              </w:rPr>
              <w:t>25 (49.0)</w:t>
            </w:r>
          </w:p>
        </w:tc>
        <w:tc>
          <w:tcPr>
            <w:tcW w:w="857" w:type="pct"/>
          </w:tcPr>
          <w:p w:rsidR="008116F8" w:rsidRDefault="008116F8" w:rsidP="00675CB1">
            <w:pPr>
              <w:keepNext/>
              <w:keepLines/>
              <w:jc w:val="center"/>
              <w:rPr>
                <w:rFonts w:ascii="Arial Narrow" w:hAnsi="Arial Narrow"/>
                <w:sz w:val="20"/>
              </w:rPr>
            </w:pPr>
            <w:r>
              <w:rPr>
                <w:rFonts w:ascii="Arial Narrow" w:hAnsi="Arial Narrow"/>
                <w:sz w:val="20"/>
              </w:rPr>
              <w:t>68 (68.0)</w:t>
            </w:r>
          </w:p>
          <w:p w:rsidR="008116F8" w:rsidRDefault="008116F8" w:rsidP="00675CB1">
            <w:pPr>
              <w:keepNext/>
              <w:keepLines/>
              <w:jc w:val="center"/>
              <w:rPr>
                <w:rFonts w:ascii="Arial Narrow" w:hAnsi="Arial Narrow"/>
                <w:sz w:val="20"/>
              </w:rPr>
            </w:pPr>
            <w:r w:rsidRPr="0042647B">
              <w:rPr>
                <w:rFonts w:ascii="Arial Narrow" w:hAnsi="Arial Narrow"/>
                <w:sz w:val="20"/>
              </w:rPr>
              <w:t>52 (52.0)</w:t>
            </w:r>
          </w:p>
          <w:p w:rsidR="008116F8" w:rsidRPr="00CC7B9C" w:rsidRDefault="008116F8" w:rsidP="00675CB1">
            <w:pPr>
              <w:keepNext/>
              <w:keepLines/>
              <w:jc w:val="center"/>
              <w:rPr>
                <w:rFonts w:ascii="Arial Narrow" w:hAnsi="Arial Narrow"/>
                <w:sz w:val="20"/>
              </w:rPr>
            </w:pPr>
            <w:r w:rsidRPr="0042647B">
              <w:rPr>
                <w:rFonts w:ascii="Arial Narrow" w:hAnsi="Arial Narrow"/>
                <w:sz w:val="20"/>
              </w:rPr>
              <w:t>50 (50.0)</w:t>
            </w:r>
          </w:p>
        </w:tc>
        <w:tc>
          <w:tcPr>
            <w:tcW w:w="858" w:type="pct"/>
          </w:tcPr>
          <w:p w:rsidR="008116F8" w:rsidRDefault="008116F8" w:rsidP="00675CB1">
            <w:pPr>
              <w:keepNext/>
              <w:keepLines/>
              <w:jc w:val="center"/>
              <w:rPr>
                <w:rFonts w:ascii="Arial Narrow" w:hAnsi="Arial Narrow"/>
                <w:sz w:val="20"/>
              </w:rPr>
            </w:pPr>
            <w:r>
              <w:rPr>
                <w:rFonts w:ascii="Arial Narrow" w:hAnsi="Arial Narrow"/>
                <w:sz w:val="20"/>
              </w:rPr>
              <w:t>36 (73.5)</w:t>
            </w:r>
          </w:p>
          <w:p w:rsidR="008116F8" w:rsidRDefault="008116F8" w:rsidP="00675CB1">
            <w:pPr>
              <w:keepNext/>
              <w:keepLines/>
              <w:jc w:val="center"/>
              <w:rPr>
                <w:rFonts w:ascii="Arial Narrow" w:hAnsi="Arial Narrow"/>
                <w:sz w:val="20"/>
              </w:rPr>
            </w:pPr>
            <w:r w:rsidRPr="0042647B">
              <w:rPr>
                <w:rFonts w:ascii="Arial Narrow" w:hAnsi="Arial Narrow"/>
                <w:sz w:val="20"/>
              </w:rPr>
              <w:t>26 (53.1)</w:t>
            </w:r>
          </w:p>
          <w:p w:rsidR="008116F8" w:rsidRPr="00CC7B9C" w:rsidRDefault="008116F8" w:rsidP="00675CB1">
            <w:pPr>
              <w:keepNext/>
              <w:keepLines/>
              <w:jc w:val="center"/>
              <w:rPr>
                <w:rFonts w:ascii="Arial Narrow" w:hAnsi="Arial Narrow"/>
                <w:sz w:val="20"/>
              </w:rPr>
            </w:pPr>
            <w:r w:rsidRPr="0042647B">
              <w:rPr>
                <w:rFonts w:ascii="Arial Narrow" w:hAnsi="Arial Narrow"/>
                <w:sz w:val="20"/>
              </w:rPr>
              <w:t>30 (61.2)</w:t>
            </w:r>
          </w:p>
        </w:tc>
      </w:tr>
      <w:tr w:rsidR="008116F8" w:rsidRPr="00CC7B9C" w:rsidTr="00A91C3A">
        <w:tc>
          <w:tcPr>
            <w:tcW w:w="1569" w:type="pct"/>
          </w:tcPr>
          <w:p w:rsidR="008116F8" w:rsidRPr="00D162A1" w:rsidRDefault="008116F8" w:rsidP="00675CB1">
            <w:pPr>
              <w:keepNext/>
              <w:keepLines/>
              <w:rPr>
                <w:rFonts w:ascii="Arial Narrow" w:hAnsi="Arial Narrow"/>
                <w:sz w:val="20"/>
              </w:rPr>
            </w:pPr>
            <w:r w:rsidRPr="00D162A1">
              <w:rPr>
                <w:rFonts w:ascii="Arial Narrow" w:hAnsi="Arial Narrow"/>
                <w:sz w:val="20"/>
              </w:rPr>
              <w:t>Discontinuation due to AE</w:t>
            </w:r>
            <w:r w:rsidR="007A77ED">
              <w:rPr>
                <w:rFonts w:ascii="Arial Narrow" w:hAnsi="Arial Narrow"/>
                <w:sz w:val="20"/>
              </w:rPr>
              <w:t>, n (%)</w:t>
            </w:r>
          </w:p>
        </w:tc>
        <w:tc>
          <w:tcPr>
            <w:tcW w:w="857" w:type="pct"/>
            <w:vAlign w:val="center"/>
          </w:tcPr>
          <w:p w:rsidR="008116F8" w:rsidRDefault="008116F8" w:rsidP="00675CB1">
            <w:pPr>
              <w:keepNext/>
              <w:keepLines/>
              <w:jc w:val="center"/>
              <w:rPr>
                <w:rFonts w:ascii="Arial Narrow" w:hAnsi="Arial Narrow"/>
                <w:sz w:val="20"/>
              </w:rPr>
            </w:pPr>
            <w:r w:rsidRPr="00CF10A3">
              <w:rPr>
                <w:rFonts w:ascii="Arial Narrow" w:hAnsi="Arial Narrow"/>
                <w:sz w:val="20"/>
              </w:rPr>
              <w:t>6 (12.0)</w:t>
            </w:r>
          </w:p>
        </w:tc>
        <w:tc>
          <w:tcPr>
            <w:tcW w:w="858" w:type="pct"/>
          </w:tcPr>
          <w:p w:rsidR="008116F8" w:rsidRDefault="008116F8" w:rsidP="00675CB1">
            <w:pPr>
              <w:keepNext/>
              <w:keepLines/>
              <w:jc w:val="center"/>
              <w:rPr>
                <w:rFonts w:ascii="Arial Narrow" w:hAnsi="Arial Narrow"/>
                <w:sz w:val="20"/>
              </w:rPr>
            </w:pPr>
            <w:r>
              <w:rPr>
                <w:rFonts w:ascii="Arial Narrow" w:hAnsi="Arial Narrow"/>
                <w:sz w:val="20"/>
              </w:rPr>
              <w:t>0</w:t>
            </w:r>
          </w:p>
        </w:tc>
        <w:tc>
          <w:tcPr>
            <w:tcW w:w="857" w:type="pct"/>
          </w:tcPr>
          <w:p w:rsidR="008116F8" w:rsidRDefault="008116F8" w:rsidP="00675CB1">
            <w:pPr>
              <w:keepNext/>
              <w:keepLines/>
              <w:jc w:val="center"/>
              <w:rPr>
                <w:rFonts w:ascii="Arial Narrow" w:hAnsi="Arial Narrow"/>
                <w:sz w:val="20"/>
              </w:rPr>
            </w:pPr>
            <w:r w:rsidRPr="00CF10A3">
              <w:rPr>
                <w:rFonts w:ascii="Arial Narrow" w:hAnsi="Arial Narrow"/>
                <w:sz w:val="20"/>
              </w:rPr>
              <w:t>11 (11.0)</w:t>
            </w:r>
          </w:p>
        </w:tc>
        <w:tc>
          <w:tcPr>
            <w:tcW w:w="858" w:type="pct"/>
            <w:vAlign w:val="center"/>
          </w:tcPr>
          <w:p w:rsidR="008116F8" w:rsidRDefault="008116F8" w:rsidP="00675CB1">
            <w:pPr>
              <w:keepNext/>
              <w:keepLines/>
              <w:jc w:val="center"/>
              <w:rPr>
                <w:rFonts w:ascii="Arial Narrow" w:hAnsi="Arial Narrow"/>
                <w:sz w:val="20"/>
              </w:rPr>
            </w:pPr>
            <w:r w:rsidRPr="00CF10A3">
              <w:rPr>
                <w:rFonts w:ascii="Arial Narrow" w:hAnsi="Arial Narrow"/>
                <w:sz w:val="20"/>
              </w:rPr>
              <w:t>6 (12.2)</w:t>
            </w:r>
          </w:p>
        </w:tc>
      </w:tr>
      <w:tr w:rsidR="008116F8" w:rsidRPr="00CC7B9C" w:rsidTr="00A91C3A">
        <w:tc>
          <w:tcPr>
            <w:tcW w:w="1569" w:type="pct"/>
          </w:tcPr>
          <w:p w:rsidR="008116F8" w:rsidRPr="00D162A1" w:rsidRDefault="008116F8" w:rsidP="00675CB1">
            <w:pPr>
              <w:keepNext/>
              <w:keepLines/>
              <w:rPr>
                <w:rFonts w:ascii="Arial Narrow" w:hAnsi="Arial Narrow"/>
                <w:sz w:val="20"/>
              </w:rPr>
            </w:pPr>
            <w:r w:rsidRPr="00D162A1">
              <w:rPr>
                <w:rFonts w:ascii="Arial Narrow" w:hAnsi="Arial Narrow"/>
                <w:sz w:val="20"/>
              </w:rPr>
              <w:t>AE leading to death</w:t>
            </w:r>
            <w:r w:rsidR="007A77ED">
              <w:rPr>
                <w:rFonts w:ascii="Arial Narrow" w:hAnsi="Arial Narrow"/>
                <w:sz w:val="20"/>
              </w:rPr>
              <w:t>, n (%)</w:t>
            </w:r>
          </w:p>
        </w:tc>
        <w:tc>
          <w:tcPr>
            <w:tcW w:w="857" w:type="pct"/>
            <w:vAlign w:val="center"/>
          </w:tcPr>
          <w:p w:rsidR="008116F8" w:rsidRDefault="008116F8" w:rsidP="00675CB1">
            <w:pPr>
              <w:keepNext/>
              <w:keepLines/>
              <w:jc w:val="center"/>
              <w:rPr>
                <w:rFonts w:ascii="Arial Narrow" w:hAnsi="Arial Narrow"/>
                <w:sz w:val="20"/>
              </w:rPr>
            </w:pPr>
            <w:r>
              <w:rPr>
                <w:rFonts w:ascii="Arial Narrow" w:hAnsi="Arial Narrow"/>
                <w:sz w:val="20"/>
              </w:rPr>
              <w:t>0</w:t>
            </w:r>
          </w:p>
        </w:tc>
        <w:tc>
          <w:tcPr>
            <w:tcW w:w="858" w:type="pct"/>
          </w:tcPr>
          <w:p w:rsidR="008116F8" w:rsidRDefault="008116F8" w:rsidP="00675CB1">
            <w:pPr>
              <w:keepNext/>
              <w:keepLines/>
              <w:jc w:val="center"/>
              <w:rPr>
                <w:rFonts w:ascii="Arial Narrow" w:hAnsi="Arial Narrow"/>
                <w:sz w:val="20"/>
              </w:rPr>
            </w:pPr>
            <w:r>
              <w:rPr>
                <w:rFonts w:ascii="Arial Narrow" w:hAnsi="Arial Narrow"/>
                <w:sz w:val="20"/>
              </w:rPr>
              <w:t>0</w:t>
            </w:r>
          </w:p>
        </w:tc>
        <w:tc>
          <w:tcPr>
            <w:tcW w:w="857" w:type="pct"/>
          </w:tcPr>
          <w:p w:rsidR="008116F8" w:rsidRDefault="008116F8" w:rsidP="00675CB1">
            <w:pPr>
              <w:keepNext/>
              <w:keepLines/>
              <w:jc w:val="center"/>
              <w:rPr>
                <w:rFonts w:ascii="Arial Narrow" w:hAnsi="Arial Narrow"/>
                <w:sz w:val="20"/>
              </w:rPr>
            </w:pPr>
            <w:r>
              <w:rPr>
                <w:rFonts w:ascii="Arial Narrow" w:hAnsi="Arial Narrow"/>
                <w:sz w:val="20"/>
              </w:rPr>
              <w:t>0</w:t>
            </w:r>
          </w:p>
        </w:tc>
        <w:tc>
          <w:tcPr>
            <w:tcW w:w="858" w:type="pct"/>
            <w:vAlign w:val="center"/>
          </w:tcPr>
          <w:p w:rsidR="008116F8" w:rsidRDefault="008116F8" w:rsidP="00675CB1">
            <w:pPr>
              <w:keepNext/>
              <w:keepLines/>
              <w:jc w:val="center"/>
              <w:rPr>
                <w:rFonts w:ascii="Arial Narrow" w:hAnsi="Arial Narrow"/>
                <w:sz w:val="20"/>
              </w:rPr>
            </w:pPr>
            <w:r>
              <w:rPr>
                <w:rFonts w:ascii="Arial Narrow" w:hAnsi="Arial Narrow"/>
                <w:sz w:val="20"/>
              </w:rPr>
              <w:t>0</w:t>
            </w:r>
          </w:p>
        </w:tc>
      </w:tr>
      <w:tr w:rsidR="008116F8" w:rsidRPr="00CC7B9C" w:rsidTr="00A91C3A">
        <w:trPr>
          <w:trHeight w:val="64"/>
        </w:trPr>
        <w:tc>
          <w:tcPr>
            <w:tcW w:w="1569" w:type="pct"/>
          </w:tcPr>
          <w:p w:rsidR="008116F8" w:rsidRPr="00D162A1" w:rsidRDefault="008116F8" w:rsidP="00675CB1">
            <w:pPr>
              <w:keepNext/>
              <w:keepLines/>
              <w:rPr>
                <w:rFonts w:ascii="Arial Narrow" w:hAnsi="Arial Narrow"/>
                <w:sz w:val="20"/>
              </w:rPr>
            </w:pPr>
            <w:r w:rsidRPr="00D162A1">
              <w:rPr>
                <w:rFonts w:ascii="Arial Narrow" w:hAnsi="Arial Narrow"/>
                <w:sz w:val="20"/>
              </w:rPr>
              <w:t>Any AE</w:t>
            </w:r>
            <w:r w:rsidR="007A77ED">
              <w:rPr>
                <w:rFonts w:ascii="Arial Narrow" w:hAnsi="Arial Narrow"/>
                <w:sz w:val="20"/>
              </w:rPr>
              <w:t>, n (%)</w:t>
            </w:r>
          </w:p>
          <w:p w:rsidR="008116F8" w:rsidRDefault="008116F8" w:rsidP="00675CB1">
            <w:pPr>
              <w:pStyle w:val="ListParagraph"/>
              <w:keepNext/>
              <w:keepLines/>
              <w:numPr>
                <w:ilvl w:val="0"/>
                <w:numId w:val="13"/>
              </w:numPr>
              <w:ind w:left="142" w:hanging="142"/>
              <w:rPr>
                <w:rFonts w:ascii="Arial Narrow" w:hAnsi="Arial Narrow"/>
                <w:sz w:val="20"/>
              </w:rPr>
            </w:pPr>
            <w:r>
              <w:rPr>
                <w:rFonts w:ascii="Arial Narrow" w:hAnsi="Arial Narrow"/>
                <w:sz w:val="20"/>
              </w:rPr>
              <w:t>Headache</w:t>
            </w:r>
          </w:p>
          <w:p w:rsidR="008116F8" w:rsidRDefault="008116F8" w:rsidP="00675CB1">
            <w:pPr>
              <w:pStyle w:val="ListParagraph"/>
              <w:keepNext/>
              <w:keepLines/>
              <w:numPr>
                <w:ilvl w:val="0"/>
                <w:numId w:val="13"/>
              </w:numPr>
              <w:ind w:left="142" w:hanging="142"/>
              <w:rPr>
                <w:rFonts w:ascii="Arial Narrow" w:hAnsi="Arial Narrow"/>
                <w:sz w:val="20"/>
              </w:rPr>
            </w:pPr>
            <w:proofErr w:type="spellStart"/>
            <w:r>
              <w:rPr>
                <w:rFonts w:ascii="Arial Narrow" w:hAnsi="Arial Narrow"/>
                <w:sz w:val="20"/>
              </w:rPr>
              <w:t>Nasopharyngitis</w:t>
            </w:r>
            <w:proofErr w:type="spellEnd"/>
          </w:p>
          <w:p w:rsidR="008116F8" w:rsidRDefault="008116F8" w:rsidP="00675CB1">
            <w:pPr>
              <w:pStyle w:val="ListParagraph"/>
              <w:keepNext/>
              <w:keepLines/>
              <w:numPr>
                <w:ilvl w:val="0"/>
                <w:numId w:val="13"/>
              </w:numPr>
              <w:ind w:left="142" w:hanging="142"/>
              <w:rPr>
                <w:rFonts w:ascii="Arial Narrow" w:hAnsi="Arial Narrow"/>
                <w:sz w:val="20"/>
              </w:rPr>
            </w:pPr>
            <w:r>
              <w:rPr>
                <w:rFonts w:ascii="Arial Narrow" w:hAnsi="Arial Narrow"/>
                <w:sz w:val="20"/>
              </w:rPr>
              <w:t>Peripheral oedema</w:t>
            </w:r>
          </w:p>
          <w:p w:rsidR="008116F8" w:rsidRDefault="008116F8" w:rsidP="00675CB1">
            <w:pPr>
              <w:pStyle w:val="ListParagraph"/>
              <w:keepNext/>
              <w:keepLines/>
              <w:numPr>
                <w:ilvl w:val="0"/>
                <w:numId w:val="13"/>
              </w:numPr>
              <w:ind w:left="142" w:hanging="142"/>
              <w:rPr>
                <w:rFonts w:ascii="Arial Narrow" w:hAnsi="Arial Narrow"/>
                <w:sz w:val="20"/>
              </w:rPr>
            </w:pPr>
            <w:r>
              <w:rPr>
                <w:rFonts w:ascii="Arial Narrow" w:hAnsi="Arial Narrow"/>
                <w:sz w:val="20"/>
              </w:rPr>
              <w:t>Arthralgia</w:t>
            </w:r>
          </w:p>
          <w:p w:rsidR="008116F8" w:rsidRDefault="008116F8" w:rsidP="00675CB1">
            <w:pPr>
              <w:pStyle w:val="ListParagraph"/>
              <w:keepNext/>
              <w:keepLines/>
              <w:numPr>
                <w:ilvl w:val="0"/>
                <w:numId w:val="13"/>
              </w:numPr>
              <w:ind w:left="142" w:hanging="142"/>
              <w:rPr>
                <w:rFonts w:ascii="Arial Narrow" w:hAnsi="Arial Narrow"/>
                <w:sz w:val="20"/>
              </w:rPr>
            </w:pPr>
            <w:r>
              <w:rPr>
                <w:rFonts w:ascii="Arial Narrow" w:hAnsi="Arial Narrow"/>
                <w:sz w:val="20"/>
              </w:rPr>
              <w:t>Back pain</w:t>
            </w:r>
          </w:p>
          <w:p w:rsidR="008116F8" w:rsidRDefault="008116F8" w:rsidP="00675CB1">
            <w:pPr>
              <w:pStyle w:val="ListParagraph"/>
              <w:keepNext/>
              <w:keepLines/>
              <w:numPr>
                <w:ilvl w:val="0"/>
                <w:numId w:val="13"/>
              </w:numPr>
              <w:ind w:left="142" w:hanging="142"/>
              <w:rPr>
                <w:rFonts w:ascii="Arial Narrow" w:hAnsi="Arial Narrow"/>
                <w:sz w:val="20"/>
              </w:rPr>
            </w:pPr>
            <w:r>
              <w:rPr>
                <w:rFonts w:ascii="Arial Narrow" w:hAnsi="Arial Narrow"/>
                <w:sz w:val="20"/>
              </w:rPr>
              <w:t>Dizziness</w:t>
            </w:r>
          </w:p>
          <w:p w:rsidR="008116F8" w:rsidRPr="00EF75F9" w:rsidRDefault="008116F8" w:rsidP="00675CB1">
            <w:pPr>
              <w:pStyle w:val="ListParagraph"/>
              <w:keepNext/>
              <w:keepLines/>
              <w:numPr>
                <w:ilvl w:val="0"/>
                <w:numId w:val="13"/>
              </w:numPr>
              <w:ind w:left="142" w:hanging="142"/>
              <w:rPr>
                <w:rFonts w:ascii="Arial Narrow" w:hAnsi="Arial Narrow"/>
                <w:sz w:val="20"/>
              </w:rPr>
            </w:pPr>
            <w:r>
              <w:rPr>
                <w:rFonts w:ascii="Arial Narrow" w:hAnsi="Arial Narrow"/>
                <w:sz w:val="20"/>
              </w:rPr>
              <w:t>Diarrhoea</w:t>
            </w:r>
          </w:p>
        </w:tc>
        <w:tc>
          <w:tcPr>
            <w:tcW w:w="857" w:type="pct"/>
          </w:tcPr>
          <w:p w:rsidR="008116F8" w:rsidRDefault="008116F8" w:rsidP="00675CB1">
            <w:pPr>
              <w:keepNext/>
              <w:keepLines/>
              <w:jc w:val="center"/>
              <w:rPr>
                <w:rFonts w:ascii="Arial Narrow" w:hAnsi="Arial Narrow"/>
                <w:sz w:val="20"/>
              </w:rPr>
            </w:pPr>
            <w:r w:rsidRPr="00CF10A3">
              <w:rPr>
                <w:rFonts w:ascii="Arial Narrow" w:hAnsi="Arial Narrow"/>
                <w:sz w:val="20"/>
              </w:rPr>
              <w:t>48 (96.0)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16 </w:t>
            </w:r>
            <w:r w:rsidRPr="00A23B45">
              <w:rPr>
                <w:rFonts w:ascii="Arial Narrow" w:hAnsi="Arial Narrow"/>
                <w:sz w:val="20"/>
              </w:rPr>
              <w:t>(32.0)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99 </w:t>
            </w:r>
            <w:r w:rsidRPr="00A23B45">
              <w:rPr>
                <w:rFonts w:ascii="Arial Narrow" w:hAnsi="Arial Narrow"/>
                <w:sz w:val="20"/>
              </w:rPr>
              <w:t>(18.0)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8 </w:t>
            </w:r>
            <w:r w:rsidRPr="00A23B45">
              <w:rPr>
                <w:rFonts w:ascii="Arial Narrow" w:hAnsi="Arial Narrow"/>
                <w:sz w:val="20"/>
              </w:rPr>
              <w:t>(16.0)</w:t>
            </w:r>
          </w:p>
          <w:p w:rsidR="008116F8" w:rsidRPr="00A23B45" w:rsidRDefault="008116F8" w:rsidP="00675CB1">
            <w:pPr>
              <w:keepNext/>
              <w:keepLines/>
              <w:jc w:val="center"/>
              <w:rPr>
                <w:rFonts w:ascii="Arial Narrow" w:hAnsi="Arial Narrow"/>
                <w:sz w:val="20"/>
              </w:rPr>
            </w:pPr>
            <w:r w:rsidRPr="00A23B45">
              <w:rPr>
                <w:rFonts w:ascii="Arial Narrow" w:hAnsi="Arial Narrow"/>
                <w:sz w:val="20"/>
              </w:rPr>
              <w:t>11</w:t>
            </w:r>
            <w:r>
              <w:rPr>
                <w:rFonts w:ascii="Arial Narrow" w:hAnsi="Arial Narrow"/>
                <w:sz w:val="20"/>
              </w:rPr>
              <w:t xml:space="preserve"> </w:t>
            </w:r>
            <w:r w:rsidRPr="00A23B45">
              <w:rPr>
                <w:rFonts w:ascii="Arial Narrow" w:hAnsi="Arial Narrow"/>
                <w:sz w:val="20"/>
              </w:rPr>
              <w:t>(22.0)</w:t>
            </w:r>
          </w:p>
          <w:p w:rsidR="008116F8" w:rsidRPr="00A23B45" w:rsidRDefault="008116F8" w:rsidP="00675CB1">
            <w:pPr>
              <w:keepNext/>
              <w:keepLines/>
              <w:jc w:val="center"/>
              <w:rPr>
                <w:rFonts w:ascii="Arial Narrow" w:hAnsi="Arial Narrow"/>
                <w:sz w:val="20"/>
              </w:rPr>
            </w:pPr>
            <w:r w:rsidRPr="00A23B45">
              <w:rPr>
                <w:rFonts w:ascii="Arial Narrow" w:hAnsi="Arial Narrow"/>
                <w:sz w:val="20"/>
              </w:rPr>
              <w:t>7</w:t>
            </w:r>
            <w:r>
              <w:rPr>
                <w:rFonts w:ascii="Arial Narrow" w:hAnsi="Arial Narrow"/>
                <w:sz w:val="20"/>
              </w:rPr>
              <w:t xml:space="preserve"> </w:t>
            </w:r>
            <w:r w:rsidRPr="00A23B45">
              <w:rPr>
                <w:rFonts w:ascii="Arial Narrow" w:hAnsi="Arial Narrow"/>
                <w:sz w:val="20"/>
              </w:rPr>
              <w:t>(14.0)</w:t>
            </w:r>
          </w:p>
          <w:p w:rsidR="008116F8" w:rsidRPr="00A23B45" w:rsidRDefault="008116F8" w:rsidP="00675CB1">
            <w:pPr>
              <w:keepNext/>
              <w:keepLines/>
              <w:jc w:val="center"/>
              <w:rPr>
                <w:rFonts w:ascii="Arial Narrow" w:hAnsi="Arial Narrow"/>
                <w:sz w:val="20"/>
              </w:rPr>
            </w:pPr>
            <w:r w:rsidRPr="00A23B45">
              <w:rPr>
                <w:rFonts w:ascii="Arial Narrow" w:hAnsi="Arial Narrow"/>
                <w:sz w:val="20"/>
              </w:rPr>
              <w:t>6</w:t>
            </w:r>
            <w:r>
              <w:rPr>
                <w:rFonts w:ascii="Arial Narrow" w:hAnsi="Arial Narrow"/>
                <w:sz w:val="20"/>
              </w:rPr>
              <w:t xml:space="preserve"> </w:t>
            </w:r>
            <w:r w:rsidRPr="00A23B45">
              <w:rPr>
                <w:rFonts w:ascii="Arial Narrow" w:hAnsi="Arial Narrow"/>
                <w:sz w:val="20"/>
              </w:rPr>
              <w:t>(12.0)</w:t>
            </w:r>
          </w:p>
          <w:p w:rsidR="008116F8" w:rsidRDefault="008116F8" w:rsidP="00675CB1">
            <w:pPr>
              <w:keepNext/>
              <w:keepLines/>
              <w:jc w:val="center"/>
              <w:rPr>
                <w:rFonts w:ascii="Arial Narrow" w:hAnsi="Arial Narrow"/>
                <w:sz w:val="20"/>
              </w:rPr>
            </w:pPr>
            <w:r>
              <w:rPr>
                <w:rFonts w:ascii="Arial Narrow" w:hAnsi="Arial Narrow"/>
                <w:sz w:val="20"/>
              </w:rPr>
              <w:t xml:space="preserve">8 </w:t>
            </w:r>
            <w:r w:rsidR="00EF75F9">
              <w:rPr>
                <w:rFonts w:ascii="Arial Narrow" w:hAnsi="Arial Narrow"/>
                <w:sz w:val="20"/>
              </w:rPr>
              <w:t>(16.0)</w:t>
            </w:r>
          </w:p>
        </w:tc>
        <w:tc>
          <w:tcPr>
            <w:tcW w:w="858" w:type="pct"/>
          </w:tcPr>
          <w:p w:rsidR="008116F8" w:rsidRDefault="008116F8" w:rsidP="00675CB1">
            <w:pPr>
              <w:keepNext/>
              <w:keepLines/>
              <w:jc w:val="center"/>
              <w:rPr>
                <w:rFonts w:ascii="Arial Narrow" w:hAnsi="Arial Narrow"/>
                <w:sz w:val="20"/>
              </w:rPr>
            </w:pPr>
            <w:r w:rsidRPr="00CF10A3">
              <w:rPr>
                <w:rFonts w:ascii="Arial Narrow" w:hAnsi="Arial Narrow"/>
                <w:sz w:val="20"/>
              </w:rPr>
              <w:t>47 (92.2)</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12 </w:t>
            </w:r>
            <w:r w:rsidRPr="00A23B45">
              <w:rPr>
                <w:rFonts w:ascii="Arial Narrow" w:hAnsi="Arial Narrow"/>
                <w:sz w:val="20"/>
              </w:rPr>
              <w:t>(23.5)</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13 </w:t>
            </w:r>
            <w:r w:rsidRPr="00A23B45">
              <w:rPr>
                <w:rFonts w:ascii="Arial Narrow" w:hAnsi="Arial Narrow"/>
                <w:sz w:val="20"/>
              </w:rPr>
              <w:t>(25.5)</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6 </w:t>
            </w:r>
            <w:r w:rsidRPr="00A23B45">
              <w:rPr>
                <w:rFonts w:ascii="Arial Narrow" w:hAnsi="Arial Narrow"/>
                <w:sz w:val="20"/>
              </w:rPr>
              <w:t>(11.8)</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8 </w:t>
            </w:r>
            <w:r w:rsidRPr="00A23B45">
              <w:rPr>
                <w:rFonts w:ascii="Arial Narrow" w:hAnsi="Arial Narrow"/>
                <w:sz w:val="20"/>
              </w:rPr>
              <w:t>(15.7)</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10 </w:t>
            </w:r>
            <w:r w:rsidRPr="00A23B45">
              <w:rPr>
                <w:rFonts w:ascii="Arial Narrow" w:hAnsi="Arial Narrow"/>
                <w:sz w:val="20"/>
              </w:rPr>
              <w:t>(19.6)</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8 </w:t>
            </w:r>
            <w:r w:rsidRPr="00A23B45">
              <w:rPr>
                <w:rFonts w:ascii="Arial Narrow" w:hAnsi="Arial Narrow"/>
                <w:sz w:val="20"/>
              </w:rPr>
              <w:t>(15.7)</w:t>
            </w:r>
          </w:p>
          <w:p w:rsidR="008116F8" w:rsidRDefault="008116F8" w:rsidP="00675CB1">
            <w:pPr>
              <w:keepNext/>
              <w:keepLines/>
              <w:jc w:val="center"/>
              <w:rPr>
                <w:rFonts w:ascii="Arial Narrow" w:hAnsi="Arial Narrow"/>
                <w:sz w:val="20"/>
              </w:rPr>
            </w:pPr>
            <w:r>
              <w:rPr>
                <w:rFonts w:ascii="Arial Narrow" w:hAnsi="Arial Narrow"/>
                <w:sz w:val="20"/>
              </w:rPr>
              <w:t xml:space="preserve">5 </w:t>
            </w:r>
            <w:r w:rsidR="00EF75F9">
              <w:rPr>
                <w:rFonts w:ascii="Arial Narrow" w:hAnsi="Arial Narrow"/>
                <w:sz w:val="20"/>
              </w:rPr>
              <w:t>(9.8)</w:t>
            </w:r>
          </w:p>
        </w:tc>
        <w:tc>
          <w:tcPr>
            <w:tcW w:w="857" w:type="pct"/>
          </w:tcPr>
          <w:p w:rsidR="008116F8" w:rsidRDefault="008116F8" w:rsidP="00675CB1">
            <w:pPr>
              <w:keepNext/>
              <w:keepLines/>
              <w:jc w:val="center"/>
              <w:rPr>
                <w:rFonts w:ascii="Arial Narrow" w:hAnsi="Arial Narrow"/>
                <w:sz w:val="20"/>
              </w:rPr>
            </w:pPr>
            <w:r w:rsidRPr="00CF10A3">
              <w:rPr>
                <w:rFonts w:ascii="Arial Narrow" w:hAnsi="Arial Narrow"/>
                <w:sz w:val="20"/>
              </w:rPr>
              <w:t>98 (98.0)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27 </w:t>
            </w:r>
            <w:r w:rsidRPr="00A23B45">
              <w:rPr>
                <w:rFonts w:ascii="Arial Narrow" w:hAnsi="Arial Narrow"/>
                <w:sz w:val="20"/>
              </w:rPr>
              <w:t>(27.0)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29 </w:t>
            </w:r>
            <w:r w:rsidRPr="00A23B45">
              <w:rPr>
                <w:rFonts w:ascii="Arial Narrow" w:hAnsi="Arial Narrow"/>
                <w:sz w:val="20"/>
              </w:rPr>
              <w:t>(29.0)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16 </w:t>
            </w:r>
            <w:r w:rsidRPr="00A23B45">
              <w:rPr>
                <w:rFonts w:ascii="Arial Narrow" w:hAnsi="Arial Narrow"/>
                <w:sz w:val="20"/>
              </w:rPr>
              <w:t>(16.0)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13 </w:t>
            </w:r>
            <w:r w:rsidRPr="00A23B45">
              <w:rPr>
                <w:rFonts w:ascii="Arial Narrow" w:hAnsi="Arial Narrow"/>
                <w:sz w:val="20"/>
              </w:rPr>
              <w:t>(13.0)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14 </w:t>
            </w:r>
            <w:r w:rsidRPr="00A23B45">
              <w:rPr>
                <w:rFonts w:ascii="Arial Narrow" w:hAnsi="Arial Narrow"/>
                <w:sz w:val="20"/>
              </w:rPr>
              <w:t>(14.0)</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6 </w:t>
            </w:r>
            <w:r w:rsidRPr="00A23B45">
              <w:rPr>
                <w:rFonts w:ascii="Arial Narrow" w:hAnsi="Arial Narrow"/>
                <w:sz w:val="20"/>
              </w:rPr>
              <w:t>(6.0)</w:t>
            </w:r>
          </w:p>
          <w:p w:rsidR="008116F8" w:rsidRDefault="008116F8" w:rsidP="00675CB1">
            <w:pPr>
              <w:keepNext/>
              <w:keepLines/>
              <w:jc w:val="center"/>
              <w:rPr>
                <w:rFonts w:ascii="Arial Narrow" w:hAnsi="Arial Narrow"/>
                <w:sz w:val="20"/>
              </w:rPr>
            </w:pPr>
            <w:r>
              <w:rPr>
                <w:rFonts w:ascii="Arial Narrow" w:hAnsi="Arial Narrow"/>
                <w:sz w:val="20"/>
              </w:rPr>
              <w:t xml:space="preserve">12 </w:t>
            </w:r>
            <w:r w:rsidR="00EF75F9">
              <w:rPr>
                <w:rFonts w:ascii="Arial Narrow" w:hAnsi="Arial Narrow"/>
                <w:sz w:val="20"/>
              </w:rPr>
              <w:t>(12.0)</w:t>
            </w:r>
          </w:p>
        </w:tc>
        <w:tc>
          <w:tcPr>
            <w:tcW w:w="858" w:type="pct"/>
          </w:tcPr>
          <w:p w:rsidR="008116F8" w:rsidRDefault="008116F8" w:rsidP="00675CB1">
            <w:pPr>
              <w:keepNext/>
              <w:keepLines/>
              <w:jc w:val="center"/>
              <w:rPr>
                <w:rFonts w:ascii="Arial Narrow" w:hAnsi="Arial Narrow"/>
                <w:sz w:val="20"/>
              </w:rPr>
            </w:pPr>
            <w:r w:rsidRPr="00CF10A3">
              <w:rPr>
                <w:rFonts w:ascii="Arial Narrow" w:hAnsi="Arial Narrow"/>
                <w:sz w:val="20"/>
              </w:rPr>
              <w:t>47 (95.9)</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10 </w:t>
            </w:r>
            <w:r w:rsidRPr="00A23B45">
              <w:rPr>
                <w:rFonts w:ascii="Arial Narrow" w:hAnsi="Arial Narrow"/>
                <w:sz w:val="20"/>
              </w:rPr>
              <w:t>(20.4)</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12 </w:t>
            </w:r>
            <w:r w:rsidRPr="00A23B45">
              <w:rPr>
                <w:rFonts w:ascii="Arial Narrow" w:hAnsi="Arial Narrow"/>
                <w:sz w:val="20"/>
              </w:rPr>
              <w:t>(24.5)</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12 </w:t>
            </w:r>
            <w:r w:rsidRPr="00A23B45">
              <w:rPr>
                <w:rFonts w:ascii="Arial Narrow" w:hAnsi="Arial Narrow"/>
                <w:sz w:val="20"/>
              </w:rPr>
              <w:t>(24.5)</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8 </w:t>
            </w:r>
            <w:r w:rsidRPr="00A23B45">
              <w:rPr>
                <w:rFonts w:ascii="Arial Narrow" w:hAnsi="Arial Narrow"/>
                <w:sz w:val="20"/>
              </w:rPr>
              <w:t>(16.3)</w:t>
            </w:r>
          </w:p>
          <w:p w:rsidR="008116F8" w:rsidRPr="00A23B45" w:rsidRDefault="008116F8" w:rsidP="00675CB1">
            <w:pPr>
              <w:keepNext/>
              <w:keepLines/>
              <w:jc w:val="center"/>
              <w:rPr>
                <w:rFonts w:ascii="Arial Narrow" w:hAnsi="Arial Narrow"/>
                <w:sz w:val="20"/>
              </w:rPr>
            </w:pPr>
            <w:r>
              <w:rPr>
                <w:rFonts w:ascii="Arial Narrow" w:hAnsi="Arial Narrow"/>
                <w:sz w:val="20"/>
              </w:rPr>
              <w:t xml:space="preserve">7 </w:t>
            </w:r>
            <w:r w:rsidRPr="00A23B45">
              <w:rPr>
                <w:rFonts w:ascii="Arial Narrow" w:hAnsi="Arial Narrow"/>
                <w:sz w:val="20"/>
              </w:rPr>
              <w:t>(14.3)</w:t>
            </w:r>
          </w:p>
          <w:p w:rsidR="008116F8" w:rsidRPr="00A23B45" w:rsidRDefault="008116F8" w:rsidP="00675CB1">
            <w:pPr>
              <w:keepNext/>
              <w:keepLines/>
              <w:jc w:val="center"/>
              <w:rPr>
                <w:rFonts w:ascii="Arial Narrow" w:hAnsi="Arial Narrow"/>
                <w:sz w:val="20"/>
              </w:rPr>
            </w:pPr>
            <w:r w:rsidRPr="00A23B45">
              <w:rPr>
                <w:rFonts w:ascii="Arial Narrow" w:hAnsi="Arial Narrow"/>
                <w:sz w:val="20"/>
              </w:rPr>
              <w:t>10</w:t>
            </w:r>
            <w:r>
              <w:rPr>
                <w:rFonts w:ascii="Arial Narrow" w:hAnsi="Arial Narrow"/>
                <w:sz w:val="20"/>
              </w:rPr>
              <w:t xml:space="preserve"> </w:t>
            </w:r>
            <w:r w:rsidRPr="00A23B45">
              <w:rPr>
                <w:rFonts w:ascii="Arial Narrow" w:hAnsi="Arial Narrow"/>
                <w:sz w:val="20"/>
              </w:rPr>
              <w:t>(20.4)</w:t>
            </w:r>
          </w:p>
          <w:p w:rsidR="008116F8" w:rsidRDefault="008116F8" w:rsidP="00675CB1">
            <w:pPr>
              <w:keepNext/>
              <w:keepLines/>
              <w:jc w:val="center"/>
              <w:rPr>
                <w:rFonts w:ascii="Arial Narrow" w:hAnsi="Arial Narrow"/>
                <w:sz w:val="20"/>
              </w:rPr>
            </w:pPr>
            <w:r>
              <w:rPr>
                <w:rFonts w:ascii="Arial Narrow" w:hAnsi="Arial Narrow"/>
                <w:sz w:val="20"/>
              </w:rPr>
              <w:t xml:space="preserve">3 </w:t>
            </w:r>
            <w:r w:rsidR="00EF75F9">
              <w:rPr>
                <w:rFonts w:ascii="Arial Narrow" w:hAnsi="Arial Narrow"/>
                <w:sz w:val="20"/>
              </w:rPr>
              <w:t>(6.1)</w:t>
            </w:r>
          </w:p>
        </w:tc>
      </w:tr>
    </w:tbl>
    <w:p w:rsidR="00812AA4" w:rsidRDefault="00812AA4" w:rsidP="00675CB1">
      <w:pPr>
        <w:pStyle w:val="TableFooter"/>
        <w:keepNext/>
        <w:keepLines/>
        <w:widowControl/>
      </w:pPr>
      <w:r>
        <w:t xml:space="preserve">Source: Table 2.29, p.71; Table 2.30, p.72 of the submission; Table 34, p.143 of the </w:t>
      </w:r>
      <w:proofErr w:type="spellStart"/>
      <w:r>
        <w:t>GiACTA</w:t>
      </w:r>
      <w:proofErr w:type="spellEnd"/>
      <w:r>
        <w:t xml:space="preserve"> clinical study report.</w:t>
      </w:r>
    </w:p>
    <w:p w:rsidR="00812AA4" w:rsidRDefault="00812AA4" w:rsidP="001A08FA">
      <w:pPr>
        <w:pStyle w:val="TableFooter"/>
        <w:keepNext/>
        <w:keepLines/>
        <w:widowControl/>
        <w:spacing w:after="240"/>
      </w:pPr>
      <w:r>
        <w:t xml:space="preserve">Abbreviations: </w:t>
      </w:r>
      <w:r w:rsidR="00514DC8">
        <w:t xml:space="preserve">AE, adverse event; PBO, placebo; TCA, </w:t>
      </w:r>
      <w:proofErr w:type="spellStart"/>
      <w:r w:rsidR="00514DC8">
        <w:t>tocilizumab</w:t>
      </w:r>
      <w:proofErr w:type="spellEnd"/>
      <w:r w:rsidR="00514DC8">
        <w:t>.</w:t>
      </w:r>
    </w:p>
    <w:p w:rsidR="00BE0710" w:rsidRPr="00A91C3A" w:rsidRDefault="00BE0710" w:rsidP="001A08FA">
      <w:pPr>
        <w:pStyle w:val="ListParagraph"/>
        <w:numPr>
          <w:ilvl w:val="1"/>
          <w:numId w:val="1"/>
        </w:numPr>
        <w:spacing w:after="120"/>
        <w:ind w:left="720" w:hanging="720"/>
        <w:jc w:val="both"/>
        <w:rPr>
          <w:color w:val="000000" w:themeColor="text1"/>
        </w:rPr>
      </w:pPr>
      <w:r w:rsidRPr="00A91C3A">
        <w:rPr>
          <w:rFonts w:ascii="Calibri" w:hAnsi="Calibri" w:cs="Calibri"/>
          <w:szCs w:val="24"/>
        </w:rPr>
        <w:t xml:space="preserve">Most patients in each arm experienced at least one adverse event. </w:t>
      </w:r>
      <w:r w:rsidRPr="00A91C3A">
        <w:rPr>
          <w:color w:val="000000" w:themeColor="text1"/>
        </w:rPr>
        <w:t xml:space="preserve">There were numerically higher serious adverse events in the placebo arms compared to the </w:t>
      </w:r>
      <w:proofErr w:type="spellStart"/>
      <w:r w:rsidRPr="00A91C3A">
        <w:rPr>
          <w:color w:val="000000" w:themeColor="text1"/>
        </w:rPr>
        <w:t>tocilizumab</w:t>
      </w:r>
      <w:proofErr w:type="spellEnd"/>
      <w:r w:rsidRPr="00A91C3A">
        <w:rPr>
          <w:color w:val="000000" w:themeColor="text1"/>
        </w:rPr>
        <w:t xml:space="preserve"> arms.</w:t>
      </w:r>
      <w:r w:rsidR="00EF75F9">
        <w:rPr>
          <w:color w:val="000000" w:themeColor="text1"/>
        </w:rPr>
        <w:t xml:space="preserve"> </w:t>
      </w:r>
    </w:p>
    <w:p w:rsidR="00BE0710" w:rsidRDefault="00EF75F9" w:rsidP="009722D0">
      <w:pPr>
        <w:pStyle w:val="ListParagraph"/>
        <w:numPr>
          <w:ilvl w:val="1"/>
          <w:numId w:val="1"/>
        </w:numPr>
        <w:ind w:left="720" w:hanging="720"/>
        <w:jc w:val="both"/>
        <w:rPr>
          <w:color w:val="000000" w:themeColor="text1"/>
        </w:rPr>
      </w:pPr>
      <w:r>
        <w:rPr>
          <w:color w:val="000000" w:themeColor="text1"/>
        </w:rPr>
        <w:t xml:space="preserve">Treatment-related adverse events related to </w:t>
      </w:r>
      <w:proofErr w:type="spellStart"/>
      <w:r>
        <w:rPr>
          <w:color w:val="000000" w:themeColor="text1"/>
        </w:rPr>
        <w:t>tocilizumab</w:t>
      </w:r>
      <w:proofErr w:type="spellEnd"/>
      <w:r>
        <w:rPr>
          <w:color w:val="000000" w:themeColor="text1"/>
        </w:rPr>
        <w:t xml:space="preserve">/placebo were higher in the </w:t>
      </w:r>
      <w:proofErr w:type="spellStart"/>
      <w:r>
        <w:rPr>
          <w:color w:val="000000" w:themeColor="text1"/>
        </w:rPr>
        <w:t>tocilizumab</w:t>
      </w:r>
      <w:proofErr w:type="spellEnd"/>
      <w:r>
        <w:rPr>
          <w:color w:val="000000" w:themeColor="text1"/>
        </w:rPr>
        <w:t xml:space="preserve"> groups compared to the placebo groups. </w:t>
      </w:r>
      <w:r w:rsidR="00BE0710" w:rsidRPr="00BE0710">
        <w:rPr>
          <w:color w:val="000000" w:themeColor="text1"/>
        </w:rPr>
        <w:t xml:space="preserve">The most commonly reported treatment related adverse events in the </w:t>
      </w:r>
      <w:proofErr w:type="spellStart"/>
      <w:r w:rsidR="00BE0710" w:rsidRPr="00BE0710">
        <w:rPr>
          <w:color w:val="000000" w:themeColor="text1"/>
        </w:rPr>
        <w:t>tocilizumab</w:t>
      </w:r>
      <w:proofErr w:type="spellEnd"/>
      <w:r w:rsidR="00BE0710" w:rsidRPr="00BE0710">
        <w:rPr>
          <w:color w:val="000000" w:themeColor="text1"/>
        </w:rPr>
        <w:t xml:space="preserve"> weekly group were </w:t>
      </w:r>
      <w:proofErr w:type="spellStart"/>
      <w:r w:rsidR="00BE0710" w:rsidRPr="00BE0710">
        <w:rPr>
          <w:color w:val="000000" w:themeColor="text1"/>
        </w:rPr>
        <w:t>nasopharyngitis</w:t>
      </w:r>
      <w:proofErr w:type="spellEnd"/>
      <w:r w:rsidR="00BE0710" w:rsidRPr="00BE0710">
        <w:rPr>
          <w:color w:val="000000" w:themeColor="text1"/>
        </w:rPr>
        <w:t>, cystitis, upper respiratory tract infection, bronc</w:t>
      </w:r>
      <w:r>
        <w:rPr>
          <w:color w:val="000000" w:themeColor="text1"/>
        </w:rPr>
        <w:t xml:space="preserve">hitis, herpes zoster, rhinitis and </w:t>
      </w:r>
      <w:r w:rsidR="00BE0710" w:rsidRPr="00BE0710">
        <w:rPr>
          <w:color w:val="000000" w:themeColor="text1"/>
        </w:rPr>
        <w:t>fungal skin infection</w:t>
      </w:r>
      <w:r>
        <w:rPr>
          <w:color w:val="000000" w:themeColor="text1"/>
        </w:rPr>
        <w:t>.</w:t>
      </w:r>
    </w:p>
    <w:p w:rsidR="00440607" w:rsidRPr="007734DD" w:rsidRDefault="00624315" w:rsidP="000A734B">
      <w:pPr>
        <w:pStyle w:val="Heading2"/>
      </w:pPr>
      <w:bookmarkStart w:id="34" w:name="_Toc523934608"/>
      <w:bookmarkStart w:id="35" w:name="_Toc413139281"/>
      <w:r w:rsidRPr="007734DD">
        <w:t>Benefits and harms</w:t>
      </w:r>
      <w:bookmarkEnd w:id="34"/>
    </w:p>
    <w:p w:rsidR="00BE0710" w:rsidRDefault="00BE0710" w:rsidP="009722D0">
      <w:pPr>
        <w:pStyle w:val="ListParagraph"/>
        <w:numPr>
          <w:ilvl w:val="1"/>
          <w:numId w:val="1"/>
        </w:numPr>
        <w:ind w:left="720" w:hanging="720"/>
        <w:jc w:val="both"/>
        <w:rPr>
          <w:color w:val="000000" w:themeColor="text1"/>
        </w:rPr>
      </w:pPr>
      <w:r w:rsidRPr="00BE0710">
        <w:rPr>
          <w:color w:val="000000" w:themeColor="text1"/>
        </w:rPr>
        <w:t xml:space="preserve">On the basis of </w:t>
      </w:r>
      <w:r w:rsidR="007A77ED">
        <w:rPr>
          <w:color w:val="000000" w:themeColor="text1"/>
        </w:rPr>
        <w:t>the</w:t>
      </w:r>
      <w:r w:rsidRPr="00BE0710">
        <w:rPr>
          <w:color w:val="000000" w:themeColor="text1"/>
        </w:rPr>
        <w:t xml:space="preserve"> evidence presented in the submission, for every 100 patients treated with </w:t>
      </w:r>
      <w:r w:rsidR="00EF75F9">
        <w:rPr>
          <w:color w:val="000000" w:themeColor="text1"/>
        </w:rPr>
        <w:t xml:space="preserve">weekly </w:t>
      </w:r>
      <w:proofErr w:type="spellStart"/>
      <w:r w:rsidR="002E37F0">
        <w:rPr>
          <w:color w:val="000000" w:themeColor="text1"/>
        </w:rPr>
        <w:t>tocilizumab</w:t>
      </w:r>
      <w:proofErr w:type="spellEnd"/>
      <w:r w:rsidR="002E37F0">
        <w:rPr>
          <w:color w:val="000000" w:themeColor="text1"/>
        </w:rPr>
        <w:t xml:space="preserve"> in conjunction with a 26-week prednisone taper</w:t>
      </w:r>
      <w:r w:rsidR="00D67600">
        <w:rPr>
          <w:color w:val="000000" w:themeColor="text1"/>
        </w:rPr>
        <w:t xml:space="preserve"> compared</w:t>
      </w:r>
      <w:r w:rsidRPr="00BE0710">
        <w:rPr>
          <w:color w:val="000000" w:themeColor="text1"/>
        </w:rPr>
        <w:t xml:space="preserve"> to placebo </w:t>
      </w:r>
      <w:r w:rsidR="002E37F0">
        <w:rPr>
          <w:color w:val="000000" w:themeColor="text1"/>
        </w:rPr>
        <w:t>in conjunction with a 52-week prednisone taper</w:t>
      </w:r>
      <w:r w:rsidRPr="00BE0710">
        <w:rPr>
          <w:color w:val="000000" w:themeColor="text1"/>
        </w:rPr>
        <w:t>:</w:t>
      </w:r>
    </w:p>
    <w:p w:rsidR="00BE0710" w:rsidRDefault="002E37F0" w:rsidP="00C46E06">
      <w:pPr>
        <w:pStyle w:val="ListParagraph"/>
        <w:numPr>
          <w:ilvl w:val="0"/>
          <w:numId w:val="14"/>
        </w:numPr>
        <w:ind w:left="993" w:hanging="284"/>
        <w:jc w:val="both"/>
        <w:rPr>
          <w:color w:val="000000" w:themeColor="text1"/>
        </w:rPr>
      </w:pPr>
      <w:r>
        <w:rPr>
          <w:color w:val="000000" w:themeColor="text1"/>
        </w:rPr>
        <w:t>Approximately 38</w:t>
      </w:r>
      <w:r w:rsidR="00BE0710" w:rsidRPr="00BE0710">
        <w:rPr>
          <w:color w:val="000000" w:themeColor="text1"/>
        </w:rPr>
        <w:t xml:space="preserve"> additional patients would achieve </w:t>
      </w:r>
      <w:r>
        <w:rPr>
          <w:color w:val="000000" w:themeColor="text1"/>
        </w:rPr>
        <w:t>a sustained remission from Week 12 to Week 52</w:t>
      </w:r>
      <w:r w:rsidR="00BE0710" w:rsidRPr="00BE0710">
        <w:rPr>
          <w:color w:val="000000" w:themeColor="text1"/>
        </w:rPr>
        <w:t>;</w:t>
      </w:r>
    </w:p>
    <w:p w:rsidR="00BE0710" w:rsidRDefault="006A47DE" w:rsidP="00C46E06">
      <w:pPr>
        <w:pStyle w:val="ListParagraph"/>
        <w:numPr>
          <w:ilvl w:val="0"/>
          <w:numId w:val="14"/>
        </w:numPr>
        <w:ind w:left="993" w:hanging="284"/>
        <w:jc w:val="both"/>
        <w:rPr>
          <w:color w:val="000000" w:themeColor="text1"/>
        </w:rPr>
      </w:pPr>
      <w:r>
        <w:rPr>
          <w:color w:val="000000" w:themeColor="text1"/>
        </w:rPr>
        <w:t>Approximately 26</w:t>
      </w:r>
      <w:r w:rsidR="00BE0710" w:rsidRPr="00BE0710">
        <w:rPr>
          <w:color w:val="000000" w:themeColor="text1"/>
        </w:rPr>
        <w:t xml:space="preserve"> </w:t>
      </w:r>
      <w:r w:rsidR="00EF75F9">
        <w:rPr>
          <w:color w:val="000000" w:themeColor="text1"/>
        </w:rPr>
        <w:t>fewer</w:t>
      </w:r>
      <w:r>
        <w:rPr>
          <w:color w:val="000000" w:themeColor="text1"/>
        </w:rPr>
        <w:t xml:space="preserve"> </w:t>
      </w:r>
      <w:r w:rsidR="00BE0710" w:rsidRPr="00BE0710">
        <w:rPr>
          <w:color w:val="000000" w:themeColor="text1"/>
        </w:rPr>
        <w:t xml:space="preserve">patients would </w:t>
      </w:r>
      <w:r>
        <w:rPr>
          <w:color w:val="000000" w:themeColor="text1"/>
        </w:rPr>
        <w:t xml:space="preserve">experience a disease flare by Week 52. </w:t>
      </w:r>
    </w:p>
    <w:p w:rsidR="00CA4190" w:rsidRDefault="00BF249F" w:rsidP="00C46E06">
      <w:pPr>
        <w:pStyle w:val="ListParagraph"/>
        <w:numPr>
          <w:ilvl w:val="0"/>
          <w:numId w:val="14"/>
        </w:numPr>
        <w:spacing w:after="120"/>
        <w:ind w:left="993" w:hanging="284"/>
        <w:jc w:val="both"/>
        <w:rPr>
          <w:color w:val="000000" w:themeColor="text1"/>
        </w:rPr>
      </w:pPr>
      <w:r>
        <w:rPr>
          <w:color w:val="000000" w:themeColor="text1"/>
        </w:rPr>
        <w:t>There were no notable differences in adverse events.</w:t>
      </w:r>
    </w:p>
    <w:p w:rsidR="008E6B8F" w:rsidRPr="001E43CB" w:rsidRDefault="008E6B8F" w:rsidP="009722D0">
      <w:pPr>
        <w:numPr>
          <w:ilvl w:val="1"/>
          <w:numId w:val="1"/>
        </w:numPr>
        <w:ind w:left="720" w:hanging="720"/>
        <w:jc w:val="both"/>
        <w:rPr>
          <w:color w:val="000000" w:themeColor="text1"/>
        </w:rPr>
      </w:pPr>
      <w:r w:rsidRPr="001E43CB">
        <w:rPr>
          <w:color w:val="000000" w:themeColor="text1"/>
        </w:rPr>
        <w:t xml:space="preserve">The ESC </w:t>
      </w:r>
      <w:r w:rsidR="001251D7" w:rsidRPr="00A24733">
        <w:rPr>
          <w:color w:val="000000" w:themeColor="text1"/>
        </w:rPr>
        <w:t>and the PBAC</w:t>
      </w:r>
      <w:r w:rsidR="001251D7">
        <w:rPr>
          <w:i/>
          <w:color w:val="000000" w:themeColor="text1"/>
        </w:rPr>
        <w:t xml:space="preserve"> </w:t>
      </w:r>
      <w:r w:rsidRPr="001E43CB">
        <w:rPr>
          <w:color w:val="000000" w:themeColor="text1"/>
        </w:rPr>
        <w:t xml:space="preserve">noted that the benefits and harms were similar if based on fortnightly </w:t>
      </w:r>
      <w:proofErr w:type="spellStart"/>
      <w:r w:rsidRPr="001E43CB">
        <w:rPr>
          <w:color w:val="000000" w:themeColor="text1"/>
        </w:rPr>
        <w:t>to</w:t>
      </w:r>
      <w:r w:rsidR="00877D5D" w:rsidRPr="001E43CB">
        <w:rPr>
          <w:color w:val="000000" w:themeColor="text1"/>
        </w:rPr>
        <w:t>cilizumab</w:t>
      </w:r>
      <w:proofErr w:type="spellEnd"/>
      <w:r w:rsidR="00877D5D" w:rsidRPr="001E43CB">
        <w:rPr>
          <w:color w:val="000000" w:themeColor="text1"/>
        </w:rPr>
        <w:t xml:space="preserve"> rather than weekly </w:t>
      </w:r>
      <w:proofErr w:type="spellStart"/>
      <w:r w:rsidR="00877D5D" w:rsidRPr="001E43CB">
        <w:rPr>
          <w:color w:val="000000" w:themeColor="text1"/>
        </w:rPr>
        <w:t>tocilizumab</w:t>
      </w:r>
      <w:proofErr w:type="spellEnd"/>
      <w:r w:rsidR="00877D5D" w:rsidRPr="001E43CB">
        <w:rPr>
          <w:color w:val="000000" w:themeColor="text1"/>
        </w:rPr>
        <w:t xml:space="preserve">. That is, </w:t>
      </w:r>
      <w:r w:rsidRPr="001E43CB">
        <w:rPr>
          <w:color w:val="000000" w:themeColor="text1"/>
        </w:rPr>
        <w:t xml:space="preserve">on the basis of the evidence presented in the submission, for every 100 patients treated with fortnightly </w:t>
      </w:r>
      <w:proofErr w:type="spellStart"/>
      <w:r w:rsidRPr="001E43CB">
        <w:rPr>
          <w:color w:val="000000" w:themeColor="text1"/>
        </w:rPr>
        <w:t>tocilizumab</w:t>
      </w:r>
      <w:proofErr w:type="spellEnd"/>
      <w:r w:rsidRPr="001E43CB">
        <w:rPr>
          <w:color w:val="000000" w:themeColor="text1"/>
        </w:rPr>
        <w:t xml:space="preserve"> in conjunction with a 26-week prednisone taper compared to placebo in conjunction with a 52-week prednisone taper:</w:t>
      </w:r>
    </w:p>
    <w:p w:rsidR="008E6B8F" w:rsidRPr="001E43CB" w:rsidRDefault="008E6B8F" w:rsidP="00C46E06">
      <w:pPr>
        <w:numPr>
          <w:ilvl w:val="0"/>
          <w:numId w:val="14"/>
        </w:numPr>
        <w:ind w:left="993" w:hanging="284"/>
        <w:jc w:val="both"/>
        <w:rPr>
          <w:color w:val="000000" w:themeColor="text1"/>
        </w:rPr>
      </w:pPr>
      <w:r w:rsidRPr="001E43CB">
        <w:rPr>
          <w:color w:val="000000" w:themeColor="text1"/>
        </w:rPr>
        <w:lastRenderedPageBreak/>
        <w:t>Approximately 35 additional patients would achieve a sustained remission from Week 12 to Week 52;</w:t>
      </w:r>
      <w:r w:rsidR="00F71B3D" w:rsidRPr="001E43CB">
        <w:rPr>
          <w:color w:val="000000" w:themeColor="text1"/>
        </w:rPr>
        <w:t xml:space="preserve"> </w:t>
      </w:r>
    </w:p>
    <w:p w:rsidR="008E6B8F" w:rsidRPr="001E43CB" w:rsidRDefault="008E6B8F" w:rsidP="00C46E06">
      <w:pPr>
        <w:numPr>
          <w:ilvl w:val="0"/>
          <w:numId w:val="14"/>
        </w:numPr>
        <w:ind w:left="993" w:hanging="284"/>
        <w:jc w:val="both"/>
        <w:rPr>
          <w:color w:val="000000" w:themeColor="text1"/>
        </w:rPr>
      </w:pPr>
      <w:r w:rsidRPr="001E43CB">
        <w:rPr>
          <w:color w:val="000000" w:themeColor="text1"/>
        </w:rPr>
        <w:t xml:space="preserve">Approximately 22 fewer patients would experience a disease flare by Week 52. </w:t>
      </w:r>
    </w:p>
    <w:p w:rsidR="008E6B8F" w:rsidRPr="001E43CB" w:rsidRDefault="008E6B8F" w:rsidP="00C46E06">
      <w:pPr>
        <w:numPr>
          <w:ilvl w:val="0"/>
          <w:numId w:val="14"/>
        </w:numPr>
        <w:ind w:left="993" w:hanging="284"/>
        <w:jc w:val="both"/>
        <w:rPr>
          <w:color w:val="000000" w:themeColor="text1"/>
        </w:rPr>
      </w:pPr>
      <w:r w:rsidRPr="001E43CB">
        <w:rPr>
          <w:color w:val="000000" w:themeColor="text1"/>
        </w:rPr>
        <w:t>There were no notable differences in adverse events.</w:t>
      </w:r>
    </w:p>
    <w:p w:rsidR="00FD65A9" w:rsidRPr="000D4B93" w:rsidRDefault="00FD65A9" w:rsidP="001A08FA">
      <w:pPr>
        <w:numPr>
          <w:ilvl w:val="1"/>
          <w:numId w:val="1"/>
        </w:numPr>
        <w:spacing w:before="120"/>
        <w:ind w:left="720" w:hanging="720"/>
        <w:jc w:val="both"/>
        <w:rPr>
          <w:i/>
          <w:color w:val="000000" w:themeColor="text1"/>
        </w:rPr>
      </w:pPr>
      <w:r w:rsidRPr="001E43CB">
        <w:rPr>
          <w:color w:val="000000" w:themeColor="text1"/>
        </w:rPr>
        <w:t>However, the ESC</w:t>
      </w:r>
      <w:r w:rsidR="000B3C19">
        <w:rPr>
          <w:color w:val="000000" w:themeColor="text1"/>
        </w:rPr>
        <w:t xml:space="preserve"> and PBAC</w:t>
      </w:r>
      <w:r w:rsidRPr="001E43CB">
        <w:rPr>
          <w:color w:val="000000" w:themeColor="text1"/>
        </w:rPr>
        <w:t xml:space="preserve"> also noted that, based on preliminary data, there appeared to be a higher risk of flares after ceasing </w:t>
      </w:r>
      <w:proofErr w:type="spellStart"/>
      <w:r w:rsidRPr="001E43CB">
        <w:rPr>
          <w:color w:val="000000" w:themeColor="text1"/>
        </w:rPr>
        <w:t>tocilizumab</w:t>
      </w:r>
      <w:proofErr w:type="spellEnd"/>
      <w:r w:rsidRPr="001E43CB">
        <w:rPr>
          <w:color w:val="000000" w:themeColor="text1"/>
        </w:rPr>
        <w:t xml:space="preserve"> treatment</w:t>
      </w:r>
      <w:r w:rsidR="009348CA" w:rsidRPr="001E43CB">
        <w:rPr>
          <w:color w:val="000000" w:themeColor="text1"/>
        </w:rPr>
        <w:t xml:space="preserve"> (weekly or fortnightly)</w:t>
      </w:r>
      <w:r w:rsidRPr="001E43CB">
        <w:rPr>
          <w:color w:val="000000" w:themeColor="text1"/>
        </w:rPr>
        <w:t xml:space="preserve"> </w:t>
      </w:r>
      <w:r w:rsidR="009348CA" w:rsidRPr="001E43CB">
        <w:rPr>
          <w:color w:val="000000" w:themeColor="text1"/>
        </w:rPr>
        <w:t>than</w:t>
      </w:r>
      <w:r w:rsidR="009348CA">
        <w:rPr>
          <w:i/>
          <w:color w:val="000000" w:themeColor="text1"/>
        </w:rPr>
        <w:t xml:space="preserve"> </w:t>
      </w:r>
      <w:r w:rsidRPr="001E43CB">
        <w:rPr>
          <w:color w:val="000000" w:themeColor="text1"/>
        </w:rPr>
        <w:t xml:space="preserve">after corticosteroids </w:t>
      </w:r>
      <w:r w:rsidR="000B3C19">
        <w:rPr>
          <w:color w:val="000000" w:themeColor="text1"/>
        </w:rPr>
        <w:t>alone</w:t>
      </w:r>
      <w:r w:rsidRPr="001E43CB">
        <w:rPr>
          <w:color w:val="000000" w:themeColor="text1"/>
        </w:rPr>
        <w:t>.</w:t>
      </w:r>
    </w:p>
    <w:p w:rsidR="00C317F3" w:rsidRPr="007734DD" w:rsidRDefault="008058E8" w:rsidP="000A734B">
      <w:pPr>
        <w:pStyle w:val="Heading2"/>
      </w:pPr>
      <w:bookmarkStart w:id="36" w:name="_Toc523934609"/>
      <w:bookmarkEnd w:id="35"/>
      <w:r w:rsidRPr="007734DD">
        <w:t>Interpretation of clinical evidence</w:t>
      </w:r>
      <w:bookmarkEnd w:id="36"/>
    </w:p>
    <w:p w:rsidR="004471E2" w:rsidRDefault="004471E2" w:rsidP="001A08FA">
      <w:pPr>
        <w:pStyle w:val="ListParagraph"/>
        <w:numPr>
          <w:ilvl w:val="1"/>
          <w:numId w:val="1"/>
        </w:numPr>
        <w:spacing w:after="120"/>
        <w:ind w:left="720" w:hanging="720"/>
        <w:jc w:val="both"/>
        <w:rPr>
          <w:color w:val="000000" w:themeColor="text1"/>
        </w:rPr>
      </w:pPr>
      <w:r w:rsidRPr="004471E2">
        <w:rPr>
          <w:color w:val="000000" w:themeColor="text1"/>
        </w:rPr>
        <w:t xml:space="preserve">The submission described </w:t>
      </w:r>
      <w:proofErr w:type="spellStart"/>
      <w:r w:rsidRPr="004471E2">
        <w:rPr>
          <w:color w:val="000000" w:themeColor="text1"/>
        </w:rPr>
        <w:t>tocilizumab</w:t>
      </w:r>
      <w:proofErr w:type="spellEnd"/>
      <w:r w:rsidRPr="004471E2">
        <w:rPr>
          <w:color w:val="000000" w:themeColor="text1"/>
        </w:rPr>
        <w:t xml:space="preserve"> 162 mg subcutaneously once weekly</w:t>
      </w:r>
      <w:r w:rsidR="00C90ADE">
        <w:rPr>
          <w:color w:val="000000" w:themeColor="text1"/>
        </w:rPr>
        <w:t xml:space="preserve"> </w:t>
      </w:r>
      <w:r w:rsidRPr="004471E2">
        <w:rPr>
          <w:color w:val="000000" w:themeColor="text1"/>
        </w:rPr>
        <w:t>in conjunction with a 26-week tapering course of corticosteroids as superior</w:t>
      </w:r>
      <w:r w:rsidR="00C90ADE">
        <w:rPr>
          <w:color w:val="000000" w:themeColor="text1"/>
        </w:rPr>
        <w:t xml:space="preserve"> </w:t>
      </w:r>
      <w:r w:rsidR="00C90ADE" w:rsidRPr="001E43CB">
        <w:rPr>
          <w:color w:val="000000" w:themeColor="text1"/>
        </w:rPr>
        <w:t>at 52 weeks</w:t>
      </w:r>
      <w:r w:rsidRPr="001E43CB">
        <w:rPr>
          <w:color w:val="000000" w:themeColor="text1"/>
        </w:rPr>
        <w:t xml:space="preserve"> </w:t>
      </w:r>
      <w:r w:rsidRPr="004471E2">
        <w:rPr>
          <w:color w:val="000000" w:themeColor="text1"/>
        </w:rPr>
        <w:t xml:space="preserve">in terms of effectiveness, and non-inferior in terms of safety </w:t>
      </w:r>
      <w:r w:rsidR="007A77ED">
        <w:rPr>
          <w:color w:val="000000" w:themeColor="text1"/>
        </w:rPr>
        <w:t xml:space="preserve">compared </w:t>
      </w:r>
      <w:r w:rsidRPr="004471E2">
        <w:rPr>
          <w:color w:val="000000" w:themeColor="text1"/>
        </w:rPr>
        <w:t>to a 52-week tapering course of corticosteroids.</w:t>
      </w:r>
    </w:p>
    <w:p w:rsidR="00750B5A" w:rsidRPr="0068463E" w:rsidRDefault="00877D5D" w:rsidP="007C43BE">
      <w:pPr>
        <w:pStyle w:val="ListParagraph"/>
        <w:numPr>
          <w:ilvl w:val="1"/>
          <w:numId w:val="1"/>
        </w:numPr>
        <w:spacing w:after="120"/>
        <w:ind w:left="720" w:hanging="720"/>
        <w:jc w:val="both"/>
        <w:rPr>
          <w:color w:val="000000" w:themeColor="text1"/>
        </w:rPr>
      </w:pPr>
      <w:r w:rsidRPr="00EE1044">
        <w:rPr>
          <w:color w:val="000000" w:themeColor="text1"/>
        </w:rPr>
        <w:t>The evaluation</w:t>
      </w:r>
      <w:r w:rsidR="00227AEA">
        <w:rPr>
          <w:color w:val="000000" w:themeColor="text1"/>
        </w:rPr>
        <w:t xml:space="preserve">, </w:t>
      </w:r>
      <w:r w:rsidRPr="001E43CB">
        <w:rPr>
          <w:color w:val="000000" w:themeColor="text1"/>
        </w:rPr>
        <w:t>the ESC</w:t>
      </w:r>
      <w:r w:rsidR="00227AEA">
        <w:rPr>
          <w:color w:val="000000" w:themeColor="text1"/>
        </w:rPr>
        <w:t xml:space="preserve"> and the PBAC </w:t>
      </w:r>
      <w:r w:rsidRPr="00EE1044">
        <w:rPr>
          <w:color w:val="000000" w:themeColor="text1"/>
        </w:rPr>
        <w:t>considered that t</w:t>
      </w:r>
      <w:r w:rsidR="004471E2" w:rsidRPr="00877D5D">
        <w:rPr>
          <w:color w:val="000000" w:themeColor="text1"/>
        </w:rPr>
        <w:t>he</w:t>
      </w:r>
      <w:r w:rsidR="004471E2" w:rsidRPr="0068463E">
        <w:rPr>
          <w:color w:val="000000" w:themeColor="text1"/>
        </w:rPr>
        <w:t xml:space="preserve"> therapeutic conclusion presented in the submission was </w:t>
      </w:r>
      <w:r w:rsidR="008D6CC0" w:rsidRPr="0068463E">
        <w:rPr>
          <w:color w:val="000000" w:themeColor="text1"/>
        </w:rPr>
        <w:t>adequately</w:t>
      </w:r>
      <w:r w:rsidR="004471E2" w:rsidRPr="0068463E">
        <w:rPr>
          <w:color w:val="000000" w:themeColor="text1"/>
        </w:rPr>
        <w:t xml:space="preserve"> supported</w:t>
      </w:r>
      <w:r w:rsidR="00AE3101">
        <w:rPr>
          <w:color w:val="000000" w:themeColor="text1"/>
        </w:rPr>
        <w:t xml:space="preserve"> </w:t>
      </w:r>
      <w:r w:rsidR="00AE3101" w:rsidRPr="001E43CB">
        <w:rPr>
          <w:color w:val="000000" w:themeColor="text1"/>
        </w:rPr>
        <w:t>during the 52 week randomised trial period</w:t>
      </w:r>
      <w:r w:rsidR="008D6CC0" w:rsidRPr="001E43CB">
        <w:rPr>
          <w:color w:val="000000" w:themeColor="text1"/>
        </w:rPr>
        <w:t xml:space="preserve">. </w:t>
      </w:r>
      <w:r w:rsidR="008D6CC0" w:rsidRPr="0068463E">
        <w:rPr>
          <w:color w:val="000000" w:themeColor="text1"/>
        </w:rPr>
        <w:t>However, the following issues were noted:</w:t>
      </w:r>
    </w:p>
    <w:p w:rsidR="00E06BB0" w:rsidRPr="00E06BB0" w:rsidRDefault="00227AEA" w:rsidP="00E06BB0">
      <w:pPr>
        <w:pStyle w:val="ListParagraph"/>
        <w:numPr>
          <w:ilvl w:val="0"/>
          <w:numId w:val="14"/>
        </w:numPr>
        <w:ind w:left="993" w:hanging="284"/>
        <w:jc w:val="both"/>
        <w:rPr>
          <w:color w:val="000000" w:themeColor="text1"/>
        </w:rPr>
      </w:pPr>
      <w:r w:rsidRPr="00E06BB0">
        <w:rPr>
          <w:color w:val="000000" w:themeColor="text1"/>
        </w:rPr>
        <w:t xml:space="preserve">The durability of the treatment effect with </w:t>
      </w:r>
      <w:proofErr w:type="spellStart"/>
      <w:r w:rsidRPr="00E06BB0">
        <w:rPr>
          <w:color w:val="000000" w:themeColor="text1"/>
        </w:rPr>
        <w:t>tocilizumab</w:t>
      </w:r>
      <w:proofErr w:type="spellEnd"/>
      <w:r w:rsidRPr="00E06BB0">
        <w:rPr>
          <w:color w:val="000000" w:themeColor="text1"/>
        </w:rPr>
        <w:t xml:space="preserve"> in the post-treatment period (beyond 52 weeks) is unclear, due to limited long-term follow-up data. </w:t>
      </w:r>
      <w:r w:rsidR="00E06BB0" w:rsidRPr="00E06BB0">
        <w:rPr>
          <w:color w:val="000000" w:themeColor="text1"/>
        </w:rPr>
        <w:t xml:space="preserve">Preliminary data from the open label extension of the </w:t>
      </w:r>
      <w:proofErr w:type="spellStart"/>
      <w:r w:rsidR="00E06BB0" w:rsidRPr="00E06BB0">
        <w:rPr>
          <w:color w:val="000000" w:themeColor="text1"/>
        </w:rPr>
        <w:t>GiACTA</w:t>
      </w:r>
      <w:proofErr w:type="spellEnd"/>
      <w:r w:rsidR="00E06BB0" w:rsidRPr="00E06BB0">
        <w:rPr>
          <w:color w:val="000000" w:themeColor="text1"/>
        </w:rPr>
        <w:t xml:space="preserve"> trial suggests that the relapse rate may be higher in the </w:t>
      </w:r>
      <w:proofErr w:type="spellStart"/>
      <w:r w:rsidR="00E06BB0" w:rsidRPr="00E06BB0">
        <w:rPr>
          <w:color w:val="000000" w:themeColor="text1"/>
        </w:rPr>
        <w:t>tocilizumab</w:t>
      </w:r>
      <w:proofErr w:type="spellEnd"/>
      <w:r w:rsidR="00E06BB0" w:rsidRPr="00E06BB0">
        <w:rPr>
          <w:color w:val="000000" w:themeColor="text1"/>
        </w:rPr>
        <w:t xml:space="preserve"> arms when </w:t>
      </w:r>
      <w:proofErr w:type="spellStart"/>
      <w:r w:rsidR="00E06BB0" w:rsidRPr="00E06BB0">
        <w:rPr>
          <w:color w:val="000000" w:themeColor="text1"/>
        </w:rPr>
        <w:t>tocilizumab</w:t>
      </w:r>
      <w:proofErr w:type="spellEnd"/>
      <w:r w:rsidR="00E06BB0" w:rsidRPr="00E06BB0">
        <w:rPr>
          <w:color w:val="000000" w:themeColor="text1"/>
        </w:rPr>
        <w:t xml:space="preserve"> treatment has ceased after 12 months, especially when </w:t>
      </w:r>
      <w:proofErr w:type="spellStart"/>
      <w:r w:rsidR="00E06BB0" w:rsidRPr="00E06BB0">
        <w:rPr>
          <w:color w:val="000000" w:themeColor="text1"/>
        </w:rPr>
        <w:t>tocilizumab</w:t>
      </w:r>
      <w:proofErr w:type="spellEnd"/>
      <w:r w:rsidR="00E06BB0" w:rsidRPr="00E06BB0">
        <w:rPr>
          <w:color w:val="000000" w:themeColor="text1"/>
        </w:rPr>
        <w:t xml:space="preserve"> has been used fortnightly. Hence, treatment beyond 52 weeks may be required. However, the role of </w:t>
      </w:r>
      <w:proofErr w:type="spellStart"/>
      <w:r w:rsidR="00E06BB0" w:rsidRPr="00E06BB0">
        <w:rPr>
          <w:color w:val="000000" w:themeColor="text1"/>
        </w:rPr>
        <w:t>tocilizumab</w:t>
      </w:r>
      <w:proofErr w:type="spellEnd"/>
      <w:r w:rsidR="00E06BB0" w:rsidRPr="00E06BB0">
        <w:rPr>
          <w:color w:val="000000" w:themeColor="text1"/>
        </w:rPr>
        <w:t xml:space="preserve"> beyond 12 months has not been established.</w:t>
      </w:r>
    </w:p>
    <w:p w:rsidR="004471E2" w:rsidRDefault="00877D5D" w:rsidP="00E06BB0">
      <w:pPr>
        <w:pStyle w:val="ListParagraph"/>
        <w:numPr>
          <w:ilvl w:val="0"/>
          <w:numId w:val="14"/>
        </w:numPr>
        <w:ind w:left="993" w:hanging="284"/>
        <w:jc w:val="both"/>
        <w:rPr>
          <w:color w:val="000000" w:themeColor="text1"/>
        </w:rPr>
      </w:pPr>
      <w:r>
        <w:rPr>
          <w:color w:val="000000" w:themeColor="text1"/>
        </w:rPr>
        <w:t>T</w:t>
      </w:r>
      <w:r w:rsidR="004471E2" w:rsidRPr="0068463E">
        <w:rPr>
          <w:color w:val="000000" w:themeColor="text1"/>
        </w:rPr>
        <w:t xml:space="preserve">he magnitude of the </w:t>
      </w:r>
      <w:r w:rsidR="007A77ED" w:rsidRPr="0068463E">
        <w:rPr>
          <w:color w:val="000000" w:themeColor="text1"/>
        </w:rPr>
        <w:t xml:space="preserve">clinical </w:t>
      </w:r>
      <w:r w:rsidR="004471E2" w:rsidRPr="0068463E">
        <w:rPr>
          <w:color w:val="000000" w:themeColor="text1"/>
        </w:rPr>
        <w:t xml:space="preserve">benefit </w:t>
      </w:r>
      <w:r w:rsidR="007A77ED" w:rsidRPr="0068463E">
        <w:rPr>
          <w:color w:val="000000" w:themeColor="text1"/>
        </w:rPr>
        <w:t xml:space="preserve">associated </w:t>
      </w:r>
      <w:r w:rsidR="004471E2" w:rsidRPr="0068463E">
        <w:rPr>
          <w:color w:val="000000" w:themeColor="text1"/>
        </w:rPr>
        <w:t xml:space="preserve">with </w:t>
      </w:r>
      <w:proofErr w:type="spellStart"/>
      <w:r w:rsidR="004471E2" w:rsidRPr="0068463E">
        <w:rPr>
          <w:color w:val="000000" w:themeColor="text1"/>
        </w:rPr>
        <w:t>tocilizumab</w:t>
      </w:r>
      <w:proofErr w:type="spellEnd"/>
      <w:r w:rsidR="004471E2" w:rsidRPr="0068463E">
        <w:rPr>
          <w:color w:val="000000" w:themeColor="text1"/>
        </w:rPr>
        <w:t xml:space="preserve"> was unclear, as direct biologic effects of </w:t>
      </w:r>
      <w:proofErr w:type="spellStart"/>
      <w:r w:rsidR="004471E2" w:rsidRPr="0068463E">
        <w:rPr>
          <w:color w:val="000000" w:themeColor="text1"/>
        </w:rPr>
        <w:t>tocilizumab</w:t>
      </w:r>
      <w:proofErr w:type="spellEnd"/>
      <w:r w:rsidR="004471E2" w:rsidRPr="0068463E">
        <w:rPr>
          <w:color w:val="000000" w:themeColor="text1"/>
        </w:rPr>
        <w:t xml:space="preserve"> on CRP and ESR levels may have led to an overestimation of the response to treatment with </w:t>
      </w:r>
      <w:proofErr w:type="spellStart"/>
      <w:r w:rsidR="004471E2" w:rsidRPr="0068463E">
        <w:rPr>
          <w:color w:val="000000" w:themeColor="text1"/>
        </w:rPr>
        <w:t>tocilizumab</w:t>
      </w:r>
      <w:proofErr w:type="spellEnd"/>
      <w:r w:rsidR="004471E2" w:rsidRPr="0068463E">
        <w:rPr>
          <w:color w:val="000000" w:themeColor="text1"/>
        </w:rPr>
        <w:t>.</w:t>
      </w:r>
    </w:p>
    <w:p w:rsidR="004471E2" w:rsidRDefault="004471E2" w:rsidP="00E06BB0">
      <w:pPr>
        <w:pStyle w:val="ListParagraph"/>
        <w:numPr>
          <w:ilvl w:val="0"/>
          <w:numId w:val="14"/>
        </w:numPr>
        <w:spacing w:after="120"/>
        <w:ind w:left="993" w:hanging="284"/>
        <w:jc w:val="both"/>
        <w:rPr>
          <w:color w:val="000000" w:themeColor="text1"/>
        </w:rPr>
      </w:pPr>
      <w:r w:rsidRPr="0068463E">
        <w:rPr>
          <w:color w:val="000000" w:themeColor="text1"/>
        </w:rPr>
        <w:t>The prednisone dosing in the trial may not be representative of clinical practice, as tapering of the prednisone dose was commenced prior to achieving remission in some patients, and the duration of the prednisone taper was shorter than recommended in clinical guidelines.</w:t>
      </w:r>
      <w:r w:rsidR="00E06BB0">
        <w:rPr>
          <w:color w:val="000000" w:themeColor="text1"/>
        </w:rPr>
        <w:t xml:space="preserve"> </w:t>
      </w:r>
      <w:r w:rsidR="00E06BB0" w:rsidRPr="00E06BB0">
        <w:rPr>
          <w:color w:val="000000" w:themeColor="text1"/>
        </w:rPr>
        <w:t xml:space="preserve">The ESC acknowledged that treatment guidelines for GCA are limited and poorly evidence based, but considered that the placebo plus 52-week prednisone taper arm of the </w:t>
      </w:r>
      <w:proofErr w:type="spellStart"/>
      <w:r w:rsidR="00E06BB0" w:rsidRPr="00E06BB0">
        <w:rPr>
          <w:color w:val="000000" w:themeColor="text1"/>
        </w:rPr>
        <w:t>GiACTA</w:t>
      </w:r>
      <w:proofErr w:type="spellEnd"/>
      <w:r w:rsidR="00E06BB0" w:rsidRPr="00E06BB0">
        <w:rPr>
          <w:color w:val="000000" w:themeColor="text1"/>
        </w:rPr>
        <w:t xml:space="preserve"> trial was not an adequate proxy for standard care.</w:t>
      </w:r>
      <w:r w:rsidR="00E06BB0">
        <w:rPr>
          <w:color w:val="000000" w:themeColor="text1"/>
        </w:rPr>
        <w:t xml:space="preserve"> </w:t>
      </w:r>
    </w:p>
    <w:p w:rsidR="001A6C35" w:rsidRPr="001A6C35" w:rsidRDefault="001A6C35" w:rsidP="001A6C35">
      <w:pPr>
        <w:widowControl w:val="0"/>
        <w:numPr>
          <w:ilvl w:val="1"/>
          <w:numId w:val="1"/>
        </w:numPr>
        <w:spacing w:after="120"/>
        <w:ind w:left="720" w:hanging="720"/>
        <w:jc w:val="both"/>
        <w:rPr>
          <w:rFonts w:cs="Arial"/>
          <w:bCs/>
          <w:snapToGrid w:val="0"/>
          <w:lang w:val="en-GB"/>
        </w:rPr>
      </w:pPr>
      <w:r>
        <w:rPr>
          <w:rFonts w:cs="Arial"/>
          <w:bCs/>
          <w:snapToGrid w:val="0"/>
          <w:lang w:val="en-GB"/>
        </w:rPr>
        <w:t>Further, t</w:t>
      </w:r>
      <w:r w:rsidRPr="001A6C35">
        <w:rPr>
          <w:rFonts w:cs="Arial"/>
          <w:bCs/>
          <w:snapToGrid w:val="0"/>
          <w:lang w:val="en-GB"/>
        </w:rPr>
        <w:t xml:space="preserve">he PBAC considered that the patients included in the </w:t>
      </w:r>
      <w:proofErr w:type="spellStart"/>
      <w:r w:rsidRPr="001A6C35">
        <w:rPr>
          <w:rFonts w:cs="Arial"/>
          <w:bCs/>
          <w:snapToGrid w:val="0"/>
          <w:lang w:val="en-GB"/>
        </w:rPr>
        <w:t>GiACTA</w:t>
      </w:r>
      <w:proofErr w:type="spellEnd"/>
      <w:r w:rsidRPr="001A6C35">
        <w:rPr>
          <w:rFonts w:cs="Arial"/>
          <w:bCs/>
          <w:snapToGrid w:val="0"/>
          <w:lang w:val="en-GB"/>
        </w:rPr>
        <w:t xml:space="preserve"> trial may not be representative of the PBS population because:</w:t>
      </w:r>
    </w:p>
    <w:p w:rsidR="001A6C35" w:rsidRPr="001A6C35" w:rsidRDefault="001A6C35" w:rsidP="001A6C35">
      <w:pPr>
        <w:numPr>
          <w:ilvl w:val="0"/>
          <w:numId w:val="42"/>
        </w:numPr>
        <w:jc w:val="both"/>
        <w:rPr>
          <w:rFonts w:cs="Arial"/>
          <w:bCs/>
          <w:snapToGrid w:val="0"/>
          <w:lang w:val="en-GB"/>
        </w:rPr>
      </w:pPr>
      <w:r>
        <w:rPr>
          <w:rFonts w:cs="Arial"/>
          <w:bCs/>
          <w:snapToGrid w:val="0"/>
          <w:lang w:val="en-GB"/>
        </w:rPr>
        <w:t>a</w:t>
      </w:r>
      <w:r w:rsidRPr="001A6C35">
        <w:rPr>
          <w:rFonts w:cs="Arial"/>
          <w:bCs/>
          <w:snapToGrid w:val="0"/>
          <w:lang w:val="en-GB"/>
        </w:rPr>
        <w:t xml:space="preserve"> high proportion (around 60%) of patients in the </w:t>
      </w:r>
      <w:proofErr w:type="spellStart"/>
      <w:r w:rsidRPr="001A6C35">
        <w:rPr>
          <w:rFonts w:cs="Arial"/>
          <w:bCs/>
          <w:snapToGrid w:val="0"/>
          <w:lang w:val="en-GB"/>
        </w:rPr>
        <w:t>GiACTA</w:t>
      </w:r>
      <w:proofErr w:type="spellEnd"/>
      <w:r w:rsidRPr="001A6C35">
        <w:rPr>
          <w:rFonts w:cs="Arial"/>
          <w:bCs/>
          <w:snapToGrid w:val="0"/>
          <w:lang w:val="en-GB"/>
        </w:rPr>
        <w:t xml:space="preserve"> trial had symptoms of polymyalgia </w:t>
      </w:r>
      <w:proofErr w:type="spellStart"/>
      <w:r w:rsidRPr="001A6C35">
        <w:rPr>
          <w:rFonts w:cs="Arial"/>
          <w:bCs/>
          <w:snapToGrid w:val="0"/>
          <w:lang w:val="en-GB"/>
        </w:rPr>
        <w:t>rheumatic</w:t>
      </w:r>
      <w:r w:rsidR="003F22A3">
        <w:rPr>
          <w:rFonts w:cs="Arial"/>
          <w:bCs/>
          <w:snapToGrid w:val="0"/>
          <w:lang w:val="en-GB"/>
        </w:rPr>
        <w:t>a</w:t>
      </w:r>
      <w:proofErr w:type="spellEnd"/>
      <w:r w:rsidRPr="001A6C35">
        <w:rPr>
          <w:rFonts w:cs="Arial"/>
          <w:bCs/>
          <w:snapToGrid w:val="0"/>
          <w:lang w:val="en-GB"/>
        </w:rPr>
        <w:t xml:space="preserve"> (with concomitant GCA)</w:t>
      </w:r>
      <w:r w:rsidR="00521C01">
        <w:rPr>
          <w:rFonts w:cs="Arial"/>
          <w:bCs/>
          <w:snapToGrid w:val="0"/>
          <w:lang w:val="en-GB"/>
        </w:rPr>
        <w:t xml:space="preserve"> at baseline</w:t>
      </w:r>
      <w:r w:rsidRPr="001A6C35">
        <w:rPr>
          <w:rFonts w:cs="Arial"/>
          <w:bCs/>
          <w:snapToGrid w:val="0"/>
          <w:lang w:val="en-GB"/>
        </w:rPr>
        <w:t>;</w:t>
      </w:r>
    </w:p>
    <w:p w:rsidR="001A6C35" w:rsidRPr="001A6C35" w:rsidRDefault="001A6C35" w:rsidP="001A6C35">
      <w:pPr>
        <w:numPr>
          <w:ilvl w:val="0"/>
          <w:numId w:val="42"/>
        </w:numPr>
        <w:jc w:val="both"/>
        <w:rPr>
          <w:rFonts w:cs="Arial"/>
          <w:bCs/>
          <w:snapToGrid w:val="0"/>
          <w:lang w:val="en-GB"/>
        </w:rPr>
      </w:pPr>
      <w:r w:rsidRPr="001A6C35">
        <w:rPr>
          <w:rFonts w:cs="Arial"/>
          <w:bCs/>
          <w:snapToGrid w:val="0"/>
          <w:lang w:val="en-GB"/>
        </w:rPr>
        <w:t>a low proportion</w:t>
      </w:r>
      <w:r w:rsidR="00933F20">
        <w:rPr>
          <w:rFonts w:cs="Arial"/>
          <w:bCs/>
          <w:snapToGrid w:val="0"/>
          <w:lang w:val="en-GB"/>
        </w:rPr>
        <w:t xml:space="preserve"> </w:t>
      </w:r>
      <w:r w:rsidRPr="001A6C35">
        <w:rPr>
          <w:rFonts w:cs="Arial"/>
          <w:bCs/>
          <w:snapToGrid w:val="0"/>
          <w:lang w:val="en-GB"/>
        </w:rPr>
        <w:t xml:space="preserve">(&lt;1% of patients) of patients in the </w:t>
      </w:r>
      <w:proofErr w:type="spellStart"/>
      <w:r w:rsidRPr="001A6C35">
        <w:rPr>
          <w:rFonts w:cs="Arial"/>
          <w:bCs/>
          <w:snapToGrid w:val="0"/>
          <w:lang w:val="en-GB"/>
        </w:rPr>
        <w:t>GiACTA</w:t>
      </w:r>
      <w:proofErr w:type="spellEnd"/>
      <w:r w:rsidRPr="001A6C35">
        <w:rPr>
          <w:rFonts w:cs="Arial"/>
          <w:bCs/>
          <w:snapToGrid w:val="0"/>
          <w:lang w:val="en-GB"/>
        </w:rPr>
        <w:t xml:space="preserve"> trial had ischaemic optic neuropathy</w:t>
      </w:r>
      <w:r w:rsidR="00521C01">
        <w:rPr>
          <w:rFonts w:cs="Arial"/>
          <w:bCs/>
          <w:snapToGrid w:val="0"/>
          <w:lang w:val="en-GB"/>
        </w:rPr>
        <w:t xml:space="preserve"> at baseline</w:t>
      </w:r>
      <w:r w:rsidRPr="001A6C35">
        <w:rPr>
          <w:rFonts w:cs="Arial"/>
          <w:bCs/>
          <w:snapToGrid w:val="0"/>
          <w:lang w:val="en-GB"/>
        </w:rPr>
        <w:t xml:space="preserve">; </w:t>
      </w:r>
    </w:p>
    <w:p w:rsidR="001A6C35" w:rsidRPr="001A6C35" w:rsidRDefault="001A6C35" w:rsidP="001A6C35">
      <w:pPr>
        <w:numPr>
          <w:ilvl w:val="0"/>
          <w:numId w:val="42"/>
        </w:numPr>
        <w:jc w:val="both"/>
        <w:rPr>
          <w:rFonts w:cs="Arial"/>
          <w:bCs/>
          <w:snapToGrid w:val="0"/>
          <w:lang w:val="en-GB"/>
        </w:rPr>
      </w:pPr>
      <w:r w:rsidRPr="001A6C35">
        <w:rPr>
          <w:rFonts w:cs="Arial"/>
          <w:bCs/>
          <w:snapToGrid w:val="0"/>
          <w:lang w:val="en-GB"/>
        </w:rPr>
        <w:lastRenderedPageBreak/>
        <w:t xml:space="preserve">the </w:t>
      </w:r>
      <w:r w:rsidR="00E06BB0">
        <w:rPr>
          <w:rFonts w:cs="Arial"/>
          <w:bCs/>
          <w:snapToGrid w:val="0"/>
          <w:lang w:val="en-GB"/>
        </w:rPr>
        <w:t xml:space="preserve">baseline </w:t>
      </w:r>
      <w:r w:rsidR="00933F20">
        <w:rPr>
          <w:rFonts w:ascii="Calibri" w:eastAsia="Calibri" w:hAnsi="Calibri" w:cs="Times New Roman"/>
          <w:szCs w:val="24"/>
          <w:lang w:eastAsia="zh-CN"/>
        </w:rPr>
        <w:t>ESR</w:t>
      </w:r>
      <w:r w:rsidRPr="001A6C35">
        <w:rPr>
          <w:rFonts w:ascii="Calibri" w:eastAsia="Calibri" w:hAnsi="Calibri" w:cs="Times New Roman"/>
          <w:szCs w:val="24"/>
          <w:lang w:eastAsia="zh-CN"/>
        </w:rPr>
        <w:t xml:space="preserve"> of patients in the </w:t>
      </w:r>
      <w:proofErr w:type="spellStart"/>
      <w:r w:rsidRPr="001A6C35">
        <w:rPr>
          <w:rFonts w:cs="Arial"/>
          <w:bCs/>
          <w:snapToGrid w:val="0"/>
          <w:lang w:val="en-GB"/>
        </w:rPr>
        <w:t>GiACTA</w:t>
      </w:r>
      <w:proofErr w:type="spellEnd"/>
      <w:r w:rsidRPr="001A6C35">
        <w:rPr>
          <w:rFonts w:cs="Arial"/>
          <w:bCs/>
          <w:snapToGrid w:val="0"/>
          <w:lang w:val="en-GB"/>
        </w:rPr>
        <w:t xml:space="preserve"> trial</w:t>
      </w:r>
      <w:r w:rsidRPr="001A6C35">
        <w:rPr>
          <w:rFonts w:ascii="Calibri" w:eastAsia="Calibri" w:hAnsi="Calibri" w:cs="Times New Roman"/>
          <w:szCs w:val="24"/>
          <w:lang w:eastAsia="zh-CN"/>
        </w:rPr>
        <w:t xml:space="preserve"> (mean 24 mm/hr) was likely lower than would be </w:t>
      </w:r>
      <w:r>
        <w:rPr>
          <w:rFonts w:ascii="Calibri" w:eastAsia="Calibri" w:hAnsi="Calibri" w:cs="Times New Roman"/>
          <w:szCs w:val="24"/>
          <w:lang w:eastAsia="zh-CN"/>
        </w:rPr>
        <w:t>expect</w:t>
      </w:r>
      <w:r w:rsidRPr="001A6C35">
        <w:rPr>
          <w:rFonts w:ascii="Calibri" w:eastAsia="Calibri" w:hAnsi="Calibri" w:cs="Times New Roman"/>
          <w:szCs w:val="24"/>
          <w:lang w:eastAsia="zh-CN"/>
        </w:rPr>
        <w:t xml:space="preserve">ed in the PBS population; </w:t>
      </w:r>
    </w:p>
    <w:p w:rsidR="001A6C35" w:rsidRPr="001A6C35" w:rsidRDefault="001A6C35" w:rsidP="001A6C35">
      <w:pPr>
        <w:numPr>
          <w:ilvl w:val="0"/>
          <w:numId w:val="42"/>
        </w:numPr>
        <w:jc w:val="both"/>
        <w:rPr>
          <w:rFonts w:cs="Arial"/>
          <w:bCs/>
          <w:snapToGrid w:val="0"/>
          <w:lang w:val="en-GB"/>
        </w:rPr>
      </w:pPr>
      <w:proofErr w:type="gramStart"/>
      <w:r w:rsidRPr="001A6C35">
        <w:rPr>
          <w:rFonts w:ascii="Calibri" w:eastAsia="Calibri" w:hAnsi="Calibri" w:cs="Times New Roman"/>
          <w:szCs w:val="24"/>
          <w:lang w:eastAsia="zh-CN"/>
        </w:rPr>
        <w:t>the</w:t>
      </w:r>
      <w:proofErr w:type="gramEnd"/>
      <w:r w:rsidRPr="001A6C35">
        <w:rPr>
          <w:rFonts w:ascii="Calibri" w:eastAsia="Calibri" w:hAnsi="Calibri" w:cs="Times New Roman"/>
          <w:szCs w:val="24"/>
          <w:lang w:eastAsia="zh-CN"/>
        </w:rPr>
        <w:t xml:space="preserve"> </w:t>
      </w:r>
      <w:proofErr w:type="spellStart"/>
      <w:r w:rsidRPr="001A6C35">
        <w:rPr>
          <w:rFonts w:ascii="Calibri" w:eastAsia="Calibri" w:hAnsi="Calibri" w:cs="Times New Roman"/>
          <w:szCs w:val="24"/>
          <w:lang w:eastAsia="zh-CN"/>
        </w:rPr>
        <w:t>GiACTA</w:t>
      </w:r>
      <w:proofErr w:type="spellEnd"/>
      <w:r w:rsidRPr="001A6C35">
        <w:rPr>
          <w:rFonts w:ascii="Calibri" w:eastAsia="Calibri" w:hAnsi="Calibri" w:cs="Times New Roman"/>
          <w:szCs w:val="24"/>
          <w:lang w:eastAsia="zh-CN"/>
        </w:rPr>
        <w:t xml:space="preserve"> trial excluded patients who had received intravenous methylprednisolone (at a dose &gt; 100 mg daily) in the previous six weeks. </w:t>
      </w:r>
      <w:r w:rsidR="00A90556">
        <w:rPr>
          <w:rFonts w:ascii="Calibri" w:eastAsia="Calibri" w:hAnsi="Calibri" w:cs="Times New Roman"/>
          <w:szCs w:val="24"/>
          <w:lang w:eastAsia="zh-CN"/>
        </w:rPr>
        <w:t xml:space="preserve">The PBAC considered that this may have excluded patients with </w:t>
      </w:r>
      <w:r w:rsidR="004C5ACE">
        <w:rPr>
          <w:rFonts w:ascii="Calibri" w:eastAsia="Calibri" w:hAnsi="Calibri" w:cs="Times New Roman"/>
          <w:szCs w:val="24"/>
          <w:lang w:eastAsia="zh-CN"/>
        </w:rPr>
        <w:t>more severe disease at baseline; and</w:t>
      </w:r>
    </w:p>
    <w:p w:rsidR="001A6C35" w:rsidRPr="001A6C35" w:rsidRDefault="001A6C35" w:rsidP="001A6C35">
      <w:pPr>
        <w:numPr>
          <w:ilvl w:val="0"/>
          <w:numId w:val="42"/>
        </w:numPr>
        <w:spacing w:after="120"/>
        <w:ind w:left="1434" w:hanging="357"/>
        <w:jc w:val="both"/>
        <w:rPr>
          <w:rFonts w:cs="Arial"/>
          <w:bCs/>
          <w:snapToGrid w:val="0"/>
          <w:lang w:val="en-GB"/>
        </w:rPr>
      </w:pPr>
      <w:proofErr w:type="gramStart"/>
      <w:r w:rsidRPr="001A6C35">
        <w:rPr>
          <w:rFonts w:cs="Arial"/>
          <w:bCs/>
          <w:snapToGrid w:val="0"/>
          <w:lang w:val="en-GB"/>
        </w:rPr>
        <w:t>approximately</w:t>
      </w:r>
      <w:proofErr w:type="gramEnd"/>
      <w:r w:rsidRPr="001A6C35">
        <w:rPr>
          <w:rFonts w:ascii="Calibri" w:eastAsia="Calibri" w:hAnsi="Calibri" w:cs="Times New Roman"/>
          <w:szCs w:val="24"/>
          <w:lang w:eastAsia="zh-CN"/>
        </w:rPr>
        <w:t xml:space="preserve"> 53% of participants </w:t>
      </w:r>
      <w:r w:rsidR="004C5ACE">
        <w:rPr>
          <w:rFonts w:ascii="Calibri" w:eastAsia="Calibri" w:hAnsi="Calibri" w:cs="Times New Roman"/>
          <w:szCs w:val="24"/>
          <w:lang w:eastAsia="zh-CN"/>
        </w:rPr>
        <w:t>had</w:t>
      </w:r>
      <w:r w:rsidRPr="001A6C35">
        <w:rPr>
          <w:rFonts w:ascii="Calibri" w:eastAsia="Calibri" w:hAnsi="Calibri" w:cs="Times New Roman"/>
          <w:szCs w:val="24"/>
          <w:lang w:eastAsia="zh-CN"/>
        </w:rPr>
        <w:t xml:space="preserve"> relapsing GCA at </w:t>
      </w:r>
      <w:r w:rsidR="004C5ACE">
        <w:rPr>
          <w:rFonts w:ascii="Calibri" w:eastAsia="Calibri" w:hAnsi="Calibri" w:cs="Times New Roman"/>
          <w:szCs w:val="24"/>
          <w:lang w:eastAsia="zh-CN"/>
        </w:rPr>
        <w:t>baseline</w:t>
      </w:r>
      <w:r w:rsidRPr="001A6C35">
        <w:rPr>
          <w:rFonts w:ascii="Calibri" w:eastAsia="Calibri" w:hAnsi="Calibri" w:cs="Times New Roman"/>
          <w:szCs w:val="24"/>
          <w:lang w:eastAsia="zh-CN"/>
        </w:rPr>
        <w:t xml:space="preserve"> (versus 47% with newly diagnosed GCA). It was unclear whether this </w:t>
      </w:r>
      <w:r>
        <w:rPr>
          <w:rFonts w:ascii="Calibri" w:eastAsia="Calibri" w:hAnsi="Calibri" w:cs="Times New Roman"/>
          <w:szCs w:val="24"/>
          <w:lang w:eastAsia="zh-CN"/>
        </w:rPr>
        <w:t xml:space="preserve">was representative of the PBS population likely to use </w:t>
      </w:r>
      <w:proofErr w:type="spellStart"/>
      <w:r>
        <w:rPr>
          <w:rFonts w:ascii="Calibri" w:eastAsia="Calibri" w:hAnsi="Calibri" w:cs="Times New Roman"/>
          <w:szCs w:val="24"/>
          <w:lang w:eastAsia="zh-CN"/>
        </w:rPr>
        <w:t>tocilizumab</w:t>
      </w:r>
      <w:proofErr w:type="spellEnd"/>
      <w:r>
        <w:rPr>
          <w:rFonts w:ascii="Calibri" w:eastAsia="Calibri" w:hAnsi="Calibri" w:cs="Times New Roman"/>
          <w:szCs w:val="24"/>
          <w:lang w:eastAsia="zh-CN"/>
        </w:rPr>
        <w:t xml:space="preserve">. </w:t>
      </w:r>
    </w:p>
    <w:p w:rsidR="000F61C1" w:rsidRDefault="00052BB5" w:rsidP="005E5592">
      <w:pPr>
        <w:pStyle w:val="ListParagraph"/>
        <w:numPr>
          <w:ilvl w:val="1"/>
          <w:numId w:val="1"/>
        </w:numPr>
        <w:spacing w:after="120"/>
        <w:ind w:left="709" w:hanging="709"/>
        <w:jc w:val="both"/>
        <w:rPr>
          <w:color w:val="000000" w:themeColor="text1"/>
        </w:rPr>
      </w:pPr>
      <w:r w:rsidRPr="001E43CB">
        <w:rPr>
          <w:color w:val="000000" w:themeColor="text1"/>
        </w:rPr>
        <w:t xml:space="preserve">The ESC </w:t>
      </w:r>
      <w:r w:rsidR="00337FCD" w:rsidRPr="006C1FB2">
        <w:rPr>
          <w:color w:val="000000" w:themeColor="text1"/>
        </w:rPr>
        <w:t>and the PBAC</w:t>
      </w:r>
      <w:r w:rsidR="00337FCD">
        <w:rPr>
          <w:i/>
          <w:color w:val="000000" w:themeColor="text1"/>
        </w:rPr>
        <w:t xml:space="preserve"> </w:t>
      </w:r>
      <w:r w:rsidRPr="001E43CB">
        <w:rPr>
          <w:color w:val="000000" w:themeColor="text1"/>
        </w:rPr>
        <w:t xml:space="preserve">considered that the clinical need </w:t>
      </w:r>
      <w:r w:rsidR="000C6368">
        <w:rPr>
          <w:color w:val="000000" w:themeColor="text1"/>
        </w:rPr>
        <w:t xml:space="preserve">for </w:t>
      </w:r>
      <w:proofErr w:type="spellStart"/>
      <w:r w:rsidR="000C6368">
        <w:rPr>
          <w:color w:val="000000" w:themeColor="text1"/>
        </w:rPr>
        <w:t>tocilizumab</w:t>
      </w:r>
      <w:proofErr w:type="spellEnd"/>
      <w:r w:rsidR="000C6368">
        <w:rPr>
          <w:color w:val="000000" w:themeColor="text1"/>
        </w:rPr>
        <w:t xml:space="preserve"> </w:t>
      </w:r>
      <w:r w:rsidRPr="001E43CB">
        <w:rPr>
          <w:color w:val="000000" w:themeColor="text1"/>
        </w:rPr>
        <w:t xml:space="preserve">is highest in patients with relapsed/refractory GCA, </w:t>
      </w:r>
      <w:r w:rsidR="00976E4D" w:rsidRPr="001E43CB">
        <w:rPr>
          <w:color w:val="000000" w:themeColor="text1"/>
        </w:rPr>
        <w:t>while</w:t>
      </w:r>
      <w:r w:rsidRPr="001E43CB">
        <w:rPr>
          <w:color w:val="000000" w:themeColor="text1"/>
        </w:rPr>
        <w:t xml:space="preserve"> the </w:t>
      </w:r>
      <w:r w:rsidR="009D15DC">
        <w:rPr>
          <w:color w:val="000000" w:themeColor="text1"/>
        </w:rPr>
        <w:t>need</w:t>
      </w:r>
      <w:r w:rsidRPr="001E43CB">
        <w:rPr>
          <w:color w:val="000000" w:themeColor="text1"/>
        </w:rPr>
        <w:t xml:space="preserve"> is </w:t>
      </w:r>
      <w:r w:rsidR="000C6368">
        <w:rPr>
          <w:color w:val="000000" w:themeColor="text1"/>
        </w:rPr>
        <w:t>lower</w:t>
      </w:r>
      <w:r w:rsidRPr="001E43CB">
        <w:rPr>
          <w:color w:val="000000" w:themeColor="text1"/>
        </w:rPr>
        <w:t xml:space="preserve"> in patients who are adequately controlled on </w:t>
      </w:r>
      <w:r w:rsidR="00320600" w:rsidRPr="001E43CB">
        <w:rPr>
          <w:color w:val="000000" w:themeColor="text1"/>
        </w:rPr>
        <w:t>cortico</w:t>
      </w:r>
      <w:r w:rsidRPr="001E43CB">
        <w:rPr>
          <w:color w:val="000000" w:themeColor="text1"/>
        </w:rPr>
        <w:t>steroids. As such, t</w:t>
      </w:r>
      <w:r w:rsidR="000F61C1" w:rsidRPr="001E43CB">
        <w:rPr>
          <w:color w:val="000000" w:themeColor="text1"/>
        </w:rPr>
        <w:t xml:space="preserve">he ESC </w:t>
      </w:r>
      <w:r w:rsidRPr="001E43CB">
        <w:rPr>
          <w:color w:val="000000" w:themeColor="text1"/>
        </w:rPr>
        <w:t xml:space="preserve">considered </w:t>
      </w:r>
      <w:r w:rsidR="000F61C1" w:rsidRPr="001E43CB">
        <w:rPr>
          <w:color w:val="000000" w:themeColor="text1"/>
        </w:rPr>
        <w:t xml:space="preserve">that </w:t>
      </w:r>
      <w:r w:rsidRPr="001E43CB">
        <w:rPr>
          <w:color w:val="000000" w:themeColor="text1"/>
        </w:rPr>
        <w:t>it may be more appropriate to</w:t>
      </w:r>
      <w:r w:rsidR="000F61C1" w:rsidRPr="001E43CB">
        <w:rPr>
          <w:color w:val="000000" w:themeColor="text1"/>
        </w:rPr>
        <w:t xml:space="preserve"> limit </w:t>
      </w:r>
      <w:proofErr w:type="spellStart"/>
      <w:r w:rsidR="000F61C1" w:rsidRPr="001E43CB">
        <w:rPr>
          <w:color w:val="000000" w:themeColor="text1"/>
        </w:rPr>
        <w:t>tocilizumab</w:t>
      </w:r>
      <w:proofErr w:type="spellEnd"/>
      <w:r w:rsidR="000F61C1" w:rsidRPr="001E43CB">
        <w:rPr>
          <w:color w:val="000000" w:themeColor="text1"/>
        </w:rPr>
        <w:t xml:space="preserve"> to a subgroup of the GCA population, such as patients who have relapsed whilst on tapering </w:t>
      </w:r>
      <w:r w:rsidR="00320600" w:rsidRPr="001E43CB">
        <w:rPr>
          <w:color w:val="000000" w:themeColor="text1"/>
        </w:rPr>
        <w:t>cortico</w:t>
      </w:r>
      <w:r w:rsidR="000F61C1" w:rsidRPr="001E43CB">
        <w:rPr>
          <w:color w:val="000000" w:themeColor="text1"/>
        </w:rPr>
        <w:t xml:space="preserve">steroids. </w:t>
      </w:r>
      <w:r w:rsidR="005E5592">
        <w:rPr>
          <w:color w:val="000000" w:themeColor="text1"/>
        </w:rPr>
        <w:t xml:space="preserve">The pre-PBAC </w:t>
      </w:r>
      <w:r w:rsidR="00FE547C">
        <w:rPr>
          <w:color w:val="000000" w:themeColor="text1"/>
        </w:rPr>
        <w:t>response (p.2) stat</w:t>
      </w:r>
      <w:r w:rsidR="005E5592">
        <w:rPr>
          <w:color w:val="000000" w:themeColor="text1"/>
        </w:rPr>
        <w:t xml:space="preserve">ed that </w:t>
      </w:r>
      <w:proofErr w:type="spellStart"/>
      <w:r w:rsidR="005E5592">
        <w:rPr>
          <w:color w:val="000000" w:themeColor="text1"/>
        </w:rPr>
        <w:t>tocilizumab</w:t>
      </w:r>
      <w:proofErr w:type="spellEnd"/>
      <w:r w:rsidR="005E5592" w:rsidRPr="005E5592">
        <w:rPr>
          <w:color w:val="000000" w:themeColor="text1"/>
        </w:rPr>
        <w:t xml:space="preserve"> may </w:t>
      </w:r>
      <w:r w:rsidR="004C5ACE">
        <w:rPr>
          <w:color w:val="000000" w:themeColor="text1"/>
        </w:rPr>
        <w:t xml:space="preserve">also </w:t>
      </w:r>
      <w:r w:rsidR="005E5592" w:rsidRPr="005E5592">
        <w:rPr>
          <w:color w:val="000000" w:themeColor="text1"/>
        </w:rPr>
        <w:t xml:space="preserve">be appropriate in a proportion of newly-diagnosed patients, including those who have received a high cumulative </w:t>
      </w:r>
      <w:r w:rsidR="005E5592">
        <w:rPr>
          <w:color w:val="000000" w:themeColor="text1"/>
        </w:rPr>
        <w:t>corticosteroid</w:t>
      </w:r>
      <w:r w:rsidR="005E5592" w:rsidRPr="005E5592">
        <w:rPr>
          <w:color w:val="000000" w:themeColor="text1"/>
        </w:rPr>
        <w:t xml:space="preserve"> dose for other conditions or who are at risk of adverse events (</w:t>
      </w:r>
      <w:r w:rsidR="00FE547C">
        <w:rPr>
          <w:color w:val="000000" w:themeColor="text1"/>
        </w:rPr>
        <w:t xml:space="preserve">e.g. </w:t>
      </w:r>
      <w:r w:rsidR="00B56B6B">
        <w:rPr>
          <w:color w:val="000000" w:themeColor="text1"/>
        </w:rPr>
        <w:t xml:space="preserve">patients with </w:t>
      </w:r>
      <w:r w:rsidR="005E5592" w:rsidRPr="005E5592">
        <w:rPr>
          <w:color w:val="000000" w:themeColor="text1"/>
        </w:rPr>
        <w:t>osteoporo</w:t>
      </w:r>
      <w:r w:rsidR="00FE547C">
        <w:rPr>
          <w:color w:val="000000" w:themeColor="text1"/>
        </w:rPr>
        <w:t>sis, diabete</w:t>
      </w:r>
      <w:r w:rsidR="005E5592" w:rsidRPr="005E5592">
        <w:rPr>
          <w:color w:val="000000" w:themeColor="text1"/>
        </w:rPr>
        <w:t xml:space="preserve">s, infections) or </w:t>
      </w:r>
      <w:r w:rsidR="00FE547C">
        <w:rPr>
          <w:color w:val="000000" w:themeColor="text1"/>
        </w:rPr>
        <w:t>patients with</w:t>
      </w:r>
      <w:r w:rsidR="005E5592" w:rsidRPr="005E5592">
        <w:rPr>
          <w:color w:val="000000" w:themeColor="text1"/>
        </w:rPr>
        <w:t xml:space="preserve"> multiple comorbidities. </w:t>
      </w:r>
      <w:r w:rsidR="00FE547C">
        <w:rPr>
          <w:color w:val="000000" w:themeColor="text1"/>
        </w:rPr>
        <w:t xml:space="preserve">The pre-PBAC response further stated that </w:t>
      </w:r>
      <w:r w:rsidR="005E5592" w:rsidRPr="005E5592">
        <w:rPr>
          <w:color w:val="000000" w:themeColor="text1"/>
        </w:rPr>
        <w:t>this group of patients is hard to define</w:t>
      </w:r>
      <w:r w:rsidR="005E5592">
        <w:rPr>
          <w:color w:val="000000" w:themeColor="text1"/>
        </w:rPr>
        <w:t xml:space="preserve"> </w:t>
      </w:r>
      <w:r w:rsidR="005E5592" w:rsidRPr="005E5592">
        <w:rPr>
          <w:color w:val="000000" w:themeColor="text1"/>
        </w:rPr>
        <w:t xml:space="preserve">as GCA patients </w:t>
      </w:r>
      <w:r w:rsidR="00B56B6B">
        <w:rPr>
          <w:color w:val="000000" w:themeColor="text1"/>
        </w:rPr>
        <w:t xml:space="preserve">often have </w:t>
      </w:r>
      <w:r w:rsidR="005E5592" w:rsidRPr="005E5592">
        <w:rPr>
          <w:color w:val="000000" w:themeColor="text1"/>
        </w:rPr>
        <w:t>a high risk of steroid complications</w:t>
      </w:r>
      <w:r w:rsidR="00B56B6B">
        <w:rPr>
          <w:color w:val="000000" w:themeColor="text1"/>
        </w:rPr>
        <w:t xml:space="preserve"> due to their age</w:t>
      </w:r>
      <w:r w:rsidR="006959D2">
        <w:rPr>
          <w:color w:val="000000" w:themeColor="text1"/>
        </w:rPr>
        <w:t xml:space="preserve"> and comorbidities</w:t>
      </w:r>
      <w:r w:rsidR="005E5592" w:rsidRPr="005E5592">
        <w:rPr>
          <w:color w:val="000000" w:themeColor="text1"/>
        </w:rPr>
        <w:t>.</w:t>
      </w:r>
    </w:p>
    <w:p w:rsidR="00B56B6B" w:rsidRPr="00B56B6B" w:rsidRDefault="004C5ACE" w:rsidP="00B56B6B">
      <w:pPr>
        <w:pStyle w:val="ListParagraph"/>
        <w:numPr>
          <w:ilvl w:val="1"/>
          <w:numId w:val="1"/>
        </w:numPr>
        <w:spacing w:after="120"/>
        <w:ind w:left="709" w:hanging="709"/>
        <w:jc w:val="both"/>
        <w:rPr>
          <w:rFonts w:cs="Arial"/>
          <w:snapToGrid w:val="0"/>
          <w:szCs w:val="20"/>
        </w:rPr>
      </w:pPr>
      <w:r>
        <w:rPr>
          <w:rFonts w:cs="Arial"/>
          <w:snapToGrid w:val="0"/>
          <w:szCs w:val="20"/>
        </w:rPr>
        <w:t>Notwithstanding the limitations noted above, t</w:t>
      </w:r>
      <w:r w:rsidR="005B2AC4" w:rsidRPr="00B56B6B">
        <w:rPr>
          <w:rFonts w:cs="Arial"/>
          <w:snapToGrid w:val="0"/>
          <w:szCs w:val="20"/>
        </w:rPr>
        <w:t xml:space="preserve">he PBAC considered that the claim of </w:t>
      </w:r>
      <w:r w:rsidR="00B06BD6" w:rsidRPr="00B56B6B">
        <w:rPr>
          <w:rFonts w:cs="Arial"/>
          <w:snapToGrid w:val="0"/>
          <w:szCs w:val="20"/>
        </w:rPr>
        <w:t>superior</w:t>
      </w:r>
      <w:r w:rsidR="00B56B6B" w:rsidRPr="00B56B6B">
        <w:rPr>
          <w:rFonts w:cs="Arial"/>
          <w:snapToGrid w:val="0"/>
          <w:szCs w:val="20"/>
        </w:rPr>
        <w:t xml:space="preserve"> comparative efficacy </w:t>
      </w:r>
      <w:r w:rsidR="000B3C19">
        <w:rPr>
          <w:rFonts w:cs="Arial"/>
          <w:snapToGrid w:val="0"/>
          <w:szCs w:val="20"/>
        </w:rPr>
        <w:t>at 52 weeks</w:t>
      </w:r>
      <w:r w:rsidR="000B3C19" w:rsidRPr="00B56B6B">
        <w:rPr>
          <w:rFonts w:cs="Arial"/>
          <w:snapToGrid w:val="0"/>
          <w:szCs w:val="20"/>
        </w:rPr>
        <w:t xml:space="preserve"> </w:t>
      </w:r>
      <w:r w:rsidR="00B56B6B" w:rsidRPr="00B56B6B">
        <w:rPr>
          <w:rFonts w:cs="Arial"/>
          <w:snapToGrid w:val="0"/>
          <w:szCs w:val="20"/>
        </w:rPr>
        <w:t>was adequately supported by the data</w:t>
      </w:r>
      <w:r w:rsidR="00B56B6B">
        <w:rPr>
          <w:rFonts w:cs="Arial"/>
          <w:snapToGrid w:val="0"/>
          <w:szCs w:val="20"/>
        </w:rPr>
        <w:t xml:space="preserve"> for the comparison of </w:t>
      </w:r>
      <w:proofErr w:type="spellStart"/>
      <w:r w:rsidR="00B56B6B" w:rsidRPr="00B56B6B">
        <w:rPr>
          <w:rFonts w:cs="Arial"/>
          <w:snapToGrid w:val="0"/>
          <w:szCs w:val="20"/>
        </w:rPr>
        <w:t>tocilizumab</w:t>
      </w:r>
      <w:proofErr w:type="spellEnd"/>
      <w:r w:rsidR="00B56B6B" w:rsidRPr="00B56B6B">
        <w:rPr>
          <w:rFonts w:cs="Arial"/>
          <w:snapToGrid w:val="0"/>
          <w:szCs w:val="20"/>
        </w:rPr>
        <w:t xml:space="preserve"> </w:t>
      </w:r>
      <w:r>
        <w:rPr>
          <w:rFonts w:cs="Arial"/>
          <w:snapToGrid w:val="0"/>
          <w:szCs w:val="20"/>
        </w:rPr>
        <w:t>(weekly or fortnightly)</w:t>
      </w:r>
      <w:r w:rsidR="00B56B6B" w:rsidRPr="00B56B6B">
        <w:rPr>
          <w:rFonts w:cs="Arial"/>
          <w:snapToGrid w:val="0"/>
          <w:szCs w:val="20"/>
        </w:rPr>
        <w:t xml:space="preserve"> </w:t>
      </w:r>
      <w:r w:rsidR="00B56B6B">
        <w:rPr>
          <w:rFonts w:cs="Arial"/>
          <w:snapToGrid w:val="0"/>
          <w:szCs w:val="20"/>
        </w:rPr>
        <w:t>plus</w:t>
      </w:r>
      <w:r w:rsidR="00B56B6B" w:rsidRPr="00B56B6B">
        <w:rPr>
          <w:rFonts w:cs="Arial"/>
          <w:snapToGrid w:val="0"/>
          <w:szCs w:val="20"/>
        </w:rPr>
        <w:t xml:space="preserve"> a 26</w:t>
      </w:r>
      <w:r w:rsidR="00B56B6B">
        <w:rPr>
          <w:rFonts w:cs="Arial"/>
          <w:snapToGrid w:val="0"/>
          <w:szCs w:val="20"/>
        </w:rPr>
        <w:t xml:space="preserve"> </w:t>
      </w:r>
      <w:r w:rsidR="00B56B6B" w:rsidRPr="00B56B6B">
        <w:rPr>
          <w:rFonts w:cs="Arial"/>
          <w:snapToGrid w:val="0"/>
          <w:szCs w:val="20"/>
        </w:rPr>
        <w:t>week</w:t>
      </w:r>
      <w:r w:rsidR="00B56B6B">
        <w:rPr>
          <w:rFonts w:cs="Arial"/>
          <w:snapToGrid w:val="0"/>
          <w:szCs w:val="20"/>
        </w:rPr>
        <w:t xml:space="preserve"> </w:t>
      </w:r>
      <w:r w:rsidR="00B56B6B" w:rsidRPr="00B56B6B">
        <w:rPr>
          <w:rFonts w:cs="Arial"/>
          <w:snapToGrid w:val="0"/>
          <w:szCs w:val="20"/>
        </w:rPr>
        <w:t xml:space="preserve">tapering course </w:t>
      </w:r>
      <w:r w:rsidR="00B56B6B">
        <w:rPr>
          <w:rFonts w:cs="Arial"/>
          <w:snapToGrid w:val="0"/>
          <w:szCs w:val="20"/>
        </w:rPr>
        <w:t>of</w:t>
      </w:r>
      <w:r w:rsidR="00B56B6B" w:rsidRPr="00B56B6B">
        <w:rPr>
          <w:rFonts w:cs="Arial"/>
          <w:snapToGrid w:val="0"/>
          <w:szCs w:val="20"/>
        </w:rPr>
        <w:t xml:space="preserve"> corticosteroids </w:t>
      </w:r>
      <w:r w:rsidR="00B56B6B">
        <w:rPr>
          <w:rFonts w:cs="Arial"/>
          <w:snapToGrid w:val="0"/>
          <w:szCs w:val="20"/>
        </w:rPr>
        <w:t xml:space="preserve">versus </w:t>
      </w:r>
      <w:r w:rsidR="00B56B6B" w:rsidRPr="00B56B6B">
        <w:rPr>
          <w:rFonts w:cs="Arial"/>
          <w:snapToGrid w:val="0"/>
          <w:szCs w:val="20"/>
        </w:rPr>
        <w:t>a 52-week tapering course of corticosteroids</w:t>
      </w:r>
      <w:r w:rsidR="00B56B6B">
        <w:rPr>
          <w:rFonts w:cs="Arial"/>
          <w:snapToGrid w:val="0"/>
          <w:szCs w:val="20"/>
        </w:rPr>
        <w:t>.</w:t>
      </w:r>
      <w:r w:rsidR="00B56B6B" w:rsidRPr="00B56B6B">
        <w:rPr>
          <w:rFonts w:cs="Arial"/>
          <w:snapToGrid w:val="0"/>
          <w:szCs w:val="20"/>
        </w:rPr>
        <w:t xml:space="preserve"> </w:t>
      </w:r>
    </w:p>
    <w:p w:rsidR="005B2AC4" w:rsidRDefault="005B2AC4" w:rsidP="00B56B6B">
      <w:pPr>
        <w:pStyle w:val="ListParagraph"/>
        <w:numPr>
          <w:ilvl w:val="1"/>
          <w:numId w:val="1"/>
        </w:numPr>
        <w:spacing w:after="120"/>
        <w:ind w:left="709" w:hanging="709"/>
        <w:jc w:val="both"/>
        <w:rPr>
          <w:rFonts w:cs="Arial"/>
          <w:snapToGrid w:val="0"/>
          <w:szCs w:val="20"/>
        </w:rPr>
      </w:pPr>
      <w:r w:rsidRPr="005E5592">
        <w:rPr>
          <w:rFonts w:cs="Arial"/>
          <w:snapToGrid w:val="0"/>
          <w:szCs w:val="20"/>
        </w:rPr>
        <w:t>The PBAC considered that the claim of non-inferior</w:t>
      </w:r>
      <w:r w:rsidR="00B56B6B">
        <w:rPr>
          <w:rFonts w:cs="Arial"/>
          <w:snapToGrid w:val="0"/>
          <w:szCs w:val="20"/>
        </w:rPr>
        <w:t xml:space="preserve"> safety </w:t>
      </w:r>
      <w:r w:rsidRPr="005E5592">
        <w:rPr>
          <w:rFonts w:cs="Arial"/>
          <w:snapToGrid w:val="0"/>
          <w:szCs w:val="20"/>
        </w:rPr>
        <w:t>was adequately supported by the data.</w:t>
      </w:r>
    </w:p>
    <w:p w:rsidR="00DC1393" w:rsidRPr="007734DD" w:rsidRDefault="00DC1393" w:rsidP="000A734B">
      <w:pPr>
        <w:pStyle w:val="Heading2"/>
      </w:pPr>
      <w:bookmarkStart w:id="37" w:name="_Toc371170710"/>
      <w:bookmarkStart w:id="38" w:name="_Toc523934610"/>
      <w:r w:rsidRPr="007734DD">
        <w:t>Economic analysis</w:t>
      </w:r>
      <w:bookmarkEnd w:id="37"/>
      <w:bookmarkEnd w:id="38"/>
      <w:r w:rsidRPr="007734DD">
        <w:t xml:space="preserve"> </w:t>
      </w:r>
    </w:p>
    <w:p w:rsidR="00DC1393" w:rsidRDefault="00DC1393" w:rsidP="009722D0">
      <w:pPr>
        <w:pStyle w:val="ListParagraph"/>
        <w:numPr>
          <w:ilvl w:val="1"/>
          <w:numId w:val="1"/>
        </w:numPr>
        <w:spacing w:after="120"/>
        <w:ind w:left="709" w:hanging="709"/>
        <w:jc w:val="both"/>
      </w:pPr>
      <w:r w:rsidRPr="00ED6CA9">
        <w:t xml:space="preserve">The submission presented a modelled economic evaluation of </w:t>
      </w:r>
      <w:r w:rsidR="00A113D7" w:rsidRPr="001E43CB">
        <w:t xml:space="preserve">once-weekly </w:t>
      </w:r>
      <w:proofErr w:type="spellStart"/>
      <w:r w:rsidRPr="00ED6CA9">
        <w:t>tocilizumab</w:t>
      </w:r>
      <w:proofErr w:type="spellEnd"/>
      <w:r w:rsidRPr="00ED6CA9">
        <w:t xml:space="preserve"> used in combination with a </w:t>
      </w:r>
      <w:r w:rsidR="007B7F8B">
        <w:t xml:space="preserve">26 week </w:t>
      </w:r>
      <w:r w:rsidRPr="00ED6CA9">
        <w:t xml:space="preserve">corticosteroid taper compared to placebo used in combination with a </w:t>
      </w:r>
      <w:r w:rsidR="007B7F8B">
        <w:t>52 week</w:t>
      </w:r>
      <w:r w:rsidR="007B7F8B" w:rsidRPr="00ED6CA9">
        <w:t xml:space="preserve"> </w:t>
      </w:r>
      <w:r w:rsidRPr="00ED6CA9">
        <w:t xml:space="preserve">corticosteroid taper for the treatment of </w:t>
      </w:r>
      <w:r w:rsidR="002A551A">
        <w:t>GCA</w:t>
      </w:r>
      <w:r w:rsidRPr="00ED6CA9">
        <w:t>. The economic evaluation was based on a direct randomised trial (</w:t>
      </w:r>
      <w:proofErr w:type="spellStart"/>
      <w:r w:rsidRPr="00ED6CA9">
        <w:t>GiACTA</w:t>
      </w:r>
      <w:proofErr w:type="spellEnd"/>
      <w:r w:rsidRPr="00ED6CA9">
        <w:t>) with additional modelled data.</w:t>
      </w:r>
    </w:p>
    <w:p w:rsidR="00DC1393" w:rsidRPr="000937B8" w:rsidRDefault="00DC1393" w:rsidP="004D616F">
      <w:pPr>
        <w:pStyle w:val="TableHeading0"/>
        <w:keepLines/>
        <w:spacing w:before="200"/>
      </w:pPr>
      <w:r>
        <w:lastRenderedPageBreak/>
        <w:t>Table 1</w:t>
      </w:r>
      <w:r w:rsidR="007B241F">
        <w:t>3</w:t>
      </w:r>
      <w:r w:rsidRPr="000937B8">
        <w:t xml:space="preserve">: Key components of the </w:t>
      </w:r>
      <w:r>
        <w:t xml:space="preserve">modelled </w:t>
      </w:r>
      <w:r w:rsidRPr="000937B8">
        <w:t>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7527"/>
      </w:tblGrid>
      <w:tr w:rsidR="00DC1393" w:rsidRPr="000937B8" w:rsidTr="00EE1044">
        <w:tc>
          <w:tcPr>
            <w:tcW w:w="826" w:type="pct"/>
            <w:shd w:val="clear" w:color="auto" w:fill="auto"/>
          </w:tcPr>
          <w:p w:rsidR="00DC1393" w:rsidRPr="00EF3278" w:rsidRDefault="00DC1393" w:rsidP="004D616F">
            <w:pPr>
              <w:pStyle w:val="TableText"/>
              <w:keepLines/>
              <w:jc w:val="left"/>
              <w:rPr>
                <w:b/>
              </w:rPr>
            </w:pPr>
            <w:r w:rsidRPr="00EF3278">
              <w:rPr>
                <w:b/>
              </w:rPr>
              <w:t xml:space="preserve">Component </w:t>
            </w:r>
          </w:p>
        </w:tc>
        <w:tc>
          <w:tcPr>
            <w:tcW w:w="4174" w:type="pct"/>
            <w:shd w:val="clear" w:color="auto" w:fill="auto"/>
          </w:tcPr>
          <w:p w:rsidR="00DC1393" w:rsidRPr="00EF3278" w:rsidRDefault="00DC1393" w:rsidP="004D616F">
            <w:pPr>
              <w:pStyle w:val="TableText"/>
              <w:keepLines/>
              <w:rPr>
                <w:b/>
              </w:rPr>
            </w:pPr>
            <w:r w:rsidRPr="00EF3278">
              <w:rPr>
                <w:b/>
              </w:rPr>
              <w:t>Description</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pPr>
            <w:r w:rsidRPr="000937B8">
              <w:t xml:space="preserve">Type of analysis </w:t>
            </w:r>
          </w:p>
        </w:tc>
        <w:tc>
          <w:tcPr>
            <w:tcW w:w="4174"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t>Cost-utility analysis</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0937B8">
              <w:t>Outcomes</w:t>
            </w:r>
          </w:p>
        </w:tc>
        <w:tc>
          <w:tcPr>
            <w:tcW w:w="4174" w:type="pct"/>
            <w:shd w:val="clear" w:color="auto" w:fill="auto"/>
            <w:vAlign w:val="center"/>
          </w:tcPr>
          <w:p w:rsidR="00DC1393" w:rsidRPr="002343DB" w:rsidRDefault="00DC1393" w:rsidP="004D616F">
            <w:pPr>
              <w:pStyle w:val="TableText"/>
              <w:keepLines/>
              <w:jc w:val="left"/>
            </w:pPr>
            <w:r>
              <w:t>Quality adjusted life years</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0937B8">
              <w:t>Time horizon</w:t>
            </w:r>
          </w:p>
        </w:tc>
        <w:tc>
          <w:tcPr>
            <w:tcW w:w="4174"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903087">
              <w:t>30</w:t>
            </w:r>
            <w:r>
              <w:t xml:space="preserve"> years (lifetime)</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0937B8">
              <w:t>Methods used to generate results</w:t>
            </w:r>
          </w:p>
        </w:tc>
        <w:tc>
          <w:tcPr>
            <w:tcW w:w="4174"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t>Semi-</w:t>
            </w:r>
            <w:r w:rsidRPr="002343DB">
              <w:t xml:space="preserve">Markov cohort </w:t>
            </w:r>
            <w:r>
              <w:t>model</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pPr>
            <w:r>
              <w:t>Treatments</w:t>
            </w:r>
          </w:p>
        </w:tc>
        <w:tc>
          <w:tcPr>
            <w:tcW w:w="4174" w:type="pct"/>
            <w:shd w:val="clear" w:color="auto" w:fill="auto"/>
            <w:vAlign w:val="center"/>
          </w:tcPr>
          <w:p w:rsidR="00DC1393" w:rsidRDefault="00DC1393" w:rsidP="004D616F">
            <w:pPr>
              <w:pStyle w:val="TableText"/>
              <w:keepLines/>
              <w:jc w:val="left"/>
            </w:pPr>
            <w:proofErr w:type="spellStart"/>
            <w:r>
              <w:t>Tocilizumab</w:t>
            </w:r>
            <w:proofErr w:type="spellEnd"/>
            <w:r>
              <w:t xml:space="preserve"> </w:t>
            </w:r>
            <w:r w:rsidR="009A3B3D" w:rsidRPr="005E5592">
              <w:t>once weekly</w:t>
            </w:r>
            <w:r w:rsidR="009A3B3D">
              <w:t xml:space="preserve"> </w:t>
            </w:r>
            <w:r>
              <w:t xml:space="preserve">with 26 week corticosteroid taper; placebo with 52 week corticosteroid taper </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0937B8">
              <w:t>Health states</w:t>
            </w:r>
          </w:p>
        </w:tc>
        <w:tc>
          <w:tcPr>
            <w:tcW w:w="4174" w:type="pct"/>
            <w:shd w:val="clear" w:color="auto" w:fill="auto"/>
            <w:vAlign w:val="center"/>
          </w:tcPr>
          <w:p w:rsidR="00DC1393" w:rsidRPr="00BF30D9" w:rsidRDefault="00DC1393" w:rsidP="004D616F">
            <w:pPr>
              <w:pStyle w:val="TableText"/>
              <w:keepLines/>
              <w:jc w:val="left"/>
            </w:pPr>
            <w:r>
              <w:t>The model includes four core health states (primary remission on corticosteroids; primary remission off corticosteroids; subsequent remission on corticosteroids; death), one temporary health state (disease flare) and two quasi-states (</w:t>
            </w:r>
            <w:r w:rsidR="002A551A">
              <w:t xml:space="preserve">GCA </w:t>
            </w:r>
            <w:r>
              <w:t>complications; corticosteroid complications)</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0937B8">
              <w:t>Cycle length</w:t>
            </w:r>
          </w:p>
        </w:tc>
        <w:tc>
          <w:tcPr>
            <w:tcW w:w="4174" w:type="pct"/>
            <w:shd w:val="clear" w:color="auto" w:fill="auto"/>
            <w:vAlign w:val="center"/>
          </w:tcPr>
          <w:p w:rsidR="00DC1393" w:rsidRPr="002343DB" w:rsidRDefault="00DC1393" w:rsidP="004D616F">
            <w:pPr>
              <w:pStyle w:val="TableText"/>
              <w:keepLines/>
              <w:jc w:val="left"/>
            </w:pPr>
            <w:r>
              <w:t>Weekly</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pPr>
            <w:r w:rsidRPr="000937B8">
              <w:t xml:space="preserve">Transition probability </w:t>
            </w:r>
          </w:p>
        </w:tc>
        <w:tc>
          <w:tcPr>
            <w:tcW w:w="4174" w:type="pct"/>
            <w:shd w:val="clear" w:color="auto" w:fill="auto"/>
            <w:vAlign w:val="center"/>
          </w:tcPr>
          <w:p w:rsidR="00DC1393" w:rsidRDefault="00DC1393" w:rsidP="004D616F">
            <w:pPr>
              <w:pStyle w:val="TableText"/>
              <w:keepLines/>
              <w:jc w:val="left"/>
              <w:rPr>
                <w:szCs w:val="20"/>
              </w:rPr>
            </w:pPr>
            <w:r>
              <w:rPr>
                <w:szCs w:val="20"/>
              </w:rPr>
              <w:t xml:space="preserve">Transition probabilities for flares (time to first flare in first year, time to first flare in later years) were derived from the </w:t>
            </w:r>
            <w:proofErr w:type="spellStart"/>
            <w:r>
              <w:rPr>
                <w:szCs w:val="20"/>
              </w:rPr>
              <w:t>GiACTA</w:t>
            </w:r>
            <w:proofErr w:type="spellEnd"/>
            <w:r>
              <w:rPr>
                <w:szCs w:val="20"/>
              </w:rPr>
              <w:t xml:space="preserve"> trial. </w:t>
            </w:r>
            <w:r w:rsidRPr="003E43A5">
              <w:rPr>
                <w:szCs w:val="20"/>
              </w:rPr>
              <w:t xml:space="preserve">The risk of subsequent flare was estimated based on </w:t>
            </w:r>
            <w:r>
              <w:rPr>
                <w:szCs w:val="20"/>
              </w:rPr>
              <w:t>published epidemiological</w:t>
            </w:r>
            <w:r w:rsidRPr="003E43A5">
              <w:rPr>
                <w:szCs w:val="20"/>
              </w:rPr>
              <w:t xml:space="preserve"> data (</w:t>
            </w:r>
            <w:proofErr w:type="spellStart"/>
            <w:r w:rsidRPr="003E43A5">
              <w:rPr>
                <w:szCs w:val="20"/>
              </w:rPr>
              <w:t>Labarca</w:t>
            </w:r>
            <w:proofErr w:type="spellEnd"/>
            <w:r w:rsidRPr="003E43A5">
              <w:rPr>
                <w:szCs w:val="20"/>
              </w:rPr>
              <w:t xml:space="preserve"> 2016) calibrated with data from the </w:t>
            </w:r>
            <w:proofErr w:type="spellStart"/>
            <w:r w:rsidRPr="003E43A5">
              <w:rPr>
                <w:szCs w:val="20"/>
              </w:rPr>
              <w:t>GiACTA</w:t>
            </w:r>
            <w:proofErr w:type="spellEnd"/>
            <w:r w:rsidRPr="003E43A5">
              <w:rPr>
                <w:szCs w:val="20"/>
              </w:rPr>
              <w:t xml:space="preserve"> trial.</w:t>
            </w:r>
          </w:p>
          <w:p w:rsidR="00DC1393" w:rsidRDefault="00DC1393" w:rsidP="004D616F">
            <w:pPr>
              <w:pStyle w:val="TableText"/>
              <w:keepLines/>
              <w:jc w:val="left"/>
              <w:rPr>
                <w:szCs w:val="20"/>
              </w:rPr>
            </w:pPr>
          </w:p>
          <w:p w:rsidR="00DC1393" w:rsidRDefault="00DC1393" w:rsidP="004D616F">
            <w:pPr>
              <w:pStyle w:val="TableText"/>
              <w:keepLines/>
              <w:jc w:val="left"/>
              <w:rPr>
                <w:szCs w:val="20"/>
              </w:rPr>
            </w:pPr>
            <w:r>
              <w:rPr>
                <w:szCs w:val="20"/>
              </w:rPr>
              <w:t xml:space="preserve">Transition probabilities for </w:t>
            </w:r>
            <w:r w:rsidR="002A551A">
              <w:rPr>
                <w:szCs w:val="20"/>
              </w:rPr>
              <w:t>GCA</w:t>
            </w:r>
            <w:r>
              <w:rPr>
                <w:szCs w:val="20"/>
              </w:rPr>
              <w:t xml:space="preserve"> complications (vision loss, stroke) were estimated based on a </w:t>
            </w:r>
            <w:r w:rsidRPr="00DE2779">
              <w:rPr>
                <w:szCs w:val="20"/>
              </w:rPr>
              <w:t xml:space="preserve">UK HTA assessment of diagnostic procedures for </w:t>
            </w:r>
            <w:r w:rsidR="002A551A">
              <w:rPr>
                <w:szCs w:val="20"/>
              </w:rPr>
              <w:t>GCA</w:t>
            </w:r>
            <w:r w:rsidRPr="00DE2779">
              <w:rPr>
                <w:szCs w:val="20"/>
              </w:rPr>
              <w:t xml:space="preserve"> (</w:t>
            </w:r>
            <w:proofErr w:type="spellStart"/>
            <w:r w:rsidRPr="00DE2779">
              <w:rPr>
                <w:szCs w:val="20"/>
              </w:rPr>
              <w:t>Luqmani</w:t>
            </w:r>
            <w:proofErr w:type="spellEnd"/>
            <w:r w:rsidRPr="00DE2779">
              <w:rPr>
                <w:szCs w:val="20"/>
              </w:rPr>
              <w:t xml:space="preserve"> 2016</w:t>
            </w:r>
            <w:r>
              <w:rPr>
                <w:szCs w:val="20"/>
              </w:rPr>
              <w:t>).</w:t>
            </w:r>
          </w:p>
          <w:p w:rsidR="00DC1393" w:rsidRDefault="00DC1393" w:rsidP="004D616F">
            <w:pPr>
              <w:pStyle w:val="TableText"/>
              <w:keepLines/>
              <w:jc w:val="left"/>
              <w:rPr>
                <w:szCs w:val="20"/>
              </w:rPr>
            </w:pPr>
          </w:p>
          <w:p w:rsidR="00DC1393" w:rsidRDefault="00DC1393" w:rsidP="004D616F">
            <w:pPr>
              <w:pStyle w:val="TableText"/>
              <w:keepLines/>
              <w:jc w:val="left"/>
              <w:rPr>
                <w:szCs w:val="20"/>
              </w:rPr>
            </w:pPr>
            <w:r>
              <w:rPr>
                <w:szCs w:val="20"/>
              </w:rPr>
              <w:t xml:space="preserve">The estimated cumulative corticosteroid dose was derived from the </w:t>
            </w:r>
            <w:proofErr w:type="spellStart"/>
            <w:r>
              <w:rPr>
                <w:szCs w:val="20"/>
              </w:rPr>
              <w:t>GiACTA</w:t>
            </w:r>
            <w:proofErr w:type="spellEnd"/>
            <w:r>
              <w:rPr>
                <w:szCs w:val="20"/>
              </w:rPr>
              <w:t xml:space="preserve"> trial and a retrospective analysis of </w:t>
            </w:r>
            <w:r w:rsidR="002A551A">
              <w:rPr>
                <w:szCs w:val="20"/>
              </w:rPr>
              <w:t>GCA</w:t>
            </w:r>
            <w:r>
              <w:rPr>
                <w:szCs w:val="20"/>
              </w:rPr>
              <w:t xml:space="preserve"> patients from a US health insurance claims database (</w:t>
            </w:r>
            <w:proofErr w:type="spellStart"/>
            <w:r>
              <w:rPr>
                <w:szCs w:val="20"/>
              </w:rPr>
              <w:t>MarketScan</w:t>
            </w:r>
            <w:proofErr w:type="spellEnd"/>
            <w:r>
              <w:rPr>
                <w:szCs w:val="20"/>
              </w:rPr>
              <w:t xml:space="preserve"> 2016). The cumulative corticosteroid dose was used to inform transition probabilities for corticosteroid complications (infection, fracture, osteoporosis, diabetes) which were estimated based on case-control analyses of </w:t>
            </w:r>
            <w:r w:rsidR="002A551A">
              <w:rPr>
                <w:szCs w:val="20"/>
              </w:rPr>
              <w:t>GCA</w:t>
            </w:r>
            <w:r>
              <w:rPr>
                <w:szCs w:val="20"/>
              </w:rPr>
              <w:t xml:space="preserve"> patients from the UK Clinical Practice Research Datalink (Wilson 2017a, Wilson 2017b).</w:t>
            </w:r>
          </w:p>
          <w:p w:rsidR="00DC1393" w:rsidRDefault="00DC1393" w:rsidP="004D616F">
            <w:pPr>
              <w:pStyle w:val="TableText"/>
              <w:keepLines/>
              <w:jc w:val="left"/>
              <w:rPr>
                <w:szCs w:val="20"/>
              </w:rPr>
            </w:pPr>
          </w:p>
          <w:p w:rsidR="00DC1393" w:rsidRPr="00592892" w:rsidRDefault="00DC1393" w:rsidP="004D616F">
            <w:pPr>
              <w:pStyle w:val="TableText"/>
              <w:keepLines/>
              <w:jc w:val="left"/>
              <w:rPr>
                <w:szCs w:val="20"/>
              </w:rPr>
            </w:pPr>
            <w:r>
              <w:rPr>
                <w:szCs w:val="20"/>
              </w:rPr>
              <w:t xml:space="preserve">Transition probabilities for all-cause death were based on Australian life tables. Transition probabilities for stroke death were based on the </w:t>
            </w:r>
            <w:proofErr w:type="spellStart"/>
            <w:r w:rsidRPr="00DE2779">
              <w:rPr>
                <w:szCs w:val="20"/>
              </w:rPr>
              <w:t>Luqmani</w:t>
            </w:r>
            <w:proofErr w:type="spellEnd"/>
            <w:r w:rsidRPr="00DE2779">
              <w:rPr>
                <w:szCs w:val="20"/>
              </w:rPr>
              <w:t xml:space="preserve"> 2016</w:t>
            </w:r>
            <w:r>
              <w:rPr>
                <w:szCs w:val="20"/>
              </w:rPr>
              <w:t xml:space="preserve"> publication</w:t>
            </w:r>
            <w:r w:rsidR="00933F20">
              <w:rPr>
                <w:szCs w:val="20"/>
              </w:rPr>
              <w:t>.</w:t>
            </w:r>
            <w:r>
              <w:rPr>
                <w:szCs w:val="20"/>
              </w:rPr>
              <w:t xml:space="preserve"> </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pPr>
            <w:r>
              <w:t>Discount rate</w:t>
            </w:r>
          </w:p>
        </w:tc>
        <w:tc>
          <w:tcPr>
            <w:tcW w:w="4174" w:type="pct"/>
            <w:shd w:val="clear" w:color="auto" w:fill="auto"/>
            <w:vAlign w:val="center"/>
          </w:tcPr>
          <w:p w:rsidR="00DC1393" w:rsidRPr="00FC7A10" w:rsidRDefault="00DC1393" w:rsidP="004D616F">
            <w:pPr>
              <w:pStyle w:val="TableText"/>
              <w:keepLines/>
              <w:jc w:val="left"/>
            </w:pPr>
            <w:r w:rsidRPr="00FC7A10">
              <w:t>5% for costs and outcomes</w:t>
            </w:r>
          </w:p>
        </w:tc>
      </w:tr>
      <w:tr w:rsidR="00DC1393" w:rsidRPr="000937B8" w:rsidTr="00EE1044">
        <w:tc>
          <w:tcPr>
            <w:tcW w:w="826" w:type="pct"/>
            <w:shd w:val="clear" w:color="auto" w:fill="auto"/>
            <w:vAlign w:val="center"/>
          </w:tcPr>
          <w:p w:rsidR="00DC1393" w:rsidRPr="000937B8" w:rsidRDefault="00DC1393" w:rsidP="004D616F">
            <w:pPr>
              <w:pStyle w:val="TableText"/>
              <w:keepLines/>
              <w:jc w:val="left"/>
              <w:rPr>
                <w:rFonts w:ascii="Times" w:eastAsia="Times New Roman" w:hAnsi="Times" w:cs="Times New Roman"/>
                <w:szCs w:val="20"/>
                <w:lang w:val="en-US"/>
              </w:rPr>
            </w:pPr>
            <w:r w:rsidRPr="000937B8">
              <w:t xml:space="preserve">Software </w:t>
            </w:r>
          </w:p>
        </w:tc>
        <w:tc>
          <w:tcPr>
            <w:tcW w:w="4174" w:type="pct"/>
            <w:shd w:val="clear" w:color="auto" w:fill="auto"/>
            <w:vAlign w:val="center"/>
          </w:tcPr>
          <w:p w:rsidR="00DC1393" w:rsidRPr="00FC7A10" w:rsidRDefault="00DC1393" w:rsidP="004D616F">
            <w:pPr>
              <w:pStyle w:val="TableText"/>
              <w:keepLines/>
              <w:jc w:val="left"/>
            </w:pPr>
            <w:r>
              <w:t>Microsoft Excel</w:t>
            </w:r>
            <w:r w:rsidRPr="00E9736F">
              <w:t xml:space="preserve"> </w:t>
            </w:r>
          </w:p>
        </w:tc>
      </w:tr>
    </w:tbl>
    <w:p w:rsidR="00DC1393" w:rsidRDefault="00DC1393" w:rsidP="001A08FA">
      <w:pPr>
        <w:pStyle w:val="TableFooter"/>
        <w:keepNext/>
        <w:keepLines/>
        <w:widowControl/>
        <w:spacing w:after="120"/>
      </w:pPr>
      <w:r w:rsidRPr="000C0AFA">
        <w:t xml:space="preserve">Source: </w:t>
      </w:r>
      <w:r>
        <w:t>3.2 (p 86) of the submission</w:t>
      </w:r>
    </w:p>
    <w:p w:rsidR="00DC1393" w:rsidRDefault="00DC1393" w:rsidP="009722D0">
      <w:pPr>
        <w:pStyle w:val="ListParagraph"/>
        <w:numPr>
          <w:ilvl w:val="1"/>
          <w:numId w:val="1"/>
        </w:numPr>
        <w:spacing w:after="120"/>
        <w:ind w:left="720" w:hanging="720"/>
        <w:jc w:val="both"/>
      </w:pPr>
      <w:r>
        <w:t>All patients start in the primary remission on corticosteroids health state</w:t>
      </w:r>
      <w:r w:rsidR="009A3B3D">
        <w:t xml:space="preserve"> </w:t>
      </w:r>
      <w:r w:rsidR="009A3B3D" w:rsidRPr="001E43CB">
        <w:t>(though the ESC noted there may have been patients in the clinical trial who were not in remission on commencement of the trial period)</w:t>
      </w:r>
      <w:r w:rsidRPr="001E43CB">
        <w:t xml:space="preserve">. </w:t>
      </w:r>
      <w:r>
        <w:t xml:space="preserve">Patients in the </w:t>
      </w:r>
      <w:proofErr w:type="spellStart"/>
      <w:r>
        <w:t>tocilizumab</w:t>
      </w:r>
      <w:proofErr w:type="spellEnd"/>
      <w:r>
        <w:t xml:space="preserve"> arm continue in this health state until flare, death or the end of the 26 week tapering period. Patients in the placebo arm continue in this health state until flare, death or the end of the 52 week tapering period. Patients who did not flare during the tapering period then transition to the primary remission off corticosteroid health state until flare or death. Patients experiencing flare enter a temporary disease flare health state before transitioning to a subsequent remission on corticosteroids health state. Patients in the subsequent remission state remain on corticosteroids until death and may continue to experience multiple disease flares. </w:t>
      </w:r>
    </w:p>
    <w:p w:rsidR="00C71DDC" w:rsidRDefault="00273614" w:rsidP="009722D0">
      <w:pPr>
        <w:pStyle w:val="ListParagraph"/>
        <w:numPr>
          <w:ilvl w:val="1"/>
          <w:numId w:val="1"/>
        </w:numPr>
        <w:spacing w:after="120"/>
        <w:ind w:left="720" w:hanging="720"/>
        <w:jc w:val="both"/>
      </w:pPr>
      <w:r>
        <w:t xml:space="preserve">The complications associated with </w:t>
      </w:r>
      <w:r w:rsidR="00CE0511">
        <w:t>GCA</w:t>
      </w:r>
      <w:r>
        <w:t xml:space="preserve"> and corticosteroid therapy were implemented as quasi-health states allowing patients to be in multiple health states at the same time. Patients could experience </w:t>
      </w:r>
      <w:r w:rsidR="00CE0511">
        <w:t>GCA</w:t>
      </w:r>
      <w:r>
        <w:t xml:space="preserve"> complications in any cycle in which they also experienced flare. Patients could experience corticosteroid complications in any cycle in which their cumulative corticosteroid dose exceeded the nominated risk thresholds for adverse events.</w:t>
      </w:r>
      <w:r w:rsidR="00454531">
        <w:t xml:space="preserve"> </w:t>
      </w:r>
    </w:p>
    <w:p w:rsidR="007B7F8B" w:rsidRPr="001E43CB" w:rsidRDefault="007B7F8B" w:rsidP="009722D0">
      <w:pPr>
        <w:pStyle w:val="ListParagraph"/>
        <w:numPr>
          <w:ilvl w:val="1"/>
          <w:numId w:val="1"/>
        </w:numPr>
        <w:spacing w:after="120"/>
        <w:ind w:left="720" w:hanging="720"/>
        <w:jc w:val="both"/>
      </w:pPr>
      <w:r w:rsidRPr="001E43CB">
        <w:lastRenderedPageBreak/>
        <w:t xml:space="preserve">The ESC </w:t>
      </w:r>
      <w:r w:rsidR="00B06BD6" w:rsidRPr="00546A58">
        <w:t>and the PBAC</w:t>
      </w:r>
      <w:r w:rsidR="00B06BD6">
        <w:rPr>
          <w:i/>
        </w:rPr>
        <w:t xml:space="preserve"> </w:t>
      </w:r>
      <w:r w:rsidRPr="001E43CB">
        <w:t xml:space="preserve">noted that the model extrapolated </w:t>
      </w:r>
      <w:r w:rsidR="00ED5B07" w:rsidRPr="001E43CB">
        <w:t xml:space="preserve">12 months of randomised trial data </w:t>
      </w:r>
      <w:r w:rsidR="00A113D7" w:rsidRPr="001E43CB">
        <w:t xml:space="preserve">to a </w:t>
      </w:r>
      <w:r w:rsidRPr="001E43CB">
        <w:t xml:space="preserve">30 year </w:t>
      </w:r>
      <w:r w:rsidR="00A113D7" w:rsidRPr="001E43CB">
        <w:t>time horizon</w:t>
      </w:r>
      <w:r w:rsidR="002127C0" w:rsidRPr="001E43CB">
        <w:t>. The submission e</w:t>
      </w:r>
      <w:r w:rsidR="009620EE" w:rsidRPr="001E43CB">
        <w:t>stimated</w:t>
      </w:r>
      <w:r w:rsidR="002127C0" w:rsidRPr="001E43CB">
        <w:t xml:space="preserve"> the time to first flare </w:t>
      </w:r>
      <w:r w:rsidR="008E301D" w:rsidRPr="001E43CB">
        <w:t>beyond 12 months</w:t>
      </w:r>
      <w:r w:rsidR="002127C0" w:rsidRPr="001E43CB">
        <w:t xml:space="preserve"> (i.e. after the 12 month randomised trial period) for both treatment arms based on a parametric (Weibull) function using data from the </w:t>
      </w:r>
      <w:proofErr w:type="spellStart"/>
      <w:r w:rsidR="002127C0" w:rsidRPr="001E43CB">
        <w:t>tocilizumab</w:t>
      </w:r>
      <w:proofErr w:type="spellEnd"/>
      <w:r w:rsidR="002127C0" w:rsidRPr="001E43CB">
        <w:t xml:space="preserve"> treatment arm. This resulted in an ongoing treatment effect being assumed for the 30-year modelled time horizon. The ESC </w:t>
      </w:r>
      <w:r w:rsidR="00B06BD6" w:rsidRPr="00546A58">
        <w:t>and the PBAC</w:t>
      </w:r>
      <w:r w:rsidR="00B06BD6">
        <w:rPr>
          <w:i/>
        </w:rPr>
        <w:t xml:space="preserve"> </w:t>
      </w:r>
      <w:r w:rsidR="002127C0" w:rsidRPr="001E43CB">
        <w:t>considered that i</w:t>
      </w:r>
      <w:r w:rsidR="00273614" w:rsidRPr="001E43CB">
        <w:t>t</w:t>
      </w:r>
      <w:r w:rsidR="002127C0" w:rsidRPr="001E43CB">
        <w:t xml:space="preserve"> </w:t>
      </w:r>
      <w:r w:rsidR="009620EE" w:rsidRPr="001E43CB">
        <w:t xml:space="preserve">was </w:t>
      </w:r>
      <w:r w:rsidR="002127C0" w:rsidRPr="001E43CB">
        <w:t xml:space="preserve">not reasonable to assume that </w:t>
      </w:r>
      <w:proofErr w:type="spellStart"/>
      <w:r w:rsidR="002127C0" w:rsidRPr="001E43CB">
        <w:t>tocilizumab</w:t>
      </w:r>
      <w:proofErr w:type="spellEnd"/>
      <w:r w:rsidR="002127C0" w:rsidRPr="001E43CB">
        <w:t xml:space="preserve"> administered over a limited duration (1 year) will be associated with benefits</w:t>
      </w:r>
      <w:r w:rsidR="006959D2">
        <w:t xml:space="preserve"> over such a long term period</w:t>
      </w:r>
      <w:r w:rsidR="00ED5B07" w:rsidRPr="001E43CB">
        <w:t>, based on the trial data presented</w:t>
      </w:r>
      <w:r w:rsidR="009620EE" w:rsidRPr="001E43CB">
        <w:t>. This was particularly an issue</w:t>
      </w:r>
      <w:r w:rsidR="002127C0" w:rsidRPr="001E43CB">
        <w:t xml:space="preserve"> given </w:t>
      </w:r>
      <w:r w:rsidR="00776761" w:rsidRPr="001E43CB">
        <w:t xml:space="preserve">that </w:t>
      </w:r>
      <w:r w:rsidR="002127C0" w:rsidRPr="001E43CB">
        <w:t xml:space="preserve">the limited data </w:t>
      </w:r>
      <w:r w:rsidR="00776761" w:rsidRPr="001E43CB">
        <w:t xml:space="preserve">available </w:t>
      </w:r>
      <w:r w:rsidR="002127C0" w:rsidRPr="001E43CB">
        <w:t>on patient outcomes after treatment discontinuation</w:t>
      </w:r>
      <w:r w:rsidR="00776761" w:rsidRPr="001E43CB">
        <w:t xml:space="preserve"> indicated </w:t>
      </w:r>
      <w:r w:rsidR="009620EE" w:rsidRPr="001E43CB">
        <w:t>a large number of flares in the post-treatment period.</w:t>
      </w:r>
      <w:r w:rsidR="00776761" w:rsidRPr="001E43CB">
        <w:t xml:space="preserve"> The ESC considered </w:t>
      </w:r>
      <w:r w:rsidR="009620EE" w:rsidRPr="001E43CB">
        <w:t xml:space="preserve">that the model </w:t>
      </w:r>
      <w:r w:rsidR="006959D2">
        <w:t xml:space="preserve">more reasonably would </w:t>
      </w:r>
      <w:r w:rsidR="009620EE" w:rsidRPr="001E43CB">
        <w:t>have included a convergence of the treatment effects</w:t>
      </w:r>
      <w:r w:rsidR="00BC591F">
        <w:t>, and</w:t>
      </w:r>
      <w:r w:rsidR="005B0375" w:rsidRPr="001E43CB">
        <w:t xml:space="preserve"> noted that the model is highly sensitive to the assumed duration of benefit.</w:t>
      </w:r>
      <w:r w:rsidR="00A113D7" w:rsidRPr="001E43CB">
        <w:t xml:space="preserve"> </w:t>
      </w:r>
    </w:p>
    <w:p w:rsidR="009620EE" w:rsidRPr="001E43CB" w:rsidRDefault="002127C0" w:rsidP="009722D0">
      <w:pPr>
        <w:pStyle w:val="ListParagraph"/>
        <w:numPr>
          <w:ilvl w:val="1"/>
          <w:numId w:val="1"/>
        </w:numPr>
        <w:spacing w:after="120"/>
        <w:ind w:left="720" w:hanging="720"/>
        <w:jc w:val="both"/>
      </w:pPr>
      <w:r w:rsidRPr="001E43CB">
        <w:t xml:space="preserve">The </w:t>
      </w:r>
      <w:r w:rsidR="008E301D" w:rsidRPr="001E43CB">
        <w:t>model assumes that</w:t>
      </w:r>
      <w:r w:rsidRPr="001E43CB">
        <w:t xml:space="preserve"> patients who experience a flare remain on corticosteroids until death. </w:t>
      </w:r>
      <w:r w:rsidR="001B2B71" w:rsidRPr="001E43CB">
        <w:t>The PSCR argued that disease flare i</w:t>
      </w:r>
      <w:r w:rsidR="007B7F8B" w:rsidRPr="001E43CB">
        <w:t xml:space="preserve">s </w:t>
      </w:r>
      <w:r w:rsidR="001B2B71" w:rsidRPr="001E43CB">
        <w:t xml:space="preserve">a </w:t>
      </w:r>
      <w:r w:rsidR="007B7F8B" w:rsidRPr="001E43CB">
        <w:t>transient health state</w:t>
      </w:r>
      <w:r w:rsidR="001B2B71" w:rsidRPr="001E43CB">
        <w:t xml:space="preserve">, but </w:t>
      </w:r>
      <w:r w:rsidR="008E301D" w:rsidRPr="001E43CB">
        <w:t xml:space="preserve">further stated that </w:t>
      </w:r>
      <w:r w:rsidR="001B2B71" w:rsidRPr="001E43CB">
        <w:t xml:space="preserve">the model </w:t>
      </w:r>
      <w:r w:rsidR="007B7F8B" w:rsidRPr="001E43CB">
        <w:t xml:space="preserve">applies </w:t>
      </w:r>
      <w:r w:rsidR="001B2B71" w:rsidRPr="001E43CB">
        <w:t xml:space="preserve">the corticosteroid use as </w:t>
      </w:r>
      <w:r w:rsidR="007B7F8B" w:rsidRPr="001E43CB">
        <w:t xml:space="preserve">a weighted </w:t>
      </w:r>
      <w:r w:rsidR="001B2B71" w:rsidRPr="001E43CB">
        <w:t xml:space="preserve">average </w:t>
      </w:r>
      <w:r w:rsidR="007B7F8B" w:rsidRPr="001E43CB">
        <w:t>dose to</w:t>
      </w:r>
      <w:r w:rsidR="001B2B71" w:rsidRPr="001E43CB">
        <w:t xml:space="preserve"> the</w:t>
      </w:r>
      <w:r w:rsidR="007B7F8B" w:rsidRPr="001E43CB">
        <w:t xml:space="preserve"> entire cohort alive irrespective of their health state</w:t>
      </w:r>
      <w:r w:rsidR="001B2B71" w:rsidRPr="001E43CB">
        <w:t xml:space="preserve"> (resulting in an average dose of &lt;1 mg per day</w:t>
      </w:r>
      <w:r w:rsidR="00ED5B07" w:rsidRPr="001E43CB">
        <w:t xml:space="preserve"> for some patients</w:t>
      </w:r>
      <w:r w:rsidR="001B2B71" w:rsidRPr="001E43CB">
        <w:t xml:space="preserve">). </w:t>
      </w:r>
      <w:r w:rsidR="00273614" w:rsidRPr="001E43CB">
        <w:t>The ESC noted that the model applied a disutility of</w:t>
      </w:r>
      <w:r w:rsidR="008E301D" w:rsidRPr="001E43CB">
        <w:t xml:space="preserve"> </w:t>
      </w:r>
      <w:r w:rsidR="00273614" w:rsidRPr="001E43CB">
        <w:t xml:space="preserve">-0.07 to all patients receiving corticosteroids regardless of dose </w:t>
      </w:r>
      <w:r w:rsidR="00ED5B07" w:rsidRPr="001E43CB">
        <w:t>or</w:t>
      </w:r>
      <w:r w:rsidR="00273614" w:rsidRPr="001E43CB">
        <w:t xml:space="preserve"> incidence of complications. As such, </w:t>
      </w:r>
      <w:r w:rsidR="007B7F8B" w:rsidRPr="001E43CB">
        <w:t xml:space="preserve">patients </w:t>
      </w:r>
      <w:r w:rsidR="001B2B71" w:rsidRPr="001E43CB">
        <w:t>who experience a flare continue to a</w:t>
      </w:r>
      <w:r w:rsidR="007B7F8B" w:rsidRPr="001E43CB">
        <w:t>ccru</w:t>
      </w:r>
      <w:r w:rsidR="001B2B71" w:rsidRPr="001E43CB">
        <w:t>e</w:t>
      </w:r>
      <w:r w:rsidR="007B7F8B" w:rsidRPr="001E43CB">
        <w:t xml:space="preserve"> </w:t>
      </w:r>
      <w:r w:rsidR="008E301D" w:rsidRPr="001E43CB">
        <w:t xml:space="preserve">a constant </w:t>
      </w:r>
      <w:r w:rsidR="007B7F8B" w:rsidRPr="001E43CB">
        <w:t>disutili</w:t>
      </w:r>
      <w:r w:rsidR="008E301D" w:rsidRPr="001E43CB">
        <w:t>ty</w:t>
      </w:r>
      <w:r w:rsidR="007B7F8B" w:rsidRPr="001E43CB">
        <w:t xml:space="preserve"> from </w:t>
      </w:r>
      <w:r w:rsidR="001B2B71" w:rsidRPr="001E43CB">
        <w:t>cortico</w:t>
      </w:r>
      <w:r w:rsidR="007B7F8B" w:rsidRPr="001E43CB">
        <w:t>steroid use</w:t>
      </w:r>
      <w:r w:rsidR="001B2B71" w:rsidRPr="001E43CB">
        <w:t xml:space="preserve"> until death</w:t>
      </w:r>
      <w:r w:rsidR="008E301D" w:rsidRPr="001E43CB">
        <w:t>,</w:t>
      </w:r>
      <w:r w:rsidR="00273614" w:rsidRPr="001E43CB">
        <w:t xml:space="preserve"> despite receiving an average dose &lt;1 mg per day. The ESC </w:t>
      </w:r>
      <w:r w:rsidR="008769A8">
        <w:t xml:space="preserve">and PBAC </w:t>
      </w:r>
      <w:r w:rsidR="00273614" w:rsidRPr="001E43CB">
        <w:t>considered that th</w:t>
      </w:r>
      <w:r w:rsidR="008E301D" w:rsidRPr="001E43CB">
        <w:t>ese assumptions were</w:t>
      </w:r>
      <w:r w:rsidR="00273614" w:rsidRPr="001E43CB">
        <w:t xml:space="preserve"> not </w:t>
      </w:r>
      <w:r w:rsidR="008E301D" w:rsidRPr="001E43CB">
        <w:t>plausible.</w:t>
      </w:r>
      <w:r w:rsidR="009620EE" w:rsidRPr="001E43CB">
        <w:t xml:space="preserve"> </w:t>
      </w:r>
    </w:p>
    <w:p w:rsidR="009620EE" w:rsidRPr="001E43CB" w:rsidRDefault="009620EE" w:rsidP="009722D0">
      <w:pPr>
        <w:pStyle w:val="ListParagraph"/>
        <w:numPr>
          <w:ilvl w:val="1"/>
          <w:numId w:val="1"/>
        </w:numPr>
        <w:spacing w:after="120"/>
        <w:ind w:left="720" w:hanging="720"/>
        <w:jc w:val="both"/>
      </w:pPr>
      <w:r w:rsidRPr="001E43CB">
        <w:t>The ESC</w:t>
      </w:r>
      <w:r w:rsidR="00546A58">
        <w:t xml:space="preserve"> and the PBAC</w:t>
      </w:r>
      <w:r w:rsidRPr="001E43CB">
        <w:t xml:space="preserve"> considered that a 30 year time horizon (as used in the base case) was not realistic given that the submission indicated that the mean age at diagnosis in Australia is estimated to be </w:t>
      </w:r>
      <w:r w:rsidR="00AF00DD">
        <w:t>73-</w:t>
      </w:r>
      <w:r w:rsidRPr="001E43CB">
        <w:t>78 years.</w:t>
      </w:r>
      <w:r w:rsidR="005B0375" w:rsidRPr="001E43CB">
        <w:t xml:space="preserve"> </w:t>
      </w:r>
      <w:r w:rsidR="00546A58">
        <w:t>Further, t</w:t>
      </w:r>
      <w:r w:rsidR="005B0375" w:rsidRPr="001E43CB">
        <w:t xml:space="preserve">he ESC </w:t>
      </w:r>
      <w:r w:rsidR="008769A8">
        <w:t xml:space="preserve">and PBAC </w:t>
      </w:r>
      <w:r w:rsidR="00546A58">
        <w:t xml:space="preserve">considered </w:t>
      </w:r>
      <w:r w:rsidR="005B0375" w:rsidRPr="001E43CB">
        <w:t xml:space="preserve">that a 30 year time horizon introduces high levels of uncertainty as data on the use of </w:t>
      </w:r>
      <w:proofErr w:type="spellStart"/>
      <w:r w:rsidR="005B0375" w:rsidRPr="001E43CB">
        <w:t>tocilizumab</w:t>
      </w:r>
      <w:proofErr w:type="spellEnd"/>
      <w:r w:rsidR="005B0375" w:rsidRPr="001E43CB">
        <w:t xml:space="preserve"> beyond </w:t>
      </w:r>
      <w:r w:rsidR="00ED5B07" w:rsidRPr="001E43CB">
        <w:t>1</w:t>
      </w:r>
      <w:r w:rsidR="005B0375" w:rsidRPr="001E43CB">
        <w:t xml:space="preserve">2 </w:t>
      </w:r>
      <w:r w:rsidR="00ED5B07" w:rsidRPr="001E43CB">
        <w:t>months</w:t>
      </w:r>
      <w:r w:rsidR="005B0375" w:rsidRPr="001E43CB">
        <w:t xml:space="preserve"> </w:t>
      </w:r>
      <w:r w:rsidR="00C71DDC" w:rsidRPr="001E43CB">
        <w:t>are</w:t>
      </w:r>
      <w:r w:rsidR="005B0375" w:rsidRPr="001E43CB">
        <w:t xml:space="preserve"> limited. </w:t>
      </w:r>
    </w:p>
    <w:p w:rsidR="00DC1393" w:rsidRPr="00E25E7E" w:rsidRDefault="00DC1393" w:rsidP="009722D0">
      <w:pPr>
        <w:pStyle w:val="ListParagraph"/>
        <w:numPr>
          <w:ilvl w:val="1"/>
          <w:numId w:val="1"/>
        </w:numPr>
        <w:spacing w:after="120"/>
        <w:ind w:left="720" w:hanging="720"/>
        <w:jc w:val="both"/>
      </w:pPr>
      <w:r w:rsidRPr="000C3A94">
        <w:t>Key drivers of the economic model are summarised in the table below</w:t>
      </w:r>
      <w:r w:rsidR="00477B71">
        <w:t>.</w:t>
      </w:r>
    </w:p>
    <w:p w:rsidR="00DC1393" w:rsidRPr="00DC1393" w:rsidRDefault="00DC1393" w:rsidP="00C46E06">
      <w:pPr>
        <w:keepNext/>
        <w:rPr>
          <w:rStyle w:val="CommentReference"/>
          <w:rFonts w:ascii="Arial Narrow" w:hAnsi="Arial Narrow"/>
          <w:b/>
          <w:sz w:val="20"/>
        </w:rPr>
      </w:pPr>
      <w:r w:rsidRPr="00DC1393">
        <w:rPr>
          <w:rStyle w:val="CommentReference"/>
          <w:rFonts w:ascii="Arial Narrow" w:hAnsi="Arial Narrow"/>
          <w:b/>
          <w:sz w:val="20"/>
        </w:rPr>
        <w:lastRenderedPageBreak/>
        <w:t>Table 1</w:t>
      </w:r>
      <w:r w:rsidR="007B241F">
        <w:rPr>
          <w:rStyle w:val="CommentReference"/>
          <w:rFonts w:ascii="Arial Narrow" w:hAnsi="Arial Narrow"/>
          <w:b/>
          <w:sz w:val="20"/>
        </w:rPr>
        <w:t>4</w:t>
      </w:r>
      <w:r w:rsidRPr="00DC1393">
        <w:rPr>
          <w:rStyle w:val="CommentReference"/>
          <w:rFonts w:ascii="Arial Narrow" w:hAnsi="Arial Narrow"/>
          <w:b/>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6333"/>
        <w:gridCol w:w="1388"/>
      </w:tblGrid>
      <w:tr w:rsidR="00DC1393" w:rsidRPr="003D1DE4" w:rsidTr="00546A58">
        <w:trPr>
          <w:tblHeader/>
        </w:trPr>
        <w:tc>
          <w:tcPr>
            <w:tcW w:w="718" w:type="pct"/>
            <w:shd w:val="clear" w:color="auto" w:fill="auto"/>
            <w:vAlign w:val="center"/>
          </w:tcPr>
          <w:p w:rsidR="00DC1393" w:rsidRPr="003D1DE4" w:rsidRDefault="00DC1393" w:rsidP="00C46E06">
            <w:pPr>
              <w:pStyle w:val="Tabletext0"/>
              <w:keepNext/>
              <w:rPr>
                <w:b/>
                <w:lang w:val="en-US"/>
              </w:rPr>
            </w:pPr>
            <w:r w:rsidRPr="003D1DE4">
              <w:rPr>
                <w:b/>
                <w:lang w:val="en-US"/>
              </w:rPr>
              <w:t>Description</w:t>
            </w:r>
          </w:p>
        </w:tc>
        <w:tc>
          <w:tcPr>
            <w:tcW w:w="3511" w:type="pct"/>
            <w:shd w:val="clear" w:color="auto" w:fill="auto"/>
            <w:vAlign w:val="center"/>
          </w:tcPr>
          <w:p w:rsidR="00DC1393" w:rsidRPr="003D1DE4" w:rsidRDefault="00DC1393" w:rsidP="00C46E06">
            <w:pPr>
              <w:pStyle w:val="Tabletext0"/>
              <w:keepNext/>
              <w:jc w:val="center"/>
              <w:rPr>
                <w:b/>
                <w:lang w:val="en-US"/>
              </w:rPr>
            </w:pPr>
            <w:r w:rsidRPr="003D1DE4">
              <w:rPr>
                <w:b/>
                <w:lang w:val="en-US"/>
              </w:rPr>
              <w:t>Method/Value</w:t>
            </w:r>
          </w:p>
        </w:tc>
        <w:tc>
          <w:tcPr>
            <w:tcW w:w="770" w:type="pct"/>
            <w:shd w:val="clear" w:color="auto" w:fill="auto"/>
            <w:vAlign w:val="center"/>
          </w:tcPr>
          <w:p w:rsidR="00DC1393" w:rsidRPr="003D1DE4" w:rsidRDefault="00DC1393" w:rsidP="00C46E06">
            <w:pPr>
              <w:pStyle w:val="Tabletext0"/>
              <w:keepNext/>
              <w:jc w:val="center"/>
              <w:rPr>
                <w:b/>
                <w:lang w:val="en-US"/>
              </w:rPr>
            </w:pPr>
            <w:r w:rsidRPr="003D1DE4">
              <w:rPr>
                <w:b/>
                <w:lang w:val="en-US"/>
              </w:rPr>
              <w:t>Impact</w:t>
            </w:r>
          </w:p>
        </w:tc>
      </w:tr>
      <w:tr w:rsidR="00DC1393" w:rsidRPr="00E2771E" w:rsidTr="00546A58">
        <w:trPr>
          <w:cantSplit/>
        </w:trPr>
        <w:tc>
          <w:tcPr>
            <w:tcW w:w="718" w:type="pct"/>
            <w:shd w:val="clear" w:color="auto" w:fill="auto"/>
            <w:vAlign w:val="center"/>
          </w:tcPr>
          <w:p w:rsidR="00DC1393" w:rsidRPr="00E2771E" w:rsidRDefault="00DC1393" w:rsidP="00C46E06">
            <w:pPr>
              <w:pStyle w:val="Tabletext0"/>
              <w:keepNext/>
              <w:rPr>
                <w:lang w:val="en-US"/>
              </w:rPr>
            </w:pPr>
            <w:r>
              <w:rPr>
                <w:lang w:val="en-US"/>
              </w:rPr>
              <w:t>Extrapolation of treatment benefit</w:t>
            </w:r>
          </w:p>
        </w:tc>
        <w:tc>
          <w:tcPr>
            <w:tcW w:w="3511" w:type="pct"/>
            <w:shd w:val="clear" w:color="auto" w:fill="auto"/>
            <w:vAlign w:val="center"/>
          </w:tcPr>
          <w:p w:rsidR="00DC1393" w:rsidRPr="0068463E" w:rsidRDefault="00DC1393" w:rsidP="00C46E06">
            <w:pPr>
              <w:pStyle w:val="Tabletext0"/>
              <w:keepNext/>
              <w:rPr>
                <w:lang w:val="en-US"/>
              </w:rPr>
            </w:pPr>
            <w:r w:rsidRPr="0068463E">
              <w:rPr>
                <w:lang w:val="en-US"/>
              </w:rPr>
              <w:t xml:space="preserve">The submission estimated the time to first flare in the first year of the model using a Weibull survival function for </w:t>
            </w:r>
            <w:proofErr w:type="spellStart"/>
            <w:r w:rsidRPr="0068463E">
              <w:rPr>
                <w:lang w:val="en-US"/>
              </w:rPr>
              <w:t>tocilizumab</w:t>
            </w:r>
            <w:proofErr w:type="spellEnd"/>
            <w:r w:rsidRPr="0068463E">
              <w:rPr>
                <w:lang w:val="en-US"/>
              </w:rPr>
              <w:t xml:space="preserve"> and an exponential survival function for placebo based on observed data from the </w:t>
            </w:r>
            <w:proofErr w:type="spellStart"/>
            <w:r w:rsidRPr="0068463E">
              <w:rPr>
                <w:lang w:val="en-US"/>
              </w:rPr>
              <w:t>GiACTA</w:t>
            </w:r>
            <w:proofErr w:type="spellEnd"/>
            <w:r w:rsidRPr="0068463E">
              <w:rPr>
                <w:lang w:val="en-US"/>
              </w:rPr>
              <w:t xml:space="preserve"> trial</w:t>
            </w:r>
            <w:r w:rsidR="0051515C">
              <w:rPr>
                <w:lang w:val="en-US"/>
              </w:rPr>
              <w:t>.</w:t>
            </w:r>
          </w:p>
          <w:p w:rsidR="00DC1393" w:rsidRPr="0068463E" w:rsidRDefault="00DC1393" w:rsidP="00C46E06">
            <w:pPr>
              <w:pStyle w:val="Tabletext0"/>
              <w:keepNext/>
              <w:rPr>
                <w:lang w:val="en-US"/>
              </w:rPr>
            </w:pPr>
            <w:r w:rsidRPr="0068463E">
              <w:rPr>
                <w:lang w:val="en-US"/>
              </w:rPr>
              <w:t xml:space="preserve">The submission estimated the time to first flare in subsequent years for both treatment arms based on a Weibull function using data from the </w:t>
            </w:r>
            <w:proofErr w:type="spellStart"/>
            <w:r w:rsidRPr="0068463E">
              <w:rPr>
                <w:lang w:val="en-US"/>
              </w:rPr>
              <w:t>tocilizumab</w:t>
            </w:r>
            <w:proofErr w:type="spellEnd"/>
            <w:r w:rsidRPr="0068463E">
              <w:rPr>
                <w:lang w:val="en-US"/>
              </w:rPr>
              <w:t xml:space="preserve"> treatment arm.</w:t>
            </w:r>
          </w:p>
          <w:p w:rsidR="00DC1393" w:rsidRPr="0068463E" w:rsidRDefault="00DC1393" w:rsidP="00C46E06">
            <w:pPr>
              <w:pStyle w:val="Tabletext0"/>
              <w:keepNext/>
              <w:rPr>
                <w:lang w:val="en-US"/>
              </w:rPr>
            </w:pPr>
            <w:r w:rsidRPr="0068463E">
              <w:rPr>
                <w:lang w:val="en-US"/>
              </w:rPr>
              <w:t xml:space="preserve">It may not be appropriate to base extrapolations on the </w:t>
            </w:r>
            <w:proofErr w:type="spellStart"/>
            <w:r w:rsidRPr="0068463E">
              <w:rPr>
                <w:lang w:val="en-US"/>
              </w:rPr>
              <w:t>tocilizumab</w:t>
            </w:r>
            <w:proofErr w:type="spellEnd"/>
            <w:r w:rsidRPr="0068463E">
              <w:rPr>
                <w:lang w:val="en-US"/>
              </w:rPr>
              <w:t xml:space="preserve"> treatment arm as the risk of flare while on treatment (first year) may not reflect the risk of flare while off-treatment (subsequent years). </w:t>
            </w:r>
          </w:p>
          <w:p w:rsidR="00DC1393" w:rsidRPr="0068463E" w:rsidRDefault="00DC1393" w:rsidP="008B7351">
            <w:pPr>
              <w:pStyle w:val="Tabletext0"/>
              <w:keepNext/>
              <w:rPr>
                <w:lang w:val="en-US"/>
              </w:rPr>
            </w:pPr>
            <w:r w:rsidRPr="0068463E">
              <w:rPr>
                <w:lang w:val="en-US"/>
              </w:rPr>
              <w:t xml:space="preserve">The extrapolated time to first flare suggested long-term treatment benefits of </w:t>
            </w:r>
            <w:proofErr w:type="spellStart"/>
            <w:r w:rsidRPr="0068463E">
              <w:rPr>
                <w:lang w:val="en-US"/>
              </w:rPr>
              <w:t>tocilizumab</w:t>
            </w:r>
            <w:proofErr w:type="spellEnd"/>
            <w:r w:rsidRPr="0068463E">
              <w:rPr>
                <w:lang w:val="en-US"/>
              </w:rPr>
              <w:t xml:space="preserve"> after treatment discontinuation which </w:t>
            </w:r>
            <w:r w:rsidR="008B7351">
              <w:rPr>
                <w:lang w:val="en-US"/>
              </w:rPr>
              <w:t>was</w:t>
            </w:r>
            <w:r w:rsidRPr="0068463E">
              <w:rPr>
                <w:lang w:val="en-US"/>
              </w:rPr>
              <w:t xml:space="preserve"> not adequately supported by available clinical data.</w:t>
            </w:r>
          </w:p>
        </w:tc>
        <w:tc>
          <w:tcPr>
            <w:tcW w:w="770" w:type="pct"/>
            <w:shd w:val="clear" w:color="auto" w:fill="auto"/>
            <w:vAlign w:val="center"/>
          </w:tcPr>
          <w:p w:rsidR="00DC1393" w:rsidRDefault="00DC1393" w:rsidP="00C46E06">
            <w:pPr>
              <w:pStyle w:val="Tabletext0"/>
              <w:keepNext/>
              <w:jc w:val="center"/>
              <w:rPr>
                <w:lang w:val="en-US"/>
              </w:rPr>
            </w:pPr>
            <w:r>
              <w:rPr>
                <w:lang w:val="en-US"/>
              </w:rPr>
              <w:t>High,</w:t>
            </w:r>
          </w:p>
          <w:p w:rsidR="00DC1393" w:rsidRPr="00E2771E" w:rsidRDefault="00DC1393" w:rsidP="00C46E06">
            <w:pPr>
              <w:pStyle w:val="Tabletext0"/>
              <w:keepNext/>
              <w:jc w:val="center"/>
              <w:rPr>
                <w:lang w:val="en-US"/>
              </w:rPr>
            </w:pPr>
            <w:proofErr w:type="spellStart"/>
            <w:r>
              <w:rPr>
                <w:lang w:val="en-US"/>
              </w:rPr>
              <w:t>favours</w:t>
            </w:r>
            <w:proofErr w:type="spellEnd"/>
            <w:r>
              <w:rPr>
                <w:lang w:val="en-US"/>
              </w:rPr>
              <w:t xml:space="preserve"> </w:t>
            </w:r>
            <w:proofErr w:type="spellStart"/>
            <w:r>
              <w:rPr>
                <w:lang w:val="en-US"/>
              </w:rPr>
              <w:t>tocilizumab</w:t>
            </w:r>
            <w:proofErr w:type="spellEnd"/>
          </w:p>
        </w:tc>
      </w:tr>
      <w:tr w:rsidR="00DC1393" w:rsidRPr="00E2771E" w:rsidTr="00546A58">
        <w:trPr>
          <w:cantSplit/>
        </w:trPr>
        <w:tc>
          <w:tcPr>
            <w:tcW w:w="718" w:type="pct"/>
            <w:shd w:val="clear" w:color="auto" w:fill="auto"/>
            <w:vAlign w:val="center"/>
          </w:tcPr>
          <w:p w:rsidR="00DC1393" w:rsidRPr="00E2771E" w:rsidRDefault="00DC1393" w:rsidP="00C46E06">
            <w:pPr>
              <w:pStyle w:val="Tabletext0"/>
              <w:rPr>
                <w:lang w:val="en-US"/>
              </w:rPr>
            </w:pPr>
            <w:r>
              <w:rPr>
                <w:lang w:val="en-US"/>
              </w:rPr>
              <w:t>Duration of corticosteroid exposure</w:t>
            </w:r>
          </w:p>
        </w:tc>
        <w:tc>
          <w:tcPr>
            <w:tcW w:w="3511" w:type="pct"/>
            <w:shd w:val="clear" w:color="auto" w:fill="auto"/>
            <w:vAlign w:val="center"/>
          </w:tcPr>
          <w:p w:rsidR="00DC1393" w:rsidRPr="0068463E" w:rsidRDefault="00DC1393" w:rsidP="00C46E06">
            <w:pPr>
              <w:pStyle w:val="Tabletext0"/>
              <w:rPr>
                <w:lang w:val="en-US"/>
              </w:rPr>
            </w:pPr>
            <w:r w:rsidRPr="0068463E">
              <w:rPr>
                <w:lang w:val="en-US"/>
              </w:rPr>
              <w:t xml:space="preserve">The submission estimated corticosteroid exposure during the primary remission period based on the taper protocol from the </w:t>
            </w:r>
            <w:proofErr w:type="spellStart"/>
            <w:r w:rsidRPr="0068463E">
              <w:rPr>
                <w:lang w:val="en-US"/>
              </w:rPr>
              <w:t>GiACTA</w:t>
            </w:r>
            <w:proofErr w:type="spellEnd"/>
            <w:r w:rsidRPr="0068463E">
              <w:rPr>
                <w:lang w:val="en-US"/>
              </w:rPr>
              <w:t xml:space="preserve"> trial.</w:t>
            </w:r>
          </w:p>
          <w:p w:rsidR="00DC1393" w:rsidRPr="0068463E" w:rsidRDefault="00DC1393" w:rsidP="00C46E06">
            <w:pPr>
              <w:pStyle w:val="Tabletext0"/>
              <w:rPr>
                <w:lang w:val="en-US"/>
              </w:rPr>
            </w:pPr>
          </w:p>
          <w:p w:rsidR="00DC1393" w:rsidRPr="0068463E" w:rsidRDefault="00DC1393" w:rsidP="00C46E06">
            <w:pPr>
              <w:pStyle w:val="Tabletext0"/>
              <w:rPr>
                <w:lang w:val="en-US"/>
              </w:rPr>
            </w:pPr>
            <w:r w:rsidRPr="0068463E">
              <w:rPr>
                <w:lang w:val="en-US"/>
              </w:rPr>
              <w:t>The submission assumed that patients in the subsequent remission state would remain on corticosteroids until death. The estimated cumulative dose during this period was based on a</w:t>
            </w:r>
            <w:r w:rsidR="00477B71" w:rsidRPr="0068463E">
              <w:rPr>
                <w:lang w:val="en-US"/>
              </w:rPr>
              <w:t xml:space="preserve"> post-hoc analysi</w:t>
            </w:r>
            <w:r w:rsidRPr="0068463E">
              <w:rPr>
                <w:lang w:val="en-US"/>
              </w:rPr>
              <w:t xml:space="preserve">s of the </w:t>
            </w:r>
            <w:proofErr w:type="spellStart"/>
            <w:r w:rsidRPr="0068463E">
              <w:rPr>
                <w:lang w:val="en-US"/>
              </w:rPr>
              <w:t>GiACTA</w:t>
            </w:r>
            <w:proofErr w:type="spellEnd"/>
            <w:r w:rsidRPr="0068463E">
              <w:rPr>
                <w:lang w:val="en-US"/>
              </w:rPr>
              <w:t xml:space="preserve"> trial and a sponsor-commissioned retrospective analysis of </w:t>
            </w:r>
            <w:r w:rsidR="002A551A">
              <w:rPr>
                <w:lang w:val="en-US"/>
              </w:rPr>
              <w:t>GCA</w:t>
            </w:r>
            <w:r w:rsidRPr="0068463E">
              <w:rPr>
                <w:lang w:val="en-US"/>
              </w:rPr>
              <w:t xml:space="preserve"> patients from a US health insurance claims database (</w:t>
            </w:r>
            <w:proofErr w:type="spellStart"/>
            <w:r w:rsidRPr="0068463E">
              <w:rPr>
                <w:lang w:val="en-US"/>
              </w:rPr>
              <w:t>MarketScan</w:t>
            </w:r>
            <w:proofErr w:type="spellEnd"/>
            <w:r w:rsidRPr="0068463E">
              <w:rPr>
                <w:lang w:val="en-US"/>
              </w:rPr>
              <w:t xml:space="preserve"> 2016). </w:t>
            </w:r>
          </w:p>
          <w:p w:rsidR="00DC1393" w:rsidRPr="0068463E" w:rsidRDefault="00DC1393" w:rsidP="00C46E06">
            <w:pPr>
              <w:pStyle w:val="Tabletext0"/>
              <w:rPr>
                <w:lang w:val="en-US"/>
              </w:rPr>
            </w:pPr>
          </w:p>
          <w:p w:rsidR="00DC1393" w:rsidRPr="0068463E" w:rsidRDefault="00DC1393" w:rsidP="00C46E06">
            <w:pPr>
              <w:pStyle w:val="Tabletext0"/>
              <w:rPr>
                <w:lang w:val="en-US"/>
              </w:rPr>
            </w:pPr>
            <w:r w:rsidRPr="0068463E">
              <w:rPr>
                <w:lang w:val="en-US"/>
              </w:rPr>
              <w:t xml:space="preserve">The structure of the economic model did not allow patients to discontinue corticosteroid therapy after they experience a flare. This was inconsistent with treatment guidelines and available </w:t>
            </w:r>
            <w:proofErr w:type="spellStart"/>
            <w:r w:rsidRPr="0068463E">
              <w:rPr>
                <w:lang w:val="en-US"/>
              </w:rPr>
              <w:t>utilisation</w:t>
            </w:r>
            <w:proofErr w:type="spellEnd"/>
            <w:r w:rsidRPr="0068463E">
              <w:rPr>
                <w:lang w:val="en-US"/>
              </w:rPr>
              <w:t xml:space="preserve"> estimates which indicate that many patients will be able to cease corticosteroid therapy. This also resulted in implausible situations in the model in which patients were exposed to corticosteroid doses &lt; 1 mg per day as the estimated cumulative dose was distributed across the extended treatment duration in the model. </w:t>
            </w:r>
          </w:p>
        </w:tc>
        <w:tc>
          <w:tcPr>
            <w:tcW w:w="770" w:type="pct"/>
            <w:shd w:val="clear" w:color="auto" w:fill="auto"/>
            <w:vAlign w:val="center"/>
          </w:tcPr>
          <w:p w:rsidR="00DC1393" w:rsidRDefault="00DC1393" w:rsidP="00C46E06">
            <w:pPr>
              <w:pStyle w:val="Tabletext0"/>
              <w:jc w:val="center"/>
              <w:rPr>
                <w:lang w:val="en-US"/>
              </w:rPr>
            </w:pPr>
            <w:r>
              <w:rPr>
                <w:lang w:val="en-US"/>
              </w:rPr>
              <w:t>High,</w:t>
            </w:r>
          </w:p>
          <w:p w:rsidR="00DC1393" w:rsidRPr="00E2771E" w:rsidRDefault="00DC1393" w:rsidP="00C46E06">
            <w:pPr>
              <w:pStyle w:val="Tabletext0"/>
              <w:jc w:val="center"/>
              <w:rPr>
                <w:lang w:val="en-US"/>
              </w:rPr>
            </w:pPr>
            <w:proofErr w:type="spellStart"/>
            <w:r>
              <w:rPr>
                <w:lang w:val="en-US"/>
              </w:rPr>
              <w:t>favours</w:t>
            </w:r>
            <w:proofErr w:type="spellEnd"/>
            <w:r>
              <w:rPr>
                <w:lang w:val="en-US"/>
              </w:rPr>
              <w:t xml:space="preserve"> </w:t>
            </w:r>
            <w:proofErr w:type="spellStart"/>
            <w:r>
              <w:rPr>
                <w:lang w:val="en-US"/>
              </w:rPr>
              <w:t>tocilizumab</w:t>
            </w:r>
            <w:proofErr w:type="spellEnd"/>
          </w:p>
        </w:tc>
      </w:tr>
      <w:tr w:rsidR="00DC1393" w:rsidRPr="00E2771E" w:rsidTr="00546A58">
        <w:trPr>
          <w:cantSplit/>
        </w:trPr>
        <w:tc>
          <w:tcPr>
            <w:tcW w:w="718" w:type="pct"/>
            <w:shd w:val="clear" w:color="auto" w:fill="auto"/>
            <w:vAlign w:val="center"/>
          </w:tcPr>
          <w:p w:rsidR="00DC1393" w:rsidRPr="00E2771E" w:rsidRDefault="00DC1393" w:rsidP="00C46E06">
            <w:pPr>
              <w:pStyle w:val="Tabletext0"/>
              <w:rPr>
                <w:lang w:val="en-US"/>
              </w:rPr>
            </w:pPr>
            <w:r>
              <w:rPr>
                <w:lang w:val="en-US"/>
              </w:rPr>
              <w:t>Disutility associated with corticosteroids</w:t>
            </w:r>
          </w:p>
        </w:tc>
        <w:tc>
          <w:tcPr>
            <w:tcW w:w="3511" w:type="pct"/>
            <w:shd w:val="clear" w:color="auto" w:fill="auto"/>
            <w:vAlign w:val="center"/>
          </w:tcPr>
          <w:p w:rsidR="00DC1393" w:rsidRPr="0068463E" w:rsidRDefault="00DC1393" w:rsidP="00C46E06">
            <w:pPr>
              <w:pStyle w:val="Tabletext0"/>
              <w:rPr>
                <w:lang w:val="en-US"/>
              </w:rPr>
            </w:pPr>
            <w:r w:rsidRPr="0068463E">
              <w:rPr>
                <w:lang w:val="en-US"/>
              </w:rPr>
              <w:t>The submission estimated disutility values for corticosteroid complications based on a published decision analytic model on the management of temporal arteritis (</w:t>
            </w:r>
            <w:proofErr w:type="spellStart"/>
            <w:r w:rsidRPr="0068463E">
              <w:rPr>
                <w:lang w:val="en-US"/>
              </w:rPr>
              <w:t>Niederkohr</w:t>
            </w:r>
            <w:proofErr w:type="spellEnd"/>
            <w:r w:rsidRPr="0068463E">
              <w:rPr>
                <w:lang w:val="en-US"/>
              </w:rPr>
              <w:t xml:space="preserve"> 2005). The publication synthesized disutility values for corticosteroids complications based on various published sources. The publication also assumed a base disutility (</w:t>
            </w:r>
            <w:r w:rsidR="00546A58">
              <w:rPr>
                <w:lang w:val="en-US"/>
              </w:rPr>
              <w:noBreakHyphen/>
              <w:t> </w:t>
            </w:r>
            <w:r w:rsidRPr="0068463E">
              <w:rPr>
                <w:lang w:val="en-US"/>
              </w:rPr>
              <w:t xml:space="preserve">0.03) for corticosteroid treatment to represent common steroid-related events (doctor visits, weight gain, excessive body hair, moon face </w:t>
            </w:r>
            <w:proofErr w:type="spellStart"/>
            <w:r w:rsidRPr="0068463E">
              <w:rPr>
                <w:lang w:val="en-US"/>
              </w:rPr>
              <w:t>etc</w:t>
            </w:r>
            <w:proofErr w:type="spellEnd"/>
            <w:r w:rsidRPr="0068463E">
              <w:rPr>
                <w:lang w:val="en-US"/>
              </w:rPr>
              <w:t xml:space="preserve">). There was substantial uncertainty associated with the data sources, method of calculation and assumptions used to derive utility estimates. </w:t>
            </w:r>
          </w:p>
          <w:p w:rsidR="00DC1393" w:rsidRPr="0068463E" w:rsidRDefault="00DC1393" w:rsidP="00C46E06">
            <w:pPr>
              <w:pStyle w:val="Tabletext0"/>
              <w:rPr>
                <w:lang w:val="en-US"/>
              </w:rPr>
            </w:pPr>
          </w:p>
          <w:p w:rsidR="00DC1393" w:rsidRPr="0068463E" w:rsidRDefault="00DC1393" w:rsidP="00C46E06">
            <w:pPr>
              <w:pStyle w:val="Tabletext0"/>
              <w:rPr>
                <w:lang w:val="en-US"/>
              </w:rPr>
            </w:pPr>
            <w:r w:rsidRPr="0068463E">
              <w:rPr>
                <w:lang w:val="en-US"/>
              </w:rPr>
              <w:t xml:space="preserve">The submission applied the disutility of corticosteroids as a temporary loss in every week the patient received corticosteroid treatment. </w:t>
            </w:r>
          </w:p>
          <w:p w:rsidR="00DC1393" w:rsidRPr="0068463E" w:rsidRDefault="00DC1393" w:rsidP="00C46E06">
            <w:pPr>
              <w:pStyle w:val="Tabletext0"/>
              <w:rPr>
                <w:lang w:val="en-US"/>
              </w:rPr>
            </w:pPr>
          </w:p>
          <w:p w:rsidR="00DC1393" w:rsidRPr="0068463E" w:rsidRDefault="00DC1393" w:rsidP="00C46E06">
            <w:pPr>
              <w:pStyle w:val="Tabletext0"/>
              <w:rPr>
                <w:lang w:val="en-US"/>
              </w:rPr>
            </w:pPr>
            <w:r w:rsidRPr="0068463E">
              <w:rPr>
                <w:lang w:val="en-US"/>
              </w:rPr>
              <w:t>The application of a corticosteroid disutility to patients receiving doses &lt;</w:t>
            </w:r>
            <w:r w:rsidR="00C436A4">
              <w:rPr>
                <w:lang w:val="en-US"/>
              </w:rPr>
              <w:t> </w:t>
            </w:r>
            <w:r w:rsidRPr="0068463E">
              <w:rPr>
                <w:lang w:val="en-US"/>
              </w:rPr>
              <w:t>1</w:t>
            </w:r>
            <w:r w:rsidR="00C436A4">
              <w:rPr>
                <w:lang w:val="en-US"/>
              </w:rPr>
              <w:t> </w:t>
            </w:r>
            <w:r w:rsidRPr="0068463E">
              <w:rPr>
                <w:lang w:val="en-US"/>
              </w:rPr>
              <w:t>mg per day did not appear reasonable.</w:t>
            </w:r>
          </w:p>
          <w:p w:rsidR="00DC1393" w:rsidRPr="0068463E" w:rsidRDefault="00DC1393" w:rsidP="00C46E06">
            <w:pPr>
              <w:pStyle w:val="Tabletext0"/>
              <w:rPr>
                <w:lang w:val="en-US"/>
              </w:rPr>
            </w:pPr>
          </w:p>
          <w:p w:rsidR="00DC1393" w:rsidRPr="0068463E" w:rsidRDefault="00DC1393" w:rsidP="00C46E06">
            <w:pPr>
              <w:pStyle w:val="Tabletext0"/>
              <w:rPr>
                <w:lang w:val="en-US"/>
              </w:rPr>
            </w:pPr>
            <w:r w:rsidRPr="0068463E">
              <w:rPr>
                <w:lang w:val="en-US"/>
              </w:rPr>
              <w:t>The disutility associated with corticosteroids was not linked to the incidence of corticosteroid complications in the model and therefore the economic evaluation may not accurately reflect the treatment burden associated with corticosteroids.</w:t>
            </w:r>
          </w:p>
        </w:tc>
        <w:tc>
          <w:tcPr>
            <w:tcW w:w="770" w:type="pct"/>
            <w:shd w:val="clear" w:color="auto" w:fill="auto"/>
            <w:vAlign w:val="center"/>
          </w:tcPr>
          <w:p w:rsidR="00DC1393" w:rsidRDefault="00DC1393" w:rsidP="00C46E06">
            <w:pPr>
              <w:pStyle w:val="Tabletext0"/>
              <w:jc w:val="center"/>
              <w:rPr>
                <w:lang w:val="en-US"/>
              </w:rPr>
            </w:pPr>
            <w:r>
              <w:rPr>
                <w:lang w:val="en-US"/>
              </w:rPr>
              <w:t>High,</w:t>
            </w:r>
          </w:p>
          <w:p w:rsidR="00DC1393" w:rsidRPr="00E2771E" w:rsidRDefault="00DC1393" w:rsidP="00C46E06">
            <w:pPr>
              <w:pStyle w:val="Tabletext0"/>
              <w:jc w:val="center"/>
              <w:rPr>
                <w:lang w:val="en-US"/>
              </w:rPr>
            </w:pPr>
            <w:proofErr w:type="spellStart"/>
            <w:r>
              <w:rPr>
                <w:lang w:val="en-US"/>
              </w:rPr>
              <w:t>favours</w:t>
            </w:r>
            <w:proofErr w:type="spellEnd"/>
            <w:r>
              <w:rPr>
                <w:lang w:val="en-US"/>
              </w:rPr>
              <w:t xml:space="preserve"> </w:t>
            </w:r>
            <w:proofErr w:type="spellStart"/>
            <w:r>
              <w:rPr>
                <w:lang w:val="en-US"/>
              </w:rPr>
              <w:t>tocilizumab</w:t>
            </w:r>
            <w:proofErr w:type="spellEnd"/>
          </w:p>
        </w:tc>
      </w:tr>
    </w:tbl>
    <w:p w:rsidR="00DC1393" w:rsidRDefault="00DC1393" w:rsidP="00C46E06">
      <w:pPr>
        <w:pStyle w:val="TableFooter"/>
        <w:widowControl/>
      </w:pPr>
      <w:r>
        <w:t>Source: Constructed during the evaluation</w:t>
      </w:r>
    </w:p>
    <w:p w:rsidR="005135BC" w:rsidRDefault="005135BC">
      <w:pPr>
        <w:spacing w:after="160" w:line="259" w:lineRule="auto"/>
        <w:rPr>
          <w:i/>
        </w:rPr>
      </w:pPr>
      <w:r>
        <w:rPr>
          <w:i/>
        </w:rPr>
        <w:br w:type="page"/>
      </w:r>
    </w:p>
    <w:p w:rsidR="006073E1" w:rsidRPr="00B50DB8" w:rsidRDefault="006073E1" w:rsidP="006073E1">
      <w:pPr>
        <w:pStyle w:val="ListParagraph"/>
        <w:numPr>
          <w:ilvl w:val="1"/>
          <w:numId w:val="1"/>
        </w:numPr>
        <w:spacing w:after="120"/>
        <w:ind w:left="720" w:hanging="720"/>
        <w:jc w:val="both"/>
      </w:pPr>
      <w:r>
        <w:lastRenderedPageBreak/>
        <w:t>The results of the modelled</w:t>
      </w:r>
      <w:r w:rsidRPr="00F37E16">
        <w:t xml:space="preserve"> economic evaluation </w:t>
      </w:r>
      <w:r>
        <w:t xml:space="preserve">presented in the submission </w:t>
      </w:r>
      <w:r w:rsidRPr="00F37E16">
        <w:t>are summarised below.</w:t>
      </w:r>
    </w:p>
    <w:p w:rsidR="006073E1" w:rsidRPr="00DC1393" w:rsidRDefault="006073E1" w:rsidP="006073E1">
      <w:pPr>
        <w:pStyle w:val="TableHeading0"/>
        <w:rPr>
          <w:rStyle w:val="CommentReference"/>
          <w:sz w:val="20"/>
        </w:rPr>
      </w:pPr>
      <w:r w:rsidRPr="00DC1393">
        <w:rPr>
          <w:rStyle w:val="CommentReference"/>
          <w:sz w:val="20"/>
        </w:rPr>
        <w:t>Table 1</w:t>
      </w:r>
      <w:r>
        <w:rPr>
          <w:rStyle w:val="CommentReference"/>
          <w:sz w:val="20"/>
        </w:rPr>
        <w:t>5</w:t>
      </w:r>
      <w:r w:rsidRPr="00DC1393">
        <w:rPr>
          <w:rStyle w:val="CommentReference"/>
          <w:sz w:val="20"/>
        </w:rPr>
        <w:t>: Results of the modelled economic evaluation</w:t>
      </w:r>
      <w:r>
        <w:rPr>
          <w:rStyle w:val="CommentReference"/>
          <w:sz w:val="20"/>
        </w:rPr>
        <w:t xml:space="preserve"> (from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01"/>
        <w:gridCol w:w="2204"/>
        <w:gridCol w:w="2204"/>
        <w:gridCol w:w="1507"/>
      </w:tblGrid>
      <w:tr w:rsidR="006073E1" w:rsidRPr="005E6CBC" w:rsidTr="0068037D">
        <w:trPr>
          <w:tblHeader/>
        </w:trPr>
        <w:tc>
          <w:tcPr>
            <w:tcW w:w="1720" w:type="pct"/>
            <w:vAlign w:val="center"/>
          </w:tcPr>
          <w:p w:rsidR="006073E1" w:rsidRPr="005E6CBC" w:rsidRDefault="006073E1" w:rsidP="0068037D">
            <w:pPr>
              <w:pStyle w:val="Tabletext0"/>
              <w:rPr>
                <w:b/>
              </w:rPr>
            </w:pPr>
            <w:r>
              <w:rPr>
                <w:b/>
              </w:rPr>
              <w:t>Component</w:t>
            </w:r>
          </w:p>
        </w:tc>
        <w:tc>
          <w:tcPr>
            <w:tcW w:w="1222" w:type="pct"/>
            <w:vAlign w:val="center"/>
          </w:tcPr>
          <w:p w:rsidR="006073E1" w:rsidRPr="005E6CBC" w:rsidRDefault="006073E1" w:rsidP="0068037D">
            <w:pPr>
              <w:pStyle w:val="Tabletext0"/>
              <w:jc w:val="center"/>
              <w:rPr>
                <w:b/>
              </w:rPr>
            </w:pPr>
            <w:proofErr w:type="spellStart"/>
            <w:r>
              <w:rPr>
                <w:b/>
              </w:rPr>
              <w:t>Tocilizumab</w:t>
            </w:r>
            <w:proofErr w:type="spellEnd"/>
            <w:r>
              <w:rPr>
                <w:b/>
              </w:rPr>
              <w:t xml:space="preserve"> (short taper)</w:t>
            </w:r>
          </w:p>
        </w:tc>
        <w:tc>
          <w:tcPr>
            <w:tcW w:w="1222" w:type="pct"/>
            <w:vAlign w:val="center"/>
          </w:tcPr>
          <w:p w:rsidR="006073E1" w:rsidRPr="005E6CBC" w:rsidRDefault="006073E1" w:rsidP="0068037D">
            <w:pPr>
              <w:pStyle w:val="Tabletext0"/>
              <w:jc w:val="center"/>
              <w:rPr>
                <w:b/>
              </w:rPr>
            </w:pPr>
            <w:r>
              <w:rPr>
                <w:b/>
              </w:rPr>
              <w:t>Placebo (longer taper)</w:t>
            </w:r>
          </w:p>
        </w:tc>
        <w:tc>
          <w:tcPr>
            <w:tcW w:w="836" w:type="pct"/>
            <w:vAlign w:val="center"/>
          </w:tcPr>
          <w:p w:rsidR="006073E1" w:rsidRPr="005E6CBC" w:rsidRDefault="006073E1" w:rsidP="0068037D">
            <w:pPr>
              <w:pStyle w:val="Tabletext0"/>
              <w:jc w:val="center"/>
              <w:rPr>
                <w:b/>
              </w:rPr>
            </w:pPr>
            <w:r w:rsidRPr="005E6CBC">
              <w:rPr>
                <w:b/>
              </w:rPr>
              <w:t>Increment</w:t>
            </w:r>
          </w:p>
        </w:tc>
      </w:tr>
      <w:tr w:rsidR="006073E1" w:rsidRPr="00E2771E" w:rsidTr="0068037D">
        <w:tc>
          <w:tcPr>
            <w:tcW w:w="1720" w:type="pct"/>
            <w:vAlign w:val="center"/>
          </w:tcPr>
          <w:p w:rsidR="006073E1" w:rsidRPr="00C071F6" w:rsidRDefault="006073E1" w:rsidP="0068037D">
            <w:pPr>
              <w:pStyle w:val="Tabletext0"/>
            </w:pPr>
            <w:r>
              <w:t>Costs</w:t>
            </w:r>
          </w:p>
        </w:tc>
        <w:tc>
          <w:tcPr>
            <w:tcW w:w="1222" w:type="pct"/>
            <w:vAlign w:val="center"/>
          </w:tcPr>
          <w:p w:rsidR="006073E1" w:rsidRPr="00C071F6" w:rsidRDefault="006073E1" w:rsidP="0068037D">
            <w:pPr>
              <w:pStyle w:val="Tabletext0"/>
              <w:jc w:val="center"/>
            </w:pPr>
            <w:r>
              <w:t>$</w:t>
            </w:r>
            <w:r w:rsidR="00C6772C">
              <w:rPr>
                <w:noProof/>
                <w:color w:val="000000"/>
                <w:highlight w:val="black"/>
              </w:rPr>
              <w:t>'''''''''''''''''</w:t>
            </w:r>
          </w:p>
        </w:tc>
        <w:tc>
          <w:tcPr>
            <w:tcW w:w="1222" w:type="pct"/>
            <w:vAlign w:val="center"/>
          </w:tcPr>
          <w:p w:rsidR="006073E1" w:rsidRPr="00C071F6" w:rsidRDefault="006073E1" w:rsidP="0068037D">
            <w:pPr>
              <w:pStyle w:val="Tabletext0"/>
              <w:jc w:val="center"/>
            </w:pPr>
            <w:r>
              <w:t>$</w:t>
            </w:r>
            <w:r w:rsidR="00C6772C">
              <w:rPr>
                <w:noProof/>
                <w:color w:val="000000"/>
                <w:highlight w:val="black"/>
              </w:rPr>
              <w:t>'''''''''''''''''</w:t>
            </w:r>
          </w:p>
        </w:tc>
        <w:tc>
          <w:tcPr>
            <w:tcW w:w="836" w:type="pct"/>
            <w:vAlign w:val="center"/>
          </w:tcPr>
          <w:p w:rsidR="006073E1" w:rsidRPr="00C071F6" w:rsidRDefault="006073E1" w:rsidP="0068037D">
            <w:pPr>
              <w:pStyle w:val="Tabletext0"/>
              <w:jc w:val="center"/>
            </w:pPr>
            <w:r>
              <w:t>$</w:t>
            </w:r>
            <w:r w:rsidR="00C6772C">
              <w:rPr>
                <w:noProof/>
                <w:color w:val="000000"/>
                <w:highlight w:val="black"/>
              </w:rPr>
              <w:t>''''''''''''''</w:t>
            </w:r>
          </w:p>
        </w:tc>
      </w:tr>
      <w:tr w:rsidR="006073E1" w:rsidRPr="00E2771E" w:rsidTr="0068037D">
        <w:tc>
          <w:tcPr>
            <w:tcW w:w="1720" w:type="pct"/>
            <w:vAlign w:val="center"/>
          </w:tcPr>
          <w:p w:rsidR="006073E1" w:rsidRPr="00C071F6" w:rsidRDefault="006073E1" w:rsidP="0068037D">
            <w:pPr>
              <w:pStyle w:val="Tabletext0"/>
            </w:pPr>
            <w:r>
              <w:t>QALYs</w:t>
            </w:r>
          </w:p>
        </w:tc>
        <w:tc>
          <w:tcPr>
            <w:tcW w:w="1222" w:type="pct"/>
            <w:vAlign w:val="center"/>
          </w:tcPr>
          <w:p w:rsidR="006073E1" w:rsidRPr="00C6772C" w:rsidRDefault="00C6772C" w:rsidP="0068037D">
            <w:pPr>
              <w:pStyle w:val="Tabletext0"/>
              <w:jc w:val="center"/>
              <w:rPr>
                <w:highlight w:val="black"/>
              </w:rPr>
            </w:pPr>
            <w:r>
              <w:rPr>
                <w:noProof/>
                <w:color w:val="000000"/>
                <w:highlight w:val="black"/>
              </w:rPr>
              <w:t>''''''''''</w:t>
            </w:r>
          </w:p>
        </w:tc>
        <w:tc>
          <w:tcPr>
            <w:tcW w:w="1222" w:type="pct"/>
            <w:vAlign w:val="center"/>
          </w:tcPr>
          <w:p w:rsidR="006073E1" w:rsidRPr="00C6772C" w:rsidRDefault="00C6772C" w:rsidP="0068037D">
            <w:pPr>
              <w:pStyle w:val="Tabletext0"/>
              <w:jc w:val="center"/>
              <w:rPr>
                <w:highlight w:val="black"/>
              </w:rPr>
            </w:pPr>
            <w:r>
              <w:rPr>
                <w:noProof/>
                <w:color w:val="000000"/>
                <w:highlight w:val="black"/>
              </w:rPr>
              <w:t>''''''''''</w:t>
            </w:r>
          </w:p>
        </w:tc>
        <w:tc>
          <w:tcPr>
            <w:tcW w:w="836" w:type="pct"/>
            <w:vAlign w:val="center"/>
          </w:tcPr>
          <w:p w:rsidR="006073E1" w:rsidRPr="00C6772C" w:rsidRDefault="00C6772C" w:rsidP="0068037D">
            <w:pPr>
              <w:pStyle w:val="Tabletext0"/>
              <w:jc w:val="center"/>
              <w:rPr>
                <w:highlight w:val="black"/>
              </w:rPr>
            </w:pPr>
            <w:r>
              <w:rPr>
                <w:noProof/>
                <w:color w:val="000000"/>
                <w:highlight w:val="black"/>
              </w:rPr>
              <w:t>'''''''''''</w:t>
            </w:r>
          </w:p>
        </w:tc>
      </w:tr>
      <w:tr w:rsidR="006073E1" w:rsidRPr="00E2771E" w:rsidTr="0068037D">
        <w:tc>
          <w:tcPr>
            <w:tcW w:w="4164" w:type="pct"/>
            <w:gridSpan w:val="3"/>
            <w:vAlign w:val="center"/>
          </w:tcPr>
          <w:p w:rsidR="006073E1" w:rsidRPr="00A70605" w:rsidRDefault="006073E1" w:rsidP="0068037D">
            <w:pPr>
              <w:pStyle w:val="Tabletext0"/>
              <w:jc w:val="right"/>
              <w:rPr>
                <w:rFonts w:ascii="Times" w:hAnsi="Times"/>
                <w:b/>
                <w:snapToGrid w:val="0"/>
              </w:rPr>
            </w:pPr>
            <w:r w:rsidRPr="00A70605">
              <w:rPr>
                <w:b/>
              </w:rPr>
              <w:t>Increme</w:t>
            </w:r>
            <w:r>
              <w:rPr>
                <w:b/>
              </w:rPr>
              <w:t>ntal cost per QALY gained</w:t>
            </w:r>
          </w:p>
        </w:tc>
        <w:tc>
          <w:tcPr>
            <w:tcW w:w="836" w:type="pct"/>
            <w:vAlign w:val="center"/>
          </w:tcPr>
          <w:p w:rsidR="006073E1" w:rsidRPr="0016771A" w:rsidRDefault="006073E1" w:rsidP="0068037D">
            <w:pPr>
              <w:pStyle w:val="Tabletext0"/>
              <w:jc w:val="center"/>
              <w:rPr>
                <w:b/>
              </w:rPr>
            </w:pPr>
            <w:r w:rsidRPr="0016771A">
              <w:rPr>
                <w:b/>
              </w:rPr>
              <w:t>$</w:t>
            </w:r>
            <w:r w:rsidR="00C6772C">
              <w:rPr>
                <w:b/>
                <w:noProof/>
                <w:color w:val="000000"/>
                <w:highlight w:val="black"/>
              </w:rPr>
              <w:t>'''''''''''''</w:t>
            </w:r>
          </w:p>
        </w:tc>
      </w:tr>
    </w:tbl>
    <w:p w:rsidR="006073E1" w:rsidRDefault="006073E1" w:rsidP="008B7351">
      <w:pPr>
        <w:pStyle w:val="TableFooter"/>
        <w:widowControl/>
        <w:spacing w:after="200"/>
      </w:pPr>
      <w:r>
        <w:t>Source: Table 3.30 (p 122) of the submission</w:t>
      </w:r>
    </w:p>
    <w:p w:rsidR="00847092" w:rsidRDefault="00847092" w:rsidP="008B7351">
      <w:pPr>
        <w:pStyle w:val="TableFooter"/>
        <w:widowControl/>
        <w:spacing w:after="200"/>
      </w:pPr>
    </w:p>
    <w:p w:rsidR="00847092" w:rsidRPr="005333C5" w:rsidRDefault="00847092" w:rsidP="008B7351">
      <w:pPr>
        <w:pStyle w:val="TableFooter"/>
        <w:widowControl/>
        <w:spacing w:after="200"/>
        <w:rPr>
          <w:rFonts w:asciiTheme="minorHAnsi" w:hAnsiTheme="minorHAnsi" w:cstheme="minorHAnsi"/>
          <w:i/>
          <w:sz w:val="24"/>
          <w:szCs w:val="24"/>
        </w:rPr>
      </w:pPr>
      <w:r w:rsidRPr="005333C5">
        <w:rPr>
          <w:rFonts w:asciiTheme="minorHAnsi" w:hAnsiTheme="minorHAnsi" w:cstheme="minorHAnsi"/>
          <w:i/>
          <w:sz w:val="24"/>
          <w:szCs w:val="24"/>
        </w:rPr>
        <w:t>The redacted table shows an ICER in the range of $45,000/QALY – $75,000/QALY.</w:t>
      </w:r>
    </w:p>
    <w:p w:rsidR="00E000A7" w:rsidRPr="001A08FA" w:rsidRDefault="00DC1393" w:rsidP="008F35C5">
      <w:pPr>
        <w:pStyle w:val="ListParagraph"/>
        <w:numPr>
          <w:ilvl w:val="1"/>
          <w:numId w:val="1"/>
        </w:numPr>
        <w:spacing w:after="120"/>
        <w:ind w:left="720" w:hanging="720"/>
        <w:jc w:val="both"/>
      </w:pPr>
      <w:r w:rsidRPr="001A08FA">
        <w:t>The</w:t>
      </w:r>
      <w:r w:rsidR="00546A58" w:rsidRPr="001A08FA">
        <w:t xml:space="preserve"> ESC considered that the</w:t>
      </w:r>
      <w:r w:rsidRPr="001A08FA">
        <w:t xml:space="preserve">re were a number of errors and logical inconsistencies </w:t>
      </w:r>
      <w:r w:rsidR="00CE0511" w:rsidRPr="001A08FA">
        <w:t>in</w:t>
      </w:r>
      <w:r w:rsidRPr="001A08FA">
        <w:t xml:space="preserve"> the economic model</w:t>
      </w:r>
      <w:r w:rsidR="00C651BA" w:rsidRPr="001A08FA">
        <w:t xml:space="preserve">, </w:t>
      </w:r>
      <w:r w:rsidR="00ED5B07" w:rsidRPr="001A08FA">
        <w:t xml:space="preserve">only </w:t>
      </w:r>
      <w:r w:rsidR="00C651BA" w:rsidRPr="001A08FA">
        <w:t>some of which were acknowledged in the PSCR</w:t>
      </w:r>
      <w:r w:rsidR="008769A8" w:rsidRPr="001A08FA">
        <w:t xml:space="preserve">. </w:t>
      </w:r>
      <w:r w:rsidRPr="001A08FA">
        <w:t>Errors directly affected a number of variables/outputs including QALY loss due to flare, flare dosing, corticosteroid dosing (during initial remission), disease management costs, cumulative incidence of stroke and stroke cost.</w:t>
      </w:r>
      <w:r w:rsidR="00C651BA" w:rsidRPr="001A08FA">
        <w:t xml:space="preserve"> </w:t>
      </w:r>
    </w:p>
    <w:p w:rsidR="005211BB" w:rsidRDefault="00E000A7" w:rsidP="00E000A7">
      <w:pPr>
        <w:pStyle w:val="ListParagraph"/>
        <w:numPr>
          <w:ilvl w:val="1"/>
          <w:numId w:val="1"/>
        </w:numPr>
        <w:spacing w:after="120"/>
        <w:ind w:left="720" w:hanging="720"/>
        <w:jc w:val="both"/>
      </w:pPr>
      <w:r w:rsidRPr="001A08FA">
        <w:t>C</w:t>
      </w:r>
      <w:r w:rsidR="001B2B71" w:rsidRPr="001A08FA">
        <w:t xml:space="preserve">orrecting </w:t>
      </w:r>
      <w:r w:rsidR="008F35C5" w:rsidRPr="001A08FA">
        <w:t xml:space="preserve">three of these issues - </w:t>
      </w:r>
      <w:r w:rsidRPr="001A08FA">
        <w:t>flare misapplication, disease management costs and cumulative corticosteroid dose in primary remission for the placebo arm</w:t>
      </w:r>
      <w:r w:rsidRPr="001A08FA" w:rsidDel="00E000A7">
        <w:t xml:space="preserve"> </w:t>
      </w:r>
      <w:r w:rsidR="008F35C5" w:rsidRPr="001A08FA">
        <w:t xml:space="preserve">- </w:t>
      </w:r>
      <w:r w:rsidR="001B2B71" w:rsidRPr="001A08FA">
        <w:t xml:space="preserve">increased the ICER from </w:t>
      </w:r>
      <w:r w:rsidR="0091152B" w:rsidRPr="001A08FA">
        <w:rPr>
          <w:rFonts w:cstheme="minorHAnsi"/>
          <w:szCs w:val="24"/>
        </w:rPr>
        <w:t>$45,000/QALY – $75,000/QALY</w:t>
      </w:r>
      <w:r w:rsidR="001B2B71" w:rsidRPr="001A08FA">
        <w:t xml:space="preserve"> to </w:t>
      </w:r>
      <w:r w:rsidR="0091152B" w:rsidRPr="001A08FA">
        <w:rPr>
          <w:rFonts w:cstheme="minorHAnsi"/>
          <w:szCs w:val="24"/>
        </w:rPr>
        <w:t>$45,000/QALY – $75,000/QALY</w:t>
      </w:r>
      <w:r w:rsidR="0091152B" w:rsidRPr="001A08FA" w:rsidDel="0091152B">
        <w:t xml:space="preserve"> </w:t>
      </w:r>
      <w:r w:rsidRPr="001A08FA">
        <w:t>(Table 16)</w:t>
      </w:r>
      <w:r w:rsidR="001B2B71" w:rsidRPr="001A08FA">
        <w:t xml:space="preserve">. </w:t>
      </w:r>
      <w:r w:rsidR="005211BB" w:rsidRPr="001A08FA">
        <w:t>The pre-PBAC response</w:t>
      </w:r>
      <w:r w:rsidR="00B77E1F" w:rsidRPr="001A08FA">
        <w:t xml:space="preserve"> claimed that the impact of some of the errors had been overstated</w:t>
      </w:r>
      <w:r w:rsidR="00371221" w:rsidRPr="001A08FA">
        <w:t xml:space="preserve"> </w:t>
      </w:r>
      <w:r w:rsidR="006073E1" w:rsidRPr="001A08FA">
        <w:t>and</w:t>
      </w:r>
      <w:r w:rsidR="00371221" w:rsidRPr="001A08FA">
        <w:t xml:space="preserve"> that correcting the</w:t>
      </w:r>
      <w:r w:rsidRPr="001A08FA">
        <w:t>se</w:t>
      </w:r>
      <w:r w:rsidR="00371221" w:rsidRPr="001A08FA">
        <w:t xml:space="preserve"> three errors increased the ICER to </w:t>
      </w:r>
      <w:r w:rsidR="00A126B5" w:rsidRPr="001A08FA">
        <w:rPr>
          <w:rFonts w:cstheme="minorHAnsi"/>
          <w:szCs w:val="24"/>
        </w:rPr>
        <w:t>$45,000/QALY – $75,000/QALY</w:t>
      </w:r>
      <w:r w:rsidR="00371221" w:rsidRPr="001A08FA">
        <w:t xml:space="preserve">. </w:t>
      </w:r>
      <w:r w:rsidR="006073E1" w:rsidRPr="001A08FA">
        <w:t xml:space="preserve">The </w:t>
      </w:r>
      <w:r w:rsidR="004665A0" w:rsidRPr="001A08FA">
        <w:t>evaluation</w:t>
      </w:r>
      <w:r w:rsidR="006073E1" w:rsidRPr="001A08FA">
        <w:t xml:space="preserve"> and the </w:t>
      </w:r>
      <w:r w:rsidR="00371221" w:rsidRPr="001A08FA">
        <w:t>pre-PB</w:t>
      </w:r>
      <w:r w:rsidR="009223E4" w:rsidRPr="001A08FA">
        <w:t>A</w:t>
      </w:r>
      <w:r w:rsidR="00371221" w:rsidRPr="001A08FA">
        <w:t xml:space="preserve">C response </w:t>
      </w:r>
      <w:r w:rsidR="006073E1" w:rsidRPr="001A08FA">
        <w:t xml:space="preserve">used </w:t>
      </w:r>
      <w:r w:rsidR="00371221" w:rsidRPr="001A08FA">
        <w:t>different approach</w:t>
      </w:r>
      <w:r w:rsidR="006073E1" w:rsidRPr="001A08FA">
        <w:t>es</w:t>
      </w:r>
      <w:r w:rsidR="00371221" w:rsidRPr="001A08FA">
        <w:t xml:space="preserve"> to </w:t>
      </w:r>
      <w:r w:rsidR="009223E4" w:rsidRPr="001A08FA">
        <w:t>correct the application of the four-week disutility for flares</w:t>
      </w:r>
      <w:r w:rsidR="006073E1" w:rsidRPr="001A08FA">
        <w:t>;</w:t>
      </w:r>
      <w:r w:rsidR="006073E1">
        <w:t xml:space="preserve"> the approach used in the pre-PBAC response </w:t>
      </w:r>
      <w:r w:rsidR="009223E4">
        <w:t>was</w:t>
      </w:r>
      <w:r w:rsidR="00371221" w:rsidRPr="00371221">
        <w:t xml:space="preserve"> unable to be v</w:t>
      </w:r>
      <w:r w:rsidR="008B7351">
        <w:t>alidated</w:t>
      </w:r>
      <w:r w:rsidR="00371221" w:rsidRPr="00371221">
        <w:t>.</w:t>
      </w:r>
      <w:r w:rsidRPr="00E000A7">
        <w:t xml:space="preserve"> </w:t>
      </w:r>
    </w:p>
    <w:p w:rsidR="009223E4" w:rsidRPr="00371221" w:rsidRDefault="009223E4" w:rsidP="00CE0511">
      <w:pPr>
        <w:pStyle w:val="ListParagraph"/>
        <w:numPr>
          <w:ilvl w:val="1"/>
          <w:numId w:val="1"/>
        </w:numPr>
        <w:spacing w:after="120"/>
        <w:ind w:left="720" w:hanging="720"/>
        <w:jc w:val="both"/>
      </w:pPr>
      <w:r>
        <w:t xml:space="preserve">The PBAC noted that there were </w:t>
      </w:r>
      <w:r w:rsidR="00E000A7">
        <w:t>additional</w:t>
      </w:r>
      <w:r>
        <w:t xml:space="preserve"> </w:t>
      </w:r>
      <w:r w:rsidRPr="0068463E">
        <w:t xml:space="preserve">errors </w:t>
      </w:r>
      <w:r>
        <w:t>or</w:t>
      </w:r>
      <w:r w:rsidRPr="0068463E">
        <w:t xml:space="preserve"> logical inconsistencies</w:t>
      </w:r>
      <w:r>
        <w:t xml:space="preserve"> in the economic model which were not addressed in the pre-PBAC response</w:t>
      </w:r>
      <w:r w:rsidR="00CE0511">
        <w:t xml:space="preserve"> including</w:t>
      </w:r>
      <w:r w:rsidR="00CE0511" w:rsidRPr="00CE0511">
        <w:t xml:space="preserve"> </w:t>
      </w:r>
      <w:r w:rsidR="00CE0511">
        <w:t>that the p</w:t>
      </w:r>
      <w:r w:rsidR="00CE0511" w:rsidRPr="00CE0511">
        <w:t>roportion of patients with major stroke was not adjusted for the proportion with fatal stroke</w:t>
      </w:r>
      <w:r w:rsidR="008B7351">
        <w:t>,</w:t>
      </w:r>
      <w:r w:rsidR="00CE0511">
        <w:t xml:space="preserve"> and the c</w:t>
      </w:r>
      <w:r w:rsidR="00CE0511" w:rsidRPr="00CE0511">
        <w:t xml:space="preserve">ost of stroke </w:t>
      </w:r>
      <w:r w:rsidR="00CE0511">
        <w:t>w</w:t>
      </w:r>
      <w:r w:rsidR="008B7351">
        <w:t>as</w:t>
      </w:r>
      <w:r w:rsidR="00CE0511" w:rsidRPr="00CE0511">
        <w:t xml:space="preserve"> negative due to adjustments to incorporate memory</w:t>
      </w:r>
      <w:r>
        <w:t xml:space="preserve">. </w:t>
      </w:r>
    </w:p>
    <w:p w:rsidR="00DC1393" w:rsidRDefault="006073E1" w:rsidP="009722D0">
      <w:pPr>
        <w:pStyle w:val="ListParagraph"/>
        <w:numPr>
          <w:ilvl w:val="1"/>
          <w:numId w:val="1"/>
        </w:numPr>
        <w:spacing w:after="120"/>
        <w:ind w:left="720" w:hanging="720"/>
        <w:jc w:val="both"/>
      </w:pPr>
      <w:r>
        <w:t>Overall, t</w:t>
      </w:r>
      <w:r w:rsidR="004D3FC7">
        <w:t xml:space="preserve">he evaluation, </w:t>
      </w:r>
      <w:r w:rsidR="00C651BA" w:rsidRPr="000D4B93">
        <w:t>the ESC</w:t>
      </w:r>
      <w:r w:rsidR="00C651BA">
        <w:rPr>
          <w:i/>
        </w:rPr>
        <w:t xml:space="preserve"> </w:t>
      </w:r>
      <w:r w:rsidR="004D3FC7" w:rsidRPr="004D3FC7">
        <w:t>and the PBAC</w:t>
      </w:r>
      <w:r w:rsidR="004D3FC7">
        <w:rPr>
          <w:i/>
        </w:rPr>
        <w:t xml:space="preserve"> </w:t>
      </w:r>
      <w:r w:rsidR="00C651BA">
        <w:t>considered that t</w:t>
      </w:r>
      <w:r w:rsidR="00DC1393" w:rsidRPr="0068463E">
        <w:t xml:space="preserve">he cost-effectiveness estimate </w:t>
      </w:r>
      <w:r w:rsidR="00776761">
        <w:t>was</w:t>
      </w:r>
      <w:r w:rsidR="00776761" w:rsidRPr="0068463E">
        <w:t xml:space="preserve"> </w:t>
      </w:r>
      <w:r w:rsidR="00DC1393" w:rsidRPr="0068463E">
        <w:t xml:space="preserve">not reliable given the errors and logical inconsistencies identified </w:t>
      </w:r>
      <w:r w:rsidR="005A37EC">
        <w:t>in</w:t>
      </w:r>
      <w:r w:rsidR="005A37EC" w:rsidRPr="0068463E">
        <w:t xml:space="preserve"> </w:t>
      </w:r>
      <w:r w:rsidR="00DC1393" w:rsidRPr="0068463E">
        <w:t>the model</w:t>
      </w:r>
      <w:r w:rsidR="00C651BA">
        <w:t>,</w:t>
      </w:r>
      <w:r w:rsidR="00DC1393" w:rsidRPr="0068463E">
        <w:t xml:space="preserve"> </w:t>
      </w:r>
      <w:r w:rsidR="00776761">
        <w:t xml:space="preserve">the </w:t>
      </w:r>
      <w:r w:rsidR="00DC1393" w:rsidRPr="0068463E">
        <w:t>issues relating to the duration of corticosteroid exposure and associated disutility values and costs</w:t>
      </w:r>
      <w:r w:rsidR="00C651BA">
        <w:t xml:space="preserve">, </w:t>
      </w:r>
      <w:r w:rsidR="00C651BA" w:rsidRPr="000D4B93">
        <w:t>and the uncertain durability of the treatment effect</w:t>
      </w:r>
      <w:r w:rsidR="00DC1393" w:rsidRPr="000D4B93">
        <w:t>.</w:t>
      </w:r>
      <w:r w:rsidR="00C651BA" w:rsidRPr="000D4B93">
        <w:t xml:space="preserve"> </w:t>
      </w:r>
      <w:r w:rsidR="001B65D8">
        <w:t>T</w:t>
      </w:r>
      <w:r w:rsidR="00C651BA" w:rsidRPr="000D4B93">
        <w:t xml:space="preserve">he ESC </w:t>
      </w:r>
      <w:r w:rsidR="009D15DC">
        <w:t xml:space="preserve">and the PBAC </w:t>
      </w:r>
      <w:r w:rsidR="00C651BA" w:rsidRPr="000D4B93">
        <w:t xml:space="preserve">noted that the economic model did not assess fortnightly administration of </w:t>
      </w:r>
      <w:proofErr w:type="spellStart"/>
      <w:r w:rsidR="00C651BA" w:rsidRPr="000D4B93">
        <w:t>tocilizumab</w:t>
      </w:r>
      <w:proofErr w:type="spellEnd"/>
      <w:r w:rsidR="001B65D8">
        <w:t xml:space="preserve">, </w:t>
      </w:r>
      <w:r w:rsidR="007D37FA">
        <w:t>and</w:t>
      </w:r>
      <w:r w:rsidR="001B65D8">
        <w:t xml:space="preserve"> noted this would </w:t>
      </w:r>
      <w:r w:rsidR="007D37FA">
        <w:t xml:space="preserve">likely </w:t>
      </w:r>
      <w:r w:rsidR="001B65D8">
        <w:t xml:space="preserve">improve the cost-effectiveness of </w:t>
      </w:r>
      <w:proofErr w:type="spellStart"/>
      <w:r w:rsidR="001B65D8">
        <w:t>tocilizumab</w:t>
      </w:r>
      <w:proofErr w:type="spellEnd"/>
      <w:r w:rsidR="00C651BA" w:rsidRPr="000D4B93">
        <w:t xml:space="preserve">. </w:t>
      </w:r>
    </w:p>
    <w:p w:rsidR="00DC1393" w:rsidRDefault="00DC1393" w:rsidP="009722D0">
      <w:pPr>
        <w:pStyle w:val="ListParagraph"/>
        <w:numPr>
          <w:ilvl w:val="1"/>
          <w:numId w:val="1"/>
        </w:numPr>
        <w:spacing w:after="120"/>
        <w:ind w:left="720" w:hanging="720"/>
        <w:jc w:val="both"/>
      </w:pPr>
      <w:r w:rsidRPr="00D03DF8">
        <w:t>The results of the sensitivity analyses indicated that the model was most sensitive</w:t>
      </w:r>
      <w:r>
        <w:t xml:space="preserve"> </w:t>
      </w:r>
      <w:r w:rsidR="004D3FC7">
        <w:t xml:space="preserve">to the </w:t>
      </w:r>
      <w:r>
        <w:t xml:space="preserve">assumptions of long </w:t>
      </w:r>
      <w:r w:rsidRPr="00994A09">
        <w:t>term benefit, method of extrapolation, time horizon, corticosteroid disutility values and calculation errors</w:t>
      </w:r>
      <w:r>
        <w:rPr>
          <w:color w:val="3366FF"/>
        </w:rPr>
        <w:t xml:space="preserve"> </w:t>
      </w:r>
      <w:r w:rsidRPr="0085642C">
        <w:t>(summarised below)</w:t>
      </w:r>
      <w:r>
        <w:t>.</w:t>
      </w:r>
    </w:p>
    <w:p w:rsidR="00DC1393" w:rsidRPr="00DC1393" w:rsidRDefault="00DC1393" w:rsidP="006073E1">
      <w:pPr>
        <w:pStyle w:val="TableHeading0"/>
        <w:keepLines/>
        <w:rPr>
          <w:rStyle w:val="CommentReference"/>
          <w:sz w:val="20"/>
        </w:rPr>
      </w:pPr>
      <w:r w:rsidRPr="00DC1393">
        <w:rPr>
          <w:rStyle w:val="CommentReference"/>
          <w:sz w:val="20"/>
        </w:rPr>
        <w:lastRenderedPageBreak/>
        <w:t>Table 1</w:t>
      </w:r>
      <w:r w:rsidR="007B241F">
        <w:rPr>
          <w:rStyle w:val="CommentReference"/>
          <w:sz w:val="20"/>
        </w:rPr>
        <w:t>6</w:t>
      </w:r>
      <w:r w:rsidRPr="00DC1393">
        <w:rPr>
          <w:rStyle w:val="CommentReference"/>
          <w:sz w:val="20"/>
        </w:rPr>
        <w:t>:  Results of sensitivity analyses</w:t>
      </w:r>
      <w:r w:rsidR="004D3FC7">
        <w:rPr>
          <w:rStyle w:val="CommentReference"/>
          <w:sz w:val="20"/>
        </w:rPr>
        <w:t xml:space="preserve"> (based on the </w:t>
      </w:r>
      <w:proofErr w:type="spellStart"/>
      <w:r w:rsidR="009D15DC">
        <w:rPr>
          <w:rStyle w:val="CommentReference"/>
          <w:sz w:val="20"/>
        </w:rPr>
        <w:t>tocilizumab</w:t>
      </w:r>
      <w:proofErr w:type="spellEnd"/>
      <w:r w:rsidR="009D15DC">
        <w:rPr>
          <w:rStyle w:val="CommentReference"/>
          <w:sz w:val="20"/>
        </w:rPr>
        <w:t xml:space="preserve"> price </w:t>
      </w:r>
      <w:r w:rsidR="004D3FC7">
        <w:rPr>
          <w:rStyle w:val="CommentReference"/>
          <w:sz w:val="20"/>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514"/>
        <w:gridCol w:w="1634"/>
        <w:gridCol w:w="1049"/>
      </w:tblGrid>
      <w:tr w:rsidR="00DC1393" w:rsidRPr="00264D26" w:rsidTr="00EE1044">
        <w:trPr>
          <w:tblHeader/>
        </w:trPr>
        <w:tc>
          <w:tcPr>
            <w:tcW w:w="4996" w:type="dxa"/>
          </w:tcPr>
          <w:p w:rsidR="00DC1393" w:rsidRPr="00264D26" w:rsidRDefault="00DC1393" w:rsidP="006073E1">
            <w:pPr>
              <w:pStyle w:val="Tabletext0"/>
              <w:keepNext/>
              <w:keepLines/>
              <w:tabs>
                <w:tab w:val="left" w:pos="142"/>
              </w:tabs>
              <w:rPr>
                <w:b/>
              </w:rPr>
            </w:pPr>
            <w:r>
              <w:rPr>
                <w:b/>
              </w:rPr>
              <w:t>Analyses</w:t>
            </w:r>
          </w:p>
        </w:tc>
        <w:tc>
          <w:tcPr>
            <w:tcW w:w="1533" w:type="dxa"/>
          </w:tcPr>
          <w:p w:rsidR="00DC1393" w:rsidRPr="00264D26" w:rsidRDefault="00DC1393" w:rsidP="006073E1">
            <w:pPr>
              <w:pStyle w:val="Tabletext0"/>
              <w:keepNext/>
              <w:keepLines/>
              <w:jc w:val="center"/>
              <w:rPr>
                <w:b/>
              </w:rPr>
            </w:pPr>
            <w:r w:rsidRPr="00264D26">
              <w:rPr>
                <w:b/>
              </w:rPr>
              <w:t>Incremental cost</w:t>
            </w:r>
          </w:p>
        </w:tc>
        <w:tc>
          <w:tcPr>
            <w:tcW w:w="1660" w:type="dxa"/>
          </w:tcPr>
          <w:p w:rsidR="00DC1393" w:rsidRPr="00264D26" w:rsidRDefault="00DC1393" w:rsidP="006073E1">
            <w:pPr>
              <w:pStyle w:val="Tabletext0"/>
              <w:keepNext/>
              <w:keepLines/>
              <w:jc w:val="center"/>
              <w:rPr>
                <w:b/>
              </w:rPr>
            </w:pPr>
            <w:r w:rsidRPr="00264D26">
              <w:rPr>
                <w:b/>
              </w:rPr>
              <w:t>Incremental QALY</w:t>
            </w:r>
          </w:p>
        </w:tc>
        <w:tc>
          <w:tcPr>
            <w:tcW w:w="1053" w:type="dxa"/>
          </w:tcPr>
          <w:p w:rsidR="00DC1393" w:rsidRPr="00264D26" w:rsidRDefault="00DC1393" w:rsidP="006073E1">
            <w:pPr>
              <w:pStyle w:val="Tabletext0"/>
              <w:keepNext/>
              <w:keepLines/>
              <w:jc w:val="center"/>
              <w:rPr>
                <w:b/>
              </w:rPr>
            </w:pPr>
            <w:r w:rsidRPr="00264D26">
              <w:rPr>
                <w:b/>
              </w:rPr>
              <w:t>ICER</w:t>
            </w:r>
          </w:p>
        </w:tc>
      </w:tr>
      <w:tr w:rsidR="00DC1393" w:rsidRPr="00264D26" w:rsidTr="00EE1044">
        <w:tc>
          <w:tcPr>
            <w:tcW w:w="4996" w:type="dxa"/>
          </w:tcPr>
          <w:p w:rsidR="00DC1393" w:rsidRPr="00264D26" w:rsidRDefault="00DC1393" w:rsidP="006073E1">
            <w:pPr>
              <w:pStyle w:val="Tabletext0"/>
              <w:keepNext/>
              <w:keepLines/>
              <w:tabs>
                <w:tab w:val="left" w:pos="142"/>
              </w:tabs>
              <w:rPr>
                <w:b/>
              </w:rPr>
            </w:pPr>
            <w:r w:rsidRPr="00264D26">
              <w:rPr>
                <w:b/>
              </w:rPr>
              <w:t>Base case</w:t>
            </w:r>
            <w:r w:rsidR="004D3FC7">
              <w:rPr>
                <w:b/>
              </w:rPr>
              <w:t xml:space="preserve"> presented in the submission</w:t>
            </w:r>
          </w:p>
        </w:tc>
        <w:tc>
          <w:tcPr>
            <w:tcW w:w="1533" w:type="dxa"/>
          </w:tcPr>
          <w:p w:rsidR="00DC1393" w:rsidRPr="00264D26" w:rsidRDefault="00DC1393" w:rsidP="006073E1">
            <w:pPr>
              <w:pStyle w:val="Tabletext0"/>
              <w:keepNext/>
              <w:keepLines/>
              <w:jc w:val="center"/>
              <w:rPr>
                <w:b/>
              </w:rP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b/>
                <w:highlight w:val="black"/>
              </w:rPr>
            </w:pPr>
            <w:r>
              <w:rPr>
                <w:noProof/>
                <w:color w:val="000000"/>
                <w:highlight w:val="black"/>
              </w:rPr>
              <w:t>'''''''''''''</w:t>
            </w:r>
          </w:p>
        </w:tc>
        <w:tc>
          <w:tcPr>
            <w:tcW w:w="1053" w:type="dxa"/>
          </w:tcPr>
          <w:p w:rsidR="00DC1393" w:rsidRPr="00264D26" w:rsidRDefault="00DC1393" w:rsidP="006073E1">
            <w:pPr>
              <w:pStyle w:val="Tabletext0"/>
              <w:keepNext/>
              <w:keepLines/>
              <w:jc w:val="center"/>
              <w:rPr>
                <w:b/>
              </w:rPr>
            </w:pPr>
            <w:r w:rsidRPr="0016771A">
              <w:rPr>
                <w:b/>
              </w:rPr>
              <w:t>$</w:t>
            </w:r>
            <w:r w:rsidR="00C6772C">
              <w:rPr>
                <w:b/>
                <w:noProof/>
                <w:color w:val="000000"/>
                <w:highlight w:val="black"/>
              </w:rPr>
              <w:t>'''''''''''''</w:t>
            </w:r>
          </w:p>
        </w:tc>
      </w:tr>
      <w:tr w:rsidR="00DC1393" w:rsidRPr="00264D26" w:rsidTr="00EE1044">
        <w:tc>
          <w:tcPr>
            <w:tcW w:w="9242" w:type="dxa"/>
            <w:gridSpan w:val="4"/>
          </w:tcPr>
          <w:p w:rsidR="00DC1393" w:rsidRPr="009E64F7" w:rsidRDefault="00DC1393" w:rsidP="006073E1">
            <w:pPr>
              <w:pStyle w:val="Tabletext0"/>
              <w:keepNext/>
              <w:keepLines/>
              <w:rPr>
                <w:b/>
              </w:rPr>
            </w:pPr>
            <w:r w:rsidRPr="009E64F7">
              <w:rPr>
                <w:b/>
              </w:rPr>
              <w:t>Time horizon (30 years)</w:t>
            </w:r>
          </w:p>
        </w:tc>
      </w:tr>
      <w:tr w:rsidR="00DC1393" w:rsidRPr="00264D26" w:rsidTr="00EE1044">
        <w:tc>
          <w:tcPr>
            <w:tcW w:w="4996" w:type="dxa"/>
          </w:tcPr>
          <w:p w:rsidR="00DC1393" w:rsidRPr="009E64F7" w:rsidRDefault="00DC1393" w:rsidP="006073E1">
            <w:pPr>
              <w:pStyle w:val="Tabletext0"/>
              <w:keepNext/>
              <w:keepLines/>
              <w:tabs>
                <w:tab w:val="left" w:pos="142"/>
              </w:tabs>
            </w:pPr>
            <w:r>
              <w:t>20 year time horizon</w:t>
            </w:r>
          </w:p>
        </w:tc>
        <w:tc>
          <w:tcPr>
            <w:tcW w:w="1533" w:type="dxa"/>
          </w:tcPr>
          <w:p w:rsidR="00DC1393" w:rsidRPr="009E64F7" w:rsidRDefault="00DC1393" w:rsidP="006073E1">
            <w:pPr>
              <w:pStyle w:val="Tabletext0"/>
              <w:keepNext/>
              <w:keepLines/>
              <w:jc w:val="cente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9E64F7" w:rsidRDefault="00DC1393" w:rsidP="006073E1">
            <w:pPr>
              <w:pStyle w:val="Tabletext0"/>
              <w:keepNext/>
              <w:keepLines/>
              <w:jc w:val="center"/>
            </w:pPr>
            <w:r>
              <w:t>$</w:t>
            </w:r>
            <w:r w:rsidR="00C6772C">
              <w:rPr>
                <w:noProof/>
                <w:color w:val="000000"/>
                <w:highlight w:val="black"/>
              </w:rPr>
              <w:t>'''''''''''''''</w:t>
            </w:r>
          </w:p>
        </w:tc>
      </w:tr>
      <w:tr w:rsidR="00DC1393" w:rsidRPr="00264D26" w:rsidTr="00EE1044">
        <w:tc>
          <w:tcPr>
            <w:tcW w:w="4996" w:type="dxa"/>
          </w:tcPr>
          <w:p w:rsidR="00DC1393" w:rsidRPr="009E64F7" w:rsidRDefault="00DC1393" w:rsidP="006073E1">
            <w:pPr>
              <w:pStyle w:val="Tabletext0"/>
              <w:keepNext/>
              <w:keepLines/>
              <w:tabs>
                <w:tab w:val="left" w:pos="142"/>
              </w:tabs>
            </w:pPr>
            <w:r>
              <w:t>10 year time horizon</w:t>
            </w:r>
          </w:p>
        </w:tc>
        <w:tc>
          <w:tcPr>
            <w:tcW w:w="1533" w:type="dxa"/>
          </w:tcPr>
          <w:p w:rsidR="00DC1393" w:rsidRPr="009E64F7" w:rsidRDefault="00DC1393" w:rsidP="006073E1">
            <w:pPr>
              <w:pStyle w:val="Tabletext0"/>
              <w:keepNext/>
              <w:keepLines/>
              <w:jc w:val="cente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9E64F7" w:rsidRDefault="00DC1393" w:rsidP="006073E1">
            <w:pPr>
              <w:pStyle w:val="Tabletext0"/>
              <w:keepNext/>
              <w:keepLines/>
              <w:jc w:val="center"/>
            </w:pPr>
            <w:r>
              <w:t>$</w:t>
            </w:r>
            <w:r w:rsidR="00C6772C">
              <w:rPr>
                <w:noProof/>
                <w:color w:val="000000"/>
                <w:highlight w:val="black"/>
              </w:rPr>
              <w:t>''''''''''''''''</w:t>
            </w:r>
          </w:p>
        </w:tc>
      </w:tr>
      <w:tr w:rsidR="00DC1393" w:rsidRPr="00264D26" w:rsidTr="00EE1044">
        <w:tc>
          <w:tcPr>
            <w:tcW w:w="4996" w:type="dxa"/>
          </w:tcPr>
          <w:p w:rsidR="00DC1393" w:rsidRPr="009E64F7" w:rsidRDefault="00DC1393" w:rsidP="006073E1">
            <w:pPr>
              <w:pStyle w:val="Tabletext0"/>
              <w:keepNext/>
              <w:keepLines/>
              <w:tabs>
                <w:tab w:val="left" w:pos="142"/>
              </w:tabs>
            </w:pPr>
            <w:r>
              <w:t>5 year time horizon</w:t>
            </w:r>
          </w:p>
        </w:tc>
        <w:tc>
          <w:tcPr>
            <w:tcW w:w="1533" w:type="dxa"/>
          </w:tcPr>
          <w:p w:rsidR="00DC1393" w:rsidRPr="009E64F7" w:rsidRDefault="00DC1393" w:rsidP="006073E1">
            <w:pPr>
              <w:pStyle w:val="Tabletext0"/>
              <w:keepNext/>
              <w:keepLines/>
              <w:jc w:val="cente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9E64F7" w:rsidRDefault="00DC1393" w:rsidP="006073E1">
            <w:pPr>
              <w:pStyle w:val="Tabletext0"/>
              <w:keepNext/>
              <w:keepLines/>
              <w:jc w:val="center"/>
            </w:pPr>
            <w:r>
              <w:t>$</w:t>
            </w:r>
            <w:r w:rsidR="00C6772C">
              <w:rPr>
                <w:noProof/>
                <w:color w:val="000000"/>
                <w:highlight w:val="black"/>
              </w:rPr>
              <w:t>'''''''''''''''''''''</w:t>
            </w:r>
          </w:p>
        </w:tc>
      </w:tr>
      <w:tr w:rsidR="00DC1393" w:rsidRPr="0056172F" w:rsidTr="00EE1044">
        <w:tc>
          <w:tcPr>
            <w:tcW w:w="9242" w:type="dxa"/>
            <w:gridSpan w:val="4"/>
          </w:tcPr>
          <w:p w:rsidR="00DC1393" w:rsidRPr="0056172F" w:rsidRDefault="00DC1393" w:rsidP="006073E1">
            <w:pPr>
              <w:pStyle w:val="Tabletext0"/>
              <w:keepNext/>
              <w:keepLines/>
              <w:rPr>
                <w:b/>
              </w:rPr>
            </w:pPr>
            <w:r w:rsidRPr="0056172F">
              <w:rPr>
                <w:b/>
              </w:rPr>
              <w:t>Treatment benefit (no convergence of flare risk in the model)</w:t>
            </w:r>
          </w:p>
        </w:tc>
      </w:tr>
      <w:tr w:rsidR="00DC1393" w:rsidRPr="0056172F" w:rsidTr="00EE1044">
        <w:tc>
          <w:tcPr>
            <w:tcW w:w="4996" w:type="dxa"/>
          </w:tcPr>
          <w:p w:rsidR="00DC1393" w:rsidRPr="0056172F" w:rsidRDefault="00DC1393" w:rsidP="006073E1">
            <w:pPr>
              <w:pStyle w:val="Tabletext0"/>
              <w:keepNext/>
              <w:keepLines/>
              <w:tabs>
                <w:tab w:val="left" w:pos="142"/>
              </w:tabs>
            </w:pPr>
            <w:r w:rsidRPr="0056172F">
              <w:t>Convergence at 5 years</w:t>
            </w:r>
          </w:p>
        </w:tc>
        <w:tc>
          <w:tcPr>
            <w:tcW w:w="1533" w:type="dxa"/>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DC1393" w:rsidRPr="0056172F" w:rsidTr="00EE1044">
        <w:tc>
          <w:tcPr>
            <w:tcW w:w="4996" w:type="dxa"/>
          </w:tcPr>
          <w:p w:rsidR="00DC1393" w:rsidRPr="0056172F" w:rsidRDefault="00DC1393" w:rsidP="006073E1">
            <w:pPr>
              <w:pStyle w:val="Tabletext0"/>
              <w:keepNext/>
              <w:keepLines/>
              <w:tabs>
                <w:tab w:val="left" w:pos="142"/>
              </w:tabs>
            </w:pPr>
            <w:r w:rsidRPr="0056172F">
              <w:t>Convergence at 2 years</w:t>
            </w:r>
          </w:p>
        </w:tc>
        <w:tc>
          <w:tcPr>
            <w:tcW w:w="1533" w:type="dxa"/>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DC1393" w:rsidTr="00EE1044">
        <w:tc>
          <w:tcPr>
            <w:tcW w:w="9242" w:type="dxa"/>
            <w:gridSpan w:val="4"/>
          </w:tcPr>
          <w:p w:rsidR="00DC1393" w:rsidRPr="00FB7527" w:rsidRDefault="00DC1393" w:rsidP="006073E1">
            <w:pPr>
              <w:pStyle w:val="Tabletext0"/>
              <w:keepNext/>
              <w:keepLines/>
              <w:tabs>
                <w:tab w:val="left" w:pos="142"/>
              </w:tabs>
              <w:rPr>
                <w:b/>
              </w:rPr>
            </w:pPr>
            <w:r>
              <w:rPr>
                <w:b/>
              </w:rPr>
              <w:t xml:space="preserve">Time to first flare extrapolation (first year </w:t>
            </w:r>
            <w:proofErr w:type="spellStart"/>
            <w:r>
              <w:rPr>
                <w:b/>
              </w:rPr>
              <w:t>tocilizumab</w:t>
            </w:r>
            <w:proofErr w:type="spellEnd"/>
            <w:r>
              <w:rPr>
                <w:b/>
              </w:rPr>
              <w:t xml:space="preserve">: Weibull, placebo: exponential; subsequent year both treatments: Weibull based on </w:t>
            </w:r>
            <w:proofErr w:type="spellStart"/>
            <w:r>
              <w:rPr>
                <w:b/>
              </w:rPr>
              <w:t>tocilizumab</w:t>
            </w:r>
            <w:proofErr w:type="spellEnd"/>
            <w:r>
              <w:rPr>
                <w:b/>
              </w:rPr>
              <w:t xml:space="preserve"> data)</w:t>
            </w:r>
          </w:p>
        </w:tc>
      </w:tr>
      <w:tr w:rsidR="00DC1393" w:rsidTr="00EE1044">
        <w:tc>
          <w:tcPr>
            <w:tcW w:w="4996" w:type="dxa"/>
          </w:tcPr>
          <w:p w:rsidR="00DC1393" w:rsidRDefault="00DC1393" w:rsidP="006073E1">
            <w:pPr>
              <w:pStyle w:val="Tabletext0"/>
              <w:keepNext/>
              <w:keepLines/>
              <w:tabs>
                <w:tab w:val="left" w:pos="142"/>
              </w:tabs>
            </w:pPr>
            <w:r>
              <w:t xml:space="preserve">Exponential curve for </w:t>
            </w:r>
            <w:proofErr w:type="spellStart"/>
            <w:r>
              <w:t>tocilizumab</w:t>
            </w:r>
            <w:proofErr w:type="spellEnd"/>
            <w:r>
              <w:t xml:space="preserve"> for whole model</w:t>
            </w:r>
          </w:p>
        </w:tc>
        <w:tc>
          <w:tcPr>
            <w:tcW w:w="1533" w:type="dxa"/>
          </w:tcPr>
          <w:p w:rsidR="00DC1393" w:rsidRDefault="00DC1393" w:rsidP="006073E1">
            <w:pPr>
              <w:pStyle w:val="Tabletext0"/>
              <w:keepNext/>
              <w:keepLines/>
              <w:jc w:val="cente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Default="00DC1393" w:rsidP="006073E1">
            <w:pPr>
              <w:pStyle w:val="Tabletext0"/>
              <w:keepNext/>
              <w:keepLines/>
              <w:jc w:val="center"/>
            </w:pPr>
            <w:r>
              <w:t>$</w:t>
            </w:r>
            <w:r w:rsidR="00C6772C">
              <w:rPr>
                <w:noProof/>
                <w:color w:val="000000"/>
                <w:highlight w:val="black"/>
              </w:rPr>
              <w:t>''''''''''''''''</w:t>
            </w:r>
          </w:p>
        </w:tc>
      </w:tr>
      <w:tr w:rsidR="00DC1393" w:rsidTr="00EE1044">
        <w:tc>
          <w:tcPr>
            <w:tcW w:w="4996" w:type="dxa"/>
          </w:tcPr>
          <w:p w:rsidR="00DC1393" w:rsidRDefault="00DC1393" w:rsidP="006073E1">
            <w:pPr>
              <w:pStyle w:val="Tabletext0"/>
              <w:keepNext/>
              <w:keepLines/>
              <w:tabs>
                <w:tab w:val="left" w:pos="142"/>
              </w:tabs>
            </w:pPr>
            <w:r>
              <w:t xml:space="preserve">Gamma curve for </w:t>
            </w:r>
            <w:proofErr w:type="spellStart"/>
            <w:r>
              <w:t>tocilizumab</w:t>
            </w:r>
            <w:proofErr w:type="spellEnd"/>
            <w:r>
              <w:t xml:space="preserve"> for whole model</w:t>
            </w:r>
          </w:p>
        </w:tc>
        <w:tc>
          <w:tcPr>
            <w:tcW w:w="1533" w:type="dxa"/>
          </w:tcPr>
          <w:p w:rsidR="00DC1393" w:rsidRDefault="00DC1393" w:rsidP="006073E1">
            <w:pPr>
              <w:pStyle w:val="Tabletext0"/>
              <w:keepNext/>
              <w:keepLines/>
              <w:jc w:val="cente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Default="00DC1393" w:rsidP="006073E1">
            <w:pPr>
              <w:pStyle w:val="Tabletext0"/>
              <w:keepNext/>
              <w:keepLines/>
              <w:jc w:val="center"/>
            </w:pPr>
            <w:r>
              <w:t>$</w:t>
            </w:r>
            <w:r w:rsidR="00C6772C">
              <w:rPr>
                <w:noProof/>
                <w:color w:val="000000"/>
                <w:highlight w:val="black"/>
              </w:rPr>
              <w:t>''''''''''''''''</w:t>
            </w:r>
          </w:p>
        </w:tc>
      </w:tr>
      <w:tr w:rsidR="00DC1393" w:rsidTr="00EE1044">
        <w:tc>
          <w:tcPr>
            <w:tcW w:w="4996" w:type="dxa"/>
          </w:tcPr>
          <w:p w:rsidR="00DC1393" w:rsidRDefault="00DC1393" w:rsidP="006073E1">
            <w:pPr>
              <w:pStyle w:val="Tabletext0"/>
              <w:keepNext/>
              <w:keepLines/>
              <w:tabs>
                <w:tab w:val="left" w:pos="142"/>
              </w:tabs>
            </w:pPr>
            <w:r>
              <w:t xml:space="preserve">Log-logistic curve for </w:t>
            </w:r>
            <w:proofErr w:type="spellStart"/>
            <w:r>
              <w:t>tocilizumab</w:t>
            </w:r>
            <w:proofErr w:type="spellEnd"/>
            <w:r>
              <w:t xml:space="preserve"> for whole model</w:t>
            </w:r>
          </w:p>
        </w:tc>
        <w:tc>
          <w:tcPr>
            <w:tcW w:w="1533" w:type="dxa"/>
          </w:tcPr>
          <w:p w:rsidR="00DC1393" w:rsidRDefault="00DC1393" w:rsidP="006073E1">
            <w:pPr>
              <w:pStyle w:val="Tabletext0"/>
              <w:keepNext/>
              <w:keepLines/>
              <w:jc w:val="center"/>
            </w:pPr>
            <w:r>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Default="00DC1393" w:rsidP="006073E1">
            <w:pPr>
              <w:pStyle w:val="Tabletext0"/>
              <w:keepNext/>
              <w:keepLines/>
              <w:jc w:val="center"/>
            </w:pPr>
            <w:r>
              <w:t>$</w:t>
            </w:r>
            <w:r w:rsidR="00C6772C">
              <w:rPr>
                <w:noProof/>
                <w:color w:val="000000"/>
                <w:highlight w:val="black"/>
              </w:rPr>
              <w:t>''''''''''''''''''</w:t>
            </w:r>
          </w:p>
        </w:tc>
      </w:tr>
      <w:tr w:rsidR="00DC1393" w:rsidTr="00EE1044">
        <w:tc>
          <w:tcPr>
            <w:tcW w:w="9242" w:type="dxa"/>
            <w:gridSpan w:val="4"/>
          </w:tcPr>
          <w:p w:rsidR="00DC1393" w:rsidRPr="00021359" w:rsidRDefault="00DC1393" w:rsidP="006073E1">
            <w:pPr>
              <w:pStyle w:val="Tabletext0"/>
              <w:keepNext/>
              <w:keepLines/>
              <w:rPr>
                <w:b/>
              </w:rPr>
            </w:pPr>
            <w:r>
              <w:rPr>
                <w:b/>
              </w:rPr>
              <w:t xml:space="preserve">Utility values (corticosteroid treatment: </w:t>
            </w:r>
            <w:r w:rsidRPr="003947B8">
              <w:rPr>
                <w:b/>
              </w:rPr>
              <w:t>-0.07</w:t>
            </w:r>
            <w:r>
              <w:rPr>
                <w:b/>
              </w:rPr>
              <w:t>)</w:t>
            </w:r>
          </w:p>
        </w:tc>
      </w:tr>
      <w:tr w:rsidR="00DC1393" w:rsidRPr="0056172F" w:rsidTr="00EE1044">
        <w:tc>
          <w:tcPr>
            <w:tcW w:w="4996" w:type="dxa"/>
          </w:tcPr>
          <w:p w:rsidR="00DC1393" w:rsidRPr="0056172F" w:rsidRDefault="00DC1393" w:rsidP="006073E1">
            <w:pPr>
              <w:pStyle w:val="Tabletext0"/>
              <w:keepNext/>
              <w:keepLines/>
              <w:ind w:left="142" w:hanging="108"/>
            </w:pPr>
            <w:r w:rsidRPr="0056172F">
              <w:t>Decrease disutility for corticosteroid treatment to -0.04</w:t>
            </w:r>
          </w:p>
        </w:tc>
        <w:tc>
          <w:tcPr>
            <w:tcW w:w="1533" w:type="dxa"/>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DC1393" w:rsidRPr="0056172F" w:rsidTr="00EE1044">
        <w:tc>
          <w:tcPr>
            <w:tcW w:w="4996" w:type="dxa"/>
          </w:tcPr>
          <w:p w:rsidR="00DC1393" w:rsidRPr="0056172F" w:rsidRDefault="00DC1393" w:rsidP="006073E1">
            <w:pPr>
              <w:pStyle w:val="Tabletext0"/>
              <w:keepNext/>
              <w:keepLines/>
              <w:tabs>
                <w:tab w:val="left" w:pos="142"/>
              </w:tabs>
              <w:ind w:left="142" w:hanging="108"/>
            </w:pPr>
            <w:r w:rsidRPr="0056172F">
              <w:t>Decrease disutility for corticosteroid treatment to -0.03</w:t>
            </w:r>
          </w:p>
        </w:tc>
        <w:tc>
          <w:tcPr>
            <w:tcW w:w="1533" w:type="dxa"/>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DC1393" w:rsidRPr="0056172F" w:rsidTr="00EE1044">
        <w:tc>
          <w:tcPr>
            <w:tcW w:w="9242" w:type="dxa"/>
            <w:gridSpan w:val="4"/>
          </w:tcPr>
          <w:p w:rsidR="00DC1393" w:rsidRPr="0056172F" w:rsidRDefault="00DC1393" w:rsidP="006073E1">
            <w:pPr>
              <w:pStyle w:val="Tabletext0"/>
              <w:keepNext/>
              <w:keepLines/>
              <w:rPr>
                <w:b/>
              </w:rPr>
            </w:pPr>
            <w:r w:rsidRPr="0056172F">
              <w:rPr>
                <w:b/>
              </w:rPr>
              <w:t>Calculation errors</w:t>
            </w:r>
          </w:p>
        </w:tc>
      </w:tr>
      <w:tr w:rsidR="00DC1393" w:rsidRPr="0056172F" w:rsidTr="00EE1044">
        <w:tc>
          <w:tcPr>
            <w:tcW w:w="4996" w:type="dxa"/>
          </w:tcPr>
          <w:p w:rsidR="00DC1393" w:rsidRPr="0056172F" w:rsidRDefault="00DC1393" w:rsidP="006073E1">
            <w:pPr>
              <w:pStyle w:val="Tabletext0"/>
              <w:keepNext/>
              <w:keepLines/>
              <w:tabs>
                <w:tab w:val="left" w:pos="142"/>
              </w:tabs>
              <w:ind w:left="142" w:hanging="108"/>
            </w:pPr>
            <w:r w:rsidRPr="0056172F">
              <w:t>Correcting four week flare misapplication</w:t>
            </w:r>
          </w:p>
        </w:tc>
        <w:tc>
          <w:tcPr>
            <w:tcW w:w="1533" w:type="dxa"/>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DC1393" w:rsidRPr="0056172F" w:rsidTr="00EE1044">
        <w:tc>
          <w:tcPr>
            <w:tcW w:w="4996" w:type="dxa"/>
          </w:tcPr>
          <w:p w:rsidR="00DC1393" w:rsidRPr="0056172F" w:rsidRDefault="00DC1393" w:rsidP="006073E1">
            <w:pPr>
              <w:pStyle w:val="Tabletext0"/>
              <w:keepNext/>
              <w:keepLines/>
            </w:pPr>
            <w:r w:rsidRPr="0056172F">
              <w:t xml:space="preserve">Correcting cost of disease management (26 </w:t>
            </w:r>
            <w:r w:rsidR="00B75EBD" w:rsidRPr="00ED400B">
              <w:t>weeks</w:t>
            </w:r>
            <w:r w:rsidRPr="0056172F">
              <w:t xml:space="preserve"> of ‘on corticosteroid’ costs applied instead of 52 weeks)</w:t>
            </w:r>
          </w:p>
        </w:tc>
        <w:tc>
          <w:tcPr>
            <w:tcW w:w="1533" w:type="dxa"/>
            <w:vAlign w:val="center"/>
          </w:tcPr>
          <w:p w:rsidR="00DC1393" w:rsidRPr="0056172F" w:rsidRDefault="00DC1393" w:rsidP="006073E1">
            <w:pPr>
              <w:pStyle w:val="Tabletext0"/>
              <w:keepNext/>
              <w:keepLines/>
              <w:jc w:val="center"/>
            </w:pPr>
            <w:r w:rsidRPr="0056172F">
              <w:rPr>
                <w:lang w:eastAsia="en-AU"/>
              </w:rPr>
              <w:t>$</w:t>
            </w:r>
            <w:r w:rsidR="00C6772C">
              <w:rPr>
                <w:noProof/>
                <w:color w:val="000000"/>
                <w:highlight w:val="black"/>
                <w:lang w:eastAsia="en-AU"/>
              </w:rPr>
              <w:t>''''''''''''''</w:t>
            </w:r>
          </w:p>
        </w:tc>
        <w:tc>
          <w:tcPr>
            <w:tcW w:w="1660" w:type="dxa"/>
            <w:vAlign w:val="center"/>
          </w:tcPr>
          <w:p w:rsidR="00DC1393" w:rsidRPr="00C6772C" w:rsidRDefault="00C6772C" w:rsidP="006073E1">
            <w:pPr>
              <w:pStyle w:val="Tabletext0"/>
              <w:keepNext/>
              <w:keepLines/>
              <w:jc w:val="center"/>
              <w:rPr>
                <w:highlight w:val="black"/>
              </w:rPr>
            </w:pPr>
            <w:r>
              <w:rPr>
                <w:noProof/>
                <w:color w:val="000000"/>
                <w:highlight w:val="black"/>
                <w:lang w:eastAsia="en-AU"/>
              </w:rPr>
              <w:t>'''''''''''''</w:t>
            </w:r>
          </w:p>
        </w:tc>
        <w:tc>
          <w:tcPr>
            <w:tcW w:w="1053" w:type="dxa"/>
            <w:vAlign w:val="center"/>
          </w:tcPr>
          <w:p w:rsidR="00DC1393" w:rsidRPr="0056172F" w:rsidRDefault="00DC1393" w:rsidP="006073E1">
            <w:pPr>
              <w:pStyle w:val="Tabletext0"/>
              <w:keepNext/>
              <w:keepLines/>
              <w:jc w:val="center"/>
            </w:pPr>
            <w:r w:rsidRPr="0056172F">
              <w:rPr>
                <w:lang w:eastAsia="en-AU"/>
              </w:rPr>
              <w:t>$</w:t>
            </w:r>
            <w:r w:rsidR="00C6772C">
              <w:rPr>
                <w:noProof/>
                <w:color w:val="000000"/>
                <w:highlight w:val="black"/>
                <w:lang w:eastAsia="en-AU"/>
              </w:rPr>
              <w:t>''''''''''''''''</w:t>
            </w:r>
          </w:p>
        </w:tc>
      </w:tr>
      <w:tr w:rsidR="00DC1393" w:rsidRPr="0056172F" w:rsidTr="00EE1044">
        <w:tc>
          <w:tcPr>
            <w:tcW w:w="4996" w:type="dxa"/>
          </w:tcPr>
          <w:p w:rsidR="00DC1393" w:rsidRPr="0056172F" w:rsidRDefault="00DC1393" w:rsidP="006073E1">
            <w:pPr>
              <w:pStyle w:val="Tabletext0"/>
              <w:keepNext/>
              <w:keepLines/>
              <w:tabs>
                <w:tab w:val="left" w:pos="142"/>
              </w:tabs>
            </w:pPr>
            <w:r w:rsidRPr="0056172F">
              <w:t>Correcting cumulative corticosteroid dose on primary remission in placebo arm (26 weeks applied instead of 52 weeks)</w:t>
            </w:r>
          </w:p>
        </w:tc>
        <w:tc>
          <w:tcPr>
            <w:tcW w:w="1533" w:type="dxa"/>
            <w:vAlign w:val="center"/>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vAlign w:val="center"/>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vAlign w:val="center"/>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DC1393" w:rsidRPr="0056172F" w:rsidTr="00EE1044">
        <w:tc>
          <w:tcPr>
            <w:tcW w:w="4996" w:type="dxa"/>
          </w:tcPr>
          <w:p w:rsidR="00DC1393" w:rsidRPr="0056172F" w:rsidRDefault="00371221" w:rsidP="006073E1">
            <w:pPr>
              <w:pStyle w:val="Tabletext0"/>
              <w:keepNext/>
              <w:keepLines/>
              <w:tabs>
                <w:tab w:val="left" w:pos="142"/>
              </w:tabs>
            </w:pPr>
            <w:r w:rsidRPr="00371221">
              <w:rPr>
                <w:u w:val="single"/>
              </w:rPr>
              <w:t>Correcting 3 of the identified errors:</w:t>
            </w:r>
            <w:r>
              <w:t xml:space="preserve"> </w:t>
            </w:r>
            <w:r w:rsidR="00DC1393" w:rsidRPr="0056172F">
              <w:t>Correcting flare misapplication; disease management costs; and cumulative corticosteroid dose in primary remission for placebo arm.</w:t>
            </w:r>
          </w:p>
        </w:tc>
        <w:tc>
          <w:tcPr>
            <w:tcW w:w="1533" w:type="dxa"/>
            <w:vAlign w:val="center"/>
          </w:tcPr>
          <w:p w:rsidR="00DC1393" w:rsidRPr="0056172F" w:rsidRDefault="00DC1393" w:rsidP="006073E1">
            <w:pPr>
              <w:pStyle w:val="Tabletext0"/>
              <w:keepNext/>
              <w:keepLines/>
              <w:jc w:val="center"/>
            </w:pPr>
            <w:r w:rsidRPr="0056172F">
              <w:t>$</w:t>
            </w:r>
            <w:r w:rsidR="00C6772C">
              <w:rPr>
                <w:noProof/>
                <w:color w:val="000000"/>
                <w:highlight w:val="black"/>
              </w:rPr>
              <w:t>'''''''''''''</w:t>
            </w:r>
          </w:p>
        </w:tc>
        <w:tc>
          <w:tcPr>
            <w:tcW w:w="1660" w:type="dxa"/>
            <w:vAlign w:val="center"/>
          </w:tcPr>
          <w:p w:rsidR="00DC1393" w:rsidRPr="00C6772C" w:rsidRDefault="00C6772C" w:rsidP="006073E1">
            <w:pPr>
              <w:pStyle w:val="Tabletext0"/>
              <w:keepNext/>
              <w:keepLines/>
              <w:jc w:val="center"/>
              <w:rPr>
                <w:highlight w:val="black"/>
              </w:rPr>
            </w:pPr>
            <w:r>
              <w:rPr>
                <w:noProof/>
                <w:color w:val="000000"/>
                <w:highlight w:val="black"/>
              </w:rPr>
              <w:t>'''''''''''''</w:t>
            </w:r>
          </w:p>
        </w:tc>
        <w:tc>
          <w:tcPr>
            <w:tcW w:w="1053" w:type="dxa"/>
            <w:vAlign w:val="center"/>
          </w:tcPr>
          <w:p w:rsidR="00DC1393" w:rsidRPr="0056172F" w:rsidRDefault="00DC1393" w:rsidP="006073E1">
            <w:pPr>
              <w:pStyle w:val="Tabletext0"/>
              <w:keepNext/>
              <w:keepLines/>
              <w:jc w:val="center"/>
            </w:pPr>
            <w:r w:rsidRPr="0056172F">
              <w:t>$</w:t>
            </w:r>
            <w:r w:rsidR="00C6772C">
              <w:rPr>
                <w:noProof/>
                <w:color w:val="000000"/>
                <w:highlight w:val="black"/>
              </w:rPr>
              <w:t>''''''''''''''''</w:t>
            </w:r>
          </w:p>
        </w:tc>
      </w:tr>
      <w:tr w:rsidR="00371221" w:rsidRPr="0056172F" w:rsidTr="00EE1044">
        <w:tc>
          <w:tcPr>
            <w:tcW w:w="4996" w:type="dxa"/>
          </w:tcPr>
          <w:p w:rsidR="00371221" w:rsidRPr="0056172F" w:rsidRDefault="00371221" w:rsidP="006073E1">
            <w:pPr>
              <w:pStyle w:val="Tabletext0"/>
              <w:keepNext/>
              <w:keepLines/>
              <w:tabs>
                <w:tab w:val="left" w:pos="142"/>
              </w:tabs>
            </w:pPr>
            <w:r w:rsidRPr="006073E1">
              <w:rPr>
                <w:b/>
              </w:rPr>
              <w:t>Pre-PBAC responses’</w:t>
            </w:r>
            <w:r>
              <w:t xml:space="preserve"> approach to correcting the 3 errors outlined in the row above</w:t>
            </w:r>
          </w:p>
        </w:tc>
        <w:tc>
          <w:tcPr>
            <w:tcW w:w="1533" w:type="dxa"/>
            <w:vAlign w:val="center"/>
          </w:tcPr>
          <w:p w:rsidR="00371221" w:rsidRPr="0056172F" w:rsidRDefault="00371221" w:rsidP="006073E1">
            <w:pPr>
              <w:pStyle w:val="Tabletext0"/>
              <w:keepNext/>
              <w:keepLines/>
              <w:jc w:val="center"/>
            </w:pPr>
          </w:p>
        </w:tc>
        <w:tc>
          <w:tcPr>
            <w:tcW w:w="1660" w:type="dxa"/>
            <w:vAlign w:val="center"/>
          </w:tcPr>
          <w:p w:rsidR="00371221" w:rsidRPr="0056172F" w:rsidRDefault="00371221" w:rsidP="006073E1">
            <w:pPr>
              <w:pStyle w:val="Tabletext0"/>
              <w:keepNext/>
              <w:keepLines/>
              <w:jc w:val="center"/>
            </w:pPr>
          </w:p>
        </w:tc>
        <w:tc>
          <w:tcPr>
            <w:tcW w:w="1053" w:type="dxa"/>
            <w:vAlign w:val="center"/>
          </w:tcPr>
          <w:p w:rsidR="00371221" w:rsidRPr="0056172F" w:rsidRDefault="00371221" w:rsidP="006073E1">
            <w:pPr>
              <w:pStyle w:val="Tabletext0"/>
              <w:keepNext/>
              <w:keepLines/>
              <w:jc w:val="center"/>
            </w:pPr>
            <w:r>
              <w:t>$</w:t>
            </w:r>
            <w:r w:rsidR="00C6772C">
              <w:rPr>
                <w:noProof/>
                <w:color w:val="000000"/>
                <w:highlight w:val="black"/>
              </w:rPr>
              <w:t>''''''''''''''''''</w:t>
            </w:r>
          </w:p>
        </w:tc>
      </w:tr>
      <w:tr w:rsidR="009D15DC" w:rsidRPr="0056172F" w:rsidTr="00EE1044">
        <w:tc>
          <w:tcPr>
            <w:tcW w:w="4996" w:type="dxa"/>
          </w:tcPr>
          <w:p w:rsidR="009D15DC" w:rsidRPr="006073E1" w:rsidRDefault="009D15DC" w:rsidP="006073E1">
            <w:pPr>
              <w:pStyle w:val="Tabletext0"/>
              <w:keepNext/>
              <w:keepLines/>
              <w:tabs>
                <w:tab w:val="left" w:pos="142"/>
              </w:tabs>
              <w:rPr>
                <w:b/>
              </w:rPr>
            </w:pPr>
            <w:r w:rsidRPr="006073E1">
              <w:rPr>
                <w:b/>
              </w:rPr>
              <w:t>Pre-PBAC responses’</w:t>
            </w:r>
            <w:r>
              <w:t xml:space="preserve"> approach to correcting the 3 errors outlined in the row above plus </w:t>
            </w:r>
            <w:r w:rsidR="00C6772C">
              <w:rPr>
                <w:noProof/>
                <w:color w:val="000000"/>
                <w:highlight w:val="black"/>
              </w:rPr>
              <w:t>'''''</w:t>
            </w:r>
            <w:r>
              <w:t>% lower price</w:t>
            </w:r>
          </w:p>
        </w:tc>
        <w:tc>
          <w:tcPr>
            <w:tcW w:w="1533" w:type="dxa"/>
            <w:vAlign w:val="center"/>
          </w:tcPr>
          <w:p w:rsidR="009D15DC" w:rsidRPr="0056172F" w:rsidRDefault="009D15DC" w:rsidP="006073E1">
            <w:pPr>
              <w:pStyle w:val="Tabletext0"/>
              <w:keepNext/>
              <w:keepLines/>
              <w:jc w:val="center"/>
            </w:pPr>
          </w:p>
        </w:tc>
        <w:tc>
          <w:tcPr>
            <w:tcW w:w="1660" w:type="dxa"/>
            <w:vAlign w:val="center"/>
          </w:tcPr>
          <w:p w:rsidR="009D15DC" w:rsidRPr="0056172F" w:rsidRDefault="009D15DC" w:rsidP="006073E1">
            <w:pPr>
              <w:pStyle w:val="Tabletext0"/>
              <w:keepNext/>
              <w:keepLines/>
              <w:jc w:val="center"/>
            </w:pPr>
          </w:p>
        </w:tc>
        <w:tc>
          <w:tcPr>
            <w:tcW w:w="1053" w:type="dxa"/>
            <w:vAlign w:val="center"/>
          </w:tcPr>
          <w:p w:rsidR="009D15DC" w:rsidRDefault="009D15DC" w:rsidP="006073E1">
            <w:pPr>
              <w:pStyle w:val="Tabletext0"/>
              <w:keepNext/>
              <w:keepLines/>
              <w:jc w:val="center"/>
            </w:pPr>
            <w:r w:rsidRPr="009D15DC">
              <w:t>$</w:t>
            </w:r>
            <w:r w:rsidR="00C6772C">
              <w:rPr>
                <w:noProof/>
                <w:color w:val="000000"/>
                <w:highlight w:val="black"/>
              </w:rPr>
              <w:t>''''''''''''''''</w:t>
            </w:r>
          </w:p>
        </w:tc>
      </w:tr>
    </w:tbl>
    <w:p w:rsidR="00DC1393" w:rsidRDefault="00DC1393" w:rsidP="006073E1">
      <w:pPr>
        <w:pStyle w:val="TableFooter"/>
        <w:keepNext/>
        <w:keepLines/>
        <w:widowControl/>
      </w:pPr>
      <w:r>
        <w:t>Source: Table 3.31 (p 122), Table 3.32 (p 123) and Table 3.34 (p 124), tornado diagram (p 124) of the submission; additional analyses conducted during</w:t>
      </w:r>
      <w:r w:rsidRPr="00D0020A">
        <w:t xml:space="preserve"> the evaluation based on the Economic Evaluation Excel workbook</w:t>
      </w:r>
    </w:p>
    <w:p w:rsidR="00DC1393" w:rsidRPr="0026014D" w:rsidRDefault="00DC1393" w:rsidP="006073E1">
      <w:pPr>
        <w:pStyle w:val="TableFooter"/>
        <w:keepNext/>
        <w:keepLines/>
        <w:widowControl/>
      </w:pPr>
      <w:r>
        <w:t>Abbreviations: ICER, incremental cost effectiveness ratio; QALY, quality-adjusted life year</w:t>
      </w:r>
    </w:p>
    <w:p w:rsidR="00DC1393" w:rsidRDefault="00DC1393" w:rsidP="006073E1">
      <w:pPr>
        <w:pStyle w:val="TableFooter"/>
        <w:keepNext/>
        <w:keepLines/>
        <w:widowControl/>
      </w:pPr>
      <w:r w:rsidRPr="00674519">
        <w:t>Italicised analyses were conducted during the evaluation</w:t>
      </w:r>
    </w:p>
    <w:p w:rsidR="00DC1393" w:rsidRPr="00674519" w:rsidRDefault="00DC1393" w:rsidP="006073E1">
      <w:pPr>
        <w:pStyle w:val="TableFooter"/>
        <w:keepNext/>
        <w:keepLines/>
        <w:widowControl/>
      </w:pPr>
      <w:r>
        <w:t xml:space="preserve">Note: </w:t>
      </w:r>
      <w:r w:rsidRPr="00F4605E">
        <w:t xml:space="preserve">Convergence derived from year 1, assuming the convergence curve did not exceed the </w:t>
      </w:r>
      <w:proofErr w:type="spellStart"/>
      <w:r w:rsidRPr="00F4605E">
        <w:t>tocilizumab</w:t>
      </w:r>
      <w:proofErr w:type="spellEnd"/>
      <w:r w:rsidRPr="00F4605E">
        <w:t xml:space="preserve"> time to first flare curve.</w:t>
      </w:r>
    </w:p>
    <w:p w:rsidR="00FA66D9" w:rsidRPr="006E421F" w:rsidRDefault="00932A0E" w:rsidP="001A08FA">
      <w:pPr>
        <w:spacing w:before="120" w:after="120"/>
        <w:rPr>
          <w:i/>
        </w:rPr>
      </w:pPr>
      <w:r w:rsidRPr="006E421F">
        <w:rPr>
          <w:i/>
        </w:rPr>
        <w:t>The redacted table shows ICERs in the range $15,000/QALY – $45,000/QALY to $105,000/QALY – $200,000/QALY.</w:t>
      </w:r>
    </w:p>
    <w:p w:rsidR="000C7906" w:rsidRDefault="00D91C2B" w:rsidP="004665A0">
      <w:pPr>
        <w:pStyle w:val="ListParagraph"/>
        <w:numPr>
          <w:ilvl w:val="1"/>
          <w:numId w:val="1"/>
        </w:numPr>
        <w:spacing w:after="120"/>
        <w:ind w:left="720" w:hanging="720"/>
        <w:jc w:val="both"/>
      </w:pPr>
      <w:r>
        <w:t xml:space="preserve">The </w:t>
      </w:r>
      <w:r w:rsidR="000C7906">
        <w:t xml:space="preserve">submission based the </w:t>
      </w:r>
      <w:r w:rsidR="008B7351">
        <w:t xml:space="preserve">proposed </w:t>
      </w:r>
      <w:r w:rsidR="000C7906" w:rsidRPr="000C7906">
        <w:t xml:space="preserve">DPMQ </w:t>
      </w:r>
      <w:r w:rsidR="008B7351">
        <w:t xml:space="preserve">for </w:t>
      </w:r>
      <w:proofErr w:type="spellStart"/>
      <w:r w:rsidR="008B7351" w:rsidRPr="000C7906">
        <w:t>tocilizumab</w:t>
      </w:r>
      <w:proofErr w:type="spellEnd"/>
      <w:r w:rsidR="008B7351" w:rsidRPr="000C7906">
        <w:t xml:space="preserve"> </w:t>
      </w:r>
      <w:r w:rsidR="000C7906" w:rsidRPr="000C7906">
        <w:t xml:space="preserve">on the PBS price </w:t>
      </w:r>
      <w:r w:rsidR="000C7906">
        <w:t xml:space="preserve">in </w:t>
      </w:r>
      <w:r w:rsidR="000C7906" w:rsidRPr="000C7906">
        <w:t>rheumatoid arthritis</w:t>
      </w:r>
      <w:r w:rsidR="000C7906">
        <w:t xml:space="preserve">, and </w:t>
      </w:r>
      <w:r w:rsidR="000C7906" w:rsidRPr="000C7906">
        <w:t>noted that this price may be subject to a</w:t>
      </w:r>
      <w:r w:rsidR="008B7351">
        <w:t>n upcoming</w:t>
      </w:r>
      <w:r w:rsidR="000C7906" w:rsidRPr="000C7906">
        <w:t xml:space="preserve"> statutory reduction due to the introduction of a new formulation of </w:t>
      </w:r>
      <w:proofErr w:type="spellStart"/>
      <w:r w:rsidR="000C7906" w:rsidRPr="000C7906">
        <w:t>tocilizumab</w:t>
      </w:r>
      <w:proofErr w:type="spellEnd"/>
      <w:r w:rsidR="000C7906" w:rsidRPr="000C7906">
        <w:t>. The submission stated that the new price</w:t>
      </w:r>
      <w:r w:rsidR="000C7906">
        <w:t>, once known,</w:t>
      </w:r>
      <w:r w:rsidR="000C7906" w:rsidRPr="000C7906">
        <w:t xml:space="preserve"> would </w:t>
      </w:r>
      <w:r w:rsidR="000C7906">
        <w:t xml:space="preserve">also </w:t>
      </w:r>
      <w:r w:rsidR="000C7906" w:rsidRPr="000C7906">
        <w:t>apply to</w:t>
      </w:r>
      <w:r w:rsidR="004665A0">
        <w:t xml:space="preserve"> the</w:t>
      </w:r>
      <w:r w:rsidR="000C7906" w:rsidRPr="000C7906">
        <w:t xml:space="preserve"> </w:t>
      </w:r>
      <w:r w:rsidR="002A551A">
        <w:t>GCA</w:t>
      </w:r>
      <w:r w:rsidR="004665A0">
        <w:t xml:space="preserve"> indication</w:t>
      </w:r>
      <w:r w:rsidR="000C7906" w:rsidRPr="000C7906">
        <w:t>.</w:t>
      </w:r>
      <w:r w:rsidR="000C7906">
        <w:t xml:space="preserve"> The pre-PBAC response</w:t>
      </w:r>
      <w:r w:rsidR="004665A0">
        <w:t xml:space="preserve"> </w:t>
      </w:r>
      <w:r w:rsidR="000C7906">
        <w:t xml:space="preserve">stated that, at the time the pre-PBAC response was prepared, the sponsor </w:t>
      </w:r>
      <w:r w:rsidR="004665A0">
        <w:t xml:space="preserve">was anticipating </w:t>
      </w:r>
      <w:r w:rsidR="006073E1">
        <w:t xml:space="preserve">there would be a </w:t>
      </w:r>
      <w:r w:rsidR="00C6772C">
        <w:rPr>
          <w:noProof/>
          <w:color w:val="000000"/>
          <w:highlight w:val="black"/>
        </w:rPr>
        <w:t>''''''</w:t>
      </w:r>
      <w:r w:rsidR="006073E1">
        <w:t xml:space="preserve">% reduction to the </w:t>
      </w:r>
      <w:proofErr w:type="spellStart"/>
      <w:r w:rsidR="000C7906">
        <w:t>tocilizumab</w:t>
      </w:r>
      <w:proofErr w:type="spellEnd"/>
      <w:r w:rsidR="000C7906">
        <w:t xml:space="preserve"> </w:t>
      </w:r>
      <w:r w:rsidR="004665A0">
        <w:t xml:space="preserve">price </w:t>
      </w:r>
      <w:r w:rsidR="000C7906">
        <w:t xml:space="preserve">in rheumatoid arthritis. </w:t>
      </w:r>
      <w:r w:rsidR="004665A0">
        <w:t xml:space="preserve">The pre-PBAC response stated that this lower price would reduce the ICER from </w:t>
      </w:r>
      <w:r w:rsidR="006774E2">
        <w:t>$45,000/QALY – $75,000/QALY</w:t>
      </w:r>
      <w:r w:rsidR="006073E1">
        <w:t xml:space="preserve"> (with the errors corrected, per the </w:t>
      </w:r>
      <w:r w:rsidR="009D15DC">
        <w:t>second-</w:t>
      </w:r>
      <w:r w:rsidR="006073E1">
        <w:t>last row of Table 16)</w:t>
      </w:r>
      <w:r w:rsidR="004665A0">
        <w:t xml:space="preserve"> to </w:t>
      </w:r>
      <w:r w:rsidR="00E80D20">
        <w:t>$45,000/QALY – $75,000/QALY</w:t>
      </w:r>
      <w:r w:rsidR="004665A0">
        <w:t xml:space="preserve">. </w:t>
      </w:r>
    </w:p>
    <w:p w:rsidR="004665A0" w:rsidRDefault="004665A0" w:rsidP="004665A0">
      <w:pPr>
        <w:pStyle w:val="ListParagraph"/>
        <w:numPr>
          <w:ilvl w:val="1"/>
          <w:numId w:val="1"/>
        </w:numPr>
        <w:spacing w:after="120"/>
        <w:ind w:left="720" w:hanging="720"/>
        <w:jc w:val="both"/>
      </w:pPr>
      <w:r>
        <w:lastRenderedPageBreak/>
        <w:t>The pre-PBAC response also stated that</w:t>
      </w:r>
      <w:r w:rsidR="003A362A">
        <w:t xml:space="preserve">, with the </w:t>
      </w:r>
      <w:r w:rsidR="00C6772C">
        <w:rPr>
          <w:noProof/>
          <w:color w:val="000000"/>
          <w:highlight w:val="black"/>
        </w:rPr>
        <w:t>'''''</w:t>
      </w:r>
      <w:r w:rsidR="003A362A">
        <w:t>% price reduction,</w:t>
      </w:r>
      <w:r>
        <w:t xml:space="preserve"> a </w:t>
      </w:r>
      <w:r w:rsidRPr="004665A0">
        <w:t xml:space="preserve">supportive trial-based cost effectiveness analysis resulted in an incremental cost of </w:t>
      </w:r>
      <w:r w:rsidR="001A08FA">
        <w:t>$15,000 - $45,000</w:t>
      </w:r>
      <w:r w:rsidRPr="004665A0">
        <w:t xml:space="preserve"> per 52-week </w:t>
      </w:r>
      <w:r>
        <w:t>corticosteroid</w:t>
      </w:r>
      <w:r w:rsidRPr="004665A0">
        <w:t>-free sustained remission responder.</w:t>
      </w:r>
    </w:p>
    <w:p w:rsidR="00DC1393" w:rsidRPr="000D4B93" w:rsidRDefault="00DC1393" w:rsidP="000A734B">
      <w:pPr>
        <w:pStyle w:val="Heading2"/>
      </w:pPr>
      <w:bookmarkStart w:id="39" w:name="_Toc371170711"/>
      <w:bookmarkStart w:id="40" w:name="_Toc523934611"/>
      <w:r w:rsidRPr="000D4B93">
        <w:t>Drug cost/patient/year</w:t>
      </w:r>
      <w:bookmarkEnd w:id="39"/>
      <w:bookmarkEnd w:id="40"/>
    </w:p>
    <w:p w:rsidR="00617040" w:rsidRDefault="00DC1393" w:rsidP="008B7351">
      <w:pPr>
        <w:pStyle w:val="ListParagraph"/>
        <w:numPr>
          <w:ilvl w:val="1"/>
          <w:numId w:val="1"/>
        </w:numPr>
        <w:spacing w:after="120"/>
        <w:ind w:left="720" w:hanging="720"/>
        <w:jc w:val="both"/>
      </w:pPr>
      <w:r>
        <w:t xml:space="preserve">The estimated drug cost for </w:t>
      </w:r>
      <w:proofErr w:type="spellStart"/>
      <w:r>
        <w:t>tocilizumab</w:t>
      </w:r>
      <w:proofErr w:type="spellEnd"/>
      <w:r>
        <w:t xml:space="preserve"> per patient per year was $12,392 (based on </w:t>
      </w:r>
      <w:r w:rsidR="00C6772C">
        <w:rPr>
          <w:noProof/>
          <w:color w:val="000000"/>
          <w:highlight w:val="black"/>
        </w:rPr>
        <w:t>'''''</w:t>
      </w:r>
      <w:r>
        <w:t xml:space="preserve"> scripts using the DPMQ $953.23 for 4 x 162 mg weekly injections). </w:t>
      </w:r>
      <w:r w:rsidR="00617040">
        <w:t xml:space="preserve">The PBAC noted this would reduce to $9,926 per patient per year with the </w:t>
      </w:r>
      <w:r w:rsidR="00C6772C">
        <w:rPr>
          <w:noProof/>
          <w:color w:val="000000"/>
          <w:highlight w:val="black"/>
        </w:rPr>
        <w:t>'''''</w:t>
      </w:r>
      <w:r w:rsidR="00617040">
        <w:t>% price reduction offered in the pre-PBAC response (which would result in a DPMQ of $763.55). T</w:t>
      </w:r>
      <w:r w:rsidR="00617040" w:rsidRPr="000D4B93">
        <w:t xml:space="preserve">hese costs were based on weekly administration of </w:t>
      </w:r>
      <w:proofErr w:type="spellStart"/>
      <w:r w:rsidR="00617040" w:rsidRPr="000D4B93">
        <w:t>tocilizumab</w:t>
      </w:r>
      <w:proofErr w:type="spellEnd"/>
      <w:r w:rsidR="00617040" w:rsidRPr="000D4B93">
        <w:t>.</w:t>
      </w:r>
      <w:r w:rsidR="00617040">
        <w:t xml:space="preserve"> </w:t>
      </w:r>
    </w:p>
    <w:p w:rsidR="00DC1393" w:rsidRPr="000D4B93" w:rsidRDefault="00DC1393" w:rsidP="008B7351">
      <w:pPr>
        <w:pStyle w:val="ListParagraph"/>
        <w:numPr>
          <w:ilvl w:val="1"/>
          <w:numId w:val="1"/>
        </w:numPr>
        <w:spacing w:after="120"/>
        <w:ind w:left="720" w:hanging="720"/>
        <w:jc w:val="both"/>
      </w:pPr>
      <w:proofErr w:type="spellStart"/>
      <w:r>
        <w:t>Tocilizumab</w:t>
      </w:r>
      <w:proofErr w:type="spellEnd"/>
      <w:r>
        <w:t xml:space="preserve"> should be used with concomitant corticosteroids with a cost per year of approximately $184 (based on a 26-week taper with a cumulative dose of 2,632 mg and an average cost per mg of $0.07 using June 2018 DPMQ for prednisone).</w:t>
      </w:r>
      <w:r w:rsidR="00776761">
        <w:t xml:space="preserve"> </w:t>
      </w:r>
    </w:p>
    <w:p w:rsidR="00DC1393" w:rsidRDefault="00DC1393" w:rsidP="009722D0">
      <w:pPr>
        <w:pStyle w:val="ListParagraph"/>
        <w:numPr>
          <w:ilvl w:val="1"/>
          <w:numId w:val="1"/>
        </w:numPr>
        <w:spacing w:after="120"/>
        <w:ind w:left="720" w:hanging="720"/>
        <w:jc w:val="both"/>
      </w:pPr>
      <w:r>
        <w:t>The estimated drug cost for corticosteroid per patient per year was approximately $276 (based on a 52-week taper with a cumulative dose of 3,945 mg and an average cost per mg of $0.07 using June 2018 DPMQ for prednisone).</w:t>
      </w:r>
    </w:p>
    <w:p w:rsidR="00826E68" w:rsidRPr="00826E68" w:rsidRDefault="00826E68" w:rsidP="000A734B">
      <w:pPr>
        <w:pStyle w:val="Heading2"/>
      </w:pPr>
      <w:r w:rsidRPr="00826E68">
        <w:t>Estimated PBS usage &amp; financial implications</w:t>
      </w:r>
    </w:p>
    <w:p w:rsidR="00826E68" w:rsidRPr="004F6A19" w:rsidRDefault="00826E68" w:rsidP="008D6D40">
      <w:pPr>
        <w:pStyle w:val="ListParagraph"/>
        <w:numPr>
          <w:ilvl w:val="1"/>
          <w:numId w:val="1"/>
        </w:numPr>
        <w:spacing w:after="120"/>
        <w:ind w:left="720" w:hanging="720"/>
        <w:jc w:val="both"/>
        <w:rPr>
          <w:color w:val="000000" w:themeColor="text1"/>
        </w:rPr>
      </w:pPr>
      <w:r w:rsidRPr="004F6A19">
        <w:rPr>
          <w:color w:val="000000" w:themeColor="text1"/>
        </w:rPr>
        <w:t xml:space="preserve">This submission </w:t>
      </w:r>
      <w:r w:rsidR="00D91C2B">
        <w:rPr>
          <w:color w:val="000000" w:themeColor="text1"/>
        </w:rPr>
        <w:t>was</w:t>
      </w:r>
      <w:r w:rsidRPr="004F6A19">
        <w:rPr>
          <w:color w:val="000000" w:themeColor="text1"/>
        </w:rPr>
        <w:t xml:space="preserve"> considered by DUSC. </w:t>
      </w:r>
    </w:p>
    <w:p w:rsidR="00826E68" w:rsidRDefault="00826E68" w:rsidP="008D6D40">
      <w:pPr>
        <w:pStyle w:val="ListParagraph"/>
        <w:numPr>
          <w:ilvl w:val="1"/>
          <w:numId w:val="1"/>
        </w:numPr>
        <w:spacing w:after="120"/>
        <w:ind w:left="720" w:hanging="720"/>
        <w:jc w:val="both"/>
        <w:rPr>
          <w:color w:val="000000" w:themeColor="text1"/>
        </w:rPr>
      </w:pPr>
      <w:r w:rsidRPr="00AF376D">
        <w:rPr>
          <w:color w:val="000000" w:themeColor="text1"/>
        </w:rPr>
        <w:t>The</w:t>
      </w:r>
      <w:r>
        <w:rPr>
          <w:color w:val="000000" w:themeColor="text1"/>
        </w:rPr>
        <w:t xml:space="preserve"> submission used an epidemiological</w:t>
      </w:r>
      <w:r w:rsidRPr="00AF376D">
        <w:rPr>
          <w:color w:val="000000" w:themeColor="text1"/>
        </w:rPr>
        <w:t xml:space="preserve"> appro</w:t>
      </w:r>
      <w:r w:rsidR="004E15C5">
        <w:rPr>
          <w:color w:val="000000" w:themeColor="text1"/>
        </w:rPr>
        <w:t xml:space="preserve">ach to estimate the utilisation and </w:t>
      </w:r>
      <w:r w:rsidRPr="00AF376D">
        <w:rPr>
          <w:color w:val="000000" w:themeColor="text1"/>
        </w:rPr>
        <w:t xml:space="preserve">financial implications associated with the PBS listing of </w:t>
      </w:r>
      <w:proofErr w:type="spellStart"/>
      <w:r w:rsidRPr="00AF376D">
        <w:rPr>
          <w:color w:val="000000" w:themeColor="text1"/>
        </w:rPr>
        <w:t>tocilizumab</w:t>
      </w:r>
      <w:proofErr w:type="spellEnd"/>
      <w:r w:rsidRPr="00AF376D">
        <w:rPr>
          <w:color w:val="000000" w:themeColor="text1"/>
        </w:rPr>
        <w:t xml:space="preserve"> for </w:t>
      </w:r>
      <w:r w:rsidR="004E15C5">
        <w:rPr>
          <w:color w:val="000000" w:themeColor="text1"/>
        </w:rPr>
        <w:t>GCA</w:t>
      </w:r>
      <w:r w:rsidRPr="00AF376D">
        <w:rPr>
          <w:color w:val="000000" w:themeColor="text1"/>
        </w:rPr>
        <w:t>.</w:t>
      </w:r>
      <w:r w:rsidR="000737D7">
        <w:rPr>
          <w:color w:val="000000" w:themeColor="text1"/>
        </w:rPr>
        <w:t xml:space="preserve"> </w:t>
      </w:r>
      <w:r w:rsidR="007D2ACE">
        <w:rPr>
          <w:color w:val="000000" w:themeColor="text1"/>
        </w:rPr>
        <w:t xml:space="preserve">The submission took account of newly diagnosed (incident) patients and a pool of patients diagnosed over the previous 5 years experiencing disease relapse (prevalent patients). </w:t>
      </w:r>
      <w:r w:rsidR="000737D7">
        <w:rPr>
          <w:color w:val="000000" w:themeColor="text1"/>
        </w:rPr>
        <w:t>The net cost to the PBS/RPBS, as estimated in the submission, is shown in Table 17.</w:t>
      </w:r>
    </w:p>
    <w:p w:rsidR="00826E68" w:rsidRPr="00560052" w:rsidRDefault="00826E68" w:rsidP="00826E68">
      <w:pPr>
        <w:pStyle w:val="TableHeading0"/>
        <w:jc w:val="both"/>
      </w:pPr>
      <w:r w:rsidRPr="0097719C">
        <w:t xml:space="preserve">Table </w:t>
      </w:r>
      <w:r>
        <w:t>1</w:t>
      </w:r>
      <w:r w:rsidR="00632115">
        <w:t>7</w:t>
      </w:r>
      <w:r w:rsidRPr="00560052">
        <w:t>: Estimated utilisation and cost to the PBS of listing</w:t>
      </w:r>
      <w:r>
        <w:t xml:space="preserve"> </w:t>
      </w:r>
      <w:proofErr w:type="spellStart"/>
      <w:r>
        <w:t>tocilizumab</w:t>
      </w:r>
      <w:proofErr w:type="spellEnd"/>
      <w:r w:rsidRPr="00560052">
        <w:t xml:space="preserve"> </w:t>
      </w:r>
      <w:r>
        <w:t xml:space="preserve">for </w:t>
      </w:r>
      <w:r w:rsidR="00260AB6">
        <w:t xml:space="preserve">GCA – estimated in the submission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8"/>
        <w:gridCol w:w="1144"/>
        <w:gridCol w:w="1144"/>
        <w:gridCol w:w="1144"/>
        <w:gridCol w:w="1144"/>
        <w:gridCol w:w="1144"/>
        <w:gridCol w:w="1142"/>
      </w:tblGrid>
      <w:tr w:rsidR="00826E68" w:rsidRPr="00560052" w:rsidTr="009722D0">
        <w:trPr>
          <w:tblHeader/>
        </w:trPr>
        <w:tc>
          <w:tcPr>
            <w:tcW w:w="1196" w:type="pct"/>
            <w:tcBorders>
              <w:left w:val="single" w:sz="4" w:space="0" w:color="auto"/>
              <w:bottom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sz w:val="20"/>
                <w:szCs w:val="20"/>
                <w:lang w:eastAsia="en-AU"/>
              </w:rPr>
            </w:pPr>
          </w:p>
        </w:tc>
        <w:tc>
          <w:tcPr>
            <w:tcW w:w="634" w:type="pct"/>
            <w:tcBorders>
              <w:bottom w:val="single" w:sz="4" w:space="0" w:color="auto"/>
            </w:tcBorders>
            <w:shd w:val="clear" w:color="auto" w:fill="auto"/>
            <w:vAlign w:val="center"/>
          </w:tcPr>
          <w:p w:rsidR="00826E68" w:rsidRPr="001A24F5" w:rsidRDefault="00826E68" w:rsidP="009722D0">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1</w:t>
            </w:r>
          </w:p>
          <w:p w:rsidR="00826E68" w:rsidRPr="001A24F5" w:rsidRDefault="00826E68" w:rsidP="009722D0">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(2019</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826E68" w:rsidRPr="001A24F5" w:rsidRDefault="00826E68" w:rsidP="009722D0">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2</w:t>
            </w:r>
          </w:p>
          <w:p w:rsidR="00826E68" w:rsidRPr="001A24F5" w:rsidRDefault="00826E68" w:rsidP="009722D0">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(2020</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826E68" w:rsidRPr="001A24F5" w:rsidRDefault="00826E68" w:rsidP="009722D0">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3</w:t>
            </w:r>
          </w:p>
          <w:p w:rsidR="00826E68" w:rsidRPr="001A24F5" w:rsidRDefault="00826E68" w:rsidP="009722D0">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(2021</w:t>
            </w:r>
            <w:r w:rsidRPr="001A24F5">
              <w:rPr>
                <w:rFonts w:ascii="Arial Narrow" w:eastAsia="Calibri" w:hAnsi="Arial Narrow" w:cs="Times New Roman"/>
                <w:b/>
                <w:bCs/>
                <w:sz w:val="20"/>
                <w:szCs w:val="20"/>
                <w:lang w:eastAsia="en-AU"/>
              </w:rPr>
              <w:t>)</w:t>
            </w:r>
          </w:p>
        </w:tc>
        <w:tc>
          <w:tcPr>
            <w:tcW w:w="634" w:type="pct"/>
            <w:tcBorders>
              <w:bottom w:val="single" w:sz="4" w:space="0" w:color="auto"/>
            </w:tcBorders>
            <w:shd w:val="clear" w:color="auto" w:fill="auto"/>
            <w:vAlign w:val="center"/>
          </w:tcPr>
          <w:p w:rsidR="00826E68" w:rsidRPr="001A24F5" w:rsidRDefault="00826E68" w:rsidP="009722D0">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Year 4</w:t>
            </w:r>
          </w:p>
          <w:p w:rsidR="00826E68" w:rsidRPr="001A24F5" w:rsidRDefault="00826E68" w:rsidP="009722D0">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(2022</w:t>
            </w:r>
            <w:r w:rsidRPr="001A24F5">
              <w:rPr>
                <w:rFonts w:ascii="Arial Narrow" w:eastAsia="Calibri" w:hAnsi="Arial Narrow" w:cs="Times New Roman"/>
                <w:b/>
                <w:bCs/>
                <w:sz w:val="20"/>
                <w:szCs w:val="20"/>
                <w:lang w:eastAsia="en-AU"/>
              </w:rPr>
              <w:t>)</w:t>
            </w:r>
          </w:p>
        </w:tc>
        <w:tc>
          <w:tcPr>
            <w:tcW w:w="634" w:type="pct"/>
            <w:tcBorders>
              <w:bottom w:val="single" w:sz="4" w:space="0" w:color="auto"/>
              <w:right w:val="single" w:sz="4" w:space="0" w:color="auto"/>
            </w:tcBorders>
            <w:shd w:val="clear" w:color="auto" w:fill="auto"/>
            <w:vAlign w:val="center"/>
          </w:tcPr>
          <w:p w:rsidR="00826E68" w:rsidRDefault="00826E68" w:rsidP="009722D0">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 xml:space="preserve">Year 5 </w:t>
            </w:r>
          </w:p>
          <w:p w:rsidR="00826E68" w:rsidRPr="001A24F5" w:rsidRDefault="00826E68" w:rsidP="009722D0">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(2023</w:t>
            </w:r>
            <w:r w:rsidRPr="001A24F5">
              <w:rPr>
                <w:rFonts w:ascii="Arial Narrow" w:eastAsia="Calibri" w:hAnsi="Arial Narrow" w:cs="Times New Roman"/>
                <w:b/>
                <w:bCs/>
                <w:sz w:val="20"/>
                <w:szCs w:val="20"/>
                <w:lang w:eastAsia="en-AU"/>
              </w:rPr>
              <w:t>)</w:t>
            </w:r>
          </w:p>
        </w:tc>
        <w:tc>
          <w:tcPr>
            <w:tcW w:w="633" w:type="pct"/>
            <w:tcBorders>
              <w:bottom w:val="single" w:sz="4" w:space="0" w:color="auto"/>
              <w:right w:val="single" w:sz="4" w:space="0" w:color="auto"/>
            </w:tcBorders>
            <w:vAlign w:val="center"/>
          </w:tcPr>
          <w:p w:rsidR="00826E68" w:rsidRDefault="00826E68" w:rsidP="009722D0">
            <w:pPr>
              <w:keepNext/>
              <w:jc w:val="center"/>
              <w:rPr>
                <w:rFonts w:ascii="Arial Narrow" w:eastAsia="Calibri" w:hAnsi="Arial Narrow" w:cs="Times New Roman"/>
                <w:b/>
                <w:bCs/>
                <w:sz w:val="20"/>
                <w:szCs w:val="20"/>
                <w:lang w:eastAsia="en-AU"/>
              </w:rPr>
            </w:pPr>
            <w:r w:rsidRPr="001A24F5">
              <w:rPr>
                <w:rFonts w:ascii="Arial Narrow" w:eastAsia="Calibri" w:hAnsi="Arial Narrow" w:cs="Times New Roman"/>
                <w:b/>
                <w:bCs/>
                <w:sz w:val="20"/>
                <w:szCs w:val="20"/>
                <w:lang w:eastAsia="en-AU"/>
              </w:rPr>
              <w:t xml:space="preserve">Year 6 </w:t>
            </w:r>
          </w:p>
          <w:p w:rsidR="00826E68" w:rsidRPr="001A24F5" w:rsidRDefault="00826E68" w:rsidP="009722D0">
            <w:pPr>
              <w:keepNext/>
              <w:jc w:val="center"/>
              <w:rPr>
                <w:rFonts w:ascii="Arial Narrow" w:eastAsia="Calibri" w:hAnsi="Arial Narrow" w:cs="Times New Roman"/>
                <w:b/>
                <w:bCs/>
                <w:sz w:val="20"/>
                <w:szCs w:val="20"/>
                <w:lang w:eastAsia="en-AU"/>
              </w:rPr>
            </w:pPr>
            <w:r>
              <w:rPr>
                <w:rFonts w:ascii="Arial Narrow" w:eastAsia="Calibri" w:hAnsi="Arial Narrow" w:cs="Times New Roman"/>
                <w:b/>
                <w:bCs/>
                <w:sz w:val="20"/>
                <w:szCs w:val="20"/>
                <w:lang w:eastAsia="en-AU"/>
              </w:rPr>
              <w:t>(2024</w:t>
            </w:r>
            <w:r w:rsidRPr="001A24F5">
              <w:rPr>
                <w:rFonts w:ascii="Arial Narrow" w:eastAsia="Calibri" w:hAnsi="Arial Narrow" w:cs="Times New Roman"/>
                <w:b/>
                <w:bCs/>
                <w:sz w:val="20"/>
                <w:szCs w:val="20"/>
                <w:lang w:eastAsia="en-AU"/>
              </w:rPr>
              <w:t>)</w:t>
            </w:r>
          </w:p>
        </w:tc>
      </w:tr>
      <w:tr w:rsidR="00826E68" w:rsidRPr="00560052" w:rsidTr="009722D0">
        <w:tc>
          <w:tcPr>
            <w:tcW w:w="1196" w:type="pct"/>
            <w:tcBorders>
              <w:left w:val="single" w:sz="4" w:space="0" w:color="auto"/>
              <w:bottom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Prevalent GCA patients</w:t>
            </w:r>
          </w:p>
        </w:tc>
        <w:tc>
          <w:tcPr>
            <w:tcW w:w="634" w:type="pct"/>
            <w:shd w:val="clear" w:color="auto" w:fill="auto"/>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Incident GCA patients </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Pr="00CF6924" w:rsidRDefault="00826E68" w:rsidP="009722D0">
            <w:pPr>
              <w:keepNext/>
              <w:rPr>
                <w:rFonts w:ascii="Arial Narrow" w:eastAsia="Calibri" w:hAnsi="Arial Narrow" w:cs="Times New Roman"/>
                <w:b/>
                <w:sz w:val="20"/>
                <w:szCs w:val="20"/>
                <w:lang w:eastAsia="en-AU"/>
              </w:rPr>
            </w:pPr>
            <w:r>
              <w:rPr>
                <w:rFonts w:ascii="Arial Narrow" w:eastAsia="Calibri" w:hAnsi="Arial Narrow" w:cs="Times New Roman"/>
                <w:b/>
                <w:sz w:val="20"/>
                <w:szCs w:val="20"/>
                <w:lang w:eastAsia="en-AU"/>
              </w:rPr>
              <w:t>Total GCA patients</w:t>
            </w:r>
            <w:r w:rsidRPr="00CF6924">
              <w:rPr>
                <w:rFonts w:ascii="Arial Narrow" w:eastAsia="Calibri" w:hAnsi="Arial Narrow" w:cs="Times New Roman"/>
                <w:b/>
                <w:sz w:val="20"/>
                <w:szCs w:val="20"/>
                <w:lang w:eastAsia="en-AU"/>
              </w:rPr>
              <w:t xml:space="preserve"> </w:t>
            </w:r>
          </w:p>
        </w:tc>
        <w:tc>
          <w:tcPr>
            <w:tcW w:w="634" w:type="pct"/>
            <w:shd w:val="clear" w:color="auto" w:fill="auto"/>
            <w:vAlign w:val="center"/>
          </w:tcPr>
          <w:p w:rsidR="00826E68" w:rsidRPr="00C6772C" w:rsidRDefault="00C6772C" w:rsidP="009722D0">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4" w:type="pct"/>
            <w:tcBorders>
              <w:right w:val="single" w:sz="4" w:space="0" w:color="auto"/>
            </w:tcBorders>
            <w:shd w:val="clear" w:color="auto" w:fill="auto"/>
            <w:vAlign w:val="center"/>
          </w:tcPr>
          <w:p w:rsidR="00826E68" w:rsidRPr="00C6772C" w:rsidRDefault="00C6772C" w:rsidP="009722D0">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33" w:type="pct"/>
            <w:tcBorders>
              <w:right w:val="single" w:sz="4" w:space="0" w:color="auto"/>
            </w:tcBorders>
            <w:vAlign w:val="center"/>
          </w:tcPr>
          <w:p w:rsidR="00826E68" w:rsidRPr="00C6772C" w:rsidRDefault="00C6772C" w:rsidP="009722D0">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sz w:val="20"/>
                <w:szCs w:val="20"/>
                <w:lang w:eastAsia="en-AU"/>
              </w:rPr>
            </w:pPr>
            <w:r w:rsidRPr="001A24F5">
              <w:rPr>
                <w:rFonts w:ascii="Arial Narrow" w:eastAsia="Calibri" w:hAnsi="Arial Narrow" w:cs="Times New Roman"/>
                <w:sz w:val="20"/>
                <w:szCs w:val="20"/>
                <w:lang w:eastAsia="en-AU"/>
              </w:rPr>
              <w:t>Patient</w:t>
            </w:r>
            <w:r>
              <w:rPr>
                <w:rFonts w:ascii="Arial Narrow" w:eastAsia="Calibri" w:hAnsi="Arial Narrow" w:cs="Times New Roman"/>
                <w:sz w:val="20"/>
                <w:szCs w:val="20"/>
                <w:lang w:eastAsia="en-AU"/>
              </w:rPr>
              <w:t xml:space="preserve">s treated with </w:t>
            </w:r>
            <w:proofErr w:type="spellStart"/>
            <w:r>
              <w:rPr>
                <w:rFonts w:ascii="Arial Narrow" w:eastAsia="Calibri" w:hAnsi="Arial Narrow" w:cs="Times New Roman"/>
                <w:sz w:val="20"/>
                <w:szCs w:val="20"/>
                <w:lang w:eastAsia="en-AU"/>
              </w:rPr>
              <w:t>tocilizumab</w:t>
            </w:r>
            <w:proofErr w:type="spellEnd"/>
            <w:r>
              <w:rPr>
                <w:rFonts w:ascii="Arial Narrow" w:eastAsia="Calibri" w:hAnsi="Arial Narrow" w:cs="Times New Roman"/>
                <w:sz w:val="20"/>
                <w:szCs w:val="20"/>
                <w:lang w:eastAsia="en-AU"/>
              </w:rPr>
              <w:t xml:space="preserve"> (</w:t>
            </w:r>
            <w:r w:rsidR="00C6772C">
              <w:rPr>
                <w:rFonts w:ascii="Arial Narrow" w:eastAsia="Calibri" w:hAnsi="Arial Narrow" w:cs="Times New Roman"/>
                <w:noProof/>
                <w:color w:val="000000"/>
                <w:sz w:val="20"/>
                <w:szCs w:val="20"/>
                <w:highlight w:val="black"/>
                <w:lang w:eastAsia="en-AU"/>
              </w:rPr>
              <w:t>'''''''''</w:t>
            </w:r>
            <w:r>
              <w:rPr>
                <w:rFonts w:ascii="Arial Narrow" w:eastAsia="Calibri" w:hAnsi="Arial Narrow" w:cs="Times New Roman"/>
                <w:sz w:val="20"/>
                <w:szCs w:val="20"/>
                <w:lang w:eastAsia="en-AU"/>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Default="00826E68" w:rsidP="009722D0">
            <w:pPr>
              <w:keepNext/>
              <w:rPr>
                <w:rFonts w:ascii="Arial Narrow" w:eastAsia="Calibri" w:hAnsi="Arial Narrow" w:cs="Times New Roman"/>
                <w:sz w:val="20"/>
                <w:szCs w:val="20"/>
                <w:lang w:eastAsia="en-AU"/>
              </w:rPr>
            </w:pPr>
            <w:proofErr w:type="spellStart"/>
            <w:r>
              <w:rPr>
                <w:rFonts w:ascii="Arial Narrow" w:eastAsia="Calibri" w:hAnsi="Arial Narrow" w:cs="Times New Roman"/>
                <w:sz w:val="20"/>
                <w:szCs w:val="20"/>
                <w:lang w:eastAsia="en-AU"/>
              </w:rPr>
              <w:t>Tocilizumab</w:t>
            </w:r>
            <w:proofErr w:type="spellEnd"/>
            <w:r>
              <w:rPr>
                <w:rFonts w:ascii="Arial Narrow" w:eastAsia="Calibri" w:hAnsi="Arial Narrow" w:cs="Times New Roman"/>
                <w:sz w:val="20"/>
                <w:szCs w:val="20"/>
                <w:lang w:eastAsia="en-AU"/>
              </w:rPr>
              <w:t xml:space="preserve"> scripts </w:t>
            </w:r>
          </w:p>
          <w:p w:rsidR="00826E68" w:rsidRPr="001A24F5" w:rsidRDefault="00826E68" w:rsidP="009722D0">
            <w:pPr>
              <w:keepNex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w:t>
            </w:r>
            <w:r w:rsidR="00C6772C">
              <w:rPr>
                <w:rFonts w:ascii="Arial Narrow" w:eastAsia="Calibri" w:hAnsi="Arial Narrow" w:cs="Times New Roman"/>
                <w:noProof/>
                <w:color w:val="000000"/>
                <w:sz w:val="20"/>
                <w:szCs w:val="20"/>
                <w:highlight w:val="black"/>
                <w:lang w:eastAsia="en-AU"/>
              </w:rPr>
              <w:t>''''''</w:t>
            </w:r>
            <w:r>
              <w:rPr>
                <w:rFonts w:ascii="Arial Narrow" w:eastAsia="Calibri" w:hAnsi="Arial Narrow" w:cs="Times New Roman"/>
                <w:sz w:val="20"/>
                <w:szCs w:val="20"/>
                <w:lang w:eastAsia="en-AU"/>
              </w:rPr>
              <w:t xml:space="preserve"> scripts per patient) </w:t>
            </w:r>
            <w:r w:rsidRPr="001A24F5">
              <w:rPr>
                <w:rFonts w:ascii="Arial Narrow" w:eastAsia="Calibri" w:hAnsi="Arial Narrow" w:cs="Times New Roman"/>
                <w:sz w:val="20"/>
                <w:szCs w:val="20"/>
                <w:lang w:eastAsia="en-AU"/>
              </w:rPr>
              <w:t xml:space="preserve"> </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C6772C" w:rsidRDefault="00C6772C" w:rsidP="009722D0">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Cost of </w:t>
            </w:r>
            <w:proofErr w:type="spellStart"/>
            <w:r>
              <w:rPr>
                <w:rFonts w:ascii="Arial Narrow" w:eastAsia="Calibri" w:hAnsi="Arial Narrow" w:cs="Times New Roman"/>
                <w:sz w:val="20"/>
                <w:szCs w:val="20"/>
                <w:lang w:eastAsia="en-AU"/>
              </w:rPr>
              <w:t>tocilizumab</w:t>
            </w:r>
            <w:proofErr w:type="spellEnd"/>
            <w:r>
              <w:rPr>
                <w:rFonts w:ascii="Arial Narrow" w:eastAsia="Calibri" w:hAnsi="Arial Narrow" w:cs="Times New Roman"/>
                <w:sz w:val="20"/>
                <w:szCs w:val="20"/>
                <w:lang w:eastAsia="en-AU"/>
              </w:rPr>
              <w:t xml:space="preserve"> scripts ($953.23 per script)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sz w:val="20"/>
                <w:szCs w:val="20"/>
                <w:lang w:eastAsia="en-AU"/>
              </w:rPr>
            </w:pPr>
            <w:r>
              <w:rPr>
                <w:rFonts w:ascii="Arial Narrow" w:eastAsia="Calibri" w:hAnsi="Arial Narrow" w:cs="Times New Roman"/>
                <w:sz w:val="20"/>
                <w:szCs w:val="20"/>
                <w:lang w:eastAsia="en-AU"/>
              </w:rPr>
              <w:t xml:space="preserve">Patient </w:t>
            </w:r>
            <w:proofErr w:type="spellStart"/>
            <w:r>
              <w:rPr>
                <w:rFonts w:ascii="Arial Narrow" w:eastAsia="Calibri" w:hAnsi="Arial Narrow" w:cs="Times New Roman"/>
                <w:sz w:val="20"/>
                <w:szCs w:val="20"/>
                <w:lang w:eastAsia="en-AU"/>
              </w:rPr>
              <w:t>copayments</w:t>
            </w:r>
            <w:proofErr w:type="spellEnd"/>
            <w:r>
              <w:rPr>
                <w:rFonts w:ascii="Arial Narrow" w:eastAsia="Calibri" w:hAnsi="Arial Narrow" w:cs="Times New Roman"/>
                <w:sz w:val="20"/>
                <w:szCs w:val="20"/>
                <w:lang w:eastAsia="en-AU"/>
              </w:rPr>
              <w:t xml:space="preserve"> </w:t>
            </w:r>
            <w:r>
              <w:rPr>
                <w:rFonts w:ascii="Arial Narrow" w:eastAsia="Calibri" w:hAnsi="Arial Narrow" w:cs="Times New Roman"/>
                <w:sz w:val="20"/>
                <w:szCs w:val="20"/>
                <w:lang w:eastAsia="en-AU"/>
              </w:rPr>
              <w:br/>
              <w:t>($20.41 per script)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center"/>
          </w:tcPr>
          <w:p w:rsidR="00826E68" w:rsidRPr="001A24F5" w:rsidRDefault="00826E68" w:rsidP="009722D0">
            <w:pPr>
              <w:keepNext/>
              <w:rPr>
                <w:rFonts w:ascii="Arial Narrow" w:eastAsia="Calibri" w:hAnsi="Arial Narrow" w:cs="Times New Roman"/>
                <w:b/>
                <w:sz w:val="20"/>
                <w:szCs w:val="20"/>
                <w:lang w:eastAsia="en-AU"/>
              </w:rPr>
            </w:pPr>
            <w:r w:rsidRPr="00066316">
              <w:rPr>
                <w:rFonts w:ascii="Arial Narrow" w:hAnsi="Arial Narrow"/>
                <w:b/>
                <w:sz w:val="20"/>
                <w:szCs w:val="20"/>
                <w:lang w:eastAsia="en-AU"/>
              </w:rPr>
              <w:t>Net cost to PBS/RPBS</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tcBorders>
            <w:shd w:val="clear" w:color="auto" w:fill="auto"/>
            <w:vAlign w:val="bottom"/>
          </w:tcPr>
          <w:p w:rsidR="00826E68" w:rsidRPr="001A24F5" w:rsidRDefault="00826E68" w:rsidP="009722D0">
            <w:pPr>
              <w:keepNext/>
              <w:rPr>
                <w:rFonts w:ascii="Arial Narrow" w:hAnsi="Arial Narrow"/>
                <w:sz w:val="20"/>
                <w:szCs w:val="20"/>
                <w:lang w:eastAsia="en-AU"/>
              </w:rPr>
            </w:pPr>
            <w:r>
              <w:rPr>
                <w:rFonts w:ascii="Arial Narrow" w:hAnsi="Arial Narrow"/>
                <w:sz w:val="20"/>
                <w:szCs w:val="20"/>
                <w:lang w:eastAsia="en-AU"/>
              </w:rPr>
              <w:t>Drug monitoring (6.5 tests per patient; $17.70 per test)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A24656" w:rsidRDefault="00826E68" w:rsidP="009722D0">
            <w:pPr>
              <w:keepNext/>
              <w:jc w:val="center"/>
              <w:rPr>
                <w:rFonts w:ascii="Arial Narrow" w:hAnsi="Arial Narrow"/>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r>
      <w:tr w:rsidR="00826E68" w:rsidRPr="00560052" w:rsidTr="009722D0">
        <w:tc>
          <w:tcPr>
            <w:tcW w:w="1196" w:type="pct"/>
            <w:tcBorders>
              <w:left w:val="single" w:sz="4" w:space="0" w:color="auto"/>
              <w:bottom w:val="single" w:sz="4" w:space="0" w:color="auto"/>
            </w:tcBorders>
            <w:shd w:val="clear" w:color="auto" w:fill="auto"/>
            <w:vAlign w:val="center"/>
          </w:tcPr>
          <w:p w:rsidR="00826E68" w:rsidRPr="00066316" w:rsidRDefault="00826E68" w:rsidP="009722D0">
            <w:pPr>
              <w:keepNext/>
              <w:rPr>
                <w:rFonts w:ascii="Arial Narrow" w:hAnsi="Arial Narrow"/>
                <w:b/>
                <w:sz w:val="20"/>
                <w:szCs w:val="20"/>
                <w:lang w:eastAsia="en-AU"/>
              </w:rPr>
            </w:pPr>
            <w:r>
              <w:rPr>
                <w:rFonts w:ascii="Arial Narrow" w:hAnsi="Arial Narrow"/>
                <w:b/>
                <w:sz w:val="20"/>
                <w:szCs w:val="20"/>
                <w:lang w:eastAsia="en-AU"/>
              </w:rPr>
              <w:t>Net cost to government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4" w:type="pct"/>
            <w:tcBorders>
              <w:right w:val="single" w:sz="4" w:space="0" w:color="auto"/>
            </w:tcBorders>
            <w:shd w:val="clear" w:color="auto" w:fill="auto"/>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c>
          <w:tcPr>
            <w:tcW w:w="633" w:type="pct"/>
            <w:tcBorders>
              <w:right w:val="single" w:sz="4" w:space="0" w:color="auto"/>
            </w:tcBorders>
            <w:vAlign w:val="center"/>
          </w:tcPr>
          <w:p w:rsidR="00826E68" w:rsidRPr="00A24656" w:rsidRDefault="00826E68" w:rsidP="009722D0">
            <w:pPr>
              <w:keepNext/>
              <w:jc w:val="center"/>
              <w:rPr>
                <w:rFonts w:ascii="Arial Narrow" w:hAnsi="Arial Narrow"/>
                <w:b/>
                <w:sz w:val="20"/>
                <w:szCs w:val="20"/>
              </w:rPr>
            </w:pPr>
            <w:r w:rsidRPr="00A24656">
              <w:rPr>
                <w:rFonts w:ascii="Arial Narrow" w:hAnsi="Arial Narrow"/>
                <w:sz w:val="20"/>
                <w:szCs w:val="20"/>
              </w:rPr>
              <w:t>$</w:t>
            </w:r>
            <w:r w:rsidR="00C6772C">
              <w:rPr>
                <w:rFonts w:ascii="Arial Narrow" w:hAnsi="Arial Narrow"/>
                <w:noProof/>
                <w:color w:val="000000"/>
                <w:sz w:val="20"/>
                <w:szCs w:val="20"/>
                <w:highlight w:val="black"/>
              </w:rPr>
              <w:t>'''''''''''''''''''''''''''''</w:t>
            </w:r>
          </w:p>
        </w:tc>
      </w:tr>
    </w:tbl>
    <w:p w:rsidR="00826E68" w:rsidRDefault="00826E68" w:rsidP="00826E68">
      <w:pPr>
        <w:pStyle w:val="TableFooter"/>
      </w:pPr>
      <w:r>
        <w:t>Source: Table 4.6 (p 138), Table 4.8 (p 139), Table 4.9 (p 140), Table 4.13 (p 142), Table 4.14 (p 143) of the submission</w:t>
      </w:r>
    </w:p>
    <w:p w:rsidR="00826E68" w:rsidRDefault="00826E68" w:rsidP="0042448B">
      <w:pPr>
        <w:pStyle w:val="TableFooter"/>
      </w:pPr>
      <w:r>
        <w:t xml:space="preserve">Abbreviations: GCA, giant cell arteritis; PBS, Pharmaceutical Benefits Scheme; RPBS, </w:t>
      </w:r>
      <w:r w:rsidRPr="0033136B">
        <w:t>Repatriation Phar</w:t>
      </w:r>
      <w:r>
        <w:t>m</w:t>
      </w:r>
      <w:r w:rsidRPr="0033136B">
        <w:t>aceutical Benefits Scheme</w:t>
      </w:r>
      <w:r w:rsidR="0042448B">
        <w:t>.</w:t>
      </w:r>
    </w:p>
    <w:p w:rsidR="00F429F9" w:rsidRPr="00E5774D" w:rsidRDefault="00F429F9" w:rsidP="0042448B">
      <w:pPr>
        <w:spacing w:before="120" w:after="120"/>
        <w:rPr>
          <w:i/>
        </w:rPr>
      </w:pPr>
      <w:r w:rsidRPr="00E5774D">
        <w:rPr>
          <w:i/>
        </w:rPr>
        <w:lastRenderedPageBreak/>
        <w:t>The redacted table shows that at Year 6, the estimated number of patients was less than 10,000 per year.</w:t>
      </w:r>
    </w:p>
    <w:p w:rsidR="00935A96" w:rsidRDefault="00826E68" w:rsidP="008D6D40">
      <w:pPr>
        <w:pStyle w:val="ListParagraph"/>
        <w:numPr>
          <w:ilvl w:val="1"/>
          <w:numId w:val="1"/>
        </w:numPr>
        <w:spacing w:after="120"/>
        <w:ind w:left="720" w:hanging="720"/>
        <w:jc w:val="both"/>
        <w:rPr>
          <w:color w:val="000000" w:themeColor="text1"/>
        </w:rPr>
      </w:pPr>
      <w:r w:rsidRPr="00AF376D">
        <w:rPr>
          <w:color w:val="000000" w:themeColor="text1"/>
        </w:rPr>
        <w:t xml:space="preserve">The </w:t>
      </w:r>
      <w:r w:rsidR="004E15C5">
        <w:rPr>
          <w:color w:val="000000" w:themeColor="text1"/>
        </w:rPr>
        <w:t xml:space="preserve">submission </w:t>
      </w:r>
      <w:r w:rsidRPr="00AF376D">
        <w:rPr>
          <w:color w:val="000000" w:themeColor="text1"/>
        </w:rPr>
        <w:t xml:space="preserve">estimated </w:t>
      </w:r>
      <w:r w:rsidR="004E15C5">
        <w:rPr>
          <w:color w:val="000000" w:themeColor="text1"/>
        </w:rPr>
        <w:t xml:space="preserve">that the </w:t>
      </w:r>
      <w:r w:rsidRPr="00AF376D">
        <w:rPr>
          <w:color w:val="000000" w:themeColor="text1"/>
        </w:rPr>
        <w:t xml:space="preserve">net cost to the PBS/RPBS for </w:t>
      </w:r>
      <w:proofErr w:type="spellStart"/>
      <w:r w:rsidRPr="00AF376D">
        <w:rPr>
          <w:color w:val="000000" w:themeColor="text1"/>
        </w:rPr>
        <w:t>tocilizumab</w:t>
      </w:r>
      <w:proofErr w:type="spellEnd"/>
      <w:r w:rsidRPr="00AF376D">
        <w:rPr>
          <w:color w:val="000000" w:themeColor="text1"/>
        </w:rPr>
        <w:t xml:space="preserve"> w</w:t>
      </w:r>
      <w:r w:rsidR="008D6D40">
        <w:rPr>
          <w:color w:val="000000" w:themeColor="text1"/>
        </w:rPr>
        <w:t>ould be</w:t>
      </w:r>
      <w:r w:rsidRPr="00AF376D">
        <w:rPr>
          <w:color w:val="000000" w:themeColor="text1"/>
        </w:rPr>
        <w:t xml:space="preserve"> </w:t>
      </w:r>
      <w:r w:rsidR="00F223F5">
        <w:rPr>
          <w:color w:val="000000" w:themeColor="text1"/>
        </w:rPr>
        <w:t>$</w:t>
      </w:r>
      <w:r w:rsidR="0042448B">
        <w:rPr>
          <w:color w:val="000000" w:themeColor="text1"/>
        </w:rPr>
        <w:t>2</w:t>
      </w:r>
      <w:r w:rsidR="00F223F5">
        <w:rPr>
          <w:color w:val="000000" w:themeColor="text1"/>
        </w:rPr>
        <w:t>0 – $</w:t>
      </w:r>
      <w:r w:rsidR="0042448B">
        <w:rPr>
          <w:color w:val="000000" w:themeColor="text1"/>
        </w:rPr>
        <w:t>3</w:t>
      </w:r>
      <w:r w:rsidR="00F223F5">
        <w:rPr>
          <w:color w:val="000000" w:themeColor="text1"/>
        </w:rPr>
        <w:t>0 million</w:t>
      </w:r>
      <w:r w:rsidRPr="00AF376D">
        <w:rPr>
          <w:color w:val="000000" w:themeColor="text1"/>
        </w:rPr>
        <w:t xml:space="preserve"> in Year 1 decreasing to </w:t>
      </w:r>
      <w:r w:rsidR="00F223F5">
        <w:rPr>
          <w:color w:val="000000" w:themeColor="text1"/>
        </w:rPr>
        <w:t>$10 – $20 million</w:t>
      </w:r>
      <w:r w:rsidR="00F223F5" w:rsidRPr="00AF376D">
        <w:rPr>
          <w:color w:val="000000" w:themeColor="text1"/>
        </w:rPr>
        <w:t xml:space="preserve"> </w:t>
      </w:r>
      <w:r w:rsidRPr="00AF376D">
        <w:rPr>
          <w:color w:val="000000" w:themeColor="text1"/>
        </w:rPr>
        <w:t xml:space="preserve">in Year 6, with a cumulative total cost of </w:t>
      </w:r>
      <w:r w:rsidR="00F223F5">
        <w:rPr>
          <w:color w:val="000000" w:themeColor="text1"/>
        </w:rPr>
        <w:t>$60 – $ 100 million</w:t>
      </w:r>
      <w:r w:rsidRPr="00AF376D">
        <w:rPr>
          <w:color w:val="000000" w:themeColor="text1"/>
        </w:rPr>
        <w:t xml:space="preserve"> in the first 6 years of listing. </w:t>
      </w:r>
    </w:p>
    <w:p w:rsidR="006F5195" w:rsidRPr="000737D7" w:rsidRDefault="000737D7" w:rsidP="008D6D40">
      <w:pPr>
        <w:pStyle w:val="ListParagraph"/>
        <w:numPr>
          <w:ilvl w:val="1"/>
          <w:numId w:val="1"/>
        </w:numPr>
        <w:spacing w:after="120"/>
        <w:ind w:left="720" w:hanging="720"/>
        <w:jc w:val="both"/>
        <w:rPr>
          <w:color w:val="000000" w:themeColor="text1"/>
        </w:rPr>
      </w:pPr>
      <w:r w:rsidRPr="000737D7">
        <w:rPr>
          <w:color w:val="000000" w:themeColor="text1"/>
        </w:rPr>
        <w:t xml:space="preserve">The </w:t>
      </w:r>
      <w:r>
        <w:rPr>
          <w:color w:val="000000" w:themeColor="text1"/>
        </w:rPr>
        <w:t xml:space="preserve">submission estimated that the </w:t>
      </w:r>
      <w:r w:rsidRPr="000737D7">
        <w:rPr>
          <w:color w:val="000000" w:themeColor="text1"/>
        </w:rPr>
        <w:t xml:space="preserve">incidence of GCA </w:t>
      </w:r>
      <w:r>
        <w:rPr>
          <w:color w:val="000000" w:themeColor="text1"/>
        </w:rPr>
        <w:t>was</w:t>
      </w:r>
      <w:r w:rsidRPr="000737D7">
        <w:rPr>
          <w:color w:val="000000" w:themeColor="text1"/>
        </w:rPr>
        <w:t xml:space="preserve"> 12.73</w:t>
      </w:r>
      <w:r>
        <w:rPr>
          <w:color w:val="000000" w:themeColor="text1"/>
        </w:rPr>
        <w:t xml:space="preserve"> per</w:t>
      </w:r>
      <w:r w:rsidRPr="000737D7">
        <w:rPr>
          <w:color w:val="000000" w:themeColor="text1"/>
        </w:rPr>
        <w:t xml:space="preserve"> 100,000 persons aged ≥50 years, based on a retrospective analysis of 363 consecutive patients who underwent temporal artery biopsy at </w:t>
      </w:r>
      <w:r w:rsidR="006F5195">
        <w:rPr>
          <w:color w:val="000000" w:themeColor="text1"/>
        </w:rPr>
        <w:t>a</w:t>
      </w:r>
      <w:r w:rsidRPr="000737D7">
        <w:rPr>
          <w:color w:val="000000" w:themeColor="text1"/>
        </w:rPr>
        <w:t xml:space="preserve"> New Zealand </w:t>
      </w:r>
      <w:r w:rsidR="006F5195">
        <w:rPr>
          <w:color w:val="000000" w:themeColor="text1"/>
        </w:rPr>
        <w:t>(NZ) hospital</w:t>
      </w:r>
      <w:r w:rsidRPr="000737D7">
        <w:rPr>
          <w:color w:val="000000" w:themeColor="text1"/>
        </w:rPr>
        <w:t xml:space="preserve"> (Abdul-Rahman et al., 2011). </w:t>
      </w:r>
      <w:r w:rsidR="006F5195">
        <w:rPr>
          <w:color w:val="000000" w:themeColor="text1"/>
        </w:rPr>
        <w:t>T</w:t>
      </w:r>
      <w:r w:rsidR="006F5195" w:rsidRPr="000737D7">
        <w:rPr>
          <w:color w:val="000000" w:themeColor="text1"/>
        </w:rPr>
        <w:t xml:space="preserve">he submission stated that the incidence of GCA in NZ was chosen because NZ </w:t>
      </w:r>
      <w:r w:rsidR="006F5195">
        <w:rPr>
          <w:color w:val="000000" w:themeColor="text1"/>
        </w:rPr>
        <w:t>has</w:t>
      </w:r>
      <w:r w:rsidR="006F5195" w:rsidRPr="000737D7">
        <w:rPr>
          <w:color w:val="000000" w:themeColor="text1"/>
        </w:rPr>
        <w:t xml:space="preserve"> a similar population demographic to Australia. </w:t>
      </w:r>
      <w:r w:rsidR="008D6D40">
        <w:rPr>
          <w:color w:val="000000" w:themeColor="text1"/>
        </w:rPr>
        <w:t xml:space="preserve">However, the </w:t>
      </w:r>
      <w:r w:rsidR="006F5195" w:rsidRPr="000737D7">
        <w:rPr>
          <w:color w:val="000000" w:themeColor="text1"/>
        </w:rPr>
        <w:t>DUSC commented that the NZ population is genetically different to the Australian population, and there is a higher number of north European and Scottish descendants in NZ, wh</w:t>
      </w:r>
      <w:r w:rsidR="006F5195">
        <w:rPr>
          <w:color w:val="000000" w:themeColor="text1"/>
        </w:rPr>
        <w:t>o</w:t>
      </w:r>
      <w:r w:rsidR="006F5195" w:rsidRPr="000737D7">
        <w:rPr>
          <w:color w:val="000000" w:themeColor="text1"/>
        </w:rPr>
        <w:t xml:space="preserve"> have a higher incidence</w:t>
      </w:r>
      <w:r w:rsidR="006F5195">
        <w:rPr>
          <w:color w:val="000000" w:themeColor="text1"/>
        </w:rPr>
        <w:t xml:space="preserve"> of GCA</w:t>
      </w:r>
      <w:r w:rsidR="006F5195" w:rsidRPr="000737D7">
        <w:rPr>
          <w:color w:val="000000" w:themeColor="text1"/>
        </w:rPr>
        <w:t xml:space="preserve">. </w:t>
      </w:r>
    </w:p>
    <w:p w:rsidR="000737D7" w:rsidRPr="006F5195" w:rsidRDefault="000737D7" w:rsidP="008D6D40">
      <w:pPr>
        <w:pStyle w:val="ListParagraph"/>
        <w:numPr>
          <w:ilvl w:val="1"/>
          <w:numId w:val="1"/>
        </w:numPr>
        <w:spacing w:after="120"/>
        <w:ind w:left="720" w:hanging="720"/>
        <w:jc w:val="both"/>
        <w:rPr>
          <w:color w:val="000000" w:themeColor="text1"/>
        </w:rPr>
      </w:pPr>
      <w:r w:rsidRPr="006F5195">
        <w:rPr>
          <w:color w:val="000000" w:themeColor="text1"/>
        </w:rPr>
        <w:t>DUSC noted the submission present</w:t>
      </w:r>
      <w:r w:rsidR="006F5195" w:rsidRPr="006F5195">
        <w:rPr>
          <w:color w:val="000000" w:themeColor="text1"/>
        </w:rPr>
        <w:t>ed</w:t>
      </w:r>
      <w:r w:rsidRPr="006F5195">
        <w:rPr>
          <w:color w:val="000000" w:themeColor="text1"/>
        </w:rPr>
        <w:t xml:space="preserve"> an Australian publication which </w:t>
      </w:r>
      <w:r w:rsidR="006F5195" w:rsidRPr="006F5195">
        <w:rPr>
          <w:color w:val="000000" w:themeColor="text1"/>
        </w:rPr>
        <w:t xml:space="preserve">reported </w:t>
      </w:r>
      <w:r w:rsidRPr="006F5195">
        <w:rPr>
          <w:color w:val="000000" w:themeColor="text1"/>
        </w:rPr>
        <w:t>the incidence</w:t>
      </w:r>
      <w:r w:rsidR="006F5195" w:rsidRPr="006F5195">
        <w:rPr>
          <w:color w:val="000000" w:themeColor="text1"/>
        </w:rPr>
        <w:t xml:space="preserve"> of GCA</w:t>
      </w:r>
      <w:r w:rsidRPr="006F5195">
        <w:rPr>
          <w:color w:val="000000" w:themeColor="text1"/>
        </w:rPr>
        <w:t xml:space="preserve"> in Australia as 3.2</w:t>
      </w:r>
      <w:r w:rsidR="006F5195" w:rsidRPr="006F5195">
        <w:rPr>
          <w:color w:val="000000" w:themeColor="text1"/>
        </w:rPr>
        <w:t xml:space="preserve"> per </w:t>
      </w:r>
      <w:r w:rsidRPr="006F5195">
        <w:rPr>
          <w:color w:val="000000" w:themeColor="text1"/>
        </w:rPr>
        <w:t xml:space="preserve">100,000 </w:t>
      </w:r>
      <w:r w:rsidR="006F5195" w:rsidRPr="006F5195">
        <w:rPr>
          <w:color w:val="000000" w:themeColor="text1"/>
        </w:rPr>
        <w:t xml:space="preserve">persons </w:t>
      </w:r>
      <w:r w:rsidRPr="006F5195">
        <w:rPr>
          <w:color w:val="000000" w:themeColor="text1"/>
        </w:rPr>
        <w:t xml:space="preserve">&gt;50 years of age (Dunstan 2014). DUSC noted this study was based on a South Australian cohort with biopsy-proven GCA. DUSC </w:t>
      </w:r>
      <w:r w:rsidR="008D6D40">
        <w:rPr>
          <w:color w:val="000000" w:themeColor="text1"/>
        </w:rPr>
        <w:t>considered</w:t>
      </w:r>
      <w:r w:rsidRPr="006F5195">
        <w:rPr>
          <w:color w:val="000000" w:themeColor="text1"/>
        </w:rPr>
        <w:t xml:space="preserve"> that the incidence of GCA may be higher in Australia than reported in Dunstan</w:t>
      </w:r>
      <w:r w:rsidR="006F5195" w:rsidRPr="006F5195">
        <w:rPr>
          <w:color w:val="000000" w:themeColor="text1"/>
        </w:rPr>
        <w:t>,</w:t>
      </w:r>
      <w:r w:rsidRPr="006F5195">
        <w:rPr>
          <w:color w:val="000000" w:themeColor="text1"/>
        </w:rPr>
        <w:t xml:space="preserve"> as Dunstan only reported biopsy proven GCA </w:t>
      </w:r>
      <w:r w:rsidR="006F5195" w:rsidRPr="006F5195">
        <w:rPr>
          <w:color w:val="000000" w:themeColor="text1"/>
        </w:rPr>
        <w:t>while</w:t>
      </w:r>
      <w:r w:rsidRPr="006F5195">
        <w:rPr>
          <w:color w:val="000000" w:themeColor="text1"/>
        </w:rPr>
        <w:t xml:space="preserve"> the proposed PBS restriction includes temporal artery biopsy or evidence of large-vessel vasculitis by angiography or imaging study.</w:t>
      </w:r>
      <w:r w:rsidR="006F5195">
        <w:rPr>
          <w:color w:val="000000" w:themeColor="text1"/>
        </w:rPr>
        <w:t xml:space="preserve"> </w:t>
      </w:r>
      <w:r w:rsidRPr="006F5195">
        <w:rPr>
          <w:color w:val="000000" w:themeColor="text1"/>
        </w:rPr>
        <w:t>DUSC considered that, given the differences between the Australian and NZ populations, the Australian data provided a more appropriate (albeit conservative) estimate to inform the base case. Overall, DUSC considered the true incidence in Australia is likely higher than 3.2</w:t>
      </w:r>
      <w:r w:rsidR="007A36AD">
        <w:rPr>
          <w:color w:val="000000" w:themeColor="text1"/>
        </w:rPr>
        <w:t xml:space="preserve"> per </w:t>
      </w:r>
      <w:r w:rsidRPr="006F5195">
        <w:rPr>
          <w:color w:val="000000" w:themeColor="text1"/>
        </w:rPr>
        <w:t xml:space="preserve">100,000 </w:t>
      </w:r>
      <w:r w:rsidR="007A36AD">
        <w:rPr>
          <w:color w:val="000000" w:themeColor="text1"/>
        </w:rPr>
        <w:t xml:space="preserve">persons aged </w:t>
      </w:r>
      <w:r w:rsidRPr="006F5195">
        <w:rPr>
          <w:color w:val="000000" w:themeColor="text1"/>
        </w:rPr>
        <w:t>&gt;50 years, but lower than 12.73</w:t>
      </w:r>
      <w:r w:rsidR="007A36AD">
        <w:rPr>
          <w:color w:val="000000" w:themeColor="text1"/>
        </w:rPr>
        <w:t xml:space="preserve"> per</w:t>
      </w:r>
      <w:r w:rsidRPr="006F5195">
        <w:rPr>
          <w:color w:val="000000" w:themeColor="text1"/>
        </w:rPr>
        <w:t xml:space="preserve"> 100,000 persons aged ≥50 years.</w:t>
      </w:r>
    </w:p>
    <w:p w:rsidR="00260AB6" w:rsidRDefault="00260AB6" w:rsidP="008D6D40">
      <w:pPr>
        <w:pStyle w:val="ListParagraph"/>
        <w:numPr>
          <w:ilvl w:val="1"/>
          <w:numId w:val="1"/>
        </w:numPr>
        <w:spacing w:after="120"/>
        <w:ind w:left="720" w:hanging="720"/>
        <w:jc w:val="both"/>
        <w:rPr>
          <w:color w:val="000000" w:themeColor="text1"/>
        </w:rPr>
      </w:pPr>
      <w:r w:rsidRPr="00260AB6">
        <w:rPr>
          <w:color w:val="000000" w:themeColor="text1"/>
        </w:rPr>
        <w:t xml:space="preserve">The </w:t>
      </w:r>
      <w:r w:rsidR="006F5195">
        <w:rPr>
          <w:color w:val="000000" w:themeColor="text1"/>
        </w:rPr>
        <w:t>other</w:t>
      </w:r>
      <w:r w:rsidR="008D6D40">
        <w:rPr>
          <w:color w:val="000000" w:themeColor="text1"/>
        </w:rPr>
        <w:t xml:space="preserve"> </w:t>
      </w:r>
      <w:r w:rsidRPr="00260AB6">
        <w:rPr>
          <w:color w:val="000000" w:themeColor="text1"/>
        </w:rPr>
        <w:t xml:space="preserve">main issues identified by DUSC were: </w:t>
      </w:r>
    </w:p>
    <w:p w:rsidR="009B2D17" w:rsidRPr="009B2D17" w:rsidRDefault="009B2D17" w:rsidP="009B2D17">
      <w:pPr>
        <w:pStyle w:val="ListParagraph"/>
        <w:numPr>
          <w:ilvl w:val="0"/>
          <w:numId w:val="14"/>
        </w:numPr>
        <w:jc w:val="both"/>
        <w:rPr>
          <w:color w:val="000000" w:themeColor="text1"/>
        </w:rPr>
      </w:pPr>
      <w:r w:rsidRPr="009B2D17">
        <w:rPr>
          <w:color w:val="000000" w:themeColor="text1"/>
        </w:rPr>
        <w:t xml:space="preserve">Prevalent patients were underestimated as the submission did not account for patients diagnosed more than 5 years ago. However, the mean age of diagnosis in the </w:t>
      </w:r>
      <w:proofErr w:type="spellStart"/>
      <w:r w:rsidRPr="009B2D17">
        <w:rPr>
          <w:color w:val="000000" w:themeColor="text1"/>
        </w:rPr>
        <w:t>Labarca</w:t>
      </w:r>
      <w:proofErr w:type="spellEnd"/>
      <w:r w:rsidRPr="009B2D17">
        <w:rPr>
          <w:color w:val="000000" w:themeColor="text1"/>
        </w:rPr>
        <w:t xml:space="preserve"> study was </w:t>
      </w:r>
      <w:r w:rsidR="003560D2">
        <w:rPr>
          <w:color w:val="000000" w:themeColor="text1"/>
        </w:rPr>
        <w:t>75</w:t>
      </w:r>
      <w:r w:rsidR="003560D2" w:rsidRPr="009B2D17">
        <w:rPr>
          <w:color w:val="000000" w:themeColor="text1"/>
        </w:rPr>
        <w:t xml:space="preserve"> </w:t>
      </w:r>
      <w:r w:rsidRPr="009B2D17">
        <w:rPr>
          <w:color w:val="000000" w:themeColor="text1"/>
        </w:rPr>
        <w:t>years old, and therefore the number of prevalent patients is likely to be small compared to the incident population.</w:t>
      </w:r>
    </w:p>
    <w:p w:rsidR="009B2D17" w:rsidRPr="009B2D17" w:rsidRDefault="009B2D17" w:rsidP="009B2D17">
      <w:pPr>
        <w:pStyle w:val="ListParagraph"/>
        <w:numPr>
          <w:ilvl w:val="0"/>
          <w:numId w:val="14"/>
        </w:numPr>
        <w:jc w:val="both"/>
        <w:rPr>
          <w:color w:val="000000" w:themeColor="text1"/>
        </w:rPr>
      </w:pPr>
      <w:r w:rsidRPr="009B2D17">
        <w:rPr>
          <w:color w:val="000000" w:themeColor="text1"/>
        </w:rPr>
        <w:t xml:space="preserve">Patients are likely to trial </w:t>
      </w:r>
      <w:proofErr w:type="spellStart"/>
      <w:r w:rsidRPr="009B2D17">
        <w:rPr>
          <w:color w:val="000000" w:themeColor="text1"/>
        </w:rPr>
        <w:t>tocilizumab</w:t>
      </w:r>
      <w:proofErr w:type="spellEnd"/>
      <w:r w:rsidRPr="009B2D17">
        <w:rPr>
          <w:color w:val="000000" w:themeColor="text1"/>
        </w:rPr>
        <w:t xml:space="preserve"> as there are no other treatments available for GCA. However, it is unlikely uptake will be </w:t>
      </w:r>
      <w:r w:rsidR="00C6772C">
        <w:rPr>
          <w:noProof/>
          <w:color w:val="000000"/>
          <w:highlight w:val="black"/>
        </w:rPr>
        <w:t>'''''''</w:t>
      </w:r>
      <w:r w:rsidRPr="009B2D17">
        <w:rPr>
          <w:color w:val="000000" w:themeColor="text1"/>
        </w:rPr>
        <w:t>% due to potential side effects which are more likely in older patients.</w:t>
      </w:r>
    </w:p>
    <w:p w:rsidR="00260AB6" w:rsidRDefault="009B2D17" w:rsidP="00EF0B7C">
      <w:pPr>
        <w:pStyle w:val="ListParagraph"/>
        <w:numPr>
          <w:ilvl w:val="0"/>
          <w:numId w:val="14"/>
        </w:numPr>
        <w:spacing w:after="120"/>
        <w:ind w:left="1434" w:hanging="357"/>
        <w:jc w:val="both"/>
        <w:rPr>
          <w:color w:val="000000" w:themeColor="text1"/>
        </w:rPr>
      </w:pPr>
      <w:r w:rsidRPr="009B2D17">
        <w:rPr>
          <w:color w:val="000000" w:themeColor="text1"/>
        </w:rPr>
        <w:t>The trial-based drug use of 85% should be the base case compliance rate.</w:t>
      </w:r>
    </w:p>
    <w:p w:rsidR="00826E68" w:rsidRDefault="006F5195" w:rsidP="008D6D40">
      <w:pPr>
        <w:pStyle w:val="ListParagraph"/>
        <w:numPr>
          <w:ilvl w:val="1"/>
          <w:numId w:val="1"/>
        </w:numPr>
        <w:spacing w:after="120"/>
        <w:ind w:left="720" w:hanging="720"/>
        <w:jc w:val="both"/>
        <w:rPr>
          <w:color w:val="000000" w:themeColor="text1"/>
        </w:rPr>
      </w:pPr>
      <w:r w:rsidRPr="006F5195">
        <w:rPr>
          <w:color w:val="000000" w:themeColor="text1"/>
        </w:rPr>
        <w:t xml:space="preserve">Overall, DUSC considered the estimates presented in the submission were overestimated. </w:t>
      </w:r>
    </w:p>
    <w:p w:rsidR="00EF0B7C" w:rsidRDefault="008D6D40" w:rsidP="00EF0B7C">
      <w:pPr>
        <w:pStyle w:val="ListParagraph"/>
        <w:numPr>
          <w:ilvl w:val="1"/>
          <w:numId w:val="1"/>
        </w:numPr>
        <w:spacing w:after="120"/>
        <w:ind w:left="720" w:hanging="720"/>
        <w:jc w:val="both"/>
        <w:rPr>
          <w:color w:val="000000" w:themeColor="text1"/>
        </w:rPr>
      </w:pPr>
      <w:r>
        <w:rPr>
          <w:color w:val="000000" w:themeColor="text1"/>
        </w:rPr>
        <w:t xml:space="preserve">The pre-PBAC response </w:t>
      </w:r>
      <w:r w:rsidR="00EF0B7C">
        <w:rPr>
          <w:color w:val="000000" w:themeColor="text1"/>
        </w:rPr>
        <w:t>revis</w:t>
      </w:r>
      <w:r>
        <w:rPr>
          <w:color w:val="000000" w:themeColor="text1"/>
        </w:rPr>
        <w:t>ed</w:t>
      </w:r>
      <w:r w:rsidR="00EF0B7C">
        <w:rPr>
          <w:color w:val="000000" w:themeColor="text1"/>
        </w:rPr>
        <w:t xml:space="preserve"> the</w:t>
      </w:r>
      <w:r>
        <w:rPr>
          <w:color w:val="000000" w:themeColor="text1"/>
        </w:rPr>
        <w:t xml:space="preserve"> financial estimates</w:t>
      </w:r>
      <w:r w:rsidR="00EF0B7C">
        <w:rPr>
          <w:color w:val="000000" w:themeColor="text1"/>
        </w:rPr>
        <w:t xml:space="preserve"> to incorporate DUSC’s advice that the compliance rate should be 85% (based on usage in the trial), and to reduce the price of </w:t>
      </w:r>
      <w:proofErr w:type="spellStart"/>
      <w:r w:rsidR="00EF0B7C">
        <w:rPr>
          <w:color w:val="000000" w:themeColor="text1"/>
        </w:rPr>
        <w:t>tocilizumab</w:t>
      </w:r>
      <w:proofErr w:type="spellEnd"/>
      <w:r w:rsidR="00EF0B7C">
        <w:rPr>
          <w:color w:val="000000" w:themeColor="text1"/>
        </w:rPr>
        <w:t xml:space="preserve"> (based on the </w:t>
      </w:r>
      <w:proofErr w:type="spellStart"/>
      <w:r w:rsidR="00EF0B7C">
        <w:rPr>
          <w:color w:val="000000" w:themeColor="text1"/>
        </w:rPr>
        <w:t>tocilizumab</w:t>
      </w:r>
      <w:proofErr w:type="spellEnd"/>
      <w:r w:rsidR="00EF0B7C">
        <w:rPr>
          <w:color w:val="000000" w:themeColor="text1"/>
        </w:rPr>
        <w:t xml:space="preserve"> price in rheumatoid arthritis likely being reduced by </w:t>
      </w:r>
      <w:r w:rsidR="00C6772C">
        <w:rPr>
          <w:noProof/>
          <w:color w:val="000000"/>
          <w:highlight w:val="black"/>
        </w:rPr>
        <w:t>'''''</w:t>
      </w:r>
      <w:r w:rsidR="00EF0B7C">
        <w:rPr>
          <w:color w:val="000000" w:themeColor="text1"/>
        </w:rPr>
        <w:t xml:space="preserve">%). These revisions reduced the net cost to the PBS/RPBS from </w:t>
      </w:r>
      <w:r w:rsidR="00DD3547">
        <w:rPr>
          <w:color w:val="000000" w:themeColor="text1"/>
        </w:rPr>
        <w:t>$60 – $100 million</w:t>
      </w:r>
      <w:r w:rsidR="00EF0B7C" w:rsidRPr="00EF0B7C">
        <w:rPr>
          <w:color w:val="000000" w:themeColor="text1"/>
        </w:rPr>
        <w:t xml:space="preserve"> </w:t>
      </w:r>
      <w:r w:rsidR="00EF0B7C">
        <w:rPr>
          <w:color w:val="000000" w:themeColor="text1"/>
        </w:rPr>
        <w:t xml:space="preserve">to </w:t>
      </w:r>
      <w:r w:rsidR="00DD3547">
        <w:rPr>
          <w:color w:val="000000" w:themeColor="text1"/>
        </w:rPr>
        <w:t>$60 – $100 million</w:t>
      </w:r>
      <w:r w:rsidR="00DD3547" w:rsidRPr="00EF0B7C">
        <w:rPr>
          <w:color w:val="000000" w:themeColor="text1"/>
        </w:rPr>
        <w:t xml:space="preserve"> </w:t>
      </w:r>
      <w:r w:rsidR="00EF0B7C" w:rsidRPr="00EF0B7C">
        <w:rPr>
          <w:color w:val="000000" w:themeColor="text1"/>
        </w:rPr>
        <w:t>in the first 6 years of</w:t>
      </w:r>
      <w:r w:rsidR="00EF0B7C">
        <w:rPr>
          <w:color w:val="000000" w:themeColor="text1"/>
        </w:rPr>
        <w:t xml:space="preserve"> listing.</w:t>
      </w:r>
    </w:p>
    <w:p w:rsidR="008D6D40" w:rsidRDefault="008D6D40" w:rsidP="00901F1C">
      <w:pPr>
        <w:pStyle w:val="ListParagraph"/>
        <w:numPr>
          <w:ilvl w:val="1"/>
          <w:numId w:val="1"/>
        </w:numPr>
        <w:spacing w:after="120"/>
        <w:ind w:left="720" w:hanging="720"/>
        <w:jc w:val="both"/>
        <w:rPr>
          <w:color w:val="000000" w:themeColor="text1"/>
        </w:rPr>
      </w:pPr>
      <w:r>
        <w:rPr>
          <w:color w:val="000000" w:themeColor="text1"/>
        </w:rPr>
        <w:lastRenderedPageBreak/>
        <w:t xml:space="preserve">The pre-PBAC response also acknowledged that the incidence of GCA is uncertain and conducted a sensitivity analysis which used an incidence rate </w:t>
      </w:r>
      <w:r w:rsidR="00C6772C">
        <w:rPr>
          <w:noProof/>
          <w:color w:val="000000"/>
          <w:highlight w:val="black"/>
        </w:rPr>
        <w:t>''''''''''</w:t>
      </w:r>
      <w:r>
        <w:rPr>
          <w:color w:val="000000" w:themeColor="text1"/>
        </w:rPr>
        <w:t xml:space="preserve"> that reported in Dunstan (</w:t>
      </w:r>
      <w:r w:rsidR="00171C94">
        <w:rPr>
          <w:color w:val="000000" w:themeColor="text1"/>
        </w:rPr>
        <w:t xml:space="preserve">resulting in an incidence of </w:t>
      </w:r>
      <w:r w:rsidR="00C6772C">
        <w:rPr>
          <w:noProof/>
          <w:color w:val="000000"/>
          <w:highlight w:val="black"/>
        </w:rPr>
        <w:t>'''''''</w:t>
      </w:r>
      <w:r>
        <w:rPr>
          <w:color w:val="000000" w:themeColor="text1"/>
        </w:rPr>
        <w:t xml:space="preserve"> per 100,000 persons aged </w:t>
      </w:r>
      <w:r w:rsidRPr="008D6D40">
        <w:rPr>
          <w:color w:val="000000" w:themeColor="text1"/>
        </w:rPr>
        <w:t>&gt;50 years</w:t>
      </w:r>
      <w:r>
        <w:rPr>
          <w:color w:val="000000" w:themeColor="text1"/>
        </w:rPr>
        <w:t>).</w:t>
      </w:r>
      <w:r w:rsidR="00171C94">
        <w:rPr>
          <w:color w:val="000000" w:themeColor="text1"/>
        </w:rPr>
        <w:t xml:space="preserve"> </w:t>
      </w:r>
      <w:r w:rsidR="00171C94" w:rsidRPr="00171C94">
        <w:rPr>
          <w:color w:val="000000" w:themeColor="text1"/>
        </w:rPr>
        <w:t>Th</w:t>
      </w:r>
      <w:r w:rsidR="00171C94">
        <w:rPr>
          <w:color w:val="000000" w:themeColor="text1"/>
        </w:rPr>
        <w:t>is value was chosen because th</w:t>
      </w:r>
      <w:r w:rsidR="00171C94" w:rsidRPr="00171C94">
        <w:rPr>
          <w:color w:val="000000" w:themeColor="text1"/>
        </w:rPr>
        <w:t xml:space="preserve">e submission stated, “Discussion with Roche’s advisory board supported the incidence being considered low and consensus was that a more realistic estimate was to </w:t>
      </w:r>
      <w:r w:rsidR="00C6772C">
        <w:rPr>
          <w:noProof/>
          <w:color w:val="000000"/>
          <w:highlight w:val="black"/>
        </w:rPr>
        <w:t>''''''''''''''</w:t>
      </w:r>
      <w:r w:rsidR="00171C94" w:rsidRPr="00171C94">
        <w:rPr>
          <w:color w:val="000000" w:themeColor="text1"/>
        </w:rPr>
        <w:t xml:space="preserve"> the incidence reported by Dunstan.”</w:t>
      </w:r>
      <w:r w:rsidR="00171C94">
        <w:rPr>
          <w:color w:val="000000" w:themeColor="text1"/>
        </w:rPr>
        <w:t xml:space="preserve"> The PBAC noted that this resulted in a </w:t>
      </w:r>
      <w:r w:rsidR="00171C94" w:rsidRPr="00171C94">
        <w:rPr>
          <w:color w:val="000000" w:themeColor="text1"/>
        </w:rPr>
        <w:t xml:space="preserve">net cost to the PBS/RPBS </w:t>
      </w:r>
      <w:r w:rsidR="00901F1C">
        <w:rPr>
          <w:color w:val="000000" w:themeColor="text1"/>
        </w:rPr>
        <w:t xml:space="preserve">of </w:t>
      </w:r>
      <w:r w:rsidR="00C47324">
        <w:rPr>
          <w:color w:val="000000" w:themeColor="text1"/>
        </w:rPr>
        <w:t>$30 – $60 million</w:t>
      </w:r>
      <w:r w:rsidR="00171C94" w:rsidRPr="00171C94">
        <w:rPr>
          <w:color w:val="000000" w:themeColor="text1"/>
        </w:rPr>
        <w:t xml:space="preserve"> in the first 6 years of listing</w:t>
      </w:r>
      <w:r w:rsidR="00BE5C99">
        <w:rPr>
          <w:color w:val="000000" w:themeColor="text1"/>
        </w:rPr>
        <w:t>.</w:t>
      </w:r>
    </w:p>
    <w:p w:rsidR="006F5195" w:rsidRDefault="00CE0511" w:rsidP="00E3370D">
      <w:pPr>
        <w:pStyle w:val="ListParagraph"/>
        <w:numPr>
          <w:ilvl w:val="1"/>
          <w:numId w:val="1"/>
        </w:numPr>
        <w:spacing w:after="120"/>
        <w:ind w:left="720" w:hanging="720"/>
        <w:jc w:val="both"/>
        <w:rPr>
          <w:color w:val="000000" w:themeColor="text1"/>
        </w:rPr>
      </w:pPr>
      <w:r>
        <w:rPr>
          <w:color w:val="000000" w:themeColor="text1"/>
        </w:rPr>
        <w:t>The PBAC considered that t</w:t>
      </w:r>
      <w:r w:rsidR="006F5195" w:rsidRPr="006F5195">
        <w:rPr>
          <w:color w:val="000000" w:themeColor="text1"/>
        </w:rPr>
        <w:t xml:space="preserve">here is potential for use outside the proposed restriction to treat polymyalgia </w:t>
      </w:r>
      <w:proofErr w:type="spellStart"/>
      <w:r w:rsidR="006F5195" w:rsidRPr="006F5195">
        <w:rPr>
          <w:color w:val="000000" w:themeColor="text1"/>
        </w:rPr>
        <w:t>rheumatica</w:t>
      </w:r>
      <w:proofErr w:type="spellEnd"/>
      <w:r w:rsidR="006F5195" w:rsidRPr="006F5195">
        <w:rPr>
          <w:color w:val="000000" w:themeColor="text1"/>
        </w:rPr>
        <w:t xml:space="preserve"> </w:t>
      </w:r>
      <w:r w:rsidR="00E3370D" w:rsidRPr="00E3370D">
        <w:rPr>
          <w:color w:val="000000" w:themeColor="text1"/>
        </w:rPr>
        <w:t xml:space="preserve">(i.e. without concomitant GCA) </w:t>
      </w:r>
      <w:r w:rsidR="006F5195" w:rsidRPr="006F5195">
        <w:rPr>
          <w:color w:val="000000" w:themeColor="text1"/>
        </w:rPr>
        <w:t>and other types of vasculitis.</w:t>
      </w:r>
    </w:p>
    <w:p w:rsidR="00BE0710" w:rsidRPr="000D4B93" w:rsidRDefault="00C317F3" w:rsidP="000A734B">
      <w:pPr>
        <w:pStyle w:val="Heading2"/>
      </w:pPr>
      <w:bookmarkStart w:id="41" w:name="_Toc413139286"/>
      <w:bookmarkStart w:id="42" w:name="_Toc523934614"/>
      <w:r w:rsidRPr="000D4B93">
        <w:t xml:space="preserve">Financial </w:t>
      </w:r>
      <w:r w:rsidR="00661286" w:rsidRPr="000D4B93">
        <w:t>m</w:t>
      </w:r>
      <w:r w:rsidRPr="000D4B93">
        <w:t xml:space="preserve">anagement – </w:t>
      </w:r>
      <w:r w:rsidR="00661286" w:rsidRPr="000D4B93">
        <w:t>r</w:t>
      </w:r>
      <w:r w:rsidRPr="000D4B93">
        <w:t xml:space="preserve">isk </w:t>
      </w:r>
      <w:r w:rsidR="00661286" w:rsidRPr="000D4B93">
        <w:t>s</w:t>
      </w:r>
      <w:r w:rsidRPr="000D4B93">
        <w:t xml:space="preserve">haring </w:t>
      </w:r>
      <w:r w:rsidR="00661286" w:rsidRPr="000D4B93">
        <w:t>a</w:t>
      </w:r>
      <w:r w:rsidRPr="000D4B93">
        <w:t>rrangements</w:t>
      </w:r>
      <w:bookmarkEnd w:id="41"/>
      <w:bookmarkEnd w:id="42"/>
    </w:p>
    <w:p w:rsidR="00C317F3" w:rsidRDefault="00AF376D" w:rsidP="009722D0">
      <w:pPr>
        <w:pStyle w:val="ListParagraph"/>
        <w:numPr>
          <w:ilvl w:val="1"/>
          <w:numId w:val="1"/>
        </w:numPr>
        <w:spacing w:after="120"/>
        <w:ind w:left="720" w:hanging="720"/>
        <w:jc w:val="both"/>
        <w:rPr>
          <w:color w:val="000000" w:themeColor="text1"/>
        </w:rPr>
      </w:pPr>
      <w:r w:rsidRPr="0068463E">
        <w:rPr>
          <w:color w:val="000000" w:themeColor="text1"/>
        </w:rPr>
        <w:t xml:space="preserve">The submission </w:t>
      </w:r>
      <w:r w:rsidR="00CE0511">
        <w:rPr>
          <w:color w:val="000000" w:themeColor="text1"/>
        </w:rPr>
        <w:t>stated</w:t>
      </w:r>
      <w:r w:rsidRPr="0068463E">
        <w:rPr>
          <w:color w:val="000000" w:themeColor="text1"/>
        </w:rPr>
        <w:t xml:space="preserve"> that the sponsor is willing to consider a risk share arrangement </w:t>
      </w:r>
      <w:r w:rsidR="00E3370D">
        <w:rPr>
          <w:color w:val="000000" w:themeColor="text1"/>
        </w:rPr>
        <w:t xml:space="preserve">(RSA) </w:t>
      </w:r>
      <w:r w:rsidRPr="0068463E">
        <w:rPr>
          <w:color w:val="000000" w:themeColor="text1"/>
        </w:rPr>
        <w:t>to reduce the uncertainty associated with budget impact estimates.</w:t>
      </w:r>
    </w:p>
    <w:p w:rsidR="00C02C1D" w:rsidRDefault="009E15BB" w:rsidP="009722D0">
      <w:pPr>
        <w:pStyle w:val="ListParagraph"/>
        <w:numPr>
          <w:ilvl w:val="1"/>
          <w:numId w:val="1"/>
        </w:numPr>
        <w:spacing w:after="120"/>
        <w:ind w:left="720" w:hanging="720"/>
        <w:jc w:val="both"/>
        <w:rPr>
          <w:color w:val="000000" w:themeColor="text1"/>
        </w:rPr>
      </w:pPr>
      <w:r w:rsidRPr="000D4B93">
        <w:rPr>
          <w:color w:val="000000" w:themeColor="text1"/>
        </w:rPr>
        <w:t xml:space="preserve">The ESC </w:t>
      </w:r>
      <w:r w:rsidR="00A576E3" w:rsidRPr="000D4B93">
        <w:rPr>
          <w:color w:val="000000" w:themeColor="text1"/>
        </w:rPr>
        <w:t>considered t</w:t>
      </w:r>
      <w:r w:rsidR="00E3370D">
        <w:rPr>
          <w:color w:val="000000" w:themeColor="text1"/>
        </w:rPr>
        <w:t xml:space="preserve">hat an RSA </w:t>
      </w:r>
      <w:r w:rsidR="00A576E3" w:rsidRPr="000D4B93">
        <w:rPr>
          <w:color w:val="000000" w:themeColor="text1"/>
        </w:rPr>
        <w:t xml:space="preserve">would be </w:t>
      </w:r>
      <w:r w:rsidR="000F61C1" w:rsidRPr="000D4B93">
        <w:rPr>
          <w:color w:val="000000" w:themeColor="text1"/>
        </w:rPr>
        <w:t xml:space="preserve">required to manage the </w:t>
      </w:r>
      <w:r w:rsidR="005A37EC" w:rsidRPr="000D4B93">
        <w:rPr>
          <w:color w:val="000000" w:themeColor="text1"/>
        </w:rPr>
        <w:t>uncertain patient population</w:t>
      </w:r>
      <w:r w:rsidR="00E26F28" w:rsidRPr="000D4B93">
        <w:rPr>
          <w:color w:val="000000" w:themeColor="text1"/>
        </w:rPr>
        <w:t>.</w:t>
      </w:r>
      <w:r w:rsidR="009B2D17">
        <w:rPr>
          <w:color w:val="000000" w:themeColor="text1"/>
        </w:rPr>
        <w:t xml:space="preserve"> </w:t>
      </w:r>
    </w:p>
    <w:p w:rsidR="00C02C1D" w:rsidRPr="00525B39" w:rsidRDefault="00C02C1D" w:rsidP="000A734B">
      <w:pPr>
        <w:pStyle w:val="Heading1"/>
        <w:rPr>
          <w:snapToGrid w:val="0"/>
        </w:rPr>
      </w:pPr>
      <w:r w:rsidRPr="00525B39">
        <w:rPr>
          <w:snapToGrid w:val="0"/>
        </w:rPr>
        <w:t>PBAC Outcome</w:t>
      </w:r>
    </w:p>
    <w:p w:rsidR="00C02C1D" w:rsidRPr="00201CC7" w:rsidRDefault="00D52F7F" w:rsidP="00D82D12">
      <w:pPr>
        <w:pStyle w:val="ListParagraph"/>
        <w:numPr>
          <w:ilvl w:val="1"/>
          <w:numId w:val="1"/>
        </w:numPr>
        <w:spacing w:after="120"/>
        <w:ind w:left="567" w:hanging="567"/>
        <w:jc w:val="both"/>
        <w:rPr>
          <w:rFonts w:cs="Arial"/>
          <w:bCs/>
          <w:snapToGrid w:val="0"/>
          <w:lang w:val="en-GB"/>
        </w:rPr>
      </w:pPr>
      <w:r w:rsidRPr="00201CC7">
        <w:rPr>
          <w:rFonts w:cs="Arial"/>
          <w:bCs/>
          <w:snapToGrid w:val="0"/>
          <w:lang w:val="en-GB"/>
        </w:rPr>
        <w:t xml:space="preserve">The PBAC deferred making a decision </w:t>
      </w:r>
      <w:r w:rsidR="00CF0BF9" w:rsidRPr="00201CC7">
        <w:rPr>
          <w:rFonts w:cs="Arial"/>
          <w:bCs/>
          <w:snapToGrid w:val="0"/>
          <w:lang w:val="en-GB"/>
        </w:rPr>
        <w:t xml:space="preserve">regarding the listing </w:t>
      </w:r>
      <w:proofErr w:type="spellStart"/>
      <w:r w:rsidRPr="00201CC7">
        <w:rPr>
          <w:rFonts w:cs="Arial"/>
          <w:bCs/>
          <w:snapToGrid w:val="0"/>
          <w:lang w:val="en-GB"/>
        </w:rPr>
        <w:t>tocilizumab</w:t>
      </w:r>
      <w:proofErr w:type="spellEnd"/>
      <w:r w:rsidRPr="00201CC7">
        <w:rPr>
          <w:rFonts w:cs="Arial"/>
          <w:bCs/>
          <w:snapToGrid w:val="0"/>
          <w:lang w:val="en-GB"/>
        </w:rPr>
        <w:t xml:space="preserve"> for the treatment of giant cell arteritis (GCA)</w:t>
      </w:r>
      <w:r w:rsidR="00B82972" w:rsidRPr="00201CC7">
        <w:rPr>
          <w:rFonts w:cs="Arial"/>
          <w:bCs/>
          <w:snapToGrid w:val="0"/>
          <w:lang w:val="en-GB"/>
        </w:rPr>
        <w:t xml:space="preserve">. </w:t>
      </w:r>
      <w:r w:rsidR="00F30A1D" w:rsidRPr="004329D1">
        <w:rPr>
          <w:rFonts w:cs="Arial"/>
          <w:bCs/>
          <w:snapToGrid w:val="0"/>
          <w:lang w:val="en-GB"/>
        </w:rPr>
        <w:t xml:space="preserve">The PBAC noted the trial data showed that </w:t>
      </w:r>
      <w:proofErr w:type="spellStart"/>
      <w:r w:rsidR="00F30A1D" w:rsidRPr="004329D1">
        <w:rPr>
          <w:rFonts w:cs="Arial"/>
          <w:bCs/>
          <w:snapToGrid w:val="0"/>
          <w:lang w:val="en-GB"/>
        </w:rPr>
        <w:t>tocilizumab</w:t>
      </w:r>
      <w:proofErr w:type="spellEnd"/>
      <w:r w:rsidR="00F30A1D" w:rsidRPr="004329D1">
        <w:rPr>
          <w:rFonts w:cs="Arial"/>
          <w:bCs/>
          <w:snapToGrid w:val="0"/>
          <w:lang w:val="en-GB"/>
        </w:rPr>
        <w:t xml:space="preserve"> </w:t>
      </w:r>
      <w:r w:rsidR="00823AD3">
        <w:rPr>
          <w:rFonts w:cs="Arial"/>
          <w:bCs/>
          <w:snapToGrid w:val="0"/>
          <w:lang w:val="en-GB"/>
        </w:rPr>
        <w:t xml:space="preserve">(weekly or fortnightly) </w:t>
      </w:r>
      <w:r w:rsidR="00F30A1D" w:rsidRPr="004329D1">
        <w:rPr>
          <w:rFonts w:cs="Arial"/>
          <w:bCs/>
          <w:snapToGrid w:val="0"/>
          <w:lang w:val="en-GB"/>
        </w:rPr>
        <w:t>was associated with a statistically significant increase in response rates compared with placebo plus a 52-week prednisone taper</w:t>
      </w:r>
      <w:r w:rsidR="00F30A1D">
        <w:rPr>
          <w:rFonts w:cs="Arial"/>
          <w:bCs/>
          <w:snapToGrid w:val="0"/>
          <w:lang w:val="en-GB"/>
        </w:rPr>
        <w:t>, and</w:t>
      </w:r>
      <w:r w:rsidR="00F30A1D" w:rsidRPr="004329D1">
        <w:rPr>
          <w:rFonts w:cs="Arial"/>
          <w:bCs/>
          <w:snapToGrid w:val="0"/>
          <w:lang w:val="en-GB"/>
        </w:rPr>
        <w:t xml:space="preserve"> considered this was an important clinical benefit in this condition.</w:t>
      </w:r>
      <w:r w:rsidR="00F30A1D">
        <w:rPr>
          <w:rFonts w:cs="Arial"/>
          <w:bCs/>
          <w:snapToGrid w:val="0"/>
          <w:lang w:val="en-GB"/>
        </w:rPr>
        <w:t xml:space="preserve"> </w:t>
      </w:r>
      <w:r w:rsidR="00184FC2">
        <w:rPr>
          <w:rFonts w:cs="Arial"/>
          <w:bCs/>
          <w:snapToGrid w:val="0"/>
          <w:lang w:val="en-GB"/>
        </w:rPr>
        <w:t xml:space="preserve">The PBAC considered </w:t>
      </w:r>
      <w:r w:rsidR="004D616F">
        <w:rPr>
          <w:rFonts w:cs="Arial"/>
          <w:bCs/>
          <w:snapToGrid w:val="0"/>
          <w:lang w:val="en-GB"/>
        </w:rPr>
        <w:t xml:space="preserve">that </w:t>
      </w:r>
      <w:proofErr w:type="spellStart"/>
      <w:r w:rsidR="00184FC2">
        <w:rPr>
          <w:rFonts w:cs="Arial"/>
          <w:bCs/>
          <w:snapToGrid w:val="0"/>
          <w:lang w:val="en-GB"/>
        </w:rPr>
        <w:t>tocilizumab</w:t>
      </w:r>
      <w:proofErr w:type="spellEnd"/>
      <w:r w:rsidR="00184FC2">
        <w:rPr>
          <w:rFonts w:cs="Arial"/>
          <w:bCs/>
          <w:snapToGrid w:val="0"/>
          <w:lang w:val="en-GB"/>
        </w:rPr>
        <w:t xml:space="preserve"> treatment for GCA was </w:t>
      </w:r>
      <w:r w:rsidR="00184FC2" w:rsidRPr="00184FC2">
        <w:rPr>
          <w:rFonts w:cs="Arial"/>
          <w:bCs/>
          <w:snapToGrid w:val="0"/>
          <w:lang w:val="en-GB"/>
        </w:rPr>
        <w:t>likely to be c</w:t>
      </w:r>
      <w:r w:rsidR="00184FC2">
        <w:rPr>
          <w:rFonts w:cs="Arial"/>
          <w:bCs/>
          <w:snapToGrid w:val="0"/>
          <w:lang w:val="en-GB"/>
        </w:rPr>
        <w:t xml:space="preserve">ost-effective given: the </w:t>
      </w:r>
      <w:r w:rsidR="00C6772C">
        <w:rPr>
          <w:rFonts w:cs="Arial"/>
          <w:bCs/>
          <w:noProof/>
          <w:snapToGrid w:val="0"/>
          <w:color w:val="000000"/>
          <w:highlight w:val="black"/>
          <w:lang w:val="en-GB"/>
        </w:rPr>
        <w:t>'''''</w:t>
      </w:r>
      <w:r w:rsidR="00184FC2">
        <w:rPr>
          <w:rFonts w:cs="Arial"/>
          <w:bCs/>
          <w:snapToGrid w:val="0"/>
          <w:lang w:val="en-GB"/>
        </w:rPr>
        <w:t xml:space="preserve">% price reduction </w:t>
      </w:r>
      <w:r w:rsidR="00184FC2" w:rsidRPr="003476E0">
        <w:rPr>
          <w:rFonts w:cs="Arial"/>
          <w:bCs/>
          <w:snapToGrid w:val="0"/>
          <w:lang w:val="en-GB"/>
        </w:rPr>
        <w:t>offered in the pre-PBAC respons</w:t>
      </w:r>
      <w:r w:rsidR="00184FC2">
        <w:rPr>
          <w:rFonts w:cs="Arial"/>
          <w:bCs/>
          <w:snapToGrid w:val="0"/>
          <w:lang w:val="en-GB"/>
        </w:rPr>
        <w:t xml:space="preserve">e; that </w:t>
      </w:r>
      <w:r w:rsidR="00823AD3">
        <w:rPr>
          <w:rFonts w:cs="Arial"/>
          <w:bCs/>
          <w:snapToGrid w:val="0"/>
          <w:lang w:val="en-GB"/>
        </w:rPr>
        <w:t>a proportion of patients c</w:t>
      </w:r>
      <w:r w:rsidR="00F30A1D">
        <w:rPr>
          <w:rFonts w:cs="Arial"/>
          <w:bCs/>
          <w:snapToGrid w:val="0"/>
          <w:lang w:val="en-GB"/>
        </w:rPr>
        <w:t>ould be treated fortnightly (rather than weekly)</w:t>
      </w:r>
      <w:r w:rsidR="00184FC2">
        <w:rPr>
          <w:rFonts w:cs="Arial"/>
          <w:bCs/>
          <w:snapToGrid w:val="0"/>
          <w:lang w:val="en-GB"/>
        </w:rPr>
        <w:t>;</w:t>
      </w:r>
      <w:r w:rsidR="00A15C81">
        <w:rPr>
          <w:rFonts w:cs="Arial"/>
          <w:bCs/>
          <w:snapToGrid w:val="0"/>
          <w:lang w:val="en-GB"/>
        </w:rPr>
        <w:t xml:space="preserve"> and that </w:t>
      </w:r>
      <w:proofErr w:type="spellStart"/>
      <w:r w:rsidR="00A15C81">
        <w:rPr>
          <w:rFonts w:cs="Arial"/>
          <w:bCs/>
          <w:snapToGrid w:val="0"/>
          <w:lang w:val="en-GB"/>
        </w:rPr>
        <w:t>tocilizumab</w:t>
      </w:r>
      <w:proofErr w:type="spellEnd"/>
      <w:r w:rsidR="00A15C81">
        <w:rPr>
          <w:rFonts w:cs="Arial"/>
          <w:bCs/>
          <w:snapToGrid w:val="0"/>
          <w:lang w:val="en-GB"/>
        </w:rPr>
        <w:t xml:space="preserve"> treatment would be limited to 12 months in line with trial evidence</w:t>
      </w:r>
      <w:r w:rsidR="00F30A1D">
        <w:rPr>
          <w:rFonts w:cs="Arial"/>
          <w:bCs/>
          <w:snapToGrid w:val="0"/>
          <w:lang w:val="en-GB"/>
        </w:rPr>
        <w:t xml:space="preserve">. The PBAC deferred making a decision to seek further information regarding the restriction and for the financial caps to be revised to account for fortnightly dosing. </w:t>
      </w:r>
      <w:r w:rsidR="00F30A1D" w:rsidRPr="004329D1">
        <w:rPr>
          <w:rFonts w:cs="Arial"/>
          <w:bCs/>
          <w:snapToGrid w:val="0"/>
          <w:lang w:val="en-GB"/>
        </w:rPr>
        <w:t xml:space="preserve"> </w:t>
      </w:r>
    </w:p>
    <w:p w:rsidR="00617040" w:rsidRPr="002F5379" w:rsidRDefault="003476E0" w:rsidP="00D82D12">
      <w:pPr>
        <w:pStyle w:val="ListParagraph"/>
        <w:numPr>
          <w:ilvl w:val="1"/>
          <w:numId w:val="1"/>
        </w:numPr>
        <w:spacing w:after="120"/>
        <w:ind w:left="567" w:hanging="567"/>
        <w:jc w:val="both"/>
        <w:rPr>
          <w:rFonts w:cs="Arial"/>
          <w:bCs/>
          <w:snapToGrid w:val="0"/>
          <w:lang w:val="en-GB"/>
        </w:rPr>
      </w:pPr>
      <w:r>
        <w:rPr>
          <w:rFonts w:cs="Arial"/>
          <w:bCs/>
          <w:snapToGrid w:val="0"/>
          <w:lang w:val="en-GB"/>
        </w:rPr>
        <w:t>In deciding to defer, t</w:t>
      </w:r>
      <w:r w:rsidR="00617040" w:rsidRPr="002F5379">
        <w:rPr>
          <w:rFonts w:cs="Arial"/>
          <w:bCs/>
          <w:snapToGrid w:val="0"/>
          <w:lang w:val="en-GB"/>
        </w:rPr>
        <w:t xml:space="preserve">he PBAC considered there was a </w:t>
      </w:r>
      <w:r w:rsidR="002F5379" w:rsidRPr="002F5379">
        <w:rPr>
          <w:rFonts w:cs="Arial"/>
          <w:bCs/>
          <w:snapToGrid w:val="0"/>
          <w:lang w:val="en-GB"/>
        </w:rPr>
        <w:t xml:space="preserve">high </w:t>
      </w:r>
      <w:r w:rsidR="002F5379">
        <w:rPr>
          <w:rFonts w:cs="Arial"/>
          <w:bCs/>
          <w:snapToGrid w:val="0"/>
          <w:lang w:val="en-GB"/>
        </w:rPr>
        <w:t xml:space="preserve">unmet </w:t>
      </w:r>
      <w:r w:rsidR="00617040" w:rsidRPr="002F5379">
        <w:rPr>
          <w:rFonts w:cs="Arial"/>
          <w:bCs/>
          <w:snapToGrid w:val="0"/>
          <w:lang w:val="en-GB"/>
        </w:rPr>
        <w:t xml:space="preserve">clinical need for effective treatments for GCA particularly given the adverse events </w:t>
      </w:r>
      <w:r w:rsidR="002F5379">
        <w:rPr>
          <w:rFonts w:cs="Arial"/>
          <w:bCs/>
          <w:snapToGrid w:val="0"/>
          <w:lang w:val="en-GB"/>
        </w:rPr>
        <w:t>associated with</w:t>
      </w:r>
      <w:r w:rsidR="00617040" w:rsidRPr="002F5379">
        <w:rPr>
          <w:rFonts w:cs="Arial"/>
          <w:bCs/>
          <w:snapToGrid w:val="0"/>
          <w:lang w:val="en-GB"/>
        </w:rPr>
        <w:t xml:space="preserve"> corticosteroids in this population who are </w:t>
      </w:r>
      <w:r w:rsidR="002F5379" w:rsidRPr="002F5379">
        <w:rPr>
          <w:rFonts w:cs="Arial"/>
          <w:bCs/>
          <w:snapToGrid w:val="0"/>
          <w:lang w:val="en-GB"/>
        </w:rPr>
        <w:t>often</w:t>
      </w:r>
      <w:r w:rsidR="002F5379">
        <w:rPr>
          <w:rFonts w:cs="Arial"/>
          <w:bCs/>
          <w:snapToGrid w:val="0"/>
          <w:lang w:val="en-GB"/>
        </w:rPr>
        <w:t xml:space="preserve"> older patients</w:t>
      </w:r>
      <w:r w:rsidR="004D616F" w:rsidRPr="004D616F">
        <w:t xml:space="preserve"> </w:t>
      </w:r>
      <w:r w:rsidR="004D616F" w:rsidRPr="004D616F">
        <w:rPr>
          <w:rFonts w:cs="Arial"/>
          <w:bCs/>
          <w:snapToGrid w:val="0"/>
          <w:lang w:val="en-GB"/>
        </w:rPr>
        <w:t>with comorbidities</w:t>
      </w:r>
      <w:r>
        <w:rPr>
          <w:rFonts w:cs="Arial"/>
          <w:bCs/>
          <w:snapToGrid w:val="0"/>
          <w:lang w:val="en-GB"/>
        </w:rPr>
        <w:t>, and the limited treatment options available</w:t>
      </w:r>
      <w:r w:rsidR="00617040" w:rsidRPr="002F5379">
        <w:rPr>
          <w:rFonts w:cs="Arial"/>
          <w:bCs/>
          <w:snapToGrid w:val="0"/>
          <w:lang w:val="en-GB"/>
        </w:rPr>
        <w:t>.</w:t>
      </w:r>
    </w:p>
    <w:p w:rsidR="00197794" w:rsidRDefault="0001725B" w:rsidP="00D82D12">
      <w:pPr>
        <w:pStyle w:val="ListParagraph"/>
        <w:numPr>
          <w:ilvl w:val="1"/>
          <w:numId w:val="1"/>
        </w:numPr>
        <w:spacing w:after="120"/>
        <w:ind w:left="567" w:hanging="567"/>
        <w:jc w:val="both"/>
        <w:rPr>
          <w:rFonts w:cs="Arial"/>
          <w:bCs/>
          <w:snapToGrid w:val="0"/>
          <w:lang w:val="en-GB"/>
        </w:rPr>
      </w:pPr>
      <w:r w:rsidRPr="00201CC7">
        <w:rPr>
          <w:rFonts w:cs="Arial"/>
          <w:bCs/>
          <w:snapToGrid w:val="0"/>
          <w:lang w:val="en-GB"/>
        </w:rPr>
        <w:t>The PBAC considered that t</w:t>
      </w:r>
      <w:r w:rsidR="001D1F6F" w:rsidRPr="00201CC7">
        <w:rPr>
          <w:rFonts w:cs="Arial"/>
          <w:bCs/>
          <w:snapToGrid w:val="0"/>
          <w:lang w:val="en-GB"/>
        </w:rPr>
        <w:t xml:space="preserve">he clinical need for </w:t>
      </w:r>
      <w:proofErr w:type="spellStart"/>
      <w:r w:rsidR="001D1F6F" w:rsidRPr="00201CC7">
        <w:rPr>
          <w:rFonts w:cs="Arial"/>
          <w:bCs/>
          <w:snapToGrid w:val="0"/>
          <w:lang w:val="en-GB"/>
        </w:rPr>
        <w:t>tocilizumab</w:t>
      </w:r>
      <w:proofErr w:type="spellEnd"/>
      <w:r w:rsidR="001D1F6F" w:rsidRPr="00201CC7">
        <w:rPr>
          <w:rFonts w:cs="Arial"/>
          <w:bCs/>
          <w:snapToGrid w:val="0"/>
          <w:lang w:val="en-GB"/>
        </w:rPr>
        <w:t xml:space="preserve"> is highest in </w:t>
      </w:r>
      <w:r w:rsidRPr="00201CC7">
        <w:rPr>
          <w:rFonts w:cs="Arial"/>
          <w:bCs/>
          <w:snapToGrid w:val="0"/>
          <w:lang w:val="en-GB"/>
        </w:rPr>
        <w:t>patients with relapsed</w:t>
      </w:r>
      <w:r w:rsidR="0027502D" w:rsidRPr="00201CC7">
        <w:rPr>
          <w:rFonts w:cs="Arial"/>
          <w:bCs/>
          <w:snapToGrid w:val="0"/>
          <w:lang w:val="en-GB"/>
        </w:rPr>
        <w:t xml:space="preserve"> or </w:t>
      </w:r>
      <w:r w:rsidRPr="00201CC7">
        <w:rPr>
          <w:rFonts w:cs="Arial"/>
          <w:bCs/>
          <w:snapToGrid w:val="0"/>
          <w:lang w:val="en-GB"/>
        </w:rPr>
        <w:t xml:space="preserve">refractory GCA, </w:t>
      </w:r>
      <w:r w:rsidR="002F5379">
        <w:rPr>
          <w:rFonts w:cs="Arial"/>
          <w:bCs/>
          <w:snapToGrid w:val="0"/>
          <w:lang w:val="en-GB"/>
        </w:rPr>
        <w:t>rather than</w:t>
      </w:r>
      <w:r w:rsidRPr="0001725B">
        <w:rPr>
          <w:rFonts w:cs="Arial"/>
          <w:bCs/>
          <w:snapToGrid w:val="0"/>
          <w:lang w:val="en-GB"/>
        </w:rPr>
        <w:t xml:space="preserve"> </w:t>
      </w:r>
      <w:r w:rsidR="00B8575E">
        <w:rPr>
          <w:rFonts w:cs="Arial"/>
          <w:bCs/>
          <w:snapToGrid w:val="0"/>
          <w:lang w:val="en-GB"/>
        </w:rPr>
        <w:t xml:space="preserve">newly diagnosed patients or those </w:t>
      </w:r>
      <w:r w:rsidRPr="0001725B">
        <w:rPr>
          <w:rFonts w:cs="Arial"/>
          <w:bCs/>
          <w:snapToGrid w:val="0"/>
          <w:lang w:val="en-GB"/>
        </w:rPr>
        <w:t xml:space="preserve">who are adequately controlled on corticosteroids. </w:t>
      </w:r>
      <w:r w:rsidR="001D1F6F">
        <w:rPr>
          <w:rFonts w:cs="Arial"/>
          <w:bCs/>
          <w:snapToGrid w:val="0"/>
          <w:lang w:val="en-GB"/>
        </w:rPr>
        <w:t>While</w:t>
      </w:r>
      <w:r w:rsidRPr="0001725B">
        <w:rPr>
          <w:rFonts w:cs="Arial"/>
          <w:bCs/>
          <w:snapToGrid w:val="0"/>
          <w:lang w:val="en-GB"/>
        </w:rPr>
        <w:t xml:space="preserve"> the </w:t>
      </w:r>
      <w:r>
        <w:rPr>
          <w:rFonts w:cs="Arial"/>
          <w:bCs/>
          <w:snapToGrid w:val="0"/>
          <w:lang w:val="en-GB"/>
        </w:rPr>
        <w:t xml:space="preserve">PBAC </w:t>
      </w:r>
      <w:r w:rsidRPr="0001725B">
        <w:rPr>
          <w:rFonts w:cs="Arial"/>
          <w:bCs/>
          <w:snapToGrid w:val="0"/>
          <w:lang w:val="en-GB"/>
        </w:rPr>
        <w:t xml:space="preserve">considered that it may </w:t>
      </w:r>
      <w:r w:rsidR="001D1F6F">
        <w:rPr>
          <w:rFonts w:cs="Arial"/>
          <w:bCs/>
          <w:snapToGrid w:val="0"/>
          <w:lang w:val="en-GB"/>
        </w:rPr>
        <w:t>be</w:t>
      </w:r>
      <w:r w:rsidRPr="0001725B">
        <w:rPr>
          <w:rFonts w:cs="Arial"/>
          <w:bCs/>
          <w:snapToGrid w:val="0"/>
          <w:lang w:val="en-GB"/>
        </w:rPr>
        <w:t xml:space="preserve"> appropriate to limit </w:t>
      </w:r>
      <w:proofErr w:type="spellStart"/>
      <w:r w:rsidRPr="0001725B">
        <w:rPr>
          <w:rFonts w:cs="Arial"/>
          <w:bCs/>
          <w:snapToGrid w:val="0"/>
          <w:lang w:val="en-GB"/>
        </w:rPr>
        <w:t>tocilizumab</w:t>
      </w:r>
      <w:proofErr w:type="spellEnd"/>
      <w:r w:rsidRPr="0001725B">
        <w:rPr>
          <w:rFonts w:cs="Arial"/>
          <w:bCs/>
          <w:snapToGrid w:val="0"/>
          <w:lang w:val="en-GB"/>
        </w:rPr>
        <w:t xml:space="preserve"> to </w:t>
      </w:r>
      <w:r w:rsidR="00E3370D">
        <w:rPr>
          <w:rFonts w:cs="Arial"/>
          <w:bCs/>
          <w:snapToGrid w:val="0"/>
          <w:lang w:val="en-GB"/>
        </w:rPr>
        <w:t>those patients who are likely to benefit</w:t>
      </w:r>
      <w:r w:rsidR="001D1F6F">
        <w:rPr>
          <w:rFonts w:cs="Arial"/>
          <w:bCs/>
          <w:snapToGrid w:val="0"/>
          <w:lang w:val="en-GB"/>
        </w:rPr>
        <w:t xml:space="preserve"> </w:t>
      </w:r>
      <w:r w:rsidR="00E3370D">
        <w:rPr>
          <w:rFonts w:cs="Arial"/>
          <w:bCs/>
          <w:snapToGrid w:val="0"/>
          <w:lang w:val="en-GB"/>
        </w:rPr>
        <w:t>the most</w:t>
      </w:r>
      <w:r w:rsidR="001D1F6F">
        <w:rPr>
          <w:rFonts w:cs="Arial"/>
          <w:bCs/>
          <w:snapToGrid w:val="0"/>
          <w:lang w:val="en-GB"/>
        </w:rPr>
        <w:t>,</w:t>
      </w:r>
      <w:r w:rsidRPr="0001725B">
        <w:rPr>
          <w:rFonts w:cs="Arial"/>
          <w:bCs/>
          <w:snapToGrid w:val="0"/>
          <w:lang w:val="en-GB"/>
        </w:rPr>
        <w:t xml:space="preserve"> </w:t>
      </w:r>
      <w:r w:rsidR="00197794">
        <w:rPr>
          <w:rFonts w:cs="Arial"/>
          <w:bCs/>
          <w:snapToGrid w:val="0"/>
          <w:lang w:val="en-GB"/>
        </w:rPr>
        <w:t>t</w:t>
      </w:r>
      <w:r w:rsidR="001F3F98">
        <w:rPr>
          <w:rFonts w:cs="Arial"/>
          <w:bCs/>
          <w:snapToGrid w:val="0"/>
          <w:lang w:val="en-GB"/>
        </w:rPr>
        <w:t xml:space="preserve">he PBAC </w:t>
      </w:r>
      <w:r w:rsidR="001D1F6F">
        <w:rPr>
          <w:rFonts w:cs="Arial"/>
          <w:bCs/>
          <w:snapToGrid w:val="0"/>
          <w:lang w:val="en-GB"/>
        </w:rPr>
        <w:t>considere</w:t>
      </w:r>
      <w:r w:rsidR="001F3F98">
        <w:rPr>
          <w:rFonts w:cs="Arial"/>
          <w:bCs/>
          <w:snapToGrid w:val="0"/>
          <w:lang w:val="en-GB"/>
        </w:rPr>
        <w:t xml:space="preserve">d </w:t>
      </w:r>
      <w:r w:rsidR="00197794">
        <w:rPr>
          <w:rFonts w:cs="Arial"/>
          <w:bCs/>
          <w:snapToGrid w:val="0"/>
          <w:lang w:val="en-GB"/>
        </w:rPr>
        <w:t xml:space="preserve">that it would be difficult to confine use to </w:t>
      </w:r>
      <w:r w:rsidR="0068037D">
        <w:rPr>
          <w:rFonts w:cs="Arial"/>
          <w:bCs/>
          <w:snapToGrid w:val="0"/>
          <w:lang w:val="en-GB"/>
        </w:rPr>
        <w:t>such a</w:t>
      </w:r>
      <w:r w:rsidR="00197794">
        <w:rPr>
          <w:rFonts w:cs="Arial"/>
          <w:bCs/>
          <w:snapToGrid w:val="0"/>
          <w:lang w:val="en-GB"/>
        </w:rPr>
        <w:t xml:space="preserve"> population through a PBS restriction. </w:t>
      </w:r>
      <w:r w:rsidR="001D1F6F">
        <w:rPr>
          <w:rFonts w:cs="Arial"/>
          <w:bCs/>
          <w:snapToGrid w:val="0"/>
          <w:lang w:val="en-GB"/>
        </w:rPr>
        <w:t>This</w:t>
      </w:r>
      <w:r w:rsidR="00CB4C8F">
        <w:rPr>
          <w:rFonts w:cs="Arial"/>
          <w:bCs/>
          <w:snapToGrid w:val="0"/>
          <w:lang w:val="en-GB"/>
        </w:rPr>
        <w:t xml:space="preserve"> was because the</w:t>
      </w:r>
      <w:r w:rsidR="001D1F6F">
        <w:rPr>
          <w:rFonts w:cs="Arial"/>
          <w:bCs/>
          <w:snapToGrid w:val="0"/>
          <w:lang w:val="en-GB"/>
        </w:rPr>
        <w:t xml:space="preserve"> population may be difficult to define </w:t>
      </w:r>
      <w:r w:rsidR="00CB4C8F">
        <w:rPr>
          <w:rFonts w:cs="Arial"/>
          <w:bCs/>
          <w:snapToGrid w:val="0"/>
          <w:lang w:val="en-GB"/>
        </w:rPr>
        <w:t xml:space="preserve">and there would be </w:t>
      </w:r>
      <w:r w:rsidR="001D1F6F">
        <w:rPr>
          <w:rFonts w:cs="Arial"/>
          <w:bCs/>
          <w:snapToGrid w:val="0"/>
          <w:lang w:val="en-GB"/>
        </w:rPr>
        <w:t>a high risk of leakage.</w:t>
      </w:r>
    </w:p>
    <w:p w:rsidR="0001725B" w:rsidRDefault="0001725B" w:rsidP="00D82D12">
      <w:pPr>
        <w:pStyle w:val="ListParagraph"/>
        <w:numPr>
          <w:ilvl w:val="1"/>
          <w:numId w:val="1"/>
        </w:numPr>
        <w:spacing w:after="120"/>
        <w:ind w:left="567" w:hanging="567"/>
        <w:jc w:val="both"/>
        <w:rPr>
          <w:rFonts w:cs="Arial"/>
          <w:bCs/>
          <w:snapToGrid w:val="0"/>
          <w:lang w:val="en-GB"/>
        </w:rPr>
      </w:pPr>
      <w:r>
        <w:rPr>
          <w:rFonts w:cs="Arial"/>
          <w:bCs/>
          <w:snapToGrid w:val="0"/>
          <w:lang w:val="en-GB"/>
        </w:rPr>
        <w:lastRenderedPageBreak/>
        <w:t>The PBAC considered that</w:t>
      </w:r>
      <w:r w:rsidR="001D1F6F">
        <w:rPr>
          <w:rFonts w:cs="Arial"/>
          <w:bCs/>
          <w:snapToGrid w:val="0"/>
          <w:lang w:val="en-GB"/>
        </w:rPr>
        <w:t>, based on the data presented,</w:t>
      </w:r>
      <w:r>
        <w:rPr>
          <w:rFonts w:cs="Arial"/>
          <w:bCs/>
          <w:snapToGrid w:val="0"/>
          <w:lang w:val="en-GB"/>
        </w:rPr>
        <w:t xml:space="preserve"> t</w:t>
      </w:r>
      <w:r w:rsidRPr="0001725B">
        <w:rPr>
          <w:rFonts w:cs="Arial"/>
          <w:bCs/>
          <w:snapToGrid w:val="0"/>
          <w:lang w:val="en-GB"/>
        </w:rPr>
        <w:t xml:space="preserve">here </w:t>
      </w:r>
      <w:r w:rsidR="00823AD3">
        <w:rPr>
          <w:rFonts w:cs="Arial"/>
          <w:bCs/>
          <w:snapToGrid w:val="0"/>
          <w:lang w:val="en-GB"/>
        </w:rPr>
        <w:t>was</w:t>
      </w:r>
      <w:r w:rsidRPr="0001725B">
        <w:rPr>
          <w:rFonts w:cs="Arial"/>
          <w:bCs/>
          <w:snapToGrid w:val="0"/>
          <w:lang w:val="en-GB"/>
        </w:rPr>
        <w:t xml:space="preserve"> limited difference in efficacy between weekly versus fortnightly</w:t>
      </w:r>
      <w:r w:rsidR="00CB4C8F" w:rsidRPr="00CB4C8F">
        <w:rPr>
          <w:rFonts w:cs="Arial"/>
          <w:bCs/>
          <w:snapToGrid w:val="0"/>
          <w:lang w:val="en-GB"/>
        </w:rPr>
        <w:t xml:space="preserve"> </w:t>
      </w:r>
      <w:r w:rsidR="00CB4C8F">
        <w:rPr>
          <w:rFonts w:cs="Arial"/>
          <w:bCs/>
          <w:snapToGrid w:val="0"/>
          <w:lang w:val="en-GB"/>
        </w:rPr>
        <w:t xml:space="preserve">dosing of </w:t>
      </w:r>
      <w:proofErr w:type="spellStart"/>
      <w:r w:rsidR="00CB4C8F" w:rsidRPr="0001725B">
        <w:rPr>
          <w:rFonts w:cs="Arial"/>
          <w:bCs/>
          <w:snapToGrid w:val="0"/>
          <w:lang w:val="en-GB"/>
        </w:rPr>
        <w:t>tocilizumab</w:t>
      </w:r>
      <w:proofErr w:type="spellEnd"/>
      <w:r w:rsidRPr="0001725B">
        <w:rPr>
          <w:rFonts w:cs="Arial"/>
          <w:bCs/>
          <w:snapToGrid w:val="0"/>
          <w:lang w:val="en-GB"/>
        </w:rPr>
        <w:t xml:space="preserve">. </w:t>
      </w:r>
      <w:r w:rsidR="00905C21">
        <w:rPr>
          <w:rFonts w:cs="Arial"/>
          <w:bCs/>
          <w:snapToGrid w:val="0"/>
          <w:lang w:val="en-GB"/>
        </w:rPr>
        <w:t>Th</w:t>
      </w:r>
      <w:r w:rsidR="0051740F">
        <w:rPr>
          <w:rFonts w:cs="Arial"/>
          <w:bCs/>
          <w:snapToGrid w:val="0"/>
          <w:lang w:val="en-GB"/>
        </w:rPr>
        <w:t>e PBAC noted t</w:t>
      </w:r>
      <w:r w:rsidR="0051740F">
        <w:rPr>
          <w:color w:val="000000" w:themeColor="text1"/>
        </w:rPr>
        <w:t xml:space="preserve">he pre-PBAC response stated that clinician feedback suggested that some patients may receive treatment every two weeks once their active disease is under control. </w:t>
      </w:r>
      <w:r w:rsidR="00617040">
        <w:rPr>
          <w:color w:val="000000" w:themeColor="text1"/>
        </w:rPr>
        <w:t>In addition, t</w:t>
      </w:r>
      <w:r w:rsidRPr="0001725B">
        <w:rPr>
          <w:rFonts w:cs="Arial"/>
          <w:bCs/>
          <w:snapToGrid w:val="0"/>
          <w:lang w:val="en-GB"/>
        </w:rPr>
        <w:t>he PBAC consider</w:t>
      </w:r>
      <w:r>
        <w:rPr>
          <w:rFonts w:cs="Arial"/>
          <w:bCs/>
          <w:snapToGrid w:val="0"/>
          <w:lang w:val="en-GB"/>
        </w:rPr>
        <w:t>ed that</w:t>
      </w:r>
      <w:r w:rsidRPr="0001725B">
        <w:rPr>
          <w:rFonts w:cs="Arial"/>
          <w:bCs/>
          <w:snapToGrid w:val="0"/>
          <w:lang w:val="en-GB"/>
        </w:rPr>
        <w:t xml:space="preserve"> fortnightly </w:t>
      </w:r>
      <w:r w:rsidR="00CB4C8F" w:rsidRPr="0001725B">
        <w:rPr>
          <w:rFonts w:cs="Arial"/>
          <w:bCs/>
          <w:snapToGrid w:val="0"/>
          <w:lang w:val="en-GB"/>
        </w:rPr>
        <w:t>administration</w:t>
      </w:r>
      <w:r w:rsidR="00CB4C8F">
        <w:rPr>
          <w:rFonts w:cs="Arial"/>
          <w:bCs/>
          <w:snapToGrid w:val="0"/>
          <w:lang w:val="en-GB"/>
        </w:rPr>
        <w:t xml:space="preserve"> </w:t>
      </w:r>
      <w:r w:rsidR="00280A7B">
        <w:rPr>
          <w:rFonts w:cs="Arial"/>
          <w:bCs/>
          <w:snapToGrid w:val="0"/>
          <w:lang w:val="en-GB"/>
        </w:rPr>
        <w:t>(</w:t>
      </w:r>
      <w:r w:rsidRPr="0001725B">
        <w:rPr>
          <w:rFonts w:cs="Arial"/>
          <w:bCs/>
          <w:snapToGrid w:val="0"/>
          <w:lang w:val="en-GB"/>
        </w:rPr>
        <w:t xml:space="preserve">for </w:t>
      </w:r>
      <w:r w:rsidR="00280A7B">
        <w:rPr>
          <w:rFonts w:cs="Arial"/>
          <w:bCs/>
          <w:snapToGrid w:val="0"/>
          <w:lang w:val="en-GB"/>
        </w:rPr>
        <w:t>12 months)</w:t>
      </w:r>
      <w:r w:rsidRPr="0001725B">
        <w:rPr>
          <w:rFonts w:cs="Arial"/>
          <w:bCs/>
          <w:snapToGrid w:val="0"/>
          <w:lang w:val="en-GB"/>
        </w:rPr>
        <w:t xml:space="preserve"> may </w:t>
      </w:r>
      <w:r w:rsidR="00617040">
        <w:rPr>
          <w:rFonts w:cs="Arial"/>
          <w:bCs/>
          <w:snapToGrid w:val="0"/>
          <w:lang w:val="en-GB"/>
        </w:rPr>
        <w:t>also</w:t>
      </w:r>
      <w:r w:rsidR="00617040" w:rsidRPr="0001725B">
        <w:rPr>
          <w:rFonts w:cs="Arial"/>
          <w:bCs/>
          <w:snapToGrid w:val="0"/>
          <w:lang w:val="en-GB"/>
        </w:rPr>
        <w:t xml:space="preserve"> </w:t>
      </w:r>
      <w:r w:rsidRPr="0001725B">
        <w:rPr>
          <w:rFonts w:cs="Arial"/>
          <w:bCs/>
          <w:snapToGrid w:val="0"/>
          <w:lang w:val="en-GB"/>
        </w:rPr>
        <w:t>be an appropriate alternative to weekly administration</w:t>
      </w:r>
      <w:r w:rsidR="00181C7E">
        <w:rPr>
          <w:rFonts w:cs="Arial"/>
          <w:bCs/>
          <w:snapToGrid w:val="0"/>
          <w:lang w:val="en-GB"/>
        </w:rPr>
        <w:t xml:space="preserve"> for newly diagnosed patients</w:t>
      </w:r>
      <w:r w:rsidR="000C6368" w:rsidRPr="000C6368">
        <w:rPr>
          <w:rFonts w:cs="Arial"/>
          <w:bCs/>
          <w:snapToGrid w:val="0"/>
          <w:lang w:val="en-GB"/>
        </w:rPr>
        <w:t xml:space="preserve">, with weekly administration reserved for patients with relapsed GCA or who experience flares on fortnightly </w:t>
      </w:r>
      <w:proofErr w:type="spellStart"/>
      <w:r w:rsidR="000C6368" w:rsidRPr="000C6368">
        <w:rPr>
          <w:rFonts w:cs="Arial"/>
          <w:bCs/>
          <w:snapToGrid w:val="0"/>
          <w:lang w:val="en-GB"/>
        </w:rPr>
        <w:t>tocilizumab</w:t>
      </w:r>
      <w:proofErr w:type="spellEnd"/>
      <w:r w:rsidR="00181C7E">
        <w:rPr>
          <w:rFonts w:cs="Arial"/>
          <w:bCs/>
          <w:snapToGrid w:val="0"/>
          <w:lang w:val="en-GB"/>
        </w:rPr>
        <w:t xml:space="preserve">. </w:t>
      </w:r>
      <w:r w:rsidR="00184FC2">
        <w:rPr>
          <w:rFonts w:cs="Arial"/>
          <w:bCs/>
          <w:snapToGrid w:val="0"/>
          <w:lang w:val="en-GB"/>
        </w:rPr>
        <w:t xml:space="preserve">The PBAC also considered that fortnightly administration may be preferred in patients who </w:t>
      </w:r>
      <w:r w:rsidR="00187EBD">
        <w:rPr>
          <w:rFonts w:cs="Arial"/>
          <w:bCs/>
          <w:snapToGrid w:val="0"/>
          <w:lang w:val="en-GB"/>
        </w:rPr>
        <w:t xml:space="preserve">cannot </w:t>
      </w:r>
      <w:r w:rsidR="00184FC2">
        <w:rPr>
          <w:rFonts w:cs="Arial"/>
          <w:bCs/>
          <w:snapToGrid w:val="0"/>
          <w:lang w:val="en-GB"/>
        </w:rPr>
        <w:t xml:space="preserve">self-administer the </w:t>
      </w:r>
      <w:r w:rsidR="00184FC2" w:rsidRPr="00184FC2">
        <w:rPr>
          <w:rFonts w:cs="Arial"/>
          <w:bCs/>
          <w:snapToGrid w:val="0"/>
          <w:lang w:val="en-GB"/>
        </w:rPr>
        <w:t>subcutaneous</w:t>
      </w:r>
      <w:r w:rsidR="00184FC2">
        <w:rPr>
          <w:rFonts w:cs="Arial"/>
          <w:bCs/>
          <w:snapToGrid w:val="0"/>
          <w:lang w:val="en-GB"/>
        </w:rPr>
        <w:t xml:space="preserve"> injection. </w:t>
      </w:r>
      <w:r w:rsidR="00280A7B">
        <w:rPr>
          <w:rFonts w:cs="Arial"/>
          <w:bCs/>
          <w:snapToGrid w:val="0"/>
          <w:lang w:val="en-GB"/>
        </w:rPr>
        <w:t xml:space="preserve">However, the PBAC </w:t>
      </w:r>
      <w:r w:rsidR="00CB4C8F">
        <w:rPr>
          <w:rFonts w:cs="Arial"/>
          <w:bCs/>
          <w:snapToGrid w:val="0"/>
          <w:lang w:val="en-GB"/>
        </w:rPr>
        <w:t>acknowledged</w:t>
      </w:r>
      <w:r w:rsidR="00280A7B">
        <w:rPr>
          <w:rFonts w:cs="Arial"/>
          <w:bCs/>
          <w:snapToGrid w:val="0"/>
          <w:lang w:val="en-GB"/>
        </w:rPr>
        <w:t xml:space="preserve"> that there was limited evidence to support this algorithm, and clinical judgement </w:t>
      </w:r>
      <w:r w:rsidR="009D15DC">
        <w:rPr>
          <w:rFonts w:cs="Arial"/>
          <w:bCs/>
          <w:snapToGrid w:val="0"/>
          <w:lang w:val="en-GB"/>
        </w:rPr>
        <w:t>would</w:t>
      </w:r>
      <w:r w:rsidR="00280A7B">
        <w:rPr>
          <w:rFonts w:cs="Arial"/>
          <w:bCs/>
          <w:snapToGrid w:val="0"/>
          <w:lang w:val="en-GB"/>
        </w:rPr>
        <w:t xml:space="preserve"> </w:t>
      </w:r>
      <w:r w:rsidR="00A90556">
        <w:rPr>
          <w:rFonts w:cs="Arial"/>
          <w:bCs/>
          <w:snapToGrid w:val="0"/>
          <w:lang w:val="en-GB"/>
        </w:rPr>
        <w:t xml:space="preserve">also </w:t>
      </w:r>
      <w:r w:rsidR="00280A7B">
        <w:rPr>
          <w:rFonts w:cs="Arial"/>
          <w:bCs/>
          <w:snapToGrid w:val="0"/>
          <w:lang w:val="en-GB"/>
        </w:rPr>
        <w:t xml:space="preserve">be required as to </w:t>
      </w:r>
      <w:r w:rsidR="00280A7B" w:rsidRPr="00CB4C8F">
        <w:rPr>
          <w:rFonts w:cs="Arial"/>
          <w:bCs/>
          <w:snapToGrid w:val="0"/>
          <w:lang w:val="en-GB"/>
        </w:rPr>
        <w:t xml:space="preserve">whether </w:t>
      </w:r>
      <w:r w:rsidRPr="00CB4C8F">
        <w:rPr>
          <w:rFonts w:cs="Arial"/>
          <w:bCs/>
          <w:snapToGrid w:val="0"/>
          <w:lang w:val="en-GB"/>
        </w:rPr>
        <w:t xml:space="preserve">weekly versus fortnightly dosing </w:t>
      </w:r>
      <w:r w:rsidR="00280A7B" w:rsidRPr="00CB4C8F">
        <w:rPr>
          <w:rFonts w:cs="Arial"/>
          <w:bCs/>
          <w:snapToGrid w:val="0"/>
          <w:lang w:val="en-GB"/>
        </w:rPr>
        <w:t xml:space="preserve">would be preferred for a particular patient. </w:t>
      </w:r>
    </w:p>
    <w:p w:rsidR="0001725B" w:rsidRPr="0001725B" w:rsidRDefault="0001725B" w:rsidP="00D82D12">
      <w:pPr>
        <w:pStyle w:val="ListParagraph"/>
        <w:numPr>
          <w:ilvl w:val="1"/>
          <w:numId w:val="1"/>
        </w:numPr>
        <w:spacing w:after="120"/>
        <w:ind w:left="567" w:hanging="567"/>
        <w:jc w:val="both"/>
        <w:rPr>
          <w:rFonts w:cs="Arial"/>
          <w:bCs/>
          <w:snapToGrid w:val="0"/>
          <w:lang w:val="en-GB"/>
        </w:rPr>
      </w:pPr>
      <w:r w:rsidRPr="0001725B">
        <w:rPr>
          <w:rFonts w:cs="Arial"/>
          <w:bCs/>
          <w:snapToGrid w:val="0"/>
          <w:lang w:val="en-GB"/>
        </w:rPr>
        <w:t xml:space="preserve">The </w:t>
      </w:r>
      <w:r>
        <w:rPr>
          <w:rFonts w:cs="Arial"/>
          <w:bCs/>
          <w:snapToGrid w:val="0"/>
          <w:lang w:val="en-GB"/>
        </w:rPr>
        <w:t xml:space="preserve">PBAC noted that the </w:t>
      </w:r>
      <w:r w:rsidRPr="0001725B">
        <w:rPr>
          <w:rFonts w:cs="Arial"/>
          <w:bCs/>
          <w:snapToGrid w:val="0"/>
          <w:lang w:val="en-GB"/>
        </w:rPr>
        <w:t xml:space="preserve">submission </w:t>
      </w:r>
      <w:r>
        <w:rPr>
          <w:rFonts w:cs="Arial"/>
          <w:bCs/>
          <w:snapToGrid w:val="0"/>
          <w:lang w:val="en-GB"/>
        </w:rPr>
        <w:t xml:space="preserve">had </w:t>
      </w:r>
      <w:r w:rsidRPr="0001725B">
        <w:rPr>
          <w:rFonts w:cs="Arial"/>
          <w:bCs/>
          <w:snapToGrid w:val="0"/>
          <w:lang w:val="en-GB"/>
        </w:rPr>
        <w:t>request</w:t>
      </w:r>
      <w:r>
        <w:rPr>
          <w:rFonts w:cs="Arial"/>
          <w:bCs/>
          <w:snapToGrid w:val="0"/>
          <w:lang w:val="en-GB"/>
        </w:rPr>
        <w:t>ed</w:t>
      </w:r>
      <w:r w:rsidRPr="0001725B">
        <w:rPr>
          <w:rFonts w:cs="Arial"/>
          <w:bCs/>
          <w:snapToGrid w:val="0"/>
          <w:lang w:val="en-GB"/>
        </w:rPr>
        <w:t xml:space="preserve"> a lifetime total of 52 injections</w:t>
      </w:r>
      <w:r w:rsidR="001D1F6F">
        <w:rPr>
          <w:rFonts w:cs="Arial"/>
          <w:bCs/>
          <w:snapToGrid w:val="0"/>
          <w:lang w:val="en-GB"/>
        </w:rPr>
        <w:t xml:space="preserve"> of </w:t>
      </w:r>
      <w:proofErr w:type="spellStart"/>
      <w:r w:rsidR="001D1F6F">
        <w:rPr>
          <w:rFonts w:cs="Arial"/>
          <w:bCs/>
          <w:snapToGrid w:val="0"/>
          <w:lang w:val="en-GB"/>
        </w:rPr>
        <w:t>tocilizumab</w:t>
      </w:r>
      <w:proofErr w:type="spellEnd"/>
      <w:r w:rsidRPr="0001725B">
        <w:rPr>
          <w:rFonts w:cs="Arial"/>
          <w:bCs/>
          <w:snapToGrid w:val="0"/>
          <w:lang w:val="en-GB"/>
        </w:rPr>
        <w:t xml:space="preserve">, </w:t>
      </w:r>
      <w:r w:rsidR="00E3370D">
        <w:rPr>
          <w:rFonts w:cs="Arial"/>
          <w:bCs/>
          <w:snapToGrid w:val="0"/>
          <w:lang w:val="en-GB"/>
        </w:rPr>
        <w:t>which</w:t>
      </w:r>
      <w:r w:rsidRPr="0001725B">
        <w:rPr>
          <w:rFonts w:cs="Arial"/>
          <w:bCs/>
          <w:snapToGrid w:val="0"/>
          <w:lang w:val="en-GB"/>
        </w:rPr>
        <w:t xml:space="preserve"> would allow </w:t>
      </w:r>
      <w:proofErr w:type="spellStart"/>
      <w:r w:rsidRPr="0001725B">
        <w:rPr>
          <w:rFonts w:cs="Arial"/>
          <w:bCs/>
          <w:snapToGrid w:val="0"/>
          <w:lang w:val="en-GB"/>
        </w:rPr>
        <w:t>tocilizumab</w:t>
      </w:r>
      <w:proofErr w:type="spellEnd"/>
      <w:r w:rsidRPr="0001725B">
        <w:rPr>
          <w:rFonts w:cs="Arial"/>
          <w:bCs/>
          <w:snapToGrid w:val="0"/>
          <w:lang w:val="en-GB"/>
        </w:rPr>
        <w:t xml:space="preserve"> </w:t>
      </w:r>
      <w:r w:rsidR="00E713E4">
        <w:rPr>
          <w:rFonts w:cs="Arial"/>
          <w:bCs/>
          <w:snapToGrid w:val="0"/>
          <w:lang w:val="en-GB"/>
        </w:rPr>
        <w:t xml:space="preserve">to be used </w:t>
      </w:r>
      <w:r w:rsidRPr="0001725B">
        <w:rPr>
          <w:rFonts w:cs="Arial"/>
          <w:bCs/>
          <w:snapToGrid w:val="0"/>
          <w:lang w:val="en-GB"/>
        </w:rPr>
        <w:t>beyond 12 months if administ</w:t>
      </w:r>
      <w:r w:rsidR="00E713E4">
        <w:rPr>
          <w:rFonts w:cs="Arial"/>
          <w:bCs/>
          <w:snapToGrid w:val="0"/>
          <w:lang w:val="en-GB"/>
        </w:rPr>
        <w:t>ered</w:t>
      </w:r>
      <w:r w:rsidRPr="0001725B">
        <w:rPr>
          <w:rFonts w:cs="Arial"/>
          <w:bCs/>
          <w:snapToGrid w:val="0"/>
          <w:lang w:val="en-GB"/>
        </w:rPr>
        <w:t xml:space="preserve"> </w:t>
      </w:r>
      <w:r w:rsidR="00E713E4">
        <w:rPr>
          <w:rFonts w:cs="Arial"/>
          <w:bCs/>
          <w:snapToGrid w:val="0"/>
          <w:lang w:val="en-GB"/>
        </w:rPr>
        <w:t xml:space="preserve">fortnightly. </w:t>
      </w:r>
      <w:r w:rsidRPr="0001725B">
        <w:rPr>
          <w:rFonts w:cs="Arial"/>
          <w:bCs/>
          <w:snapToGrid w:val="0"/>
          <w:lang w:val="en-GB"/>
        </w:rPr>
        <w:t>The PBAC consider</w:t>
      </w:r>
      <w:r>
        <w:rPr>
          <w:rFonts w:cs="Arial"/>
          <w:bCs/>
          <w:snapToGrid w:val="0"/>
          <w:lang w:val="en-GB"/>
        </w:rPr>
        <w:t>ed that</w:t>
      </w:r>
      <w:r w:rsidR="00E713E4">
        <w:rPr>
          <w:rFonts w:cs="Arial"/>
          <w:bCs/>
          <w:snapToGrid w:val="0"/>
          <w:lang w:val="en-GB"/>
        </w:rPr>
        <w:t xml:space="preserve"> the PBS restriction should specify that </w:t>
      </w:r>
      <w:proofErr w:type="spellStart"/>
      <w:r w:rsidR="00E713E4">
        <w:rPr>
          <w:rFonts w:cs="Arial"/>
          <w:bCs/>
          <w:snapToGrid w:val="0"/>
          <w:lang w:val="en-GB"/>
        </w:rPr>
        <w:t>tocilizumab</w:t>
      </w:r>
      <w:proofErr w:type="spellEnd"/>
      <w:r w:rsidR="00E713E4">
        <w:rPr>
          <w:rFonts w:cs="Arial"/>
          <w:bCs/>
          <w:snapToGrid w:val="0"/>
          <w:lang w:val="en-GB"/>
        </w:rPr>
        <w:t xml:space="preserve"> treatment is limited to 12 months </w:t>
      </w:r>
      <w:r w:rsidR="00CB4C8F">
        <w:rPr>
          <w:rFonts w:cs="Arial"/>
          <w:bCs/>
          <w:snapToGrid w:val="0"/>
          <w:lang w:val="en-GB"/>
        </w:rPr>
        <w:t>in line with t</w:t>
      </w:r>
      <w:r w:rsidR="00E713E4" w:rsidRPr="00E713E4">
        <w:rPr>
          <w:rFonts w:cs="Arial"/>
          <w:bCs/>
          <w:snapToGrid w:val="0"/>
          <w:lang w:val="en-GB"/>
        </w:rPr>
        <w:t>he trial evidence.</w:t>
      </w:r>
    </w:p>
    <w:p w:rsidR="001F3F98" w:rsidRDefault="006F2FE4" w:rsidP="00D82D12">
      <w:pPr>
        <w:pStyle w:val="ListParagraph"/>
        <w:numPr>
          <w:ilvl w:val="1"/>
          <w:numId w:val="1"/>
        </w:numPr>
        <w:spacing w:after="120"/>
        <w:ind w:left="567" w:hanging="567"/>
        <w:jc w:val="both"/>
        <w:rPr>
          <w:rFonts w:cs="Arial"/>
          <w:bCs/>
          <w:snapToGrid w:val="0"/>
          <w:lang w:val="en-GB"/>
        </w:rPr>
      </w:pPr>
      <w:r>
        <w:rPr>
          <w:rFonts w:cs="Arial"/>
          <w:bCs/>
          <w:snapToGrid w:val="0"/>
          <w:lang w:val="en-GB"/>
        </w:rPr>
        <w:t>T</w:t>
      </w:r>
      <w:r w:rsidRPr="006F2FE4">
        <w:rPr>
          <w:rFonts w:cs="Arial"/>
          <w:bCs/>
          <w:snapToGrid w:val="0"/>
          <w:lang w:val="en-GB"/>
        </w:rPr>
        <w:t xml:space="preserve">he PBAC considered that the restriction would require further work with expert advice around the </w:t>
      </w:r>
      <w:r w:rsidR="001F3F98">
        <w:rPr>
          <w:rFonts w:cs="Arial"/>
          <w:bCs/>
          <w:snapToGrid w:val="0"/>
          <w:lang w:val="en-GB"/>
        </w:rPr>
        <w:t>imaging and biopsy requirements</w:t>
      </w:r>
      <w:r>
        <w:rPr>
          <w:rFonts w:cs="Arial"/>
          <w:bCs/>
          <w:snapToGrid w:val="0"/>
          <w:lang w:val="en-GB"/>
        </w:rPr>
        <w:t xml:space="preserve"> f</w:t>
      </w:r>
      <w:r w:rsidR="001F3F98">
        <w:rPr>
          <w:rFonts w:cs="Arial"/>
          <w:bCs/>
          <w:snapToGrid w:val="0"/>
          <w:lang w:val="en-GB"/>
        </w:rPr>
        <w:t xml:space="preserve">or diagnosis </w:t>
      </w:r>
      <w:r>
        <w:rPr>
          <w:rFonts w:cs="Arial"/>
          <w:bCs/>
          <w:snapToGrid w:val="0"/>
          <w:lang w:val="en-GB"/>
        </w:rPr>
        <w:t>of GCA</w:t>
      </w:r>
      <w:r w:rsidR="00831AB2">
        <w:rPr>
          <w:rFonts w:cs="Arial"/>
          <w:bCs/>
          <w:snapToGrid w:val="0"/>
          <w:lang w:val="en-GB"/>
        </w:rPr>
        <w:t>.</w:t>
      </w:r>
    </w:p>
    <w:p w:rsidR="00C070FD" w:rsidRPr="00C070FD" w:rsidRDefault="00C070FD" w:rsidP="00D82D12">
      <w:pPr>
        <w:pStyle w:val="ListParagraph"/>
        <w:numPr>
          <w:ilvl w:val="1"/>
          <w:numId w:val="1"/>
        </w:numPr>
        <w:spacing w:after="120"/>
        <w:ind w:left="567" w:hanging="567"/>
        <w:jc w:val="both"/>
        <w:rPr>
          <w:rFonts w:cs="Arial"/>
          <w:bCs/>
          <w:snapToGrid w:val="0"/>
          <w:lang w:val="en-GB"/>
        </w:rPr>
      </w:pPr>
      <w:r w:rsidRPr="00C070FD">
        <w:rPr>
          <w:rFonts w:cs="Arial"/>
          <w:bCs/>
          <w:snapToGrid w:val="0"/>
          <w:lang w:val="en-GB"/>
        </w:rPr>
        <w:t xml:space="preserve">The PBAC </w:t>
      </w:r>
      <w:r w:rsidR="00E464C9">
        <w:rPr>
          <w:rFonts w:cs="Arial"/>
          <w:bCs/>
          <w:snapToGrid w:val="0"/>
          <w:lang w:val="en-GB"/>
        </w:rPr>
        <w:t>noted th</w:t>
      </w:r>
      <w:r w:rsidR="00E713E4">
        <w:rPr>
          <w:rFonts w:cs="Arial"/>
          <w:bCs/>
          <w:snapToGrid w:val="0"/>
          <w:lang w:val="en-GB"/>
        </w:rPr>
        <w:t xml:space="preserve">at the submission had </w:t>
      </w:r>
      <w:r w:rsidRPr="00C070FD">
        <w:rPr>
          <w:rFonts w:cs="Arial"/>
          <w:bCs/>
          <w:snapToGrid w:val="0"/>
          <w:lang w:val="en-GB"/>
        </w:rPr>
        <w:t xml:space="preserve">nominated standard </w:t>
      </w:r>
      <w:r w:rsidR="00280A7B">
        <w:rPr>
          <w:rFonts w:cs="Arial"/>
          <w:bCs/>
          <w:snapToGrid w:val="0"/>
          <w:lang w:val="en-GB"/>
        </w:rPr>
        <w:t xml:space="preserve">of </w:t>
      </w:r>
      <w:r w:rsidRPr="00C070FD">
        <w:rPr>
          <w:rFonts w:cs="Arial"/>
          <w:bCs/>
          <w:snapToGrid w:val="0"/>
          <w:lang w:val="en-GB"/>
        </w:rPr>
        <w:t>care</w:t>
      </w:r>
      <w:r w:rsidR="00E713E4">
        <w:rPr>
          <w:rFonts w:cs="Arial"/>
          <w:bCs/>
          <w:snapToGrid w:val="0"/>
          <w:lang w:val="en-GB"/>
        </w:rPr>
        <w:t>,</w:t>
      </w:r>
      <w:r w:rsidRPr="00C070FD">
        <w:rPr>
          <w:rFonts w:cs="Arial"/>
          <w:bCs/>
          <w:snapToGrid w:val="0"/>
          <w:lang w:val="en-GB"/>
        </w:rPr>
        <w:t xml:space="preserve"> represented by a 52</w:t>
      </w:r>
      <w:r w:rsidR="00E713E4">
        <w:rPr>
          <w:rFonts w:cs="Arial"/>
          <w:bCs/>
          <w:snapToGrid w:val="0"/>
          <w:lang w:val="en-GB"/>
        </w:rPr>
        <w:t xml:space="preserve"> </w:t>
      </w:r>
      <w:r w:rsidRPr="00C070FD">
        <w:rPr>
          <w:rFonts w:cs="Arial"/>
          <w:bCs/>
          <w:snapToGrid w:val="0"/>
          <w:lang w:val="en-GB"/>
        </w:rPr>
        <w:t>week tapering course of corticosteroids</w:t>
      </w:r>
      <w:r w:rsidR="00E713E4">
        <w:rPr>
          <w:rFonts w:cs="Arial"/>
          <w:bCs/>
          <w:snapToGrid w:val="0"/>
          <w:lang w:val="en-GB"/>
        </w:rPr>
        <w:t>, as the</w:t>
      </w:r>
      <w:r w:rsidR="00E713E4" w:rsidRPr="00E713E4">
        <w:rPr>
          <w:rFonts w:cs="Arial"/>
          <w:bCs/>
          <w:snapToGrid w:val="0"/>
          <w:lang w:val="en-GB"/>
        </w:rPr>
        <w:t xml:space="preserve"> </w:t>
      </w:r>
      <w:r w:rsidR="00E713E4" w:rsidRPr="00C070FD">
        <w:rPr>
          <w:rFonts w:cs="Arial"/>
          <w:bCs/>
          <w:snapToGrid w:val="0"/>
          <w:lang w:val="en-GB"/>
        </w:rPr>
        <w:t>comparator</w:t>
      </w:r>
      <w:r w:rsidR="00E713E4">
        <w:rPr>
          <w:rFonts w:cs="Arial"/>
          <w:bCs/>
          <w:snapToGrid w:val="0"/>
          <w:lang w:val="en-GB"/>
        </w:rPr>
        <w:t>. The PBAC considered that</w:t>
      </w:r>
      <w:r w:rsidR="00FE1C01">
        <w:rPr>
          <w:rFonts w:cs="Arial"/>
          <w:bCs/>
          <w:snapToGrid w:val="0"/>
          <w:lang w:val="en-GB"/>
        </w:rPr>
        <w:t>,</w:t>
      </w:r>
      <w:r w:rsidR="00E713E4">
        <w:rPr>
          <w:rFonts w:cs="Arial"/>
          <w:bCs/>
          <w:snapToGrid w:val="0"/>
          <w:lang w:val="en-GB"/>
        </w:rPr>
        <w:t xml:space="preserve"> in clinical practice</w:t>
      </w:r>
      <w:r w:rsidR="00FE1C01">
        <w:rPr>
          <w:rFonts w:cs="Arial"/>
          <w:bCs/>
          <w:snapToGrid w:val="0"/>
          <w:lang w:val="en-GB"/>
        </w:rPr>
        <w:t>,</w:t>
      </w:r>
      <w:r w:rsidR="00E713E4">
        <w:rPr>
          <w:rFonts w:cs="Arial"/>
          <w:bCs/>
          <w:snapToGrid w:val="0"/>
          <w:lang w:val="en-GB"/>
        </w:rPr>
        <w:t xml:space="preserve"> </w:t>
      </w:r>
      <w:r w:rsidR="00FE1C01">
        <w:rPr>
          <w:rFonts w:cs="Arial"/>
          <w:bCs/>
          <w:snapToGrid w:val="0"/>
          <w:lang w:val="en-GB"/>
        </w:rPr>
        <w:t>a longer</w:t>
      </w:r>
      <w:r>
        <w:rPr>
          <w:rFonts w:cs="Arial"/>
          <w:bCs/>
          <w:snapToGrid w:val="0"/>
          <w:lang w:val="en-GB"/>
        </w:rPr>
        <w:t xml:space="preserve"> corticosteroid t</w:t>
      </w:r>
      <w:r w:rsidR="00FE1C01">
        <w:rPr>
          <w:rFonts w:cs="Arial"/>
          <w:bCs/>
          <w:snapToGrid w:val="0"/>
          <w:lang w:val="en-GB"/>
        </w:rPr>
        <w:t>apering regimen may be used</w:t>
      </w:r>
      <w:r w:rsidR="00E713E4">
        <w:rPr>
          <w:rFonts w:cs="Arial"/>
          <w:bCs/>
          <w:snapToGrid w:val="0"/>
          <w:lang w:val="en-GB"/>
        </w:rPr>
        <w:t>,</w:t>
      </w:r>
      <w:r>
        <w:rPr>
          <w:rFonts w:cs="Arial"/>
          <w:bCs/>
          <w:snapToGrid w:val="0"/>
          <w:lang w:val="en-GB"/>
        </w:rPr>
        <w:t xml:space="preserve"> and that </w:t>
      </w:r>
      <w:r w:rsidRPr="00C070FD">
        <w:rPr>
          <w:rFonts w:cs="Arial"/>
          <w:bCs/>
          <w:snapToGrid w:val="0"/>
          <w:lang w:val="en-GB"/>
        </w:rPr>
        <w:t xml:space="preserve">other steroid-sparing agents and immunosuppressive agents (such as </w:t>
      </w:r>
      <w:r>
        <w:rPr>
          <w:rFonts w:cs="Arial"/>
          <w:bCs/>
          <w:snapToGrid w:val="0"/>
          <w:lang w:val="en-GB"/>
        </w:rPr>
        <w:t xml:space="preserve">methotrexate, </w:t>
      </w:r>
      <w:proofErr w:type="spellStart"/>
      <w:r w:rsidRPr="00C070FD">
        <w:rPr>
          <w:rFonts w:cs="Arial"/>
          <w:bCs/>
          <w:snapToGrid w:val="0"/>
          <w:lang w:val="en-GB"/>
        </w:rPr>
        <w:t>cyclosporin</w:t>
      </w:r>
      <w:proofErr w:type="spellEnd"/>
      <w:r w:rsidRPr="00C070FD">
        <w:rPr>
          <w:rFonts w:cs="Arial"/>
          <w:bCs/>
          <w:snapToGrid w:val="0"/>
          <w:lang w:val="en-GB"/>
        </w:rPr>
        <w:t xml:space="preserve"> and azathioprine) may also be </w:t>
      </w:r>
      <w:r w:rsidR="00181C7E">
        <w:rPr>
          <w:rFonts w:cs="Arial"/>
          <w:bCs/>
          <w:snapToGrid w:val="0"/>
          <w:lang w:val="en-GB"/>
        </w:rPr>
        <w:t>relevant comparators</w:t>
      </w:r>
      <w:r>
        <w:rPr>
          <w:rFonts w:cs="Arial"/>
          <w:bCs/>
          <w:snapToGrid w:val="0"/>
          <w:lang w:val="en-GB"/>
        </w:rPr>
        <w:t xml:space="preserve"> in</w:t>
      </w:r>
      <w:r w:rsidRPr="00C070FD">
        <w:rPr>
          <w:rFonts w:cs="Arial"/>
          <w:bCs/>
          <w:snapToGrid w:val="0"/>
          <w:lang w:val="en-GB"/>
        </w:rPr>
        <w:t xml:space="preserve"> relapsed patients</w:t>
      </w:r>
      <w:r>
        <w:rPr>
          <w:rFonts w:cs="Arial"/>
          <w:bCs/>
          <w:snapToGrid w:val="0"/>
          <w:lang w:val="en-GB"/>
        </w:rPr>
        <w:t>.</w:t>
      </w:r>
      <w:r w:rsidR="00E464C9" w:rsidRPr="00E464C9">
        <w:rPr>
          <w:rFonts w:cs="Arial"/>
          <w:bCs/>
          <w:snapToGrid w:val="0"/>
          <w:lang w:val="en-GB"/>
        </w:rPr>
        <w:t xml:space="preserve"> </w:t>
      </w:r>
      <w:r w:rsidR="00D407F6">
        <w:rPr>
          <w:rFonts w:cs="Arial"/>
          <w:bCs/>
          <w:snapToGrid w:val="0"/>
          <w:lang w:val="en-GB"/>
        </w:rPr>
        <w:t>However, overall</w:t>
      </w:r>
      <w:r w:rsidR="00E713E4">
        <w:rPr>
          <w:rFonts w:cs="Arial"/>
          <w:bCs/>
          <w:snapToGrid w:val="0"/>
          <w:lang w:val="en-GB"/>
        </w:rPr>
        <w:t>,</w:t>
      </w:r>
      <w:r w:rsidR="00D407F6">
        <w:rPr>
          <w:rFonts w:cs="Arial"/>
          <w:bCs/>
          <w:snapToGrid w:val="0"/>
          <w:lang w:val="en-GB"/>
        </w:rPr>
        <w:t xml:space="preserve"> the PBAC considered that the comparator nominated by the submission </w:t>
      </w:r>
      <w:r w:rsidR="00E464C9">
        <w:rPr>
          <w:rFonts w:cs="Arial"/>
          <w:bCs/>
          <w:snapToGrid w:val="0"/>
          <w:lang w:val="en-GB"/>
        </w:rPr>
        <w:t xml:space="preserve">was </w:t>
      </w:r>
      <w:r w:rsidR="00B979B2">
        <w:rPr>
          <w:rFonts w:cs="Arial"/>
          <w:bCs/>
          <w:snapToGrid w:val="0"/>
          <w:lang w:val="en-GB"/>
        </w:rPr>
        <w:t>reasonable</w:t>
      </w:r>
      <w:r w:rsidR="000C6368">
        <w:rPr>
          <w:rFonts w:cs="Arial"/>
          <w:bCs/>
          <w:snapToGrid w:val="0"/>
          <w:lang w:val="en-GB"/>
        </w:rPr>
        <w:t>.</w:t>
      </w:r>
    </w:p>
    <w:p w:rsidR="00C070FD" w:rsidRDefault="00A63DEA" w:rsidP="00D82D12">
      <w:pPr>
        <w:pStyle w:val="ListParagraph"/>
        <w:numPr>
          <w:ilvl w:val="1"/>
          <w:numId w:val="1"/>
        </w:numPr>
        <w:spacing w:after="120"/>
        <w:ind w:left="567" w:hanging="567"/>
        <w:jc w:val="both"/>
        <w:rPr>
          <w:rFonts w:cs="Arial"/>
          <w:bCs/>
          <w:snapToGrid w:val="0"/>
          <w:lang w:val="en-GB"/>
        </w:rPr>
      </w:pPr>
      <w:r>
        <w:rPr>
          <w:rFonts w:cs="Arial"/>
          <w:bCs/>
          <w:snapToGrid w:val="0"/>
          <w:lang w:val="en-GB"/>
        </w:rPr>
        <w:t xml:space="preserve">The PBAC considered </w:t>
      </w:r>
      <w:r w:rsidR="00521C01">
        <w:rPr>
          <w:rFonts w:cs="Arial"/>
          <w:bCs/>
          <w:snapToGrid w:val="0"/>
          <w:lang w:val="en-GB"/>
        </w:rPr>
        <w:t xml:space="preserve">that the magnitude of the benefit of </w:t>
      </w:r>
      <w:proofErr w:type="spellStart"/>
      <w:r w:rsidR="00521C01">
        <w:rPr>
          <w:rFonts w:cs="Arial"/>
          <w:bCs/>
          <w:snapToGrid w:val="0"/>
          <w:lang w:val="en-GB"/>
        </w:rPr>
        <w:t>tocilizumab</w:t>
      </w:r>
      <w:proofErr w:type="spellEnd"/>
      <w:r w:rsidR="00521C01">
        <w:rPr>
          <w:rFonts w:cs="Arial"/>
          <w:bCs/>
          <w:snapToGrid w:val="0"/>
          <w:lang w:val="en-GB"/>
        </w:rPr>
        <w:t xml:space="preserve"> in GCA was uncertain given </w:t>
      </w:r>
      <w:r>
        <w:rPr>
          <w:rFonts w:cs="Arial"/>
          <w:bCs/>
          <w:snapToGrid w:val="0"/>
          <w:lang w:val="en-GB"/>
        </w:rPr>
        <w:t>the following issues with the clinical evidence:</w:t>
      </w:r>
    </w:p>
    <w:p w:rsidR="00E06BB0" w:rsidRPr="0001725B" w:rsidRDefault="00FE1C01" w:rsidP="00E06BB0">
      <w:pPr>
        <w:pStyle w:val="ListParagraph"/>
        <w:numPr>
          <w:ilvl w:val="0"/>
          <w:numId w:val="42"/>
        </w:numPr>
        <w:jc w:val="both"/>
        <w:rPr>
          <w:rFonts w:cs="Arial"/>
          <w:bCs/>
          <w:snapToGrid w:val="0"/>
          <w:lang w:val="en-GB"/>
        </w:rPr>
      </w:pPr>
      <w:proofErr w:type="gramStart"/>
      <w:r>
        <w:rPr>
          <w:rFonts w:cs="Arial"/>
          <w:bCs/>
          <w:snapToGrid w:val="0"/>
          <w:lang w:val="en-GB"/>
        </w:rPr>
        <w:t>t</w:t>
      </w:r>
      <w:r w:rsidR="00E06BB0" w:rsidRPr="0001725B">
        <w:rPr>
          <w:rFonts w:cs="Arial"/>
          <w:bCs/>
          <w:snapToGrid w:val="0"/>
          <w:lang w:val="en-GB"/>
        </w:rPr>
        <w:t>he</w:t>
      </w:r>
      <w:proofErr w:type="gramEnd"/>
      <w:r w:rsidR="00E06BB0" w:rsidRPr="0001725B">
        <w:rPr>
          <w:rFonts w:cs="Arial"/>
          <w:bCs/>
          <w:snapToGrid w:val="0"/>
          <w:lang w:val="en-GB"/>
        </w:rPr>
        <w:t xml:space="preserve"> </w:t>
      </w:r>
      <w:r w:rsidR="00E06BB0">
        <w:rPr>
          <w:rFonts w:cs="Arial"/>
          <w:bCs/>
          <w:snapToGrid w:val="0"/>
          <w:lang w:val="en-GB"/>
        </w:rPr>
        <w:t>trial was relatively short (12 mont</w:t>
      </w:r>
      <w:r w:rsidR="00521C01">
        <w:rPr>
          <w:rFonts w:cs="Arial"/>
          <w:bCs/>
          <w:snapToGrid w:val="0"/>
          <w:lang w:val="en-GB"/>
        </w:rPr>
        <w:t>h</w:t>
      </w:r>
      <w:r w:rsidR="00E06BB0">
        <w:rPr>
          <w:rFonts w:cs="Arial"/>
          <w:bCs/>
          <w:snapToGrid w:val="0"/>
          <w:lang w:val="en-GB"/>
        </w:rPr>
        <w:t xml:space="preserve">s) </w:t>
      </w:r>
      <w:r w:rsidR="00521C01">
        <w:rPr>
          <w:rFonts w:cs="Arial"/>
          <w:bCs/>
          <w:snapToGrid w:val="0"/>
          <w:lang w:val="en-GB"/>
        </w:rPr>
        <w:t xml:space="preserve">despite the long term nature of GCA. </w:t>
      </w:r>
    </w:p>
    <w:p w:rsidR="0001725B" w:rsidRPr="00FE1C01" w:rsidRDefault="0001725B" w:rsidP="00E06BB0">
      <w:pPr>
        <w:pStyle w:val="ListParagraph"/>
        <w:widowControl w:val="0"/>
        <w:numPr>
          <w:ilvl w:val="0"/>
          <w:numId w:val="42"/>
        </w:numPr>
        <w:ind w:left="1434" w:hanging="357"/>
        <w:jc w:val="both"/>
        <w:rPr>
          <w:rFonts w:cs="Arial"/>
          <w:bCs/>
          <w:snapToGrid w:val="0"/>
          <w:lang w:val="en-GB"/>
        </w:rPr>
      </w:pPr>
      <w:proofErr w:type="gramStart"/>
      <w:r w:rsidRPr="0001725B">
        <w:rPr>
          <w:rFonts w:cs="Arial"/>
          <w:bCs/>
          <w:snapToGrid w:val="0"/>
          <w:lang w:val="en-GB"/>
        </w:rPr>
        <w:t>the</w:t>
      </w:r>
      <w:proofErr w:type="gramEnd"/>
      <w:r w:rsidRPr="0001725B">
        <w:rPr>
          <w:rFonts w:cs="Arial"/>
          <w:bCs/>
          <w:snapToGrid w:val="0"/>
          <w:lang w:val="en-GB"/>
        </w:rPr>
        <w:t xml:space="preserve"> </w:t>
      </w:r>
      <w:r w:rsidR="00521C01">
        <w:rPr>
          <w:rFonts w:cs="Arial"/>
          <w:bCs/>
          <w:snapToGrid w:val="0"/>
          <w:lang w:val="en-GB"/>
        </w:rPr>
        <w:t xml:space="preserve">corticosteroid tapering </w:t>
      </w:r>
      <w:r w:rsidRPr="00FE1C01">
        <w:rPr>
          <w:rFonts w:cs="Arial"/>
          <w:bCs/>
          <w:snapToGrid w:val="0"/>
          <w:lang w:val="en-GB"/>
        </w:rPr>
        <w:t>regimen</w:t>
      </w:r>
      <w:r w:rsidR="00521C01" w:rsidRPr="00FE1C01">
        <w:rPr>
          <w:rFonts w:cs="Arial"/>
          <w:bCs/>
          <w:snapToGrid w:val="0"/>
          <w:lang w:val="en-GB"/>
        </w:rPr>
        <w:t>s</w:t>
      </w:r>
      <w:r w:rsidRPr="00FE1C01">
        <w:rPr>
          <w:rFonts w:cs="Arial"/>
          <w:bCs/>
          <w:snapToGrid w:val="0"/>
          <w:lang w:val="en-GB"/>
        </w:rPr>
        <w:t xml:space="preserve"> used in the </w:t>
      </w:r>
      <w:proofErr w:type="spellStart"/>
      <w:r w:rsidRPr="00FE1C01">
        <w:rPr>
          <w:rFonts w:cs="Arial"/>
          <w:bCs/>
          <w:snapToGrid w:val="0"/>
          <w:lang w:val="en-GB"/>
        </w:rPr>
        <w:t>GiACTA</w:t>
      </w:r>
      <w:proofErr w:type="spellEnd"/>
      <w:r w:rsidRPr="00FE1C01">
        <w:rPr>
          <w:rFonts w:cs="Arial"/>
          <w:bCs/>
          <w:snapToGrid w:val="0"/>
          <w:lang w:val="en-GB"/>
        </w:rPr>
        <w:t xml:space="preserve"> trial </w:t>
      </w:r>
      <w:r w:rsidR="0068037D">
        <w:rPr>
          <w:rFonts w:cs="Arial"/>
          <w:bCs/>
          <w:snapToGrid w:val="0"/>
          <w:lang w:val="en-GB"/>
        </w:rPr>
        <w:t xml:space="preserve">(in all arms) </w:t>
      </w:r>
      <w:r w:rsidR="00521C01" w:rsidRPr="00FE1C01">
        <w:rPr>
          <w:rFonts w:cs="Arial"/>
          <w:bCs/>
          <w:snapToGrid w:val="0"/>
          <w:lang w:val="en-GB"/>
        </w:rPr>
        <w:t>were shorter than recommended in</w:t>
      </w:r>
      <w:r w:rsidRPr="00FE1C01">
        <w:rPr>
          <w:rFonts w:cs="Arial"/>
          <w:bCs/>
          <w:snapToGrid w:val="0"/>
          <w:lang w:val="en-GB"/>
        </w:rPr>
        <w:t xml:space="preserve"> treatment guidelines</w:t>
      </w:r>
      <w:r w:rsidR="00521C01" w:rsidRPr="00FE1C01">
        <w:rPr>
          <w:rFonts w:cs="Arial"/>
          <w:bCs/>
          <w:snapToGrid w:val="0"/>
          <w:lang w:val="en-GB"/>
        </w:rPr>
        <w:t xml:space="preserve">. </w:t>
      </w:r>
      <w:r w:rsidR="00FE1C01">
        <w:rPr>
          <w:rFonts w:cs="Arial"/>
          <w:bCs/>
          <w:snapToGrid w:val="0"/>
          <w:lang w:val="en-GB"/>
        </w:rPr>
        <w:t>T</w:t>
      </w:r>
      <w:r w:rsidR="00181C7E" w:rsidRPr="00FE1C01">
        <w:rPr>
          <w:rFonts w:cs="Arial"/>
          <w:bCs/>
          <w:snapToGrid w:val="0"/>
          <w:lang w:val="en-GB"/>
        </w:rPr>
        <w:t xml:space="preserve">he PBAC noted that </w:t>
      </w:r>
      <w:proofErr w:type="spellStart"/>
      <w:r w:rsidR="00521C01" w:rsidRPr="00FE1C01">
        <w:rPr>
          <w:rFonts w:cs="Arial"/>
          <w:bCs/>
          <w:snapToGrid w:val="0"/>
          <w:lang w:val="en-GB"/>
        </w:rPr>
        <w:t>tocilizumab</w:t>
      </w:r>
      <w:proofErr w:type="spellEnd"/>
      <w:r w:rsidR="00521C01" w:rsidRPr="00FE1C01">
        <w:rPr>
          <w:rFonts w:cs="Arial"/>
          <w:bCs/>
          <w:snapToGrid w:val="0"/>
          <w:lang w:val="en-GB"/>
        </w:rPr>
        <w:t xml:space="preserve"> was used in conjunction with a 6 month corticosteroid tapering regimen in the trial</w:t>
      </w:r>
      <w:r w:rsidR="002A7B1E" w:rsidRPr="00FE1C01">
        <w:rPr>
          <w:rFonts w:cs="Arial"/>
          <w:bCs/>
          <w:snapToGrid w:val="0"/>
          <w:lang w:val="en-GB"/>
        </w:rPr>
        <w:t>. T</w:t>
      </w:r>
      <w:r w:rsidR="00521C01" w:rsidRPr="00FE1C01">
        <w:rPr>
          <w:rFonts w:cs="Arial"/>
          <w:bCs/>
          <w:snapToGrid w:val="0"/>
          <w:lang w:val="en-GB"/>
        </w:rPr>
        <w:t xml:space="preserve">he PBAC considered that </w:t>
      </w:r>
      <w:proofErr w:type="spellStart"/>
      <w:r w:rsidR="00521C01" w:rsidRPr="00FE1C01">
        <w:rPr>
          <w:rFonts w:cs="Arial"/>
          <w:bCs/>
          <w:snapToGrid w:val="0"/>
          <w:lang w:val="en-GB"/>
        </w:rPr>
        <w:t>tocilizumab</w:t>
      </w:r>
      <w:proofErr w:type="spellEnd"/>
      <w:r w:rsidR="00521C01" w:rsidRPr="00FE1C01">
        <w:rPr>
          <w:rFonts w:cs="Arial"/>
          <w:bCs/>
          <w:snapToGrid w:val="0"/>
          <w:lang w:val="en-GB"/>
        </w:rPr>
        <w:t xml:space="preserve"> may be used in conjunction with </w:t>
      </w:r>
      <w:r w:rsidR="002A7B1E" w:rsidRPr="00FE1C01">
        <w:rPr>
          <w:rFonts w:cs="Arial"/>
          <w:bCs/>
          <w:snapToGrid w:val="0"/>
          <w:lang w:val="en-GB"/>
        </w:rPr>
        <w:t xml:space="preserve">longer </w:t>
      </w:r>
      <w:r w:rsidR="00521C01" w:rsidRPr="00FE1C01">
        <w:rPr>
          <w:rFonts w:cs="Arial"/>
          <w:bCs/>
          <w:snapToGrid w:val="0"/>
          <w:lang w:val="en-GB"/>
        </w:rPr>
        <w:t>corticosteroid regimens in clinical practice</w:t>
      </w:r>
      <w:r w:rsidR="002A7B1E" w:rsidRPr="00FE1C01">
        <w:rPr>
          <w:rFonts w:cs="Arial"/>
          <w:bCs/>
          <w:snapToGrid w:val="0"/>
          <w:lang w:val="en-GB"/>
        </w:rPr>
        <w:t xml:space="preserve">, which </w:t>
      </w:r>
      <w:r w:rsidR="00521C01" w:rsidRPr="00FE1C01">
        <w:rPr>
          <w:rFonts w:cs="Arial"/>
          <w:bCs/>
          <w:snapToGrid w:val="0"/>
          <w:lang w:val="en-GB"/>
        </w:rPr>
        <w:t xml:space="preserve">may </w:t>
      </w:r>
      <w:r w:rsidR="002A7B1E" w:rsidRPr="00FE1C01">
        <w:rPr>
          <w:rFonts w:cs="Arial"/>
          <w:bCs/>
          <w:snapToGrid w:val="0"/>
          <w:lang w:val="en-GB"/>
        </w:rPr>
        <w:t>reduc</w:t>
      </w:r>
      <w:r w:rsidR="00521C01" w:rsidRPr="00FE1C01">
        <w:rPr>
          <w:rFonts w:cs="Arial"/>
          <w:bCs/>
          <w:snapToGrid w:val="0"/>
          <w:lang w:val="en-GB"/>
        </w:rPr>
        <w:t xml:space="preserve">e some of </w:t>
      </w:r>
      <w:r w:rsidR="000C6368">
        <w:rPr>
          <w:rFonts w:cs="Arial"/>
          <w:bCs/>
          <w:snapToGrid w:val="0"/>
          <w:lang w:val="en-GB"/>
        </w:rPr>
        <w:t xml:space="preserve">its </w:t>
      </w:r>
      <w:r w:rsidR="00521C01" w:rsidRPr="00FE1C01">
        <w:rPr>
          <w:rFonts w:cs="Arial"/>
          <w:bCs/>
          <w:snapToGrid w:val="0"/>
          <w:lang w:val="en-GB"/>
        </w:rPr>
        <w:t>corticosteroid-sparing effects.</w:t>
      </w:r>
      <w:r w:rsidRPr="00FE1C01">
        <w:rPr>
          <w:rFonts w:cs="Arial"/>
          <w:bCs/>
          <w:snapToGrid w:val="0"/>
          <w:lang w:val="en-GB"/>
        </w:rPr>
        <w:t xml:space="preserve"> </w:t>
      </w:r>
    </w:p>
    <w:p w:rsidR="0001725B" w:rsidRPr="00FE1C01" w:rsidRDefault="0001725B" w:rsidP="0067650E">
      <w:pPr>
        <w:pStyle w:val="ListParagraph"/>
        <w:numPr>
          <w:ilvl w:val="0"/>
          <w:numId w:val="42"/>
        </w:numPr>
        <w:jc w:val="both"/>
        <w:rPr>
          <w:rFonts w:cs="Arial"/>
          <w:bCs/>
          <w:snapToGrid w:val="0"/>
          <w:lang w:val="en-GB"/>
        </w:rPr>
      </w:pPr>
      <w:r w:rsidRPr="00FE1C01">
        <w:rPr>
          <w:rFonts w:cs="Arial"/>
          <w:bCs/>
          <w:snapToGrid w:val="0"/>
          <w:lang w:val="en-GB"/>
        </w:rPr>
        <w:t xml:space="preserve">the direct biologic effects of </w:t>
      </w:r>
      <w:proofErr w:type="spellStart"/>
      <w:r w:rsidRPr="00FE1C01">
        <w:rPr>
          <w:rFonts w:cs="Arial"/>
          <w:bCs/>
          <w:snapToGrid w:val="0"/>
          <w:lang w:val="en-GB"/>
        </w:rPr>
        <w:t>tocilizumab</w:t>
      </w:r>
      <w:proofErr w:type="spellEnd"/>
      <w:r w:rsidRPr="00FE1C01">
        <w:rPr>
          <w:rFonts w:cs="Arial"/>
          <w:bCs/>
          <w:snapToGrid w:val="0"/>
          <w:lang w:val="en-GB"/>
        </w:rPr>
        <w:t xml:space="preserve"> on CRP and ESR may have led to an overestimation of the response to treatment with </w:t>
      </w:r>
      <w:proofErr w:type="spellStart"/>
      <w:r w:rsidRPr="00FE1C01">
        <w:rPr>
          <w:rFonts w:cs="Arial"/>
          <w:bCs/>
          <w:snapToGrid w:val="0"/>
          <w:lang w:val="en-GB"/>
        </w:rPr>
        <w:t>tocilizumab</w:t>
      </w:r>
      <w:proofErr w:type="spellEnd"/>
      <w:r w:rsidRPr="00FE1C01">
        <w:rPr>
          <w:rFonts w:cs="Arial"/>
          <w:bCs/>
          <w:snapToGrid w:val="0"/>
          <w:lang w:val="en-GB"/>
        </w:rPr>
        <w:t>, given that CRP and ESR were included as part of the disease response criteria.</w:t>
      </w:r>
    </w:p>
    <w:p w:rsidR="0001725B" w:rsidRPr="004329D1" w:rsidRDefault="00E06BB0" w:rsidP="00E06BB0">
      <w:pPr>
        <w:pStyle w:val="ListParagraph"/>
        <w:widowControl w:val="0"/>
        <w:numPr>
          <w:ilvl w:val="0"/>
          <w:numId w:val="42"/>
        </w:numPr>
        <w:spacing w:after="120"/>
        <w:jc w:val="both"/>
        <w:rPr>
          <w:rFonts w:cs="Arial"/>
          <w:bCs/>
          <w:snapToGrid w:val="0"/>
          <w:lang w:val="en-GB"/>
        </w:rPr>
      </w:pPr>
      <w:r w:rsidRPr="00FE1C01">
        <w:rPr>
          <w:rFonts w:cs="Arial"/>
          <w:bCs/>
          <w:snapToGrid w:val="0"/>
          <w:lang w:val="en-GB"/>
        </w:rPr>
        <w:t>T</w:t>
      </w:r>
      <w:r w:rsidR="001A6C35" w:rsidRPr="00FE1C01">
        <w:rPr>
          <w:rFonts w:cs="Arial"/>
          <w:bCs/>
          <w:snapToGrid w:val="0"/>
          <w:lang w:val="en-GB"/>
        </w:rPr>
        <w:t xml:space="preserve">he </w:t>
      </w:r>
      <w:proofErr w:type="spellStart"/>
      <w:r w:rsidR="001A6C35" w:rsidRPr="00FE1C01">
        <w:rPr>
          <w:rFonts w:cs="Arial"/>
          <w:bCs/>
          <w:snapToGrid w:val="0"/>
          <w:lang w:val="en-GB"/>
        </w:rPr>
        <w:t>GiACTA</w:t>
      </w:r>
      <w:proofErr w:type="spellEnd"/>
      <w:r w:rsidR="001A6C35" w:rsidRPr="00FE1C01">
        <w:rPr>
          <w:rFonts w:cs="Arial"/>
          <w:bCs/>
          <w:snapToGrid w:val="0"/>
          <w:lang w:val="en-GB"/>
        </w:rPr>
        <w:t xml:space="preserve"> trial may not be representative of the PBS population </w:t>
      </w:r>
      <w:r w:rsidRPr="00FE1C01">
        <w:rPr>
          <w:rFonts w:cs="Arial"/>
          <w:bCs/>
          <w:snapToGrid w:val="0"/>
          <w:lang w:val="en-GB"/>
        </w:rPr>
        <w:t>as</w:t>
      </w:r>
      <w:r w:rsidR="001A6C35" w:rsidRPr="001A6C35">
        <w:rPr>
          <w:rFonts w:cs="Arial"/>
          <w:bCs/>
          <w:snapToGrid w:val="0"/>
          <w:lang w:val="en-GB"/>
        </w:rPr>
        <w:t xml:space="preserve"> patients </w:t>
      </w:r>
      <w:r w:rsidR="001A6C35">
        <w:rPr>
          <w:rFonts w:cs="Arial"/>
          <w:bCs/>
          <w:snapToGrid w:val="0"/>
          <w:lang w:val="en-GB"/>
        </w:rPr>
        <w:t xml:space="preserve">in the trial had high </w:t>
      </w:r>
      <w:r w:rsidR="00FE1C01">
        <w:rPr>
          <w:rFonts w:cs="Arial"/>
          <w:bCs/>
          <w:snapToGrid w:val="0"/>
          <w:lang w:val="en-GB"/>
        </w:rPr>
        <w:t xml:space="preserve">baseline </w:t>
      </w:r>
      <w:r w:rsidR="001A6C35">
        <w:rPr>
          <w:rFonts w:cs="Arial"/>
          <w:bCs/>
          <w:snapToGrid w:val="0"/>
          <w:lang w:val="en-GB"/>
        </w:rPr>
        <w:t xml:space="preserve">rates of </w:t>
      </w:r>
      <w:r w:rsidR="001A6C35" w:rsidRPr="001A6C35">
        <w:rPr>
          <w:rFonts w:cs="Arial"/>
          <w:bCs/>
          <w:snapToGrid w:val="0"/>
          <w:lang w:val="en-GB"/>
        </w:rPr>
        <w:t xml:space="preserve">polymyalgia </w:t>
      </w:r>
      <w:proofErr w:type="spellStart"/>
      <w:r w:rsidR="001A6C35" w:rsidRPr="001A6C35">
        <w:rPr>
          <w:rFonts w:cs="Arial"/>
          <w:bCs/>
          <w:snapToGrid w:val="0"/>
          <w:lang w:val="en-GB"/>
        </w:rPr>
        <w:t>rheumatic</w:t>
      </w:r>
      <w:r w:rsidR="00B979B2">
        <w:rPr>
          <w:rFonts w:cs="Arial"/>
          <w:bCs/>
          <w:snapToGrid w:val="0"/>
          <w:lang w:val="en-GB"/>
        </w:rPr>
        <w:t>a</w:t>
      </w:r>
      <w:proofErr w:type="spellEnd"/>
      <w:r w:rsidR="001A6C35" w:rsidRPr="001A6C35">
        <w:rPr>
          <w:rFonts w:cs="Arial"/>
          <w:bCs/>
          <w:snapToGrid w:val="0"/>
          <w:lang w:val="en-GB"/>
        </w:rPr>
        <w:t xml:space="preserve"> </w:t>
      </w:r>
      <w:r w:rsidR="00521C01" w:rsidRPr="001A6C35">
        <w:rPr>
          <w:rFonts w:cs="Arial"/>
          <w:bCs/>
          <w:snapToGrid w:val="0"/>
          <w:lang w:val="en-GB"/>
        </w:rPr>
        <w:t>symptoms</w:t>
      </w:r>
      <w:r w:rsidR="00521C01">
        <w:rPr>
          <w:rFonts w:cs="Arial"/>
          <w:bCs/>
          <w:snapToGrid w:val="0"/>
          <w:lang w:val="en-GB"/>
        </w:rPr>
        <w:t xml:space="preserve">, </w:t>
      </w:r>
      <w:r w:rsidR="001A6C35">
        <w:rPr>
          <w:rFonts w:cs="Arial"/>
          <w:bCs/>
          <w:snapToGrid w:val="0"/>
          <w:lang w:val="en-GB"/>
        </w:rPr>
        <w:t xml:space="preserve">low rates of </w:t>
      </w:r>
      <w:r w:rsidR="001A6C35" w:rsidRPr="001A6C35">
        <w:rPr>
          <w:rFonts w:cs="Arial"/>
          <w:bCs/>
          <w:snapToGrid w:val="0"/>
          <w:lang w:val="en-GB"/>
        </w:rPr>
        <w:t>ischaemic optic neuropathy</w:t>
      </w:r>
      <w:r w:rsidR="00521C01">
        <w:rPr>
          <w:rFonts w:cs="Arial"/>
          <w:bCs/>
          <w:snapToGrid w:val="0"/>
          <w:lang w:val="en-GB"/>
        </w:rPr>
        <w:t>,</w:t>
      </w:r>
      <w:r w:rsidR="001A6C35">
        <w:rPr>
          <w:rFonts w:cs="Arial"/>
          <w:bCs/>
          <w:snapToGrid w:val="0"/>
          <w:lang w:val="en-GB"/>
        </w:rPr>
        <w:t xml:space="preserve"> </w:t>
      </w:r>
      <w:r>
        <w:rPr>
          <w:rFonts w:cs="Arial"/>
          <w:bCs/>
          <w:snapToGrid w:val="0"/>
          <w:lang w:val="en-GB"/>
        </w:rPr>
        <w:t>and low ESR levels</w:t>
      </w:r>
      <w:r w:rsidR="00FE1C01" w:rsidRPr="00FE1C01">
        <w:rPr>
          <w:rFonts w:cs="Arial"/>
          <w:bCs/>
          <w:snapToGrid w:val="0"/>
          <w:lang w:val="en-GB"/>
        </w:rPr>
        <w:t xml:space="preserve"> </w:t>
      </w:r>
      <w:r w:rsidR="00FE1C01">
        <w:rPr>
          <w:rFonts w:cs="Arial"/>
          <w:bCs/>
          <w:snapToGrid w:val="0"/>
          <w:lang w:val="en-GB"/>
        </w:rPr>
        <w:t>at baseline</w:t>
      </w:r>
      <w:r>
        <w:rPr>
          <w:rFonts w:cs="Arial"/>
          <w:bCs/>
          <w:snapToGrid w:val="0"/>
          <w:lang w:val="en-GB"/>
        </w:rPr>
        <w:t xml:space="preserve">. Further, </w:t>
      </w:r>
      <w:r w:rsidR="00521C01">
        <w:rPr>
          <w:rFonts w:cs="Arial"/>
          <w:bCs/>
          <w:snapToGrid w:val="0"/>
          <w:lang w:val="en-GB"/>
        </w:rPr>
        <w:t xml:space="preserve">the trial excluded </w:t>
      </w:r>
      <w:r>
        <w:rPr>
          <w:rFonts w:cs="Arial"/>
          <w:bCs/>
          <w:snapToGrid w:val="0"/>
          <w:lang w:val="en-GB"/>
        </w:rPr>
        <w:t xml:space="preserve">patients </w:t>
      </w:r>
      <w:r w:rsidR="00521C01">
        <w:rPr>
          <w:rFonts w:cs="Arial"/>
          <w:bCs/>
          <w:snapToGrid w:val="0"/>
          <w:lang w:val="en-GB"/>
        </w:rPr>
        <w:t>who had</w:t>
      </w:r>
      <w:r>
        <w:rPr>
          <w:rFonts w:cs="Arial"/>
          <w:bCs/>
          <w:snapToGrid w:val="0"/>
          <w:lang w:val="en-GB"/>
        </w:rPr>
        <w:t xml:space="preserve"> received </w:t>
      </w:r>
      <w:r w:rsidRPr="00E06BB0">
        <w:rPr>
          <w:rFonts w:cs="Arial"/>
          <w:bCs/>
          <w:snapToGrid w:val="0"/>
          <w:lang w:val="en-GB"/>
        </w:rPr>
        <w:t xml:space="preserve">intravenous methylprednisolone </w:t>
      </w:r>
      <w:r w:rsidRPr="00E06BB0">
        <w:rPr>
          <w:rFonts w:cs="Arial"/>
          <w:bCs/>
          <w:snapToGrid w:val="0"/>
          <w:lang w:val="en-GB"/>
        </w:rPr>
        <w:lastRenderedPageBreak/>
        <w:t>(at a dose &gt; 100 mg daily) in the previous six weeks</w:t>
      </w:r>
      <w:r w:rsidR="00FE1C01">
        <w:rPr>
          <w:rFonts w:cs="Arial"/>
          <w:bCs/>
          <w:snapToGrid w:val="0"/>
          <w:lang w:val="en-GB"/>
        </w:rPr>
        <w:t xml:space="preserve">, which the PBAC </w:t>
      </w:r>
      <w:r w:rsidR="00FE1C01" w:rsidRPr="004329D1">
        <w:rPr>
          <w:rFonts w:cs="Arial"/>
          <w:bCs/>
          <w:snapToGrid w:val="0"/>
          <w:lang w:val="en-GB"/>
        </w:rPr>
        <w:t>considered may have excluded patients with more severe disease</w:t>
      </w:r>
      <w:r w:rsidRPr="004329D1">
        <w:rPr>
          <w:rFonts w:cs="Arial"/>
          <w:bCs/>
          <w:snapToGrid w:val="0"/>
          <w:lang w:val="en-GB"/>
        </w:rPr>
        <w:t>.</w:t>
      </w:r>
    </w:p>
    <w:p w:rsidR="00181C7E" w:rsidRPr="00181C7E" w:rsidRDefault="00A90556" w:rsidP="00D82D12">
      <w:pPr>
        <w:pStyle w:val="ListParagraph"/>
        <w:numPr>
          <w:ilvl w:val="1"/>
          <w:numId w:val="1"/>
        </w:numPr>
        <w:spacing w:after="120"/>
        <w:ind w:left="567" w:hanging="567"/>
        <w:jc w:val="both"/>
        <w:rPr>
          <w:rFonts w:cs="Arial"/>
          <w:bCs/>
          <w:snapToGrid w:val="0"/>
          <w:lang w:val="en-GB"/>
        </w:rPr>
      </w:pPr>
      <w:r w:rsidRPr="004329D1">
        <w:rPr>
          <w:rFonts w:cs="Arial"/>
          <w:bCs/>
          <w:snapToGrid w:val="0"/>
          <w:lang w:val="en-GB"/>
        </w:rPr>
        <w:t>T</w:t>
      </w:r>
      <w:r w:rsidR="006770B5" w:rsidRPr="004329D1">
        <w:rPr>
          <w:rFonts w:cs="Arial"/>
          <w:bCs/>
          <w:snapToGrid w:val="0"/>
          <w:lang w:val="en-GB"/>
        </w:rPr>
        <w:t xml:space="preserve">he PBAC </w:t>
      </w:r>
      <w:r w:rsidR="002A7B1E" w:rsidRPr="004329D1">
        <w:rPr>
          <w:rFonts w:cs="Arial"/>
          <w:bCs/>
          <w:snapToGrid w:val="0"/>
          <w:lang w:val="en-GB"/>
        </w:rPr>
        <w:t>not</w:t>
      </w:r>
      <w:r w:rsidR="006770B5" w:rsidRPr="004329D1">
        <w:rPr>
          <w:rFonts w:cs="Arial"/>
          <w:bCs/>
          <w:snapToGrid w:val="0"/>
          <w:lang w:val="en-GB"/>
        </w:rPr>
        <w:t xml:space="preserve">ed the trial data </w:t>
      </w:r>
      <w:r w:rsidR="002A7B1E" w:rsidRPr="004329D1">
        <w:rPr>
          <w:rFonts w:cs="Arial"/>
          <w:bCs/>
          <w:snapToGrid w:val="0"/>
          <w:lang w:val="en-GB"/>
        </w:rPr>
        <w:t xml:space="preserve">showed that </w:t>
      </w:r>
      <w:proofErr w:type="spellStart"/>
      <w:r w:rsidR="002A7B1E" w:rsidRPr="004329D1">
        <w:rPr>
          <w:rFonts w:cs="Arial"/>
          <w:bCs/>
          <w:snapToGrid w:val="0"/>
          <w:lang w:val="en-GB"/>
        </w:rPr>
        <w:t>tocilizumab</w:t>
      </w:r>
      <w:proofErr w:type="spellEnd"/>
      <w:r w:rsidR="002A7B1E" w:rsidRPr="004329D1">
        <w:rPr>
          <w:rFonts w:cs="Arial"/>
          <w:bCs/>
          <w:snapToGrid w:val="0"/>
          <w:lang w:val="en-GB"/>
        </w:rPr>
        <w:t xml:space="preserve"> (weekly or fortnightly) was associated with a statistically significant increase in response rates compared </w:t>
      </w:r>
      <w:r w:rsidR="00FE1C01" w:rsidRPr="004329D1">
        <w:rPr>
          <w:rFonts w:cs="Arial"/>
          <w:bCs/>
          <w:snapToGrid w:val="0"/>
          <w:lang w:val="en-GB"/>
        </w:rPr>
        <w:t>with</w:t>
      </w:r>
      <w:r w:rsidR="002A7B1E" w:rsidRPr="004329D1">
        <w:rPr>
          <w:rFonts w:cs="Arial"/>
          <w:bCs/>
          <w:snapToGrid w:val="0"/>
          <w:lang w:val="en-GB"/>
        </w:rPr>
        <w:t xml:space="preserve"> placebo plus a 52-week prednisone taper. </w:t>
      </w:r>
      <w:r w:rsidR="00280A7B" w:rsidRPr="004329D1">
        <w:rPr>
          <w:rFonts w:cs="Arial"/>
          <w:bCs/>
          <w:snapToGrid w:val="0"/>
          <w:lang w:val="en-GB"/>
        </w:rPr>
        <w:t xml:space="preserve">The PBAC considered this was an important clinical benefit in </w:t>
      </w:r>
      <w:r w:rsidR="004329D1" w:rsidRPr="004329D1">
        <w:rPr>
          <w:rFonts w:cs="Arial"/>
          <w:bCs/>
          <w:snapToGrid w:val="0"/>
          <w:lang w:val="en-GB"/>
        </w:rPr>
        <w:t>this condition</w:t>
      </w:r>
      <w:r w:rsidR="00280A7B" w:rsidRPr="004329D1">
        <w:rPr>
          <w:rFonts w:cs="Arial"/>
          <w:bCs/>
          <w:snapToGrid w:val="0"/>
          <w:lang w:val="en-GB"/>
        </w:rPr>
        <w:t xml:space="preserve">. </w:t>
      </w:r>
      <w:r w:rsidR="004329D1">
        <w:rPr>
          <w:rFonts w:cs="Arial"/>
          <w:bCs/>
          <w:snapToGrid w:val="0"/>
          <w:lang w:val="en-GB"/>
        </w:rPr>
        <w:t>Overall</w:t>
      </w:r>
      <w:r w:rsidR="00280A7B" w:rsidRPr="004329D1">
        <w:rPr>
          <w:rFonts w:cs="Arial"/>
          <w:bCs/>
          <w:snapToGrid w:val="0"/>
          <w:lang w:val="en-GB"/>
        </w:rPr>
        <w:t>, th</w:t>
      </w:r>
      <w:r w:rsidR="00181C7E" w:rsidRPr="004329D1">
        <w:rPr>
          <w:rFonts w:cs="Arial"/>
          <w:bCs/>
          <w:snapToGrid w:val="0"/>
          <w:lang w:val="en-GB"/>
        </w:rPr>
        <w:t xml:space="preserve">e PBAC considered that the claim of superior comparative efficacy at 52 weeks was adequately supported by the data for the comparison of </w:t>
      </w:r>
      <w:proofErr w:type="spellStart"/>
      <w:r w:rsidR="00181C7E" w:rsidRPr="004329D1">
        <w:rPr>
          <w:rFonts w:cs="Arial"/>
          <w:bCs/>
          <w:snapToGrid w:val="0"/>
          <w:lang w:val="en-GB"/>
        </w:rPr>
        <w:t>tocilizumab</w:t>
      </w:r>
      <w:proofErr w:type="spellEnd"/>
      <w:r w:rsidR="00181C7E" w:rsidRPr="004329D1">
        <w:rPr>
          <w:rFonts w:cs="Arial"/>
          <w:bCs/>
          <w:snapToGrid w:val="0"/>
          <w:lang w:val="en-GB"/>
        </w:rPr>
        <w:t xml:space="preserve"> </w:t>
      </w:r>
      <w:r w:rsidR="0068037D">
        <w:rPr>
          <w:rFonts w:cs="Arial"/>
          <w:bCs/>
          <w:snapToGrid w:val="0"/>
          <w:lang w:val="en-GB"/>
        </w:rPr>
        <w:t>(</w:t>
      </w:r>
      <w:r w:rsidR="00181C7E" w:rsidRPr="004329D1">
        <w:rPr>
          <w:rFonts w:cs="Arial"/>
          <w:bCs/>
          <w:snapToGrid w:val="0"/>
          <w:lang w:val="en-GB"/>
        </w:rPr>
        <w:t>weekly</w:t>
      </w:r>
      <w:r w:rsidR="00181C7E" w:rsidRPr="00181C7E">
        <w:rPr>
          <w:rFonts w:cs="Arial"/>
          <w:bCs/>
          <w:snapToGrid w:val="0"/>
          <w:lang w:val="en-GB"/>
        </w:rPr>
        <w:t xml:space="preserve"> </w:t>
      </w:r>
      <w:r w:rsidR="0068037D">
        <w:rPr>
          <w:rFonts w:cs="Arial"/>
          <w:bCs/>
          <w:snapToGrid w:val="0"/>
          <w:lang w:val="en-GB"/>
        </w:rPr>
        <w:t xml:space="preserve">or fortnightly) </w:t>
      </w:r>
      <w:r w:rsidR="00181C7E" w:rsidRPr="00181C7E">
        <w:rPr>
          <w:rFonts w:cs="Arial"/>
          <w:bCs/>
          <w:snapToGrid w:val="0"/>
          <w:lang w:val="en-GB"/>
        </w:rPr>
        <w:t>plus a 26 week tapering course of corticosteroids versus a 52</w:t>
      </w:r>
      <w:r w:rsidR="00FE1C01">
        <w:rPr>
          <w:rFonts w:cs="Arial"/>
          <w:bCs/>
          <w:snapToGrid w:val="0"/>
          <w:lang w:val="en-GB"/>
        </w:rPr>
        <w:t xml:space="preserve"> </w:t>
      </w:r>
      <w:r w:rsidR="00181C7E" w:rsidRPr="00181C7E">
        <w:rPr>
          <w:rFonts w:cs="Arial"/>
          <w:bCs/>
          <w:snapToGrid w:val="0"/>
          <w:lang w:val="en-GB"/>
        </w:rPr>
        <w:t xml:space="preserve">week tapering course of corticosteroids. </w:t>
      </w:r>
    </w:p>
    <w:p w:rsidR="0015122F" w:rsidRPr="00DA6325" w:rsidRDefault="00BD16DF" w:rsidP="00D82D12">
      <w:pPr>
        <w:pStyle w:val="ListParagraph"/>
        <w:numPr>
          <w:ilvl w:val="1"/>
          <w:numId w:val="1"/>
        </w:numPr>
        <w:spacing w:after="120"/>
        <w:ind w:left="567" w:hanging="567"/>
        <w:jc w:val="both"/>
        <w:rPr>
          <w:rFonts w:cs="Arial"/>
          <w:bCs/>
          <w:snapToGrid w:val="0"/>
          <w:lang w:val="en-GB"/>
        </w:rPr>
      </w:pPr>
      <w:r w:rsidRPr="00DA6325">
        <w:rPr>
          <w:rFonts w:cs="Arial"/>
          <w:bCs/>
          <w:snapToGrid w:val="0"/>
          <w:lang w:val="en-GB"/>
        </w:rPr>
        <w:t>The PBAC</w:t>
      </w:r>
      <w:r w:rsidR="000934D5" w:rsidRPr="00DA6325">
        <w:rPr>
          <w:rFonts w:cs="Arial"/>
          <w:bCs/>
          <w:snapToGrid w:val="0"/>
          <w:lang w:val="en-GB"/>
        </w:rPr>
        <w:t xml:space="preserve"> </w:t>
      </w:r>
      <w:r w:rsidR="007D1635" w:rsidRPr="00DA6325">
        <w:rPr>
          <w:rFonts w:cs="Arial"/>
          <w:bCs/>
          <w:snapToGrid w:val="0"/>
          <w:lang w:val="en-GB"/>
        </w:rPr>
        <w:t xml:space="preserve">noted that, based on the limited longer-term data available, there were high rates of relapse in patients who initially responded to 12 months of </w:t>
      </w:r>
      <w:proofErr w:type="spellStart"/>
      <w:r w:rsidR="007D1635" w:rsidRPr="00DA6325">
        <w:rPr>
          <w:rFonts w:cs="Arial"/>
          <w:bCs/>
          <w:snapToGrid w:val="0"/>
          <w:lang w:val="en-GB"/>
        </w:rPr>
        <w:t>tocilizumab</w:t>
      </w:r>
      <w:proofErr w:type="spellEnd"/>
      <w:r w:rsidR="007D1635" w:rsidRPr="00DA6325">
        <w:rPr>
          <w:rFonts w:cs="Arial"/>
          <w:bCs/>
          <w:snapToGrid w:val="0"/>
          <w:lang w:val="en-GB"/>
        </w:rPr>
        <w:t xml:space="preserve"> treatment. The open-label extension of the </w:t>
      </w:r>
      <w:proofErr w:type="spellStart"/>
      <w:r w:rsidR="007D1635" w:rsidRPr="00DA6325">
        <w:rPr>
          <w:rFonts w:cs="Arial"/>
          <w:bCs/>
          <w:snapToGrid w:val="0"/>
          <w:lang w:val="en-GB"/>
        </w:rPr>
        <w:t>GiACTA</w:t>
      </w:r>
      <w:proofErr w:type="spellEnd"/>
      <w:r w:rsidR="007D1635" w:rsidRPr="00DA6325">
        <w:rPr>
          <w:rFonts w:cs="Arial"/>
          <w:bCs/>
          <w:snapToGrid w:val="0"/>
          <w:lang w:val="en-GB"/>
        </w:rPr>
        <w:t xml:space="preserve"> trial found that, of patients who were in remission after 12 months of treatment, flares were </w:t>
      </w:r>
      <w:r w:rsidR="00181C7E" w:rsidRPr="00DA6325">
        <w:rPr>
          <w:rFonts w:cs="Arial"/>
          <w:bCs/>
          <w:snapToGrid w:val="0"/>
          <w:lang w:val="en-GB"/>
        </w:rPr>
        <w:t xml:space="preserve">subsequently </w:t>
      </w:r>
      <w:r w:rsidR="007D1635" w:rsidRPr="00DA6325">
        <w:rPr>
          <w:rFonts w:cs="Arial"/>
          <w:bCs/>
          <w:snapToGrid w:val="0"/>
          <w:lang w:val="en-GB"/>
        </w:rPr>
        <w:t xml:space="preserve">observed in 8/24 (33%) </w:t>
      </w:r>
      <w:r w:rsidR="00675CB1" w:rsidRPr="00DA6325">
        <w:rPr>
          <w:rFonts w:cs="Arial"/>
          <w:bCs/>
          <w:snapToGrid w:val="0"/>
          <w:lang w:val="en-GB"/>
        </w:rPr>
        <w:t>of</w:t>
      </w:r>
      <w:r w:rsidR="007D1635" w:rsidRPr="00DA6325">
        <w:rPr>
          <w:rFonts w:cs="Arial"/>
          <w:bCs/>
          <w:snapToGrid w:val="0"/>
          <w:lang w:val="en-GB"/>
        </w:rPr>
        <w:t xml:space="preserve"> the </w:t>
      </w:r>
      <w:proofErr w:type="spellStart"/>
      <w:r w:rsidR="007D1635" w:rsidRPr="00DA6325">
        <w:rPr>
          <w:rFonts w:cs="Arial"/>
          <w:bCs/>
          <w:snapToGrid w:val="0"/>
          <w:lang w:val="en-GB"/>
        </w:rPr>
        <w:t>tocilizumab</w:t>
      </w:r>
      <w:proofErr w:type="spellEnd"/>
      <w:r w:rsidR="007D1635" w:rsidRPr="00DA6325">
        <w:rPr>
          <w:rFonts w:cs="Arial"/>
          <w:bCs/>
          <w:snapToGrid w:val="0"/>
          <w:lang w:val="en-GB"/>
        </w:rPr>
        <w:t xml:space="preserve"> weekly group, and 8/11 (73%) </w:t>
      </w:r>
      <w:r w:rsidR="00675CB1" w:rsidRPr="00DA6325">
        <w:rPr>
          <w:rFonts w:cs="Arial"/>
          <w:bCs/>
          <w:snapToGrid w:val="0"/>
          <w:lang w:val="en-GB"/>
        </w:rPr>
        <w:t>of</w:t>
      </w:r>
      <w:r w:rsidR="007D1635" w:rsidRPr="00DA6325">
        <w:rPr>
          <w:rFonts w:cs="Arial"/>
          <w:bCs/>
          <w:snapToGrid w:val="0"/>
          <w:lang w:val="en-GB"/>
        </w:rPr>
        <w:t xml:space="preserve"> the </w:t>
      </w:r>
      <w:proofErr w:type="spellStart"/>
      <w:r w:rsidR="007D1635" w:rsidRPr="00DA6325">
        <w:rPr>
          <w:rFonts w:cs="Arial"/>
          <w:bCs/>
          <w:snapToGrid w:val="0"/>
          <w:lang w:val="en-GB"/>
        </w:rPr>
        <w:t>tocilizumab</w:t>
      </w:r>
      <w:proofErr w:type="spellEnd"/>
      <w:r w:rsidR="007D1635" w:rsidRPr="00DA6325">
        <w:rPr>
          <w:rFonts w:cs="Arial"/>
          <w:bCs/>
          <w:snapToGrid w:val="0"/>
          <w:lang w:val="en-GB"/>
        </w:rPr>
        <w:t xml:space="preserve"> fortnightly group. </w:t>
      </w:r>
      <w:r w:rsidR="00181C7E" w:rsidRPr="00DA6325">
        <w:rPr>
          <w:rFonts w:cs="Arial"/>
          <w:bCs/>
          <w:snapToGrid w:val="0"/>
          <w:lang w:val="en-GB"/>
        </w:rPr>
        <w:t xml:space="preserve">The PBAC noted that similar rates of relapse (11/20 (55%)) were observed in a Phase 2 study of </w:t>
      </w:r>
      <w:proofErr w:type="spellStart"/>
      <w:r w:rsidR="00181C7E" w:rsidRPr="00DA6325">
        <w:rPr>
          <w:rFonts w:cs="Arial"/>
          <w:bCs/>
          <w:snapToGrid w:val="0"/>
          <w:lang w:val="en-GB"/>
        </w:rPr>
        <w:t>tocilizumab</w:t>
      </w:r>
      <w:proofErr w:type="spellEnd"/>
      <w:r w:rsidR="00181C7E" w:rsidRPr="00DA6325">
        <w:rPr>
          <w:rFonts w:cs="Arial"/>
          <w:bCs/>
          <w:snapToGrid w:val="0"/>
          <w:lang w:val="en-GB"/>
        </w:rPr>
        <w:t xml:space="preserve"> in GCA (albeit a different dose of </w:t>
      </w:r>
      <w:proofErr w:type="spellStart"/>
      <w:r w:rsidR="00181C7E" w:rsidRPr="00DA6325">
        <w:rPr>
          <w:rFonts w:cs="Arial"/>
          <w:bCs/>
          <w:snapToGrid w:val="0"/>
          <w:lang w:val="en-GB"/>
        </w:rPr>
        <w:t>tocilizumab</w:t>
      </w:r>
      <w:proofErr w:type="spellEnd"/>
      <w:r w:rsidR="00181C7E" w:rsidRPr="00DA6325">
        <w:rPr>
          <w:rFonts w:cs="Arial"/>
          <w:bCs/>
          <w:snapToGrid w:val="0"/>
          <w:lang w:val="en-GB"/>
        </w:rPr>
        <w:t xml:space="preserve"> was used) (Adler 2016). </w:t>
      </w:r>
      <w:r w:rsidR="007D1635" w:rsidRPr="00DA6325">
        <w:rPr>
          <w:rFonts w:cs="Arial"/>
          <w:bCs/>
          <w:snapToGrid w:val="0"/>
          <w:lang w:val="en-GB"/>
        </w:rPr>
        <w:t xml:space="preserve">The PBAC considered that the large number of flares in the post-treatment period suggests that </w:t>
      </w:r>
      <w:proofErr w:type="spellStart"/>
      <w:r w:rsidR="007D1635" w:rsidRPr="00DA6325">
        <w:rPr>
          <w:rFonts w:cs="Arial"/>
          <w:bCs/>
          <w:snapToGrid w:val="0"/>
          <w:lang w:val="en-GB"/>
        </w:rPr>
        <w:t>tocilizumab</w:t>
      </w:r>
      <w:proofErr w:type="spellEnd"/>
      <w:r w:rsidR="007D1635" w:rsidRPr="00DA6325">
        <w:rPr>
          <w:rFonts w:cs="Arial"/>
          <w:bCs/>
          <w:snapToGrid w:val="0"/>
          <w:lang w:val="en-GB"/>
        </w:rPr>
        <w:t xml:space="preserve"> may suppress rather than prevent relapse. </w:t>
      </w:r>
      <w:r w:rsidR="00187EBD">
        <w:rPr>
          <w:rFonts w:cs="Arial"/>
          <w:bCs/>
          <w:snapToGrid w:val="0"/>
          <w:lang w:val="en-GB"/>
        </w:rPr>
        <w:t>T</w:t>
      </w:r>
      <w:r w:rsidR="00187EBD" w:rsidRPr="00187EBD">
        <w:rPr>
          <w:rFonts w:cs="Arial"/>
          <w:bCs/>
          <w:snapToGrid w:val="0"/>
          <w:lang w:val="en-GB"/>
        </w:rPr>
        <w:t xml:space="preserve">he </w:t>
      </w:r>
      <w:r w:rsidR="00E722B8" w:rsidRPr="00187EBD">
        <w:rPr>
          <w:rFonts w:cs="Arial"/>
          <w:bCs/>
          <w:snapToGrid w:val="0"/>
          <w:lang w:val="en-GB"/>
        </w:rPr>
        <w:t xml:space="preserve">PBAC </w:t>
      </w:r>
      <w:r w:rsidR="00187EBD" w:rsidRPr="00187EBD">
        <w:rPr>
          <w:rFonts w:cs="Arial"/>
          <w:bCs/>
          <w:snapToGrid w:val="0"/>
          <w:lang w:val="en-GB"/>
        </w:rPr>
        <w:t xml:space="preserve">considered that </w:t>
      </w:r>
      <w:r w:rsidR="00E722B8" w:rsidRPr="00187EBD">
        <w:rPr>
          <w:rFonts w:cs="Arial"/>
          <w:bCs/>
          <w:snapToGrid w:val="0"/>
          <w:lang w:val="en-GB"/>
        </w:rPr>
        <w:t>it would be important for the sponsor</w:t>
      </w:r>
      <w:r w:rsidR="00187EBD" w:rsidRPr="00187EBD">
        <w:rPr>
          <w:rFonts w:cs="Arial"/>
          <w:bCs/>
          <w:snapToGrid w:val="0"/>
          <w:lang w:val="en-GB"/>
        </w:rPr>
        <w:t xml:space="preserve"> </w:t>
      </w:r>
      <w:r w:rsidR="00E722B8" w:rsidRPr="00187EBD">
        <w:rPr>
          <w:rFonts w:cs="Arial"/>
          <w:bCs/>
          <w:snapToGrid w:val="0"/>
          <w:lang w:val="en-GB"/>
        </w:rPr>
        <w:t>to ensure there are Q</w:t>
      </w:r>
      <w:r w:rsidR="00187EBD" w:rsidRPr="00187EBD">
        <w:rPr>
          <w:rFonts w:cs="Arial"/>
          <w:bCs/>
          <w:snapToGrid w:val="0"/>
          <w:lang w:val="en-GB"/>
        </w:rPr>
        <w:t xml:space="preserve">uality </w:t>
      </w:r>
      <w:r w:rsidR="00E722B8" w:rsidRPr="00187EBD">
        <w:rPr>
          <w:rFonts w:cs="Arial"/>
          <w:bCs/>
          <w:snapToGrid w:val="0"/>
          <w:lang w:val="en-GB"/>
        </w:rPr>
        <w:t>U</w:t>
      </w:r>
      <w:r w:rsidR="00187EBD" w:rsidRPr="00187EBD">
        <w:rPr>
          <w:rFonts w:cs="Arial"/>
          <w:bCs/>
          <w:snapToGrid w:val="0"/>
          <w:lang w:val="en-GB"/>
        </w:rPr>
        <w:t xml:space="preserve">se of </w:t>
      </w:r>
      <w:r w:rsidR="00E722B8" w:rsidRPr="00187EBD">
        <w:rPr>
          <w:rFonts w:cs="Arial"/>
          <w:bCs/>
          <w:snapToGrid w:val="0"/>
          <w:lang w:val="en-GB"/>
        </w:rPr>
        <w:t>M</w:t>
      </w:r>
      <w:r w:rsidR="00187EBD" w:rsidRPr="00187EBD">
        <w:rPr>
          <w:rFonts w:cs="Arial"/>
          <w:bCs/>
          <w:snapToGrid w:val="0"/>
          <w:lang w:val="en-GB"/>
        </w:rPr>
        <w:t>edicines</w:t>
      </w:r>
      <w:r w:rsidR="00E722B8" w:rsidRPr="00187EBD">
        <w:rPr>
          <w:rFonts w:cs="Arial"/>
          <w:bCs/>
          <w:snapToGrid w:val="0"/>
          <w:lang w:val="en-GB"/>
        </w:rPr>
        <w:t xml:space="preserve"> initiatives </w:t>
      </w:r>
      <w:r w:rsidR="00187EBD">
        <w:rPr>
          <w:rFonts w:cs="Arial"/>
          <w:bCs/>
          <w:snapToGrid w:val="0"/>
          <w:lang w:val="en-GB"/>
        </w:rPr>
        <w:t xml:space="preserve">to help manage </w:t>
      </w:r>
      <w:r w:rsidR="00E722B8" w:rsidRPr="00187EBD">
        <w:rPr>
          <w:rFonts w:cs="Arial"/>
          <w:bCs/>
          <w:snapToGrid w:val="0"/>
          <w:lang w:val="en-GB"/>
        </w:rPr>
        <w:t xml:space="preserve">the expectations of </w:t>
      </w:r>
      <w:r w:rsidR="00187EBD" w:rsidRPr="00187EBD">
        <w:rPr>
          <w:rFonts w:cs="Arial"/>
          <w:bCs/>
          <w:snapToGrid w:val="0"/>
          <w:lang w:val="en-GB"/>
        </w:rPr>
        <w:t>clinicians</w:t>
      </w:r>
      <w:r w:rsidR="00E722B8" w:rsidRPr="00187EBD">
        <w:rPr>
          <w:rFonts w:cs="Arial"/>
          <w:bCs/>
          <w:snapToGrid w:val="0"/>
          <w:lang w:val="en-GB"/>
        </w:rPr>
        <w:t xml:space="preserve"> and </w:t>
      </w:r>
      <w:r w:rsidR="00187EBD" w:rsidRPr="00187EBD">
        <w:rPr>
          <w:rFonts w:cs="Arial"/>
          <w:bCs/>
          <w:snapToGrid w:val="0"/>
          <w:lang w:val="en-GB"/>
        </w:rPr>
        <w:t>patients</w:t>
      </w:r>
      <w:r w:rsidR="00E722B8">
        <w:rPr>
          <w:rFonts w:cs="Arial"/>
          <w:bCs/>
          <w:snapToGrid w:val="0"/>
          <w:lang w:val="en-GB"/>
        </w:rPr>
        <w:t xml:space="preserve">. </w:t>
      </w:r>
    </w:p>
    <w:p w:rsidR="00181C7E" w:rsidRPr="009A140B" w:rsidRDefault="00181C7E" w:rsidP="00D82D12">
      <w:pPr>
        <w:pStyle w:val="ListParagraph"/>
        <w:numPr>
          <w:ilvl w:val="1"/>
          <w:numId w:val="1"/>
        </w:numPr>
        <w:spacing w:after="120"/>
        <w:ind w:left="567" w:hanging="567"/>
        <w:jc w:val="both"/>
        <w:rPr>
          <w:rFonts w:cs="Arial"/>
          <w:bCs/>
          <w:snapToGrid w:val="0"/>
          <w:lang w:val="en-GB"/>
        </w:rPr>
      </w:pPr>
      <w:r w:rsidRPr="009A140B">
        <w:rPr>
          <w:rFonts w:cs="Arial"/>
          <w:bCs/>
          <w:snapToGrid w:val="0"/>
          <w:lang w:val="en-GB"/>
        </w:rPr>
        <w:t>The PBAC considered that the claim of non-inferior safety was adequately supported by the data.</w:t>
      </w:r>
    </w:p>
    <w:p w:rsidR="00D91C2B" w:rsidRPr="009A140B" w:rsidRDefault="002D573D" w:rsidP="00301561">
      <w:pPr>
        <w:pStyle w:val="ListParagraph"/>
        <w:numPr>
          <w:ilvl w:val="1"/>
          <w:numId w:val="1"/>
        </w:numPr>
        <w:spacing w:after="120"/>
        <w:ind w:left="567" w:hanging="567"/>
        <w:jc w:val="both"/>
        <w:rPr>
          <w:rFonts w:cs="Arial"/>
          <w:bCs/>
          <w:snapToGrid w:val="0"/>
          <w:lang w:val="en-GB"/>
        </w:rPr>
      </w:pPr>
      <w:r>
        <w:rPr>
          <w:rFonts w:cs="Arial"/>
          <w:bCs/>
          <w:snapToGrid w:val="0"/>
          <w:lang w:val="en-GB"/>
        </w:rPr>
        <w:t xml:space="preserve">The </w:t>
      </w:r>
      <w:r w:rsidR="007A36AD">
        <w:rPr>
          <w:rFonts w:cs="Arial"/>
          <w:bCs/>
          <w:snapToGrid w:val="0"/>
          <w:lang w:val="en-GB"/>
        </w:rPr>
        <w:t>pre-PBAC response</w:t>
      </w:r>
      <w:r>
        <w:rPr>
          <w:rFonts w:cs="Arial"/>
          <w:bCs/>
          <w:snapToGrid w:val="0"/>
          <w:lang w:val="en-GB"/>
        </w:rPr>
        <w:t xml:space="preserve"> </w:t>
      </w:r>
      <w:r w:rsidR="001809A7">
        <w:rPr>
          <w:rFonts w:cs="Arial"/>
          <w:bCs/>
          <w:snapToGrid w:val="0"/>
          <w:lang w:val="en-GB"/>
        </w:rPr>
        <w:t xml:space="preserve">estimated </w:t>
      </w:r>
      <w:r w:rsidR="007A36AD">
        <w:rPr>
          <w:rFonts w:cs="Arial"/>
          <w:bCs/>
          <w:snapToGrid w:val="0"/>
          <w:lang w:val="en-GB"/>
        </w:rPr>
        <w:t xml:space="preserve">that the </w:t>
      </w:r>
      <w:r>
        <w:rPr>
          <w:rFonts w:cs="Arial"/>
          <w:bCs/>
          <w:snapToGrid w:val="0"/>
          <w:lang w:val="en-GB"/>
        </w:rPr>
        <w:t xml:space="preserve">cost per QALY gained was </w:t>
      </w:r>
      <w:r w:rsidR="001D1FEE">
        <w:t>$45,000 – $75,000</w:t>
      </w:r>
      <w:r>
        <w:t xml:space="preserve"> following correction of three of the errors</w:t>
      </w:r>
      <w:r w:rsidR="001809A7">
        <w:t xml:space="preserve"> identified during the evaluation</w:t>
      </w:r>
      <w:r>
        <w:t xml:space="preserve"> and incorporation of the </w:t>
      </w:r>
      <w:proofErr w:type="spellStart"/>
      <w:r w:rsidR="007A36AD">
        <w:t>tocilizumab</w:t>
      </w:r>
      <w:proofErr w:type="spellEnd"/>
      <w:r>
        <w:t xml:space="preserve"> price reduction. </w:t>
      </w:r>
      <w:r w:rsidR="00C02C1D" w:rsidRPr="009A140B">
        <w:rPr>
          <w:rFonts w:cs="Arial"/>
          <w:bCs/>
          <w:snapToGrid w:val="0"/>
          <w:lang w:val="en-GB"/>
        </w:rPr>
        <w:t xml:space="preserve">The PBAC </w:t>
      </w:r>
      <w:r>
        <w:rPr>
          <w:rFonts w:cs="Arial"/>
          <w:bCs/>
          <w:snapToGrid w:val="0"/>
          <w:lang w:val="en-GB"/>
        </w:rPr>
        <w:t xml:space="preserve">also </w:t>
      </w:r>
      <w:r w:rsidR="0051740F">
        <w:rPr>
          <w:rFonts w:cs="Arial"/>
          <w:bCs/>
          <w:snapToGrid w:val="0"/>
          <w:lang w:val="en-GB"/>
        </w:rPr>
        <w:t xml:space="preserve">noted the ESC </w:t>
      </w:r>
      <w:r w:rsidR="00171C94" w:rsidRPr="009A140B">
        <w:rPr>
          <w:rFonts w:cs="Arial"/>
          <w:bCs/>
          <w:snapToGrid w:val="0"/>
          <w:lang w:val="en-GB"/>
        </w:rPr>
        <w:t>considered that the cost-effectiveness estimate was not reliable give</w:t>
      </w:r>
      <w:r w:rsidR="00171C94" w:rsidRPr="009A140B">
        <w:t xml:space="preserve">n </w:t>
      </w:r>
      <w:r w:rsidR="00171C94" w:rsidRPr="009A140B">
        <w:rPr>
          <w:rFonts w:cs="Arial"/>
          <w:bCs/>
          <w:snapToGrid w:val="0"/>
          <w:lang w:val="en-GB"/>
        </w:rPr>
        <w:t>the errors and logical inconsistencies identified in the model, and the issues relating to the duration of corticosteroid exposure and associated disutility values and costs.</w:t>
      </w:r>
      <w:r>
        <w:t xml:space="preserve"> </w:t>
      </w:r>
      <w:r>
        <w:rPr>
          <w:rFonts w:cs="Arial"/>
          <w:bCs/>
          <w:snapToGrid w:val="0"/>
          <w:lang w:val="en-GB"/>
        </w:rPr>
        <w:t>T</w:t>
      </w:r>
      <w:r w:rsidR="00B71C3A" w:rsidRPr="009A140B">
        <w:rPr>
          <w:rFonts w:cs="Arial"/>
          <w:bCs/>
          <w:snapToGrid w:val="0"/>
          <w:lang w:val="en-GB"/>
        </w:rPr>
        <w:t>he PBAC considered</w:t>
      </w:r>
      <w:r>
        <w:rPr>
          <w:rFonts w:cs="Arial"/>
          <w:bCs/>
          <w:snapToGrid w:val="0"/>
          <w:lang w:val="en-GB"/>
        </w:rPr>
        <w:t xml:space="preserve"> a key uncertainty </w:t>
      </w:r>
      <w:r w:rsidR="0088641D">
        <w:rPr>
          <w:rFonts w:cs="Arial"/>
          <w:bCs/>
          <w:snapToGrid w:val="0"/>
          <w:lang w:val="en-GB"/>
        </w:rPr>
        <w:t>for</w:t>
      </w:r>
      <w:r>
        <w:rPr>
          <w:rFonts w:cs="Arial"/>
          <w:bCs/>
          <w:snapToGrid w:val="0"/>
          <w:lang w:val="en-GB"/>
        </w:rPr>
        <w:t xml:space="preserve"> </w:t>
      </w:r>
      <w:r w:rsidR="00171C94" w:rsidRPr="009A140B">
        <w:rPr>
          <w:rFonts w:cs="Arial"/>
          <w:bCs/>
          <w:snapToGrid w:val="0"/>
          <w:lang w:val="en-GB"/>
        </w:rPr>
        <w:t>estimat</w:t>
      </w:r>
      <w:r>
        <w:rPr>
          <w:rFonts w:cs="Arial"/>
          <w:bCs/>
          <w:snapToGrid w:val="0"/>
          <w:lang w:val="en-GB"/>
        </w:rPr>
        <w:t>ing</w:t>
      </w:r>
      <w:r w:rsidR="00171C94" w:rsidRPr="009A140B">
        <w:rPr>
          <w:rFonts w:cs="Arial"/>
          <w:bCs/>
          <w:snapToGrid w:val="0"/>
          <w:lang w:val="en-GB"/>
        </w:rPr>
        <w:t xml:space="preserve"> the cost-effectiveness of </w:t>
      </w:r>
      <w:proofErr w:type="spellStart"/>
      <w:r w:rsidR="00171C94" w:rsidRPr="009A140B">
        <w:rPr>
          <w:rFonts w:cs="Arial"/>
          <w:bCs/>
          <w:snapToGrid w:val="0"/>
          <w:lang w:val="en-GB"/>
        </w:rPr>
        <w:t>tocilizumab</w:t>
      </w:r>
      <w:proofErr w:type="spellEnd"/>
      <w:r w:rsidR="00B71C3A" w:rsidRPr="009A140B">
        <w:rPr>
          <w:rFonts w:cs="Arial"/>
          <w:bCs/>
          <w:snapToGrid w:val="0"/>
          <w:lang w:val="en-GB"/>
        </w:rPr>
        <w:t xml:space="preserve"> </w:t>
      </w:r>
      <w:r>
        <w:rPr>
          <w:rFonts w:cs="Arial"/>
          <w:bCs/>
          <w:snapToGrid w:val="0"/>
          <w:lang w:val="en-GB"/>
        </w:rPr>
        <w:t xml:space="preserve">was </w:t>
      </w:r>
      <w:r w:rsidR="0088641D">
        <w:rPr>
          <w:rFonts w:cs="Arial"/>
          <w:bCs/>
          <w:snapToGrid w:val="0"/>
          <w:lang w:val="en-GB"/>
        </w:rPr>
        <w:t xml:space="preserve">the assumed duration of benefit and noted </w:t>
      </w:r>
      <w:r w:rsidR="009D15DC">
        <w:rPr>
          <w:rFonts w:cs="Arial"/>
          <w:bCs/>
          <w:snapToGrid w:val="0"/>
          <w:lang w:val="en-GB"/>
        </w:rPr>
        <w:t xml:space="preserve">there was </w:t>
      </w:r>
      <w:r>
        <w:rPr>
          <w:rFonts w:cs="Arial"/>
          <w:bCs/>
          <w:snapToGrid w:val="0"/>
          <w:lang w:val="en-GB"/>
        </w:rPr>
        <w:t>a lack of</w:t>
      </w:r>
      <w:r w:rsidR="003C5304" w:rsidRPr="009A140B">
        <w:rPr>
          <w:rFonts w:cs="Arial"/>
          <w:bCs/>
          <w:snapToGrid w:val="0"/>
          <w:lang w:val="en-GB"/>
        </w:rPr>
        <w:t xml:space="preserve"> reliable </w:t>
      </w:r>
      <w:r w:rsidR="00B71C3A" w:rsidRPr="009A140B">
        <w:rPr>
          <w:rFonts w:cs="Arial"/>
          <w:bCs/>
          <w:snapToGrid w:val="0"/>
          <w:lang w:val="en-GB"/>
        </w:rPr>
        <w:t xml:space="preserve">long-term </w:t>
      </w:r>
      <w:r w:rsidR="003C5304" w:rsidRPr="009A140B">
        <w:rPr>
          <w:rFonts w:cs="Arial"/>
          <w:bCs/>
          <w:snapToGrid w:val="0"/>
          <w:lang w:val="en-GB"/>
        </w:rPr>
        <w:t xml:space="preserve">clinical </w:t>
      </w:r>
      <w:r w:rsidR="00B71C3A" w:rsidRPr="009A140B">
        <w:rPr>
          <w:rFonts w:cs="Arial"/>
          <w:bCs/>
          <w:snapToGrid w:val="0"/>
          <w:lang w:val="en-GB"/>
        </w:rPr>
        <w:t>data</w:t>
      </w:r>
      <w:r w:rsidR="0088641D">
        <w:rPr>
          <w:rFonts w:cs="Arial"/>
          <w:bCs/>
          <w:snapToGrid w:val="0"/>
          <w:lang w:val="en-GB"/>
        </w:rPr>
        <w:t xml:space="preserve"> to inform this</w:t>
      </w:r>
      <w:r w:rsidR="00B71C3A" w:rsidRPr="009A140B">
        <w:rPr>
          <w:rFonts w:cs="Arial"/>
          <w:bCs/>
          <w:snapToGrid w:val="0"/>
          <w:lang w:val="en-GB"/>
        </w:rPr>
        <w:t>.</w:t>
      </w:r>
      <w:r w:rsidR="0015122F" w:rsidRPr="009A140B">
        <w:rPr>
          <w:rFonts w:cs="Arial"/>
          <w:bCs/>
          <w:snapToGrid w:val="0"/>
          <w:lang w:val="en-GB"/>
        </w:rPr>
        <w:t xml:space="preserve"> </w:t>
      </w:r>
      <w:r w:rsidR="005C0C56" w:rsidRPr="009A140B">
        <w:rPr>
          <w:rFonts w:cs="Arial"/>
          <w:bCs/>
          <w:snapToGrid w:val="0"/>
          <w:lang w:val="en-GB"/>
        </w:rPr>
        <w:t xml:space="preserve">The PBAC </w:t>
      </w:r>
      <w:r w:rsidR="00B71C3A" w:rsidRPr="009A140B">
        <w:rPr>
          <w:rFonts w:cs="Arial"/>
          <w:bCs/>
          <w:snapToGrid w:val="0"/>
          <w:lang w:val="en-GB"/>
        </w:rPr>
        <w:t>noted that the pre-PBAC response had provided a</w:t>
      </w:r>
      <w:r w:rsidR="0088641D">
        <w:rPr>
          <w:rFonts w:cs="Arial"/>
          <w:bCs/>
          <w:snapToGrid w:val="0"/>
          <w:lang w:val="en-GB"/>
        </w:rPr>
        <w:t xml:space="preserve"> trial-based</w:t>
      </w:r>
      <w:r w:rsidR="00B71C3A" w:rsidRPr="009A140B">
        <w:rPr>
          <w:rFonts w:cs="Arial"/>
          <w:bCs/>
          <w:snapToGrid w:val="0"/>
          <w:lang w:val="en-GB"/>
        </w:rPr>
        <w:t xml:space="preserve"> analysis which resulted in a cost o</w:t>
      </w:r>
      <w:r w:rsidR="005C0C56" w:rsidRPr="009A140B">
        <w:rPr>
          <w:rFonts w:cs="Arial"/>
          <w:bCs/>
          <w:snapToGrid w:val="0"/>
          <w:lang w:val="en-GB"/>
        </w:rPr>
        <w:t xml:space="preserve">f </w:t>
      </w:r>
      <w:r w:rsidR="00887BC6">
        <w:rPr>
          <w:rFonts w:cs="Arial"/>
          <w:bCs/>
          <w:snapToGrid w:val="0"/>
          <w:lang w:val="en-GB"/>
        </w:rPr>
        <w:t>$15,000 - $45,000</w:t>
      </w:r>
      <w:r w:rsidR="005C0C56" w:rsidRPr="009A140B">
        <w:rPr>
          <w:rFonts w:cs="Arial"/>
          <w:bCs/>
          <w:snapToGrid w:val="0"/>
          <w:lang w:val="en-GB"/>
        </w:rPr>
        <w:t xml:space="preserve"> </w:t>
      </w:r>
      <w:r w:rsidR="00B71C3A" w:rsidRPr="009A140B">
        <w:rPr>
          <w:rFonts w:cs="Arial"/>
          <w:bCs/>
          <w:snapToGrid w:val="0"/>
          <w:lang w:val="en-GB"/>
        </w:rPr>
        <w:t xml:space="preserve">per </w:t>
      </w:r>
      <w:r w:rsidR="0088641D" w:rsidRPr="004665A0">
        <w:t xml:space="preserve">52-week </w:t>
      </w:r>
      <w:r w:rsidR="0088641D">
        <w:t>corticosteroid</w:t>
      </w:r>
      <w:r w:rsidR="0088641D" w:rsidRPr="004665A0">
        <w:t>-free sustained remission responder</w:t>
      </w:r>
      <w:r w:rsidR="007A36AD">
        <w:t xml:space="preserve"> (with the </w:t>
      </w:r>
      <w:r w:rsidR="00C6772C">
        <w:rPr>
          <w:noProof/>
          <w:color w:val="000000"/>
          <w:highlight w:val="black"/>
        </w:rPr>
        <w:t>'''''</w:t>
      </w:r>
      <w:r w:rsidR="007A36AD">
        <w:t>% price reduction included)</w:t>
      </w:r>
      <w:r w:rsidR="0088641D">
        <w:rPr>
          <w:rFonts w:cs="Arial"/>
          <w:bCs/>
          <w:snapToGrid w:val="0"/>
          <w:lang w:val="en-GB"/>
        </w:rPr>
        <w:t xml:space="preserve">, and considered this, together with the modelled analysis, supported that </w:t>
      </w:r>
      <w:proofErr w:type="spellStart"/>
      <w:r w:rsidR="0088641D">
        <w:rPr>
          <w:rFonts w:cs="Arial"/>
          <w:bCs/>
          <w:snapToGrid w:val="0"/>
          <w:lang w:val="en-GB"/>
        </w:rPr>
        <w:t>tocilizumab</w:t>
      </w:r>
      <w:proofErr w:type="spellEnd"/>
      <w:r w:rsidR="0088641D">
        <w:rPr>
          <w:rFonts w:cs="Arial"/>
          <w:bCs/>
          <w:snapToGrid w:val="0"/>
          <w:lang w:val="en-GB"/>
        </w:rPr>
        <w:t xml:space="preserve"> was </w:t>
      </w:r>
      <w:r w:rsidR="00184FC2">
        <w:rPr>
          <w:rFonts w:cs="Arial"/>
          <w:bCs/>
          <w:snapToGrid w:val="0"/>
          <w:lang w:val="en-GB"/>
        </w:rPr>
        <w:t xml:space="preserve">likely to be </w:t>
      </w:r>
      <w:r w:rsidR="0088641D">
        <w:rPr>
          <w:rFonts w:cs="Arial"/>
          <w:bCs/>
          <w:snapToGrid w:val="0"/>
          <w:lang w:val="en-GB"/>
        </w:rPr>
        <w:t>cost-effective for the treatment of GCA</w:t>
      </w:r>
      <w:r w:rsidR="00B71C3A" w:rsidRPr="009A140B">
        <w:rPr>
          <w:rFonts w:cs="Arial"/>
          <w:bCs/>
          <w:snapToGrid w:val="0"/>
          <w:lang w:val="en-GB"/>
        </w:rPr>
        <w:t>.</w:t>
      </w:r>
      <w:r w:rsidR="0088641D" w:rsidRPr="0088641D">
        <w:t xml:space="preserve"> </w:t>
      </w:r>
    </w:p>
    <w:p w:rsidR="007B61D7" w:rsidRDefault="001F463C" w:rsidP="00301561">
      <w:pPr>
        <w:pStyle w:val="ListParagraph"/>
        <w:numPr>
          <w:ilvl w:val="1"/>
          <w:numId w:val="1"/>
        </w:numPr>
        <w:spacing w:after="120"/>
        <w:ind w:left="567" w:hanging="567"/>
        <w:jc w:val="both"/>
        <w:rPr>
          <w:color w:val="000000" w:themeColor="text1"/>
        </w:rPr>
      </w:pPr>
      <w:r>
        <w:rPr>
          <w:color w:val="000000" w:themeColor="text1"/>
        </w:rPr>
        <w:t>In relation to the financial estimates, t</w:t>
      </w:r>
      <w:r w:rsidR="00BE5C99">
        <w:rPr>
          <w:color w:val="000000" w:themeColor="text1"/>
        </w:rPr>
        <w:t xml:space="preserve">he PBAC noted </w:t>
      </w:r>
      <w:r w:rsidR="00BE5C99" w:rsidRPr="006F5195">
        <w:rPr>
          <w:color w:val="000000" w:themeColor="text1"/>
        </w:rPr>
        <w:t>DUSC</w:t>
      </w:r>
      <w:r w:rsidR="007B61D7">
        <w:rPr>
          <w:color w:val="000000" w:themeColor="text1"/>
        </w:rPr>
        <w:t>’s</w:t>
      </w:r>
      <w:r w:rsidR="00BE5C99" w:rsidRPr="006F5195">
        <w:rPr>
          <w:color w:val="000000" w:themeColor="text1"/>
        </w:rPr>
        <w:t xml:space="preserve"> </w:t>
      </w:r>
      <w:r w:rsidR="00BE5C99">
        <w:rPr>
          <w:color w:val="000000" w:themeColor="text1"/>
        </w:rPr>
        <w:t xml:space="preserve">concerns regarding the assumed incidence of GCA, uptake and compliance, and </w:t>
      </w:r>
      <w:r w:rsidR="001809A7">
        <w:rPr>
          <w:color w:val="000000" w:themeColor="text1"/>
        </w:rPr>
        <w:t xml:space="preserve">the </w:t>
      </w:r>
      <w:r w:rsidR="00BE5C99">
        <w:rPr>
          <w:color w:val="000000" w:themeColor="text1"/>
        </w:rPr>
        <w:t>underestimate of prevalent patients.</w:t>
      </w:r>
      <w:r w:rsidR="007B61D7">
        <w:rPr>
          <w:color w:val="000000" w:themeColor="text1"/>
        </w:rPr>
        <w:t xml:space="preserve"> </w:t>
      </w:r>
      <w:r w:rsidR="007B61D7" w:rsidRPr="006F5195">
        <w:rPr>
          <w:color w:val="000000" w:themeColor="text1"/>
        </w:rPr>
        <w:t xml:space="preserve">DUSC considered the true incidence in Australia is likely higher than </w:t>
      </w:r>
      <w:r w:rsidR="007A36AD" w:rsidRPr="007A36AD">
        <w:rPr>
          <w:color w:val="000000" w:themeColor="text1"/>
        </w:rPr>
        <w:t xml:space="preserve">3.2 per 100,000 persons aged &gt;50 years </w:t>
      </w:r>
      <w:r w:rsidR="007A36AD">
        <w:rPr>
          <w:color w:val="000000" w:themeColor="text1"/>
        </w:rPr>
        <w:t>(based on a South Australian cohort with biopsy-proven GCA; Dunstan)</w:t>
      </w:r>
      <w:r w:rsidR="007A36AD" w:rsidRPr="007A36AD">
        <w:rPr>
          <w:color w:val="000000" w:themeColor="text1"/>
        </w:rPr>
        <w:t xml:space="preserve">, but lower than 12.73 per 100,000 persons aged ≥50 years </w:t>
      </w:r>
      <w:r w:rsidR="007B61D7">
        <w:rPr>
          <w:color w:val="000000" w:themeColor="text1"/>
        </w:rPr>
        <w:t>(</w:t>
      </w:r>
      <w:r w:rsidR="001809A7">
        <w:rPr>
          <w:color w:val="000000" w:themeColor="text1"/>
        </w:rPr>
        <w:t xml:space="preserve">as </w:t>
      </w:r>
      <w:r w:rsidR="001809A7">
        <w:rPr>
          <w:color w:val="000000" w:themeColor="text1"/>
        </w:rPr>
        <w:lastRenderedPageBreak/>
        <w:t xml:space="preserve">assumed in the submission </w:t>
      </w:r>
      <w:r w:rsidR="007B61D7">
        <w:rPr>
          <w:color w:val="000000" w:themeColor="text1"/>
        </w:rPr>
        <w:t xml:space="preserve">based on </w:t>
      </w:r>
      <w:r w:rsidR="007B61D7" w:rsidRPr="000737D7">
        <w:rPr>
          <w:color w:val="000000" w:themeColor="text1"/>
        </w:rPr>
        <w:t xml:space="preserve">a </w:t>
      </w:r>
      <w:r w:rsidR="001809A7">
        <w:rPr>
          <w:color w:val="000000" w:themeColor="text1"/>
        </w:rPr>
        <w:t xml:space="preserve">New Zealand </w:t>
      </w:r>
      <w:r w:rsidR="007B61D7" w:rsidRPr="000737D7">
        <w:rPr>
          <w:color w:val="000000" w:themeColor="text1"/>
        </w:rPr>
        <w:t>retrospective analysis of consecutive patients who underwent temporal artery biopsy</w:t>
      </w:r>
      <w:r w:rsidR="007B61D7">
        <w:rPr>
          <w:color w:val="000000" w:themeColor="text1"/>
        </w:rPr>
        <w:t>)</w:t>
      </w:r>
      <w:r w:rsidR="007B61D7" w:rsidRPr="006F5195">
        <w:rPr>
          <w:color w:val="000000" w:themeColor="text1"/>
        </w:rPr>
        <w:t>.</w:t>
      </w:r>
      <w:r w:rsidR="007B61D7" w:rsidRPr="007B61D7">
        <w:rPr>
          <w:color w:val="000000" w:themeColor="text1"/>
        </w:rPr>
        <w:t xml:space="preserve"> </w:t>
      </w:r>
      <w:r w:rsidR="007B61D7">
        <w:rPr>
          <w:color w:val="000000" w:themeColor="text1"/>
        </w:rPr>
        <w:t xml:space="preserve">The pre-PBAC response conducted a sensitivity analysis which used an incidence rate </w:t>
      </w:r>
      <w:r w:rsidR="00C6772C">
        <w:rPr>
          <w:noProof/>
          <w:color w:val="000000"/>
          <w:highlight w:val="black"/>
        </w:rPr>
        <w:t>'''''''''''</w:t>
      </w:r>
      <w:r w:rsidR="007B61D7">
        <w:rPr>
          <w:color w:val="000000" w:themeColor="text1"/>
        </w:rPr>
        <w:t xml:space="preserve"> that reported in Dunstan (resulting in an incidence of </w:t>
      </w:r>
      <w:r w:rsidR="00C6772C">
        <w:rPr>
          <w:noProof/>
          <w:color w:val="000000"/>
          <w:highlight w:val="black"/>
        </w:rPr>
        <w:t>''''''</w:t>
      </w:r>
      <w:r w:rsidR="006638B3">
        <w:rPr>
          <w:color w:val="000000" w:themeColor="text1"/>
        </w:rPr>
        <w:t xml:space="preserve"> per </w:t>
      </w:r>
      <w:r w:rsidR="007B61D7">
        <w:rPr>
          <w:color w:val="000000" w:themeColor="text1"/>
        </w:rPr>
        <w:t xml:space="preserve">100,000 persons aged </w:t>
      </w:r>
      <w:r w:rsidR="007B61D7" w:rsidRPr="008D6D40">
        <w:rPr>
          <w:color w:val="000000" w:themeColor="text1"/>
        </w:rPr>
        <w:t>&gt;50 years</w:t>
      </w:r>
      <w:r w:rsidR="007B61D7">
        <w:rPr>
          <w:color w:val="000000" w:themeColor="text1"/>
        </w:rPr>
        <w:t xml:space="preserve">). The PBAC considered this lower incidence should inform the </w:t>
      </w:r>
      <w:r w:rsidR="001809A7">
        <w:rPr>
          <w:color w:val="000000" w:themeColor="text1"/>
        </w:rPr>
        <w:t>caps</w:t>
      </w:r>
      <w:r>
        <w:rPr>
          <w:color w:val="000000" w:themeColor="text1"/>
        </w:rPr>
        <w:t xml:space="preserve"> for the RSA</w:t>
      </w:r>
      <w:r w:rsidR="007B61D7">
        <w:rPr>
          <w:color w:val="000000" w:themeColor="text1"/>
        </w:rPr>
        <w:t>. The PBAC</w:t>
      </w:r>
      <w:r>
        <w:rPr>
          <w:color w:val="000000" w:themeColor="text1"/>
        </w:rPr>
        <w:t xml:space="preserve"> </w:t>
      </w:r>
      <w:r w:rsidR="001809A7">
        <w:rPr>
          <w:color w:val="000000" w:themeColor="text1"/>
        </w:rPr>
        <w:t>considered</w:t>
      </w:r>
      <w:r>
        <w:rPr>
          <w:color w:val="000000" w:themeColor="text1"/>
        </w:rPr>
        <w:t xml:space="preserve"> the </w:t>
      </w:r>
      <w:r w:rsidR="001809A7">
        <w:rPr>
          <w:color w:val="000000" w:themeColor="text1"/>
        </w:rPr>
        <w:t xml:space="preserve">caps </w:t>
      </w:r>
      <w:r>
        <w:rPr>
          <w:color w:val="000000" w:themeColor="text1"/>
        </w:rPr>
        <w:t xml:space="preserve">should also </w:t>
      </w:r>
      <w:r w:rsidR="001809A7">
        <w:rPr>
          <w:color w:val="000000" w:themeColor="text1"/>
        </w:rPr>
        <w:t>be informed by</w:t>
      </w:r>
      <w:r>
        <w:rPr>
          <w:color w:val="000000" w:themeColor="text1"/>
        </w:rPr>
        <w:t xml:space="preserve"> a compliance rate of 85% (as per DUSC’s advice and included in the</w:t>
      </w:r>
      <w:r w:rsidR="007B61D7">
        <w:rPr>
          <w:color w:val="000000" w:themeColor="text1"/>
        </w:rPr>
        <w:t xml:space="preserve"> pre-PBAC response</w:t>
      </w:r>
      <w:r>
        <w:rPr>
          <w:color w:val="000000" w:themeColor="text1"/>
        </w:rPr>
        <w:t>), a reduce</w:t>
      </w:r>
      <w:r w:rsidR="006638B3">
        <w:rPr>
          <w:color w:val="000000" w:themeColor="text1"/>
        </w:rPr>
        <w:t>d</w:t>
      </w:r>
      <w:r>
        <w:rPr>
          <w:color w:val="000000" w:themeColor="text1"/>
        </w:rPr>
        <w:t xml:space="preserve"> uptake rate and a proportion of patients</w:t>
      </w:r>
      <w:r w:rsidR="003476E0">
        <w:rPr>
          <w:color w:val="000000" w:themeColor="text1"/>
        </w:rPr>
        <w:t xml:space="preserve"> who could be</w:t>
      </w:r>
      <w:r>
        <w:rPr>
          <w:color w:val="000000" w:themeColor="text1"/>
        </w:rPr>
        <w:t xml:space="preserve"> treated with fortnightly dosing.</w:t>
      </w:r>
    </w:p>
    <w:p w:rsidR="003C5304" w:rsidRPr="001809A7" w:rsidRDefault="003C5304" w:rsidP="00D82D12">
      <w:pPr>
        <w:pStyle w:val="ListParagraph"/>
        <w:numPr>
          <w:ilvl w:val="1"/>
          <w:numId w:val="1"/>
        </w:numPr>
        <w:spacing w:after="120"/>
        <w:ind w:left="567" w:hanging="567"/>
        <w:jc w:val="both"/>
        <w:rPr>
          <w:rFonts w:cs="Arial"/>
          <w:bCs/>
          <w:snapToGrid w:val="0"/>
          <w:lang w:val="en-GB"/>
        </w:rPr>
      </w:pPr>
      <w:r w:rsidRPr="001809A7">
        <w:rPr>
          <w:rFonts w:cs="Arial"/>
          <w:bCs/>
          <w:snapToGrid w:val="0"/>
          <w:lang w:val="en-GB"/>
        </w:rPr>
        <w:t xml:space="preserve">The PBAC considered that there is potential for use outside the proposed restriction to treat polymyalgia </w:t>
      </w:r>
      <w:proofErr w:type="spellStart"/>
      <w:r w:rsidRPr="001809A7">
        <w:rPr>
          <w:rFonts w:cs="Arial"/>
          <w:bCs/>
          <w:snapToGrid w:val="0"/>
          <w:lang w:val="en-GB"/>
        </w:rPr>
        <w:t>rheumatica</w:t>
      </w:r>
      <w:proofErr w:type="spellEnd"/>
      <w:r w:rsidRPr="001809A7">
        <w:rPr>
          <w:rFonts w:cs="Arial"/>
          <w:bCs/>
          <w:snapToGrid w:val="0"/>
          <w:lang w:val="en-GB"/>
        </w:rPr>
        <w:t xml:space="preserve"> </w:t>
      </w:r>
      <w:r w:rsidR="009A140B" w:rsidRPr="001809A7">
        <w:rPr>
          <w:rFonts w:cs="Arial"/>
          <w:bCs/>
          <w:snapToGrid w:val="0"/>
          <w:lang w:val="en-GB"/>
        </w:rPr>
        <w:t xml:space="preserve">(i.e. without concomitant GCA) </w:t>
      </w:r>
      <w:r w:rsidRPr="001809A7">
        <w:rPr>
          <w:rFonts w:cs="Arial"/>
          <w:bCs/>
          <w:snapToGrid w:val="0"/>
          <w:lang w:val="en-GB"/>
        </w:rPr>
        <w:t>and other types of vasculitis</w:t>
      </w:r>
      <w:r w:rsidR="00B979B2">
        <w:rPr>
          <w:rFonts w:cs="Arial"/>
          <w:bCs/>
          <w:snapToGrid w:val="0"/>
          <w:lang w:val="en-GB"/>
        </w:rPr>
        <w:t xml:space="preserve">, particularly where </w:t>
      </w:r>
      <w:r w:rsidR="00860127">
        <w:rPr>
          <w:rFonts w:cs="Arial"/>
          <w:bCs/>
          <w:snapToGrid w:val="0"/>
          <w:lang w:val="en-GB"/>
        </w:rPr>
        <w:t>patients</w:t>
      </w:r>
      <w:r w:rsidR="00B979B2">
        <w:rPr>
          <w:rFonts w:cs="Arial"/>
          <w:bCs/>
          <w:snapToGrid w:val="0"/>
          <w:lang w:val="en-GB"/>
        </w:rPr>
        <w:t xml:space="preserve"> </w:t>
      </w:r>
      <w:r w:rsidR="00860127">
        <w:rPr>
          <w:rFonts w:cs="Arial"/>
          <w:bCs/>
          <w:snapToGrid w:val="0"/>
          <w:lang w:val="en-GB"/>
        </w:rPr>
        <w:t xml:space="preserve">with these conditions </w:t>
      </w:r>
      <w:r w:rsidR="00B979B2">
        <w:rPr>
          <w:rFonts w:cs="Arial"/>
          <w:bCs/>
          <w:snapToGrid w:val="0"/>
          <w:lang w:val="en-GB"/>
        </w:rPr>
        <w:t>failed to achieve remission with corticosteroids or experienced flare despite corticosteroid therapy</w:t>
      </w:r>
      <w:r w:rsidRPr="001809A7">
        <w:rPr>
          <w:rFonts w:cs="Arial"/>
          <w:bCs/>
          <w:snapToGrid w:val="0"/>
          <w:lang w:val="en-GB"/>
        </w:rPr>
        <w:t>.</w:t>
      </w:r>
    </w:p>
    <w:p w:rsidR="00DA6325" w:rsidRDefault="00DA6325" w:rsidP="00D82D12">
      <w:pPr>
        <w:pStyle w:val="ListParagraph"/>
        <w:numPr>
          <w:ilvl w:val="1"/>
          <w:numId w:val="1"/>
        </w:numPr>
        <w:spacing w:after="120"/>
        <w:ind w:left="567" w:hanging="567"/>
        <w:jc w:val="both"/>
        <w:rPr>
          <w:rFonts w:cs="Arial"/>
          <w:bCs/>
          <w:snapToGrid w:val="0"/>
          <w:lang w:val="en-GB"/>
        </w:rPr>
      </w:pPr>
      <w:r>
        <w:rPr>
          <w:rFonts w:cs="Arial"/>
          <w:bCs/>
          <w:snapToGrid w:val="0"/>
          <w:lang w:val="en-GB"/>
        </w:rPr>
        <w:t xml:space="preserve">The PBAC considered that an RSA with a </w:t>
      </w:r>
      <w:r w:rsidR="001809A7">
        <w:rPr>
          <w:rFonts w:cs="Arial"/>
          <w:bCs/>
          <w:snapToGrid w:val="0"/>
          <w:lang w:val="en-GB"/>
        </w:rPr>
        <w:t xml:space="preserve">100% rebate above the </w:t>
      </w:r>
      <w:r>
        <w:rPr>
          <w:rFonts w:cs="Arial"/>
          <w:bCs/>
          <w:snapToGrid w:val="0"/>
          <w:lang w:val="en-GB"/>
        </w:rPr>
        <w:t>cap</w:t>
      </w:r>
      <w:r w:rsidR="001809A7">
        <w:rPr>
          <w:rFonts w:cs="Arial"/>
          <w:bCs/>
          <w:snapToGrid w:val="0"/>
          <w:lang w:val="en-GB"/>
        </w:rPr>
        <w:t>s</w:t>
      </w:r>
      <w:r w:rsidR="00B82972">
        <w:rPr>
          <w:rFonts w:cs="Arial"/>
          <w:bCs/>
          <w:snapToGrid w:val="0"/>
          <w:lang w:val="en-GB"/>
        </w:rPr>
        <w:t xml:space="preserve"> would be required given the uncertain </w:t>
      </w:r>
      <w:r w:rsidR="00B82972" w:rsidRPr="00DA6325">
        <w:rPr>
          <w:rFonts w:cs="Arial"/>
          <w:bCs/>
          <w:snapToGrid w:val="0"/>
          <w:lang w:val="en-GB"/>
        </w:rPr>
        <w:t>GCA incidence rate</w:t>
      </w:r>
      <w:r w:rsidR="00B82972">
        <w:rPr>
          <w:rFonts w:cs="Arial"/>
          <w:bCs/>
          <w:snapToGrid w:val="0"/>
          <w:lang w:val="en-GB"/>
        </w:rPr>
        <w:t xml:space="preserve"> and the </w:t>
      </w:r>
      <w:r w:rsidR="00B82972" w:rsidRPr="003C5304">
        <w:rPr>
          <w:rFonts w:cs="Arial"/>
          <w:bCs/>
          <w:snapToGrid w:val="0"/>
          <w:lang w:val="en-GB"/>
        </w:rPr>
        <w:t>potential for use outside the proposed restriction</w:t>
      </w:r>
      <w:r w:rsidR="00B82972">
        <w:rPr>
          <w:rFonts w:cs="Arial"/>
          <w:bCs/>
          <w:snapToGrid w:val="0"/>
          <w:lang w:val="en-GB"/>
        </w:rPr>
        <w:t xml:space="preserve">. </w:t>
      </w:r>
      <w:r>
        <w:rPr>
          <w:rFonts w:cs="Arial"/>
          <w:bCs/>
          <w:snapToGrid w:val="0"/>
          <w:lang w:val="en-GB"/>
        </w:rPr>
        <w:t xml:space="preserve"> </w:t>
      </w:r>
    </w:p>
    <w:p w:rsidR="0074437B" w:rsidRDefault="00DA6325" w:rsidP="00D82D12">
      <w:pPr>
        <w:pStyle w:val="ListParagraph"/>
        <w:numPr>
          <w:ilvl w:val="1"/>
          <w:numId w:val="1"/>
        </w:numPr>
        <w:spacing w:after="120"/>
        <w:ind w:left="567" w:hanging="567"/>
        <w:jc w:val="both"/>
        <w:rPr>
          <w:rFonts w:cs="Arial"/>
          <w:bCs/>
          <w:snapToGrid w:val="0"/>
          <w:lang w:val="en-GB"/>
        </w:rPr>
      </w:pPr>
      <w:r>
        <w:rPr>
          <w:rFonts w:cs="Arial"/>
          <w:bCs/>
          <w:snapToGrid w:val="0"/>
          <w:lang w:val="en-GB"/>
        </w:rPr>
        <w:t xml:space="preserve">The PBAC considered that </w:t>
      </w:r>
      <w:r w:rsidR="00B8575E">
        <w:rPr>
          <w:rFonts w:cs="Arial"/>
          <w:bCs/>
          <w:snapToGrid w:val="0"/>
          <w:lang w:val="en-GB"/>
        </w:rPr>
        <w:t>the</w:t>
      </w:r>
      <w:r>
        <w:rPr>
          <w:rFonts w:cs="Arial"/>
          <w:bCs/>
          <w:snapToGrid w:val="0"/>
          <w:lang w:val="en-GB"/>
        </w:rPr>
        <w:t xml:space="preserve"> outstanding issues </w:t>
      </w:r>
      <w:r w:rsidR="009A140B">
        <w:rPr>
          <w:rFonts w:cs="Arial"/>
          <w:bCs/>
          <w:snapToGrid w:val="0"/>
          <w:lang w:val="en-GB"/>
        </w:rPr>
        <w:t xml:space="preserve">that </w:t>
      </w:r>
      <w:r>
        <w:rPr>
          <w:rFonts w:cs="Arial"/>
          <w:bCs/>
          <w:snapToGrid w:val="0"/>
          <w:lang w:val="en-GB"/>
        </w:rPr>
        <w:t>would need to be addressed</w:t>
      </w:r>
      <w:r w:rsidR="009A140B">
        <w:rPr>
          <w:rFonts w:cs="Arial"/>
          <w:bCs/>
          <w:snapToGrid w:val="0"/>
          <w:lang w:val="en-GB"/>
        </w:rPr>
        <w:t xml:space="preserve"> </w:t>
      </w:r>
      <w:r w:rsidR="00905C21">
        <w:rPr>
          <w:rFonts w:cs="Arial"/>
          <w:bCs/>
          <w:snapToGrid w:val="0"/>
          <w:lang w:val="en-GB"/>
        </w:rPr>
        <w:t>in a minor resubmission were</w:t>
      </w:r>
      <w:r w:rsidR="009A140B">
        <w:rPr>
          <w:rFonts w:cs="Arial"/>
          <w:bCs/>
          <w:snapToGrid w:val="0"/>
          <w:lang w:val="en-GB"/>
        </w:rPr>
        <w:t>:</w:t>
      </w:r>
      <w:r>
        <w:rPr>
          <w:rFonts w:cs="Arial"/>
          <w:bCs/>
          <w:snapToGrid w:val="0"/>
          <w:lang w:val="en-GB"/>
        </w:rPr>
        <w:t xml:space="preserve"> </w:t>
      </w:r>
    </w:p>
    <w:p w:rsidR="0088641D" w:rsidRDefault="0088641D" w:rsidP="00796CCD">
      <w:pPr>
        <w:pStyle w:val="ListParagraph"/>
        <w:numPr>
          <w:ilvl w:val="0"/>
          <w:numId w:val="42"/>
        </w:numPr>
        <w:jc w:val="both"/>
        <w:rPr>
          <w:rFonts w:cs="Arial"/>
          <w:bCs/>
          <w:snapToGrid w:val="0"/>
          <w:lang w:val="en-GB"/>
        </w:rPr>
      </w:pPr>
      <w:r>
        <w:rPr>
          <w:rFonts w:cs="Arial"/>
          <w:bCs/>
          <w:snapToGrid w:val="0"/>
          <w:lang w:val="en-GB"/>
        </w:rPr>
        <w:t xml:space="preserve">the financial estimates </w:t>
      </w:r>
      <w:r w:rsidR="00905C21">
        <w:rPr>
          <w:rFonts w:cs="Arial"/>
          <w:bCs/>
          <w:snapToGrid w:val="0"/>
          <w:lang w:val="en-GB"/>
        </w:rPr>
        <w:t xml:space="preserve">should be updated </w:t>
      </w:r>
      <w:r>
        <w:rPr>
          <w:rFonts w:cs="Arial"/>
          <w:bCs/>
          <w:snapToGrid w:val="0"/>
          <w:lang w:val="en-GB"/>
        </w:rPr>
        <w:t xml:space="preserve">to account for </w:t>
      </w:r>
      <w:r w:rsidR="000C6368">
        <w:rPr>
          <w:rFonts w:cs="Arial"/>
          <w:bCs/>
          <w:snapToGrid w:val="0"/>
          <w:lang w:val="en-GB"/>
        </w:rPr>
        <w:t xml:space="preserve">the </w:t>
      </w:r>
      <w:r>
        <w:rPr>
          <w:rFonts w:cs="Arial"/>
          <w:bCs/>
          <w:snapToGrid w:val="0"/>
          <w:lang w:val="en-GB"/>
        </w:rPr>
        <w:t xml:space="preserve">proportion of patients </w:t>
      </w:r>
      <w:r w:rsidR="000C6368">
        <w:rPr>
          <w:rFonts w:cs="Arial"/>
          <w:bCs/>
          <w:snapToGrid w:val="0"/>
          <w:lang w:val="en-GB"/>
        </w:rPr>
        <w:t xml:space="preserve">who could </w:t>
      </w:r>
      <w:r w:rsidR="00BE5C99">
        <w:rPr>
          <w:rFonts w:cs="Arial"/>
          <w:bCs/>
          <w:snapToGrid w:val="0"/>
          <w:lang w:val="en-GB"/>
        </w:rPr>
        <w:t>us</w:t>
      </w:r>
      <w:r w:rsidR="000C6368">
        <w:rPr>
          <w:rFonts w:cs="Arial"/>
          <w:bCs/>
          <w:snapToGrid w:val="0"/>
          <w:lang w:val="en-GB"/>
        </w:rPr>
        <w:t>e</w:t>
      </w:r>
      <w:r w:rsidR="00BE5C99">
        <w:rPr>
          <w:rFonts w:cs="Arial"/>
          <w:bCs/>
          <w:snapToGrid w:val="0"/>
          <w:lang w:val="en-GB"/>
        </w:rPr>
        <w:t xml:space="preserve"> fortnightly dosing</w:t>
      </w:r>
      <w:r>
        <w:rPr>
          <w:rFonts w:cs="Arial"/>
          <w:bCs/>
          <w:snapToGrid w:val="0"/>
          <w:lang w:val="en-GB"/>
        </w:rPr>
        <w:t>;</w:t>
      </w:r>
    </w:p>
    <w:p w:rsidR="00E3370D" w:rsidRDefault="00B8575E" w:rsidP="00796CCD">
      <w:pPr>
        <w:pStyle w:val="ListParagraph"/>
        <w:numPr>
          <w:ilvl w:val="0"/>
          <w:numId w:val="42"/>
        </w:numPr>
        <w:jc w:val="both"/>
        <w:rPr>
          <w:rFonts w:cs="Arial"/>
          <w:bCs/>
          <w:snapToGrid w:val="0"/>
          <w:lang w:val="en-GB"/>
        </w:rPr>
      </w:pPr>
      <w:r w:rsidRPr="001809A7">
        <w:rPr>
          <w:rFonts w:cs="Arial"/>
          <w:bCs/>
          <w:snapToGrid w:val="0"/>
          <w:lang w:val="en-GB"/>
        </w:rPr>
        <w:t xml:space="preserve">an RSA proposal </w:t>
      </w:r>
      <w:r w:rsidR="00905C21" w:rsidRPr="001809A7">
        <w:rPr>
          <w:rFonts w:cs="Arial"/>
          <w:bCs/>
          <w:snapToGrid w:val="0"/>
          <w:lang w:val="en-GB"/>
        </w:rPr>
        <w:t>with hard caps</w:t>
      </w:r>
      <w:r w:rsidR="00905C21">
        <w:rPr>
          <w:rFonts w:cs="Arial"/>
          <w:bCs/>
          <w:snapToGrid w:val="0"/>
          <w:lang w:val="en-GB"/>
        </w:rPr>
        <w:t xml:space="preserve"> should be provided</w:t>
      </w:r>
      <w:r w:rsidRPr="001809A7">
        <w:rPr>
          <w:rFonts w:cs="Arial"/>
          <w:bCs/>
          <w:snapToGrid w:val="0"/>
          <w:lang w:val="en-GB"/>
        </w:rPr>
        <w:t>;</w:t>
      </w:r>
      <w:r w:rsidR="001809A7">
        <w:rPr>
          <w:rFonts w:cs="Arial"/>
          <w:bCs/>
          <w:snapToGrid w:val="0"/>
          <w:lang w:val="en-GB"/>
        </w:rPr>
        <w:t xml:space="preserve"> </w:t>
      </w:r>
      <w:r w:rsidR="00E3370D">
        <w:rPr>
          <w:rFonts w:cs="Arial"/>
          <w:bCs/>
          <w:snapToGrid w:val="0"/>
          <w:lang w:val="en-GB"/>
        </w:rPr>
        <w:t>and</w:t>
      </w:r>
      <w:r w:rsidR="00E3370D" w:rsidRPr="00E3370D">
        <w:rPr>
          <w:rFonts w:cs="Arial"/>
          <w:bCs/>
          <w:snapToGrid w:val="0"/>
          <w:lang w:val="en-GB"/>
        </w:rPr>
        <w:t xml:space="preserve"> </w:t>
      </w:r>
    </w:p>
    <w:p w:rsidR="00B340C3" w:rsidRDefault="00E3370D" w:rsidP="00430779">
      <w:pPr>
        <w:pStyle w:val="ListParagraph"/>
        <w:numPr>
          <w:ilvl w:val="0"/>
          <w:numId w:val="42"/>
        </w:numPr>
        <w:spacing w:after="120"/>
        <w:ind w:left="1434" w:hanging="357"/>
        <w:jc w:val="both"/>
        <w:rPr>
          <w:rFonts w:cs="Arial"/>
          <w:bCs/>
          <w:snapToGrid w:val="0"/>
          <w:lang w:val="en-GB"/>
        </w:rPr>
      </w:pPr>
      <w:proofErr w:type="gramStart"/>
      <w:r w:rsidRPr="006F2FE4">
        <w:rPr>
          <w:rFonts w:cs="Arial"/>
          <w:bCs/>
          <w:snapToGrid w:val="0"/>
          <w:lang w:val="en-GB"/>
        </w:rPr>
        <w:t>expert</w:t>
      </w:r>
      <w:proofErr w:type="gramEnd"/>
      <w:r w:rsidRPr="006F2FE4">
        <w:rPr>
          <w:rFonts w:cs="Arial"/>
          <w:bCs/>
          <w:snapToGrid w:val="0"/>
          <w:lang w:val="en-GB"/>
        </w:rPr>
        <w:t xml:space="preserve"> advice around the </w:t>
      </w:r>
      <w:r>
        <w:rPr>
          <w:rFonts w:cs="Arial"/>
          <w:bCs/>
          <w:snapToGrid w:val="0"/>
          <w:lang w:val="en-GB"/>
        </w:rPr>
        <w:t>imaging and biopsy requirements for diagnosis of GCA in the restriction.</w:t>
      </w:r>
    </w:p>
    <w:p w:rsidR="00C02C1D" w:rsidRPr="00525B39" w:rsidRDefault="00C02C1D" w:rsidP="00C02C1D">
      <w:pPr>
        <w:spacing w:before="240"/>
        <w:rPr>
          <w:rFonts w:cs="Arial"/>
          <w:b/>
          <w:bCs/>
          <w:snapToGrid w:val="0"/>
          <w:lang w:val="en-GB"/>
        </w:rPr>
      </w:pPr>
      <w:r w:rsidRPr="00525B39">
        <w:rPr>
          <w:rFonts w:cs="Arial"/>
          <w:b/>
          <w:bCs/>
          <w:snapToGrid w:val="0"/>
          <w:lang w:val="en-GB"/>
        </w:rPr>
        <w:t>Outcome:</w:t>
      </w:r>
    </w:p>
    <w:p w:rsidR="00C02C1D" w:rsidRPr="00525B39" w:rsidRDefault="00BF735D" w:rsidP="00C02C1D">
      <w:pPr>
        <w:rPr>
          <w:rFonts w:cs="Arial"/>
          <w:bCs/>
          <w:snapToGrid w:val="0"/>
          <w:lang w:val="en-GB"/>
        </w:rPr>
      </w:pPr>
      <w:r>
        <w:rPr>
          <w:rFonts w:cs="Arial"/>
          <w:bCs/>
          <w:snapToGrid w:val="0"/>
          <w:lang w:val="en-GB"/>
        </w:rPr>
        <w:t>Deferred</w:t>
      </w:r>
    </w:p>
    <w:p w:rsidR="004C65C3" w:rsidRDefault="004C65C3" w:rsidP="000A734B">
      <w:pPr>
        <w:pStyle w:val="Heading1"/>
        <w:rPr>
          <w:lang w:val="en-GB"/>
        </w:rPr>
      </w:pPr>
      <w:r w:rsidRPr="00E32CE9">
        <w:rPr>
          <w:lang w:val="en-GB"/>
        </w:rPr>
        <w:t>Context for Decision</w:t>
      </w:r>
    </w:p>
    <w:p w:rsidR="004C65C3" w:rsidRPr="00E32CE9" w:rsidRDefault="004C65C3" w:rsidP="00D82D12">
      <w:pPr>
        <w:spacing w:after="120"/>
        <w:ind w:left="567"/>
        <w:jc w:val="both"/>
      </w:pPr>
      <w:r w:rsidRPr="00D82D12">
        <w:rPr>
          <w:rFonts w:cs="Arial"/>
          <w:bCs/>
          <w:snapToGrid w:val="0"/>
          <w:lang w:val="en-GB"/>
        </w:rPr>
        <w:t>The PBAC helps decide whether and, if so, how medicines should be subsidised in</w:t>
      </w:r>
      <w:r w:rsidRPr="00E32CE9">
        <w:t xml:space="preserve">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C65C3" w:rsidRPr="00E32CE9" w:rsidRDefault="004C65C3" w:rsidP="00D82D12">
      <w:pPr>
        <w:pStyle w:val="Heading1"/>
        <w:rPr>
          <w:lang w:val="en-GB"/>
        </w:rPr>
      </w:pPr>
      <w:r w:rsidRPr="00E32CE9">
        <w:rPr>
          <w:lang w:val="en-GB"/>
        </w:rPr>
        <w:t>Sponsor’s Comment</w:t>
      </w:r>
    </w:p>
    <w:p w:rsidR="004C65C3" w:rsidRPr="00301561" w:rsidRDefault="00301561" w:rsidP="00301561">
      <w:pPr>
        <w:spacing w:after="120"/>
        <w:ind w:left="567"/>
        <w:jc w:val="both"/>
        <w:rPr>
          <w:rFonts w:cs="Arial"/>
          <w:bCs/>
          <w:snapToGrid w:val="0"/>
          <w:lang w:val="en-GB"/>
        </w:rPr>
      </w:pPr>
      <w:r w:rsidRPr="00301561">
        <w:rPr>
          <w:rFonts w:cs="Arial"/>
          <w:bCs/>
          <w:snapToGrid w:val="0"/>
          <w:lang w:val="en-GB"/>
        </w:rPr>
        <w:t xml:space="preserve">Roche is committed to addressing the outstanding matters raised by PBAC to bring </w:t>
      </w:r>
      <w:proofErr w:type="spellStart"/>
      <w:r w:rsidRPr="00301561">
        <w:rPr>
          <w:rFonts w:cs="Arial"/>
          <w:bCs/>
          <w:snapToGrid w:val="0"/>
          <w:lang w:val="en-GB"/>
        </w:rPr>
        <w:t>tocilizumab</w:t>
      </w:r>
      <w:proofErr w:type="spellEnd"/>
      <w:r w:rsidRPr="00301561">
        <w:rPr>
          <w:rFonts w:cs="Arial"/>
          <w:bCs/>
          <w:snapToGrid w:val="0"/>
          <w:lang w:val="en-GB"/>
        </w:rPr>
        <w:t xml:space="preserve"> to patients with GCA at the earliest opportunity.</w:t>
      </w:r>
    </w:p>
    <w:sectPr w:rsidR="004C65C3" w:rsidRPr="00301561" w:rsidSect="00E36BC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F7B084" w16cid:durableId="1FAE6E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2C" w:rsidRDefault="00C6772C" w:rsidP="00BA3306">
      <w:r>
        <w:separator/>
      </w:r>
    </w:p>
  </w:endnote>
  <w:endnote w:type="continuationSeparator" w:id="0">
    <w:p w:rsidR="00C6772C" w:rsidRDefault="00C6772C" w:rsidP="00B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C" w:rsidRDefault="00C67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846403"/>
      <w:docPartObj>
        <w:docPartGallery w:val="Page Numbers (Bottom of Page)"/>
        <w:docPartUnique/>
      </w:docPartObj>
    </w:sdtPr>
    <w:sdtEndPr>
      <w:rPr>
        <w:noProof/>
      </w:rPr>
    </w:sdtEndPr>
    <w:sdtContent>
      <w:p w:rsidR="00CD4EC3" w:rsidRDefault="00CD4EC3">
        <w:pPr>
          <w:pStyle w:val="Footer"/>
          <w:jc w:val="center"/>
        </w:pPr>
        <w:r>
          <w:fldChar w:fldCharType="begin"/>
        </w:r>
        <w:r>
          <w:instrText xml:space="preserve"> PAGE   \* MERGEFORMAT </w:instrText>
        </w:r>
        <w:r>
          <w:fldChar w:fldCharType="separate"/>
        </w:r>
        <w:r w:rsidR="001A27EE">
          <w:rPr>
            <w:noProof/>
          </w:rPr>
          <w:t>21</w:t>
        </w:r>
        <w:r>
          <w:rPr>
            <w:noProof/>
          </w:rPr>
          <w:fldChar w:fldCharType="end"/>
        </w:r>
      </w:p>
    </w:sdtContent>
  </w:sdt>
  <w:p w:rsidR="00CD4EC3" w:rsidRPr="000D4B93" w:rsidRDefault="00CD4EC3" w:rsidP="000D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C" w:rsidRDefault="00C6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2C" w:rsidRDefault="00C6772C" w:rsidP="00BA3306">
      <w:r>
        <w:separator/>
      </w:r>
    </w:p>
  </w:footnote>
  <w:footnote w:type="continuationSeparator" w:id="0">
    <w:p w:rsidR="00C6772C" w:rsidRDefault="00C6772C" w:rsidP="00BA3306">
      <w:r>
        <w:continuationSeparator/>
      </w:r>
    </w:p>
  </w:footnote>
  <w:footnote w:id="1">
    <w:p w:rsidR="00CD4EC3" w:rsidRDefault="00CD4EC3">
      <w:pPr>
        <w:pStyle w:val="FootnoteText"/>
      </w:pPr>
      <w:r>
        <w:rPr>
          <w:rStyle w:val="FootnoteReference"/>
        </w:rPr>
        <w:footnoteRef/>
      </w:r>
      <w:r>
        <w:t xml:space="preserve"> </w:t>
      </w:r>
      <w:r w:rsidRPr="002D5B80">
        <w:t xml:space="preserve">Adler S, et al. Termination of </w:t>
      </w:r>
      <w:proofErr w:type="spellStart"/>
      <w:r w:rsidRPr="002D5B80">
        <w:t>Tocilizumab</w:t>
      </w:r>
      <w:proofErr w:type="spellEnd"/>
      <w:r w:rsidRPr="002D5B80">
        <w:t>-Treatment in Giant Cell Arteritis: Follow-up of Patients after the RCT (ClinicalTrials.gov registration number: NCT01450137). ACR/ARHP Annual Meeting 2016, Abstract number: 867, date of first publication: September 28, 2016.</w:t>
      </w:r>
      <w:r>
        <w:t xml:space="preserve"> </w:t>
      </w:r>
      <w:r w:rsidRPr="002A4DA4">
        <w:t>https://acrabstracts.org/abstract/termination-of-tocilizumab-treatment-in-giant-cell-arteritis-follow-up-of-patients-after-the-rct-clinicaltrials-gov-registration-number-nct01450137/. Accessed November 25, 2018</w:t>
      </w:r>
    </w:p>
  </w:footnote>
  <w:footnote w:id="2">
    <w:p w:rsidR="00CD4EC3" w:rsidRDefault="00CD4EC3">
      <w:pPr>
        <w:pStyle w:val="FootnoteText"/>
      </w:pPr>
      <w:r>
        <w:rPr>
          <w:rStyle w:val="FootnoteReference"/>
        </w:rPr>
        <w:footnoteRef/>
      </w:r>
      <w:r>
        <w:t xml:space="preserve"> </w:t>
      </w:r>
      <w:proofErr w:type="spellStart"/>
      <w:r w:rsidRPr="002D5B80">
        <w:t>Villiger</w:t>
      </w:r>
      <w:proofErr w:type="spellEnd"/>
      <w:r w:rsidRPr="002D5B80">
        <w:t xml:space="preserve"> P, et al. </w:t>
      </w:r>
      <w:proofErr w:type="spellStart"/>
      <w:r w:rsidRPr="002D5B80">
        <w:t>Tocilizumab</w:t>
      </w:r>
      <w:proofErr w:type="spellEnd"/>
      <w:r w:rsidRPr="002D5B80">
        <w:t xml:space="preserve"> for induction and maintenance of remission in giant cell arteritis: a phase 2, randomised, double-blind, placebo-controlled trial. Lancet. 2016;387:1921-27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C" w:rsidRDefault="00C67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C3" w:rsidRDefault="00CD4EC3" w:rsidP="000D4B93">
    <w:pPr>
      <w:pStyle w:val="Header"/>
      <w:tabs>
        <w:tab w:val="left" w:pos="1725"/>
        <w:tab w:val="left" w:pos="7725"/>
      </w:tabs>
      <w:jc w:val="center"/>
      <w:rPr>
        <w:i/>
      </w:rPr>
    </w:pPr>
    <w:r>
      <w:rPr>
        <w:i/>
      </w:rPr>
      <w:t>Public Summary Documents – November 2018 PBAC Meeting</w:t>
    </w:r>
  </w:p>
  <w:p w:rsidR="00CD4EC3" w:rsidRPr="000D4B93" w:rsidRDefault="00CD4EC3" w:rsidP="00F8445E">
    <w:pPr>
      <w:pStyle w:val="Header"/>
      <w:tabs>
        <w:tab w:val="left" w:pos="1725"/>
        <w:tab w:val="left" w:pos="7725"/>
      </w:tabs>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C" w:rsidRDefault="00C6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2E1"/>
    <w:multiLevelType w:val="hybridMultilevel"/>
    <w:tmpl w:val="94609F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B7493"/>
    <w:multiLevelType w:val="hybridMultilevel"/>
    <w:tmpl w:val="A0DCB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2970DA"/>
    <w:multiLevelType w:val="hybridMultilevel"/>
    <w:tmpl w:val="5860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B6EC1"/>
    <w:multiLevelType w:val="hybridMultilevel"/>
    <w:tmpl w:val="835C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33794"/>
    <w:multiLevelType w:val="hybridMultilevel"/>
    <w:tmpl w:val="F4F4E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8251E"/>
    <w:multiLevelType w:val="hybridMultilevel"/>
    <w:tmpl w:val="3C7A5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C0944"/>
    <w:multiLevelType w:val="hybridMultilevel"/>
    <w:tmpl w:val="49E64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E6825"/>
    <w:multiLevelType w:val="multilevel"/>
    <w:tmpl w:val="012414B8"/>
    <w:lvl w:ilvl="0">
      <w:start w:val="1"/>
      <w:numFmt w:val="decimal"/>
      <w:pStyle w:val="Heading1"/>
      <w:lvlText w:val="%1"/>
      <w:lvlJc w:val="left"/>
      <w:pPr>
        <w:ind w:left="432" w:hanging="432"/>
      </w:pPr>
      <w:rPr>
        <w:rFonts w:hint="default"/>
        <w:b/>
      </w:rPr>
    </w:lvl>
    <w:lvl w:ilvl="1">
      <w:start w:val="1"/>
      <w:numFmt w:val="decimal"/>
      <w:lvlText w:val="%1.%2"/>
      <w:lvlJc w:val="left"/>
      <w:pPr>
        <w:ind w:left="1002"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B4CDB"/>
    <w:multiLevelType w:val="hybridMultilevel"/>
    <w:tmpl w:val="5CE06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C34E2"/>
    <w:multiLevelType w:val="hybridMultilevel"/>
    <w:tmpl w:val="72884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29400C"/>
    <w:multiLevelType w:val="hybridMultilevel"/>
    <w:tmpl w:val="DEB8EEB6"/>
    <w:lvl w:ilvl="0" w:tplc="F0A6C1B6">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0D62E4"/>
    <w:multiLevelType w:val="hybridMultilevel"/>
    <w:tmpl w:val="0AE09E96"/>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486090"/>
    <w:multiLevelType w:val="hybridMultilevel"/>
    <w:tmpl w:val="964ECA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552F08"/>
    <w:multiLevelType w:val="hybridMultilevel"/>
    <w:tmpl w:val="E08616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C2E527B"/>
    <w:multiLevelType w:val="hybridMultilevel"/>
    <w:tmpl w:val="04BACF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ED6633"/>
    <w:multiLevelType w:val="hybridMultilevel"/>
    <w:tmpl w:val="F7A2A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140AF0"/>
    <w:multiLevelType w:val="hybridMultilevel"/>
    <w:tmpl w:val="AAD2A548"/>
    <w:lvl w:ilvl="0" w:tplc="35FA2D7E">
      <w:start w:val="1"/>
      <w:numFmt w:val="bullet"/>
      <w:lvlText w:val="•"/>
      <w:lvlJc w:val="left"/>
      <w:pPr>
        <w:tabs>
          <w:tab w:val="num" w:pos="720"/>
        </w:tabs>
        <w:ind w:left="720" w:hanging="360"/>
      </w:pPr>
      <w:rPr>
        <w:rFonts w:ascii="Arial" w:hAnsi="Arial" w:hint="default"/>
      </w:rPr>
    </w:lvl>
    <w:lvl w:ilvl="1" w:tplc="A6CC876E">
      <w:start w:val="568"/>
      <w:numFmt w:val="bullet"/>
      <w:lvlText w:val="•"/>
      <w:lvlJc w:val="left"/>
      <w:pPr>
        <w:tabs>
          <w:tab w:val="num" w:pos="1440"/>
        </w:tabs>
        <w:ind w:left="1440" w:hanging="360"/>
      </w:pPr>
      <w:rPr>
        <w:rFonts w:ascii="Arial" w:hAnsi="Arial" w:hint="default"/>
      </w:rPr>
    </w:lvl>
    <w:lvl w:ilvl="2" w:tplc="264204A4" w:tentative="1">
      <w:start w:val="1"/>
      <w:numFmt w:val="bullet"/>
      <w:lvlText w:val="•"/>
      <w:lvlJc w:val="left"/>
      <w:pPr>
        <w:tabs>
          <w:tab w:val="num" w:pos="2160"/>
        </w:tabs>
        <w:ind w:left="2160" w:hanging="360"/>
      </w:pPr>
      <w:rPr>
        <w:rFonts w:ascii="Arial" w:hAnsi="Arial" w:hint="default"/>
      </w:rPr>
    </w:lvl>
    <w:lvl w:ilvl="3" w:tplc="561A98CC" w:tentative="1">
      <w:start w:val="1"/>
      <w:numFmt w:val="bullet"/>
      <w:lvlText w:val="•"/>
      <w:lvlJc w:val="left"/>
      <w:pPr>
        <w:tabs>
          <w:tab w:val="num" w:pos="2880"/>
        </w:tabs>
        <w:ind w:left="2880" w:hanging="360"/>
      </w:pPr>
      <w:rPr>
        <w:rFonts w:ascii="Arial" w:hAnsi="Arial" w:hint="default"/>
      </w:rPr>
    </w:lvl>
    <w:lvl w:ilvl="4" w:tplc="680E3A5E" w:tentative="1">
      <w:start w:val="1"/>
      <w:numFmt w:val="bullet"/>
      <w:lvlText w:val="•"/>
      <w:lvlJc w:val="left"/>
      <w:pPr>
        <w:tabs>
          <w:tab w:val="num" w:pos="3600"/>
        </w:tabs>
        <w:ind w:left="3600" w:hanging="360"/>
      </w:pPr>
      <w:rPr>
        <w:rFonts w:ascii="Arial" w:hAnsi="Arial" w:hint="default"/>
      </w:rPr>
    </w:lvl>
    <w:lvl w:ilvl="5" w:tplc="A2A666B8" w:tentative="1">
      <w:start w:val="1"/>
      <w:numFmt w:val="bullet"/>
      <w:lvlText w:val="•"/>
      <w:lvlJc w:val="left"/>
      <w:pPr>
        <w:tabs>
          <w:tab w:val="num" w:pos="4320"/>
        </w:tabs>
        <w:ind w:left="4320" w:hanging="360"/>
      </w:pPr>
      <w:rPr>
        <w:rFonts w:ascii="Arial" w:hAnsi="Arial" w:hint="default"/>
      </w:rPr>
    </w:lvl>
    <w:lvl w:ilvl="6" w:tplc="05EC87F8" w:tentative="1">
      <w:start w:val="1"/>
      <w:numFmt w:val="bullet"/>
      <w:lvlText w:val="•"/>
      <w:lvlJc w:val="left"/>
      <w:pPr>
        <w:tabs>
          <w:tab w:val="num" w:pos="5040"/>
        </w:tabs>
        <w:ind w:left="5040" w:hanging="360"/>
      </w:pPr>
      <w:rPr>
        <w:rFonts w:ascii="Arial" w:hAnsi="Arial" w:hint="default"/>
      </w:rPr>
    </w:lvl>
    <w:lvl w:ilvl="7" w:tplc="B134B67A" w:tentative="1">
      <w:start w:val="1"/>
      <w:numFmt w:val="bullet"/>
      <w:lvlText w:val="•"/>
      <w:lvlJc w:val="left"/>
      <w:pPr>
        <w:tabs>
          <w:tab w:val="num" w:pos="5760"/>
        </w:tabs>
        <w:ind w:left="5760" w:hanging="360"/>
      </w:pPr>
      <w:rPr>
        <w:rFonts w:ascii="Arial" w:hAnsi="Arial" w:hint="default"/>
      </w:rPr>
    </w:lvl>
    <w:lvl w:ilvl="8" w:tplc="E5EE5E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4C325C"/>
    <w:multiLevelType w:val="hybridMultilevel"/>
    <w:tmpl w:val="0CECF736"/>
    <w:lvl w:ilvl="0" w:tplc="54604114">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DE3E67"/>
    <w:multiLevelType w:val="hybridMultilevel"/>
    <w:tmpl w:val="6510A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AF4B07"/>
    <w:multiLevelType w:val="hybridMultilevel"/>
    <w:tmpl w:val="0EF8AAA8"/>
    <w:lvl w:ilvl="0" w:tplc="1234C22E">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B80A77"/>
    <w:multiLevelType w:val="hybridMultilevel"/>
    <w:tmpl w:val="E57A324E"/>
    <w:lvl w:ilvl="0" w:tplc="427E2F9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B92164"/>
    <w:multiLevelType w:val="hybridMultilevel"/>
    <w:tmpl w:val="78467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4816ED58"/>
    <w:lvl w:ilvl="0">
      <w:start w:val="1"/>
      <w:numFmt w:val="decimal"/>
      <w:pStyle w:val="PBACHeading1"/>
      <w:lvlText w:val="%1"/>
      <w:lvlJc w:val="left"/>
      <w:pPr>
        <w:ind w:left="720" w:hanging="720"/>
      </w:pPr>
      <w:rPr>
        <w:rFonts w:hint="default"/>
        <w:b/>
        <w:color w:val="FFFFFF" w:themeColor="background1"/>
      </w:rPr>
    </w:lvl>
    <w:lvl w:ilvl="1">
      <w:start w:val="1"/>
      <w:numFmt w:val="decimal"/>
      <w:lvlText w:val="6.%2"/>
      <w:lvlJc w:val="left"/>
      <w:pPr>
        <w:ind w:left="143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AC4DEF"/>
    <w:multiLevelType w:val="hybridMultilevel"/>
    <w:tmpl w:val="F8C0764C"/>
    <w:lvl w:ilvl="0" w:tplc="D442A5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33"/>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35"/>
  </w:num>
  <w:num w:numId="9">
    <w:abstractNumId w:val="34"/>
  </w:num>
  <w:num w:numId="10">
    <w:abstractNumId w:val="28"/>
  </w:num>
  <w:num w:numId="11">
    <w:abstractNumId w:val="31"/>
  </w:num>
  <w:num w:numId="12">
    <w:abstractNumId w:val="7"/>
  </w:num>
  <w:num w:numId="13">
    <w:abstractNumId w:val="21"/>
  </w:num>
  <w:num w:numId="14">
    <w:abstractNumId w:val="0"/>
  </w:num>
  <w:num w:numId="15">
    <w:abstractNumId w:val="32"/>
  </w:num>
  <w:num w:numId="16">
    <w:abstractNumId w:val="16"/>
  </w:num>
  <w:num w:numId="17">
    <w:abstractNumId w:val="18"/>
  </w:num>
  <w:num w:numId="18">
    <w:abstractNumId w:val="27"/>
  </w:num>
  <w:num w:numId="19">
    <w:abstractNumId w:val="3"/>
  </w:num>
  <w:num w:numId="20">
    <w:abstractNumId w:val="30"/>
  </w:num>
  <w:num w:numId="21">
    <w:abstractNumId w:val="6"/>
  </w:num>
  <w:num w:numId="22">
    <w:abstractNumId w:val="23"/>
  </w:num>
  <w:num w:numId="23">
    <w:abstractNumId w:val="15"/>
  </w:num>
  <w:num w:numId="24">
    <w:abstractNumId w:val="29"/>
  </w:num>
  <w:num w:numId="25">
    <w:abstractNumId w:val="10"/>
  </w:num>
  <w:num w:numId="26">
    <w:abstractNumId w:val="10"/>
  </w:num>
  <w:num w:numId="27">
    <w:abstractNumId w:val="2"/>
  </w:num>
  <w:num w:numId="28">
    <w:abstractNumId w:val="36"/>
  </w:num>
  <w:num w:numId="29">
    <w:abstractNumId w:val="8"/>
  </w:num>
  <w:num w:numId="30">
    <w:abstractNumId w:val="33"/>
    <w:lvlOverride w:ilvl="0">
      <w:startOverride w:val="7"/>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7"/>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2"/>
  </w:num>
  <w:num w:numId="34">
    <w:abstractNumId w:val="5"/>
  </w:num>
  <w:num w:numId="35">
    <w:abstractNumId w:val="1"/>
  </w:num>
  <w:num w:numId="36">
    <w:abstractNumId w:val="9"/>
  </w:num>
  <w:num w:numId="37">
    <w:abstractNumId w:val="20"/>
  </w:num>
  <w:num w:numId="38">
    <w:abstractNumId w:val="24"/>
  </w:num>
  <w:num w:numId="39">
    <w:abstractNumId w:val="12"/>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7"/>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F6A1107-732B-4E49-A3C0-1C0B5F03BADD}"/>
    <w:docVar w:name="dgnword-eventsink" w:val="306985176"/>
  </w:docVars>
  <w:rsids>
    <w:rsidRoot w:val="00821A29"/>
    <w:rsid w:val="00001AB4"/>
    <w:rsid w:val="00003BEF"/>
    <w:rsid w:val="0001066F"/>
    <w:rsid w:val="00011B64"/>
    <w:rsid w:val="00013222"/>
    <w:rsid w:val="00013797"/>
    <w:rsid w:val="00016641"/>
    <w:rsid w:val="0001725B"/>
    <w:rsid w:val="000205D4"/>
    <w:rsid w:val="0002095B"/>
    <w:rsid w:val="0002335B"/>
    <w:rsid w:val="00023CE8"/>
    <w:rsid w:val="000269D1"/>
    <w:rsid w:val="00027F8F"/>
    <w:rsid w:val="00031BB3"/>
    <w:rsid w:val="0003318C"/>
    <w:rsid w:val="00034404"/>
    <w:rsid w:val="00034CB6"/>
    <w:rsid w:val="00037EB1"/>
    <w:rsid w:val="00042544"/>
    <w:rsid w:val="00045051"/>
    <w:rsid w:val="00045F48"/>
    <w:rsid w:val="000461CF"/>
    <w:rsid w:val="00047C61"/>
    <w:rsid w:val="00052BB5"/>
    <w:rsid w:val="00053DC9"/>
    <w:rsid w:val="0005503F"/>
    <w:rsid w:val="00057F71"/>
    <w:rsid w:val="00060381"/>
    <w:rsid w:val="00062067"/>
    <w:rsid w:val="0006206F"/>
    <w:rsid w:val="00062F0A"/>
    <w:rsid w:val="00065C62"/>
    <w:rsid w:val="00065CDE"/>
    <w:rsid w:val="00065F4A"/>
    <w:rsid w:val="000670A4"/>
    <w:rsid w:val="00071500"/>
    <w:rsid w:val="00071666"/>
    <w:rsid w:val="00073352"/>
    <w:rsid w:val="000737D7"/>
    <w:rsid w:val="00074717"/>
    <w:rsid w:val="00077ECD"/>
    <w:rsid w:val="00080FF3"/>
    <w:rsid w:val="00082324"/>
    <w:rsid w:val="00082DF8"/>
    <w:rsid w:val="000847FE"/>
    <w:rsid w:val="00086133"/>
    <w:rsid w:val="00086BA8"/>
    <w:rsid w:val="00087CF4"/>
    <w:rsid w:val="0009062C"/>
    <w:rsid w:val="0009239B"/>
    <w:rsid w:val="000924D6"/>
    <w:rsid w:val="000934D5"/>
    <w:rsid w:val="000A029D"/>
    <w:rsid w:val="000A2694"/>
    <w:rsid w:val="000A2EF1"/>
    <w:rsid w:val="000A5621"/>
    <w:rsid w:val="000A6219"/>
    <w:rsid w:val="000A6229"/>
    <w:rsid w:val="000A6FBD"/>
    <w:rsid w:val="000A734B"/>
    <w:rsid w:val="000B02F6"/>
    <w:rsid w:val="000B0DCC"/>
    <w:rsid w:val="000B21A1"/>
    <w:rsid w:val="000B3C19"/>
    <w:rsid w:val="000B56CD"/>
    <w:rsid w:val="000B6B69"/>
    <w:rsid w:val="000C0142"/>
    <w:rsid w:val="000C23BE"/>
    <w:rsid w:val="000C277F"/>
    <w:rsid w:val="000C3FBF"/>
    <w:rsid w:val="000C6368"/>
    <w:rsid w:val="000C6A40"/>
    <w:rsid w:val="000C6A75"/>
    <w:rsid w:val="000C7906"/>
    <w:rsid w:val="000D0023"/>
    <w:rsid w:val="000D2E8D"/>
    <w:rsid w:val="000D2E92"/>
    <w:rsid w:val="000D4B93"/>
    <w:rsid w:val="000E0696"/>
    <w:rsid w:val="000E24DF"/>
    <w:rsid w:val="000E599E"/>
    <w:rsid w:val="000F2534"/>
    <w:rsid w:val="000F3652"/>
    <w:rsid w:val="000F61C1"/>
    <w:rsid w:val="001045F2"/>
    <w:rsid w:val="00110CB9"/>
    <w:rsid w:val="00110DF8"/>
    <w:rsid w:val="00115AE1"/>
    <w:rsid w:val="00116CF7"/>
    <w:rsid w:val="00123082"/>
    <w:rsid w:val="0012438D"/>
    <w:rsid w:val="001251D7"/>
    <w:rsid w:val="0012701F"/>
    <w:rsid w:val="001279AE"/>
    <w:rsid w:val="0013092C"/>
    <w:rsid w:val="00133C03"/>
    <w:rsid w:val="00134419"/>
    <w:rsid w:val="00136E76"/>
    <w:rsid w:val="00142AEC"/>
    <w:rsid w:val="00143BAE"/>
    <w:rsid w:val="00145749"/>
    <w:rsid w:val="001468C6"/>
    <w:rsid w:val="00146BA7"/>
    <w:rsid w:val="00146C47"/>
    <w:rsid w:val="0015122F"/>
    <w:rsid w:val="001525F6"/>
    <w:rsid w:val="00153441"/>
    <w:rsid w:val="00153706"/>
    <w:rsid w:val="00161A51"/>
    <w:rsid w:val="00162213"/>
    <w:rsid w:val="001629A5"/>
    <w:rsid w:val="00163FF9"/>
    <w:rsid w:val="00165A49"/>
    <w:rsid w:val="00165DEE"/>
    <w:rsid w:val="00171A27"/>
    <w:rsid w:val="00171C94"/>
    <w:rsid w:val="001722AD"/>
    <w:rsid w:val="00173577"/>
    <w:rsid w:val="0017638E"/>
    <w:rsid w:val="00176AA5"/>
    <w:rsid w:val="0017720E"/>
    <w:rsid w:val="0017755B"/>
    <w:rsid w:val="00177893"/>
    <w:rsid w:val="001809A7"/>
    <w:rsid w:val="00181C7E"/>
    <w:rsid w:val="001831AC"/>
    <w:rsid w:val="00184221"/>
    <w:rsid w:val="00184FC2"/>
    <w:rsid w:val="0018604E"/>
    <w:rsid w:val="00186307"/>
    <w:rsid w:val="00186A0F"/>
    <w:rsid w:val="00186EBC"/>
    <w:rsid w:val="00186F33"/>
    <w:rsid w:val="001871FB"/>
    <w:rsid w:val="00187EBD"/>
    <w:rsid w:val="00195DA4"/>
    <w:rsid w:val="001971C6"/>
    <w:rsid w:val="00197794"/>
    <w:rsid w:val="00197A2B"/>
    <w:rsid w:val="001A0142"/>
    <w:rsid w:val="001A02B2"/>
    <w:rsid w:val="001A08FA"/>
    <w:rsid w:val="001A27EE"/>
    <w:rsid w:val="001A4965"/>
    <w:rsid w:val="001A62FA"/>
    <w:rsid w:val="001A6C35"/>
    <w:rsid w:val="001B00CE"/>
    <w:rsid w:val="001B2B71"/>
    <w:rsid w:val="001B6389"/>
    <w:rsid w:val="001B65D8"/>
    <w:rsid w:val="001B7A0C"/>
    <w:rsid w:val="001C04CC"/>
    <w:rsid w:val="001C051E"/>
    <w:rsid w:val="001C2B63"/>
    <w:rsid w:val="001C40CC"/>
    <w:rsid w:val="001D01A4"/>
    <w:rsid w:val="001D1F6F"/>
    <w:rsid w:val="001D1FEE"/>
    <w:rsid w:val="001D588F"/>
    <w:rsid w:val="001D5DE3"/>
    <w:rsid w:val="001E15D8"/>
    <w:rsid w:val="001E2268"/>
    <w:rsid w:val="001E4361"/>
    <w:rsid w:val="001E43CB"/>
    <w:rsid w:val="001E5918"/>
    <w:rsid w:val="001E7E1D"/>
    <w:rsid w:val="001F073C"/>
    <w:rsid w:val="001F12C5"/>
    <w:rsid w:val="001F1684"/>
    <w:rsid w:val="001F2912"/>
    <w:rsid w:val="001F3F51"/>
    <w:rsid w:val="001F3F98"/>
    <w:rsid w:val="001F463C"/>
    <w:rsid w:val="001F57F9"/>
    <w:rsid w:val="001F6727"/>
    <w:rsid w:val="001F6D43"/>
    <w:rsid w:val="001F7028"/>
    <w:rsid w:val="001F7104"/>
    <w:rsid w:val="001F740F"/>
    <w:rsid w:val="002001C6"/>
    <w:rsid w:val="00200296"/>
    <w:rsid w:val="00201ADB"/>
    <w:rsid w:val="00201CC7"/>
    <w:rsid w:val="00204037"/>
    <w:rsid w:val="002058E5"/>
    <w:rsid w:val="00210FAA"/>
    <w:rsid w:val="002119E8"/>
    <w:rsid w:val="002127C0"/>
    <w:rsid w:val="00213E09"/>
    <w:rsid w:val="00215E71"/>
    <w:rsid w:val="00216BB1"/>
    <w:rsid w:val="002217B6"/>
    <w:rsid w:val="002223FF"/>
    <w:rsid w:val="002234A6"/>
    <w:rsid w:val="00223D58"/>
    <w:rsid w:val="00224D7A"/>
    <w:rsid w:val="00227AEA"/>
    <w:rsid w:val="00230412"/>
    <w:rsid w:val="00236AA0"/>
    <w:rsid w:val="002371A9"/>
    <w:rsid w:val="002374C3"/>
    <w:rsid w:val="002377A1"/>
    <w:rsid w:val="002417F2"/>
    <w:rsid w:val="002425EA"/>
    <w:rsid w:val="00242EA0"/>
    <w:rsid w:val="00243685"/>
    <w:rsid w:val="002466ED"/>
    <w:rsid w:val="00253F09"/>
    <w:rsid w:val="00255DB7"/>
    <w:rsid w:val="0025613F"/>
    <w:rsid w:val="00257E13"/>
    <w:rsid w:val="002603B3"/>
    <w:rsid w:val="00260913"/>
    <w:rsid w:val="00260AB6"/>
    <w:rsid w:val="00261DC6"/>
    <w:rsid w:val="0026285F"/>
    <w:rsid w:val="00264623"/>
    <w:rsid w:val="00265071"/>
    <w:rsid w:val="00266019"/>
    <w:rsid w:val="00273614"/>
    <w:rsid w:val="00273C1C"/>
    <w:rsid w:val="00273C92"/>
    <w:rsid w:val="0027502D"/>
    <w:rsid w:val="002801EF"/>
    <w:rsid w:val="002806AC"/>
    <w:rsid w:val="00280A7B"/>
    <w:rsid w:val="00280B5B"/>
    <w:rsid w:val="00281783"/>
    <w:rsid w:val="00282D1F"/>
    <w:rsid w:val="002836DF"/>
    <w:rsid w:val="002861C4"/>
    <w:rsid w:val="00287A5D"/>
    <w:rsid w:val="002928F0"/>
    <w:rsid w:val="002928F4"/>
    <w:rsid w:val="00297B57"/>
    <w:rsid w:val="002A3510"/>
    <w:rsid w:val="002A4503"/>
    <w:rsid w:val="002A4DA4"/>
    <w:rsid w:val="002A551A"/>
    <w:rsid w:val="002A7B1E"/>
    <w:rsid w:val="002B1EF0"/>
    <w:rsid w:val="002B37F5"/>
    <w:rsid w:val="002B45DE"/>
    <w:rsid w:val="002B4941"/>
    <w:rsid w:val="002B5D74"/>
    <w:rsid w:val="002B7ADB"/>
    <w:rsid w:val="002C059F"/>
    <w:rsid w:val="002C0F4D"/>
    <w:rsid w:val="002C1D2F"/>
    <w:rsid w:val="002D1B5E"/>
    <w:rsid w:val="002D2BFD"/>
    <w:rsid w:val="002D2FCA"/>
    <w:rsid w:val="002D348A"/>
    <w:rsid w:val="002D34C2"/>
    <w:rsid w:val="002D573D"/>
    <w:rsid w:val="002D5B80"/>
    <w:rsid w:val="002D7823"/>
    <w:rsid w:val="002E06AA"/>
    <w:rsid w:val="002E164A"/>
    <w:rsid w:val="002E37F0"/>
    <w:rsid w:val="002E42FD"/>
    <w:rsid w:val="002E4C2D"/>
    <w:rsid w:val="002E5D61"/>
    <w:rsid w:val="002E5DEA"/>
    <w:rsid w:val="002E7237"/>
    <w:rsid w:val="002E724A"/>
    <w:rsid w:val="002F0CC4"/>
    <w:rsid w:val="002F1987"/>
    <w:rsid w:val="002F311E"/>
    <w:rsid w:val="002F5379"/>
    <w:rsid w:val="002F71B8"/>
    <w:rsid w:val="0030057F"/>
    <w:rsid w:val="00300712"/>
    <w:rsid w:val="00300CD8"/>
    <w:rsid w:val="00300D9E"/>
    <w:rsid w:val="00301033"/>
    <w:rsid w:val="00301561"/>
    <w:rsid w:val="00301DEA"/>
    <w:rsid w:val="00301EA1"/>
    <w:rsid w:val="00302FCC"/>
    <w:rsid w:val="00303A41"/>
    <w:rsid w:val="00305251"/>
    <w:rsid w:val="003055CE"/>
    <w:rsid w:val="003062AE"/>
    <w:rsid w:val="0030672B"/>
    <w:rsid w:val="00306C4C"/>
    <w:rsid w:val="00307B9D"/>
    <w:rsid w:val="00313849"/>
    <w:rsid w:val="00315514"/>
    <w:rsid w:val="00320600"/>
    <w:rsid w:val="00320A04"/>
    <w:rsid w:val="00320F5C"/>
    <w:rsid w:val="003248D0"/>
    <w:rsid w:val="00325BD7"/>
    <w:rsid w:val="00327FCF"/>
    <w:rsid w:val="00330999"/>
    <w:rsid w:val="003337A2"/>
    <w:rsid w:val="00334760"/>
    <w:rsid w:val="00334ACF"/>
    <w:rsid w:val="003357B4"/>
    <w:rsid w:val="00337FCD"/>
    <w:rsid w:val="00341A14"/>
    <w:rsid w:val="00342D73"/>
    <w:rsid w:val="00343AF6"/>
    <w:rsid w:val="00343B26"/>
    <w:rsid w:val="00344F95"/>
    <w:rsid w:val="003476E0"/>
    <w:rsid w:val="0035088D"/>
    <w:rsid w:val="00351381"/>
    <w:rsid w:val="00351D67"/>
    <w:rsid w:val="003530A6"/>
    <w:rsid w:val="00353627"/>
    <w:rsid w:val="003542C3"/>
    <w:rsid w:val="00355596"/>
    <w:rsid w:val="00355F72"/>
    <w:rsid w:val="003560D2"/>
    <w:rsid w:val="003560FE"/>
    <w:rsid w:val="003568BC"/>
    <w:rsid w:val="00357657"/>
    <w:rsid w:val="003577A0"/>
    <w:rsid w:val="003605A8"/>
    <w:rsid w:val="00361D80"/>
    <w:rsid w:val="003639A6"/>
    <w:rsid w:val="00364498"/>
    <w:rsid w:val="003679AE"/>
    <w:rsid w:val="00371221"/>
    <w:rsid w:val="003747DC"/>
    <w:rsid w:val="00375EFC"/>
    <w:rsid w:val="00380562"/>
    <w:rsid w:val="00381DC7"/>
    <w:rsid w:val="00381E87"/>
    <w:rsid w:val="00381F6A"/>
    <w:rsid w:val="0038281C"/>
    <w:rsid w:val="00383315"/>
    <w:rsid w:val="00383943"/>
    <w:rsid w:val="00384E05"/>
    <w:rsid w:val="003851FE"/>
    <w:rsid w:val="00385606"/>
    <w:rsid w:val="00385A64"/>
    <w:rsid w:val="00386D1A"/>
    <w:rsid w:val="00386FA7"/>
    <w:rsid w:val="00390429"/>
    <w:rsid w:val="0039090C"/>
    <w:rsid w:val="003911E6"/>
    <w:rsid w:val="00397170"/>
    <w:rsid w:val="00397826"/>
    <w:rsid w:val="003A0954"/>
    <w:rsid w:val="003A0F78"/>
    <w:rsid w:val="003A1E95"/>
    <w:rsid w:val="003A1EF5"/>
    <w:rsid w:val="003A2BBB"/>
    <w:rsid w:val="003A3433"/>
    <w:rsid w:val="003A362A"/>
    <w:rsid w:val="003A4A03"/>
    <w:rsid w:val="003A537E"/>
    <w:rsid w:val="003A53C7"/>
    <w:rsid w:val="003A5CD2"/>
    <w:rsid w:val="003A660F"/>
    <w:rsid w:val="003B095E"/>
    <w:rsid w:val="003B3531"/>
    <w:rsid w:val="003B59BE"/>
    <w:rsid w:val="003B661D"/>
    <w:rsid w:val="003B6D34"/>
    <w:rsid w:val="003C0BF9"/>
    <w:rsid w:val="003C0EAF"/>
    <w:rsid w:val="003C1A9F"/>
    <w:rsid w:val="003C2C04"/>
    <w:rsid w:val="003C5304"/>
    <w:rsid w:val="003C5F28"/>
    <w:rsid w:val="003C7CA8"/>
    <w:rsid w:val="003C7D4C"/>
    <w:rsid w:val="003D089B"/>
    <w:rsid w:val="003D11A9"/>
    <w:rsid w:val="003D2615"/>
    <w:rsid w:val="003D2A37"/>
    <w:rsid w:val="003D69EF"/>
    <w:rsid w:val="003D7F15"/>
    <w:rsid w:val="003D7F8C"/>
    <w:rsid w:val="003E0EDB"/>
    <w:rsid w:val="003E1628"/>
    <w:rsid w:val="003E33EC"/>
    <w:rsid w:val="003E6475"/>
    <w:rsid w:val="003E6CCD"/>
    <w:rsid w:val="003E7AE1"/>
    <w:rsid w:val="003F105A"/>
    <w:rsid w:val="003F1F3F"/>
    <w:rsid w:val="003F22A3"/>
    <w:rsid w:val="003F283D"/>
    <w:rsid w:val="003F32D5"/>
    <w:rsid w:val="003F3AC7"/>
    <w:rsid w:val="003F6199"/>
    <w:rsid w:val="003F6AB8"/>
    <w:rsid w:val="003F7553"/>
    <w:rsid w:val="003F7796"/>
    <w:rsid w:val="003F7FCE"/>
    <w:rsid w:val="00400968"/>
    <w:rsid w:val="004033BF"/>
    <w:rsid w:val="00414290"/>
    <w:rsid w:val="0041631D"/>
    <w:rsid w:val="00417D11"/>
    <w:rsid w:val="00417DC5"/>
    <w:rsid w:val="00421450"/>
    <w:rsid w:val="0042448B"/>
    <w:rsid w:val="00425FCA"/>
    <w:rsid w:val="0042647B"/>
    <w:rsid w:val="00427A9C"/>
    <w:rsid w:val="00427E55"/>
    <w:rsid w:val="00430779"/>
    <w:rsid w:val="00432625"/>
    <w:rsid w:val="004329D1"/>
    <w:rsid w:val="00436768"/>
    <w:rsid w:val="0043791E"/>
    <w:rsid w:val="00437BB5"/>
    <w:rsid w:val="00440607"/>
    <w:rsid w:val="0044718D"/>
    <w:rsid w:val="004471E2"/>
    <w:rsid w:val="00451178"/>
    <w:rsid w:val="00451A7E"/>
    <w:rsid w:val="00452571"/>
    <w:rsid w:val="00453BAE"/>
    <w:rsid w:val="00453D59"/>
    <w:rsid w:val="00454493"/>
    <w:rsid w:val="00454531"/>
    <w:rsid w:val="004619BB"/>
    <w:rsid w:val="00464D79"/>
    <w:rsid w:val="00465D3F"/>
    <w:rsid w:val="0046621E"/>
    <w:rsid w:val="004665A0"/>
    <w:rsid w:val="004667A4"/>
    <w:rsid w:val="00470FD1"/>
    <w:rsid w:val="00472D4D"/>
    <w:rsid w:val="00473815"/>
    <w:rsid w:val="00477B71"/>
    <w:rsid w:val="00486783"/>
    <w:rsid w:val="0048701B"/>
    <w:rsid w:val="004912B2"/>
    <w:rsid w:val="004919DD"/>
    <w:rsid w:val="00492ED3"/>
    <w:rsid w:val="00493765"/>
    <w:rsid w:val="00494F7C"/>
    <w:rsid w:val="004A03E5"/>
    <w:rsid w:val="004A1308"/>
    <w:rsid w:val="004A25E3"/>
    <w:rsid w:val="004A2DF5"/>
    <w:rsid w:val="004A3ACD"/>
    <w:rsid w:val="004A4EF3"/>
    <w:rsid w:val="004A6743"/>
    <w:rsid w:val="004A6CAB"/>
    <w:rsid w:val="004B18AE"/>
    <w:rsid w:val="004B3C00"/>
    <w:rsid w:val="004B63BB"/>
    <w:rsid w:val="004C5ACE"/>
    <w:rsid w:val="004C65C3"/>
    <w:rsid w:val="004D1006"/>
    <w:rsid w:val="004D3FC7"/>
    <w:rsid w:val="004D45DF"/>
    <w:rsid w:val="004D4EBE"/>
    <w:rsid w:val="004D60EA"/>
    <w:rsid w:val="004D616F"/>
    <w:rsid w:val="004E0C0B"/>
    <w:rsid w:val="004E1135"/>
    <w:rsid w:val="004E15C5"/>
    <w:rsid w:val="004E2125"/>
    <w:rsid w:val="004E3632"/>
    <w:rsid w:val="004E3724"/>
    <w:rsid w:val="004F0FA4"/>
    <w:rsid w:val="004F2980"/>
    <w:rsid w:val="004F34ED"/>
    <w:rsid w:val="004F3688"/>
    <w:rsid w:val="004F3AAE"/>
    <w:rsid w:val="004F4415"/>
    <w:rsid w:val="004F4BDE"/>
    <w:rsid w:val="004F50AD"/>
    <w:rsid w:val="004F6163"/>
    <w:rsid w:val="004F6A19"/>
    <w:rsid w:val="004F7CAC"/>
    <w:rsid w:val="00501661"/>
    <w:rsid w:val="005058A6"/>
    <w:rsid w:val="00505E00"/>
    <w:rsid w:val="00507713"/>
    <w:rsid w:val="00507AFF"/>
    <w:rsid w:val="00507CFB"/>
    <w:rsid w:val="00511320"/>
    <w:rsid w:val="005134EF"/>
    <w:rsid w:val="005135BC"/>
    <w:rsid w:val="005143F9"/>
    <w:rsid w:val="00514DC8"/>
    <w:rsid w:val="0051503D"/>
    <w:rsid w:val="0051503F"/>
    <w:rsid w:val="0051515C"/>
    <w:rsid w:val="00516566"/>
    <w:rsid w:val="00516949"/>
    <w:rsid w:val="0051740F"/>
    <w:rsid w:val="00517C70"/>
    <w:rsid w:val="00517D91"/>
    <w:rsid w:val="005201C0"/>
    <w:rsid w:val="005211BB"/>
    <w:rsid w:val="005218C3"/>
    <w:rsid w:val="00521C01"/>
    <w:rsid w:val="00524846"/>
    <w:rsid w:val="00525B26"/>
    <w:rsid w:val="0053052A"/>
    <w:rsid w:val="00531C11"/>
    <w:rsid w:val="0053205F"/>
    <w:rsid w:val="00532615"/>
    <w:rsid w:val="005333C5"/>
    <w:rsid w:val="00533E91"/>
    <w:rsid w:val="00535B82"/>
    <w:rsid w:val="00535C74"/>
    <w:rsid w:val="005361AB"/>
    <w:rsid w:val="00541D43"/>
    <w:rsid w:val="00542068"/>
    <w:rsid w:val="00543AF9"/>
    <w:rsid w:val="00545FC0"/>
    <w:rsid w:val="00546A58"/>
    <w:rsid w:val="00547213"/>
    <w:rsid w:val="005534C0"/>
    <w:rsid w:val="0055532F"/>
    <w:rsid w:val="005558A9"/>
    <w:rsid w:val="005563C4"/>
    <w:rsid w:val="00556830"/>
    <w:rsid w:val="00556F90"/>
    <w:rsid w:val="005571B9"/>
    <w:rsid w:val="0056172F"/>
    <w:rsid w:val="00561D24"/>
    <w:rsid w:val="005654EA"/>
    <w:rsid w:val="00570D83"/>
    <w:rsid w:val="005735BF"/>
    <w:rsid w:val="00573A78"/>
    <w:rsid w:val="0057657B"/>
    <w:rsid w:val="00576ADE"/>
    <w:rsid w:val="00577CFD"/>
    <w:rsid w:val="00577DEF"/>
    <w:rsid w:val="005822E6"/>
    <w:rsid w:val="00583B80"/>
    <w:rsid w:val="00587023"/>
    <w:rsid w:val="00591914"/>
    <w:rsid w:val="005924A7"/>
    <w:rsid w:val="00592B3C"/>
    <w:rsid w:val="005948F6"/>
    <w:rsid w:val="00595506"/>
    <w:rsid w:val="00597972"/>
    <w:rsid w:val="005A2212"/>
    <w:rsid w:val="005A2345"/>
    <w:rsid w:val="005A37EC"/>
    <w:rsid w:val="005A6BCD"/>
    <w:rsid w:val="005A76EF"/>
    <w:rsid w:val="005A7A74"/>
    <w:rsid w:val="005A7D84"/>
    <w:rsid w:val="005B0375"/>
    <w:rsid w:val="005B1CDA"/>
    <w:rsid w:val="005B1F6B"/>
    <w:rsid w:val="005B2AC4"/>
    <w:rsid w:val="005C0C56"/>
    <w:rsid w:val="005C1520"/>
    <w:rsid w:val="005C35DC"/>
    <w:rsid w:val="005C3BD2"/>
    <w:rsid w:val="005C3D85"/>
    <w:rsid w:val="005C52C1"/>
    <w:rsid w:val="005C6285"/>
    <w:rsid w:val="005C7B5E"/>
    <w:rsid w:val="005C7E9E"/>
    <w:rsid w:val="005D18E4"/>
    <w:rsid w:val="005D5BA1"/>
    <w:rsid w:val="005D622E"/>
    <w:rsid w:val="005E49B2"/>
    <w:rsid w:val="005E5592"/>
    <w:rsid w:val="005F0AE8"/>
    <w:rsid w:val="005F1473"/>
    <w:rsid w:val="005F2A6B"/>
    <w:rsid w:val="005F40C1"/>
    <w:rsid w:val="005F6D03"/>
    <w:rsid w:val="00600755"/>
    <w:rsid w:val="006024D3"/>
    <w:rsid w:val="00603D77"/>
    <w:rsid w:val="00604104"/>
    <w:rsid w:val="00606EF9"/>
    <w:rsid w:val="0060706A"/>
    <w:rsid w:val="006070C4"/>
    <w:rsid w:val="006073E1"/>
    <w:rsid w:val="00607758"/>
    <w:rsid w:val="00607B6A"/>
    <w:rsid w:val="00610D5E"/>
    <w:rsid w:val="006110E8"/>
    <w:rsid w:val="00613467"/>
    <w:rsid w:val="00613A88"/>
    <w:rsid w:val="00616E2A"/>
    <w:rsid w:val="00617040"/>
    <w:rsid w:val="00617A52"/>
    <w:rsid w:val="00617B51"/>
    <w:rsid w:val="006213EC"/>
    <w:rsid w:val="00623D9C"/>
    <w:rsid w:val="00624315"/>
    <w:rsid w:val="0062545B"/>
    <w:rsid w:val="0062552A"/>
    <w:rsid w:val="00632115"/>
    <w:rsid w:val="006332BE"/>
    <w:rsid w:val="006408C3"/>
    <w:rsid w:val="00641879"/>
    <w:rsid w:val="00641E83"/>
    <w:rsid w:val="0064257B"/>
    <w:rsid w:val="00645144"/>
    <w:rsid w:val="0064620D"/>
    <w:rsid w:val="006511F1"/>
    <w:rsid w:val="006521A6"/>
    <w:rsid w:val="0065347E"/>
    <w:rsid w:val="00653BF9"/>
    <w:rsid w:val="006549F6"/>
    <w:rsid w:val="00655926"/>
    <w:rsid w:val="00655BAB"/>
    <w:rsid w:val="0065616E"/>
    <w:rsid w:val="00657754"/>
    <w:rsid w:val="00661286"/>
    <w:rsid w:val="00662DFF"/>
    <w:rsid w:val="006638B3"/>
    <w:rsid w:val="00664356"/>
    <w:rsid w:val="00665473"/>
    <w:rsid w:val="00672120"/>
    <w:rsid w:val="00675CB1"/>
    <w:rsid w:val="0067650E"/>
    <w:rsid w:val="00676E4C"/>
    <w:rsid w:val="006770B5"/>
    <w:rsid w:val="006774E2"/>
    <w:rsid w:val="0068037D"/>
    <w:rsid w:val="0068463E"/>
    <w:rsid w:val="00685D7A"/>
    <w:rsid w:val="0069115E"/>
    <w:rsid w:val="00691913"/>
    <w:rsid w:val="00692FB3"/>
    <w:rsid w:val="00695235"/>
    <w:rsid w:val="006959D2"/>
    <w:rsid w:val="006A138B"/>
    <w:rsid w:val="006A1E64"/>
    <w:rsid w:val="006A3097"/>
    <w:rsid w:val="006A47DE"/>
    <w:rsid w:val="006B1189"/>
    <w:rsid w:val="006B140A"/>
    <w:rsid w:val="006B4269"/>
    <w:rsid w:val="006B6F3F"/>
    <w:rsid w:val="006B7FFC"/>
    <w:rsid w:val="006C18D6"/>
    <w:rsid w:val="006C1FB2"/>
    <w:rsid w:val="006C21FA"/>
    <w:rsid w:val="006C4697"/>
    <w:rsid w:val="006C4906"/>
    <w:rsid w:val="006C6FC2"/>
    <w:rsid w:val="006D3271"/>
    <w:rsid w:val="006D38B8"/>
    <w:rsid w:val="006D4729"/>
    <w:rsid w:val="006E1A5A"/>
    <w:rsid w:val="006E421F"/>
    <w:rsid w:val="006E4A93"/>
    <w:rsid w:val="006E5250"/>
    <w:rsid w:val="006E7302"/>
    <w:rsid w:val="006F161E"/>
    <w:rsid w:val="006F21CC"/>
    <w:rsid w:val="006F2FE4"/>
    <w:rsid w:val="006F3F57"/>
    <w:rsid w:val="006F4619"/>
    <w:rsid w:val="006F5195"/>
    <w:rsid w:val="006F6112"/>
    <w:rsid w:val="006F73A4"/>
    <w:rsid w:val="0070303A"/>
    <w:rsid w:val="00705BDE"/>
    <w:rsid w:val="0070609A"/>
    <w:rsid w:val="00706747"/>
    <w:rsid w:val="00707082"/>
    <w:rsid w:val="0070716A"/>
    <w:rsid w:val="00707EF2"/>
    <w:rsid w:val="00712C73"/>
    <w:rsid w:val="00723AA7"/>
    <w:rsid w:val="00723AB1"/>
    <w:rsid w:val="00723E1E"/>
    <w:rsid w:val="007261F0"/>
    <w:rsid w:val="0072745E"/>
    <w:rsid w:val="00732747"/>
    <w:rsid w:val="00733866"/>
    <w:rsid w:val="00735A3A"/>
    <w:rsid w:val="00735A94"/>
    <w:rsid w:val="00736DD0"/>
    <w:rsid w:val="00736F10"/>
    <w:rsid w:val="00740328"/>
    <w:rsid w:val="00740B8D"/>
    <w:rsid w:val="00741A76"/>
    <w:rsid w:val="00741BB2"/>
    <w:rsid w:val="007429F2"/>
    <w:rsid w:val="00742A4D"/>
    <w:rsid w:val="0074437B"/>
    <w:rsid w:val="007468CD"/>
    <w:rsid w:val="00747333"/>
    <w:rsid w:val="00750685"/>
    <w:rsid w:val="007509A6"/>
    <w:rsid w:val="00750B5A"/>
    <w:rsid w:val="00751376"/>
    <w:rsid w:val="00751984"/>
    <w:rsid w:val="00753EE1"/>
    <w:rsid w:val="00755C0C"/>
    <w:rsid w:val="007561B9"/>
    <w:rsid w:val="0076264A"/>
    <w:rsid w:val="007633B0"/>
    <w:rsid w:val="00766115"/>
    <w:rsid w:val="00770D12"/>
    <w:rsid w:val="007715D2"/>
    <w:rsid w:val="00772501"/>
    <w:rsid w:val="00772C70"/>
    <w:rsid w:val="007734DD"/>
    <w:rsid w:val="00776761"/>
    <w:rsid w:val="00777AAD"/>
    <w:rsid w:val="00781479"/>
    <w:rsid w:val="007847FA"/>
    <w:rsid w:val="0078528F"/>
    <w:rsid w:val="00790910"/>
    <w:rsid w:val="00790F08"/>
    <w:rsid w:val="00791DE1"/>
    <w:rsid w:val="00796612"/>
    <w:rsid w:val="00796CCD"/>
    <w:rsid w:val="007A1B54"/>
    <w:rsid w:val="007A36AD"/>
    <w:rsid w:val="007A3A8C"/>
    <w:rsid w:val="007A4D96"/>
    <w:rsid w:val="007A5D21"/>
    <w:rsid w:val="007A64FE"/>
    <w:rsid w:val="007A68FB"/>
    <w:rsid w:val="007A7390"/>
    <w:rsid w:val="007A77ED"/>
    <w:rsid w:val="007B09F7"/>
    <w:rsid w:val="007B0E0C"/>
    <w:rsid w:val="007B241F"/>
    <w:rsid w:val="007B580A"/>
    <w:rsid w:val="007B61D7"/>
    <w:rsid w:val="007B6C90"/>
    <w:rsid w:val="007B7F8B"/>
    <w:rsid w:val="007C26E5"/>
    <w:rsid w:val="007C26E7"/>
    <w:rsid w:val="007C43BE"/>
    <w:rsid w:val="007C6B66"/>
    <w:rsid w:val="007C720A"/>
    <w:rsid w:val="007D1092"/>
    <w:rsid w:val="007D1635"/>
    <w:rsid w:val="007D2621"/>
    <w:rsid w:val="007D2ACE"/>
    <w:rsid w:val="007D37FA"/>
    <w:rsid w:val="007D3AEB"/>
    <w:rsid w:val="007E14BF"/>
    <w:rsid w:val="007E2604"/>
    <w:rsid w:val="007E3562"/>
    <w:rsid w:val="007E634F"/>
    <w:rsid w:val="007F08CA"/>
    <w:rsid w:val="007F1609"/>
    <w:rsid w:val="007F23DB"/>
    <w:rsid w:val="007F3B6E"/>
    <w:rsid w:val="007F7E24"/>
    <w:rsid w:val="0080381B"/>
    <w:rsid w:val="008058E8"/>
    <w:rsid w:val="00806434"/>
    <w:rsid w:val="008116F8"/>
    <w:rsid w:val="0081207E"/>
    <w:rsid w:val="00812AA4"/>
    <w:rsid w:val="00813288"/>
    <w:rsid w:val="00814416"/>
    <w:rsid w:val="00814BD7"/>
    <w:rsid w:val="00816005"/>
    <w:rsid w:val="00821A29"/>
    <w:rsid w:val="00823233"/>
    <w:rsid w:val="00823AD3"/>
    <w:rsid w:val="00824426"/>
    <w:rsid w:val="00826E68"/>
    <w:rsid w:val="00830BA8"/>
    <w:rsid w:val="00830E52"/>
    <w:rsid w:val="00831AB2"/>
    <w:rsid w:val="008324E3"/>
    <w:rsid w:val="008329D7"/>
    <w:rsid w:val="00834DD9"/>
    <w:rsid w:val="00834F4E"/>
    <w:rsid w:val="00836E8D"/>
    <w:rsid w:val="008372F8"/>
    <w:rsid w:val="00845946"/>
    <w:rsid w:val="00847092"/>
    <w:rsid w:val="00847313"/>
    <w:rsid w:val="00847451"/>
    <w:rsid w:val="008476A0"/>
    <w:rsid w:val="0085130A"/>
    <w:rsid w:val="00852F38"/>
    <w:rsid w:val="00853667"/>
    <w:rsid w:val="00854C36"/>
    <w:rsid w:val="00856C34"/>
    <w:rsid w:val="00860127"/>
    <w:rsid w:val="0086062D"/>
    <w:rsid w:val="0086246E"/>
    <w:rsid w:val="0086413C"/>
    <w:rsid w:val="008646C8"/>
    <w:rsid w:val="00864BCC"/>
    <w:rsid w:val="00864C34"/>
    <w:rsid w:val="00865625"/>
    <w:rsid w:val="00865DC1"/>
    <w:rsid w:val="00870089"/>
    <w:rsid w:val="00870343"/>
    <w:rsid w:val="008716DD"/>
    <w:rsid w:val="00873818"/>
    <w:rsid w:val="008750F9"/>
    <w:rsid w:val="00875341"/>
    <w:rsid w:val="0087536F"/>
    <w:rsid w:val="008769A8"/>
    <w:rsid w:val="00877D5D"/>
    <w:rsid w:val="00880A40"/>
    <w:rsid w:val="00885BB5"/>
    <w:rsid w:val="00886236"/>
    <w:rsid w:val="0088641D"/>
    <w:rsid w:val="008869F4"/>
    <w:rsid w:val="008872D4"/>
    <w:rsid w:val="00887BC6"/>
    <w:rsid w:val="00891602"/>
    <w:rsid w:val="00891A07"/>
    <w:rsid w:val="00892BFC"/>
    <w:rsid w:val="00893EEF"/>
    <w:rsid w:val="0089708E"/>
    <w:rsid w:val="0089799A"/>
    <w:rsid w:val="008A0114"/>
    <w:rsid w:val="008A019D"/>
    <w:rsid w:val="008A204F"/>
    <w:rsid w:val="008A3C58"/>
    <w:rsid w:val="008A47C4"/>
    <w:rsid w:val="008A4880"/>
    <w:rsid w:val="008A52B1"/>
    <w:rsid w:val="008B074F"/>
    <w:rsid w:val="008B0D22"/>
    <w:rsid w:val="008B2089"/>
    <w:rsid w:val="008B2B97"/>
    <w:rsid w:val="008B5929"/>
    <w:rsid w:val="008B5B32"/>
    <w:rsid w:val="008B7351"/>
    <w:rsid w:val="008C222E"/>
    <w:rsid w:val="008D0484"/>
    <w:rsid w:val="008D3747"/>
    <w:rsid w:val="008D415C"/>
    <w:rsid w:val="008D47FC"/>
    <w:rsid w:val="008D6B73"/>
    <w:rsid w:val="008D6CC0"/>
    <w:rsid w:val="008D6D40"/>
    <w:rsid w:val="008D78FF"/>
    <w:rsid w:val="008D7B3F"/>
    <w:rsid w:val="008E161C"/>
    <w:rsid w:val="008E301D"/>
    <w:rsid w:val="008E6854"/>
    <w:rsid w:val="008E6B8F"/>
    <w:rsid w:val="008E70FA"/>
    <w:rsid w:val="008F0BAC"/>
    <w:rsid w:val="008F1360"/>
    <w:rsid w:val="008F1FAD"/>
    <w:rsid w:val="008F297F"/>
    <w:rsid w:val="008F35C5"/>
    <w:rsid w:val="008F4034"/>
    <w:rsid w:val="00901F1C"/>
    <w:rsid w:val="00901F4D"/>
    <w:rsid w:val="00903087"/>
    <w:rsid w:val="00905C21"/>
    <w:rsid w:val="00906B8B"/>
    <w:rsid w:val="00910374"/>
    <w:rsid w:val="00910B6A"/>
    <w:rsid w:val="0091152B"/>
    <w:rsid w:val="00913D5F"/>
    <w:rsid w:val="00914DA7"/>
    <w:rsid w:val="00914E99"/>
    <w:rsid w:val="00915F63"/>
    <w:rsid w:val="00916B34"/>
    <w:rsid w:val="009177E9"/>
    <w:rsid w:val="00922133"/>
    <w:rsid w:val="009223E4"/>
    <w:rsid w:val="00923EB8"/>
    <w:rsid w:val="0092597F"/>
    <w:rsid w:val="0092606A"/>
    <w:rsid w:val="00932A0E"/>
    <w:rsid w:val="009331CF"/>
    <w:rsid w:val="009334AC"/>
    <w:rsid w:val="00933F20"/>
    <w:rsid w:val="009348CA"/>
    <w:rsid w:val="009356B2"/>
    <w:rsid w:val="00935A96"/>
    <w:rsid w:val="009411CC"/>
    <w:rsid w:val="00941E22"/>
    <w:rsid w:val="00942010"/>
    <w:rsid w:val="0094320A"/>
    <w:rsid w:val="00946321"/>
    <w:rsid w:val="009469B7"/>
    <w:rsid w:val="0095170D"/>
    <w:rsid w:val="0095249F"/>
    <w:rsid w:val="0095279D"/>
    <w:rsid w:val="0095307F"/>
    <w:rsid w:val="00955526"/>
    <w:rsid w:val="00956CAA"/>
    <w:rsid w:val="00957382"/>
    <w:rsid w:val="00957B33"/>
    <w:rsid w:val="009620EE"/>
    <w:rsid w:val="009662CF"/>
    <w:rsid w:val="00966C09"/>
    <w:rsid w:val="009722D0"/>
    <w:rsid w:val="0097644E"/>
    <w:rsid w:val="00976E4D"/>
    <w:rsid w:val="0097719C"/>
    <w:rsid w:val="009778A3"/>
    <w:rsid w:val="009813A5"/>
    <w:rsid w:val="00981EB9"/>
    <w:rsid w:val="00984441"/>
    <w:rsid w:val="009844CF"/>
    <w:rsid w:val="00984DD8"/>
    <w:rsid w:val="00986A7E"/>
    <w:rsid w:val="0098744F"/>
    <w:rsid w:val="0099085F"/>
    <w:rsid w:val="009925A9"/>
    <w:rsid w:val="009925DB"/>
    <w:rsid w:val="009929A4"/>
    <w:rsid w:val="00992A05"/>
    <w:rsid w:val="00993CC9"/>
    <w:rsid w:val="00993F5F"/>
    <w:rsid w:val="009968F9"/>
    <w:rsid w:val="00997D03"/>
    <w:rsid w:val="009A056A"/>
    <w:rsid w:val="009A140B"/>
    <w:rsid w:val="009A3B3D"/>
    <w:rsid w:val="009A3ED4"/>
    <w:rsid w:val="009A5D32"/>
    <w:rsid w:val="009A6F74"/>
    <w:rsid w:val="009B1535"/>
    <w:rsid w:val="009B2908"/>
    <w:rsid w:val="009B2BA7"/>
    <w:rsid w:val="009B2D17"/>
    <w:rsid w:val="009B376D"/>
    <w:rsid w:val="009C4410"/>
    <w:rsid w:val="009C491B"/>
    <w:rsid w:val="009C6020"/>
    <w:rsid w:val="009C7E74"/>
    <w:rsid w:val="009D129B"/>
    <w:rsid w:val="009D15DC"/>
    <w:rsid w:val="009D1706"/>
    <w:rsid w:val="009D2B03"/>
    <w:rsid w:val="009D3628"/>
    <w:rsid w:val="009D4481"/>
    <w:rsid w:val="009D4C2A"/>
    <w:rsid w:val="009D6914"/>
    <w:rsid w:val="009D6B68"/>
    <w:rsid w:val="009D74AF"/>
    <w:rsid w:val="009E08D4"/>
    <w:rsid w:val="009E15BB"/>
    <w:rsid w:val="009E1C22"/>
    <w:rsid w:val="009E1C86"/>
    <w:rsid w:val="009E2481"/>
    <w:rsid w:val="009E2864"/>
    <w:rsid w:val="009E4369"/>
    <w:rsid w:val="009F07BA"/>
    <w:rsid w:val="009F3105"/>
    <w:rsid w:val="009F3631"/>
    <w:rsid w:val="009F3790"/>
    <w:rsid w:val="009F51A0"/>
    <w:rsid w:val="009F7CEB"/>
    <w:rsid w:val="00A02969"/>
    <w:rsid w:val="00A040FD"/>
    <w:rsid w:val="00A0426A"/>
    <w:rsid w:val="00A04C0D"/>
    <w:rsid w:val="00A0684E"/>
    <w:rsid w:val="00A07A7F"/>
    <w:rsid w:val="00A10953"/>
    <w:rsid w:val="00A113D7"/>
    <w:rsid w:val="00A126B5"/>
    <w:rsid w:val="00A12983"/>
    <w:rsid w:val="00A130DC"/>
    <w:rsid w:val="00A1352A"/>
    <w:rsid w:val="00A14D11"/>
    <w:rsid w:val="00A15C81"/>
    <w:rsid w:val="00A20B1A"/>
    <w:rsid w:val="00A22A39"/>
    <w:rsid w:val="00A236CE"/>
    <w:rsid w:val="00A23B45"/>
    <w:rsid w:val="00A24656"/>
    <w:rsid w:val="00A24733"/>
    <w:rsid w:val="00A25115"/>
    <w:rsid w:val="00A41E5D"/>
    <w:rsid w:val="00A42CCA"/>
    <w:rsid w:val="00A44C6B"/>
    <w:rsid w:val="00A44EDC"/>
    <w:rsid w:val="00A45D70"/>
    <w:rsid w:val="00A50806"/>
    <w:rsid w:val="00A52C06"/>
    <w:rsid w:val="00A5326A"/>
    <w:rsid w:val="00A535FB"/>
    <w:rsid w:val="00A554E2"/>
    <w:rsid w:val="00A5689F"/>
    <w:rsid w:val="00A576E3"/>
    <w:rsid w:val="00A601EF"/>
    <w:rsid w:val="00A623B7"/>
    <w:rsid w:val="00A6374D"/>
    <w:rsid w:val="00A63DEA"/>
    <w:rsid w:val="00A65F43"/>
    <w:rsid w:val="00A72821"/>
    <w:rsid w:val="00A74959"/>
    <w:rsid w:val="00A80804"/>
    <w:rsid w:val="00A81F82"/>
    <w:rsid w:val="00A83C8B"/>
    <w:rsid w:val="00A841B0"/>
    <w:rsid w:val="00A84838"/>
    <w:rsid w:val="00A85A2B"/>
    <w:rsid w:val="00A90556"/>
    <w:rsid w:val="00A91C3A"/>
    <w:rsid w:val="00A93543"/>
    <w:rsid w:val="00A941D2"/>
    <w:rsid w:val="00A94EFC"/>
    <w:rsid w:val="00A97B73"/>
    <w:rsid w:val="00AA0363"/>
    <w:rsid w:val="00AA1681"/>
    <w:rsid w:val="00AA23F9"/>
    <w:rsid w:val="00AA2FA1"/>
    <w:rsid w:val="00AA51C1"/>
    <w:rsid w:val="00AA6156"/>
    <w:rsid w:val="00AA73AC"/>
    <w:rsid w:val="00AA7B77"/>
    <w:rsid w:val="00AB187A"/>
    <w:rsid w:val="00AB5095"/>
    <w:rsid w:val="00AB514A"/>
    <w:rsid w:val="00AC50E3"/>
    <w:rsid w:val="00AC53D0"/>
    <w:rsid w:val="00AC617C"/>
    <w:rsid w:val="00AD0212"/>
    <w:rsid w:val="00AD486C"/>
    <w:rsid w:val="00AD51C9"/>
    <w:rsid w:val="00AD6B0B"/>
    <w:rsid w:val="00AD70F8"/>
    <w:rsid w:val="00AE2A68"/>
    <w:rsid w:val="00AE3101"/>
    <w:rsid w:val="00AE4634"/>
    <w:rsid w:val="00AE513E"/>
    <w:rsid w:val="00AE7AA8"/>
    <w:rsid w:val="00AF00DD"/>
    <w:rsid w:val="00AF0A69"/>
    <w:rsid w:val="00AF0DF9"/>
    <w:rsid w:val="00AF376D"/>
    <w:rsid w:val="00AF4BE4"/>
    <w:rsid w:val="00AF6916"/>
    <w:rsid w:val="00B0002E"/>
    <w:rsid w:val="00B00DE1"/>
    <w:rsid w:val="00B03693"/>
    <w:rsid w:val="00B05754"/>
    <w:rsid w:val="00B05A6C"/>
    <w:rsid w:val="00B06819"/>
    <w:rsid w:val="00B06BD6"/>
    <w:rsid w:val="00B079EF"/>
    <w:rsid w:val="00B11CF2"/>
    <w:rsid w:val="00B11EA0"/>
    <w:rsid w:val="00B14305"/>
    <w:rsid w:val="00B17FDB"/>
    <w:rsid w:val="00B21BB1"/>
    <w:rsid w:val="00B220F2"/>
    <w:rsid w:val="00B22641"/>
    <w:rsid w:val="00B22A58"/>
    <w:rsid w:val="00B247EE"/>
    <w:rsid w:val="00B25D68"/>
    <w:rsid w:val="00B274E0"/>
    <w:rsid w:val="00B2777B"/>
    <w:rsid w:val="00B27FEB"/>
    <w:rsid w:val="00B32AD7"/>
    <w:rsid w:val="00B340C3"/>
    <w:rsid w:val="00B37847"/>
    <w:rsid w:val="00B37A30"/>
    <w:rsid w:val="00B42202"/>
    <w:rsid w:val="00B44F01"/>
    <w:rsid w:val="00B47419"/>
    <w:rsid w:val="00B50EFD"/>
    <w:rsid w:val="00B5383C"/>
    <w:rsid w:val="00B539FB"/>
    <w:rsid w:val="00B55AB5"/>
    <w:rsid w:val="00B569F1"/>
    <w:rsid w:val="00B56B6B"/>
    <w:rsid w:val="00B60D3F"/>
    <w:rsid w:val="00B634DF"/>
    <w:rsid w:val="00B6367E"/>
    <w:rsid w:val="00B63B06"/>
    <w:rsid w:val="00B66A28"/>
    <w:rsid w:val="00B66C37"/>
    <w:rsid w:val="00B66E81"/>
    <w:rsid w:val="00B67119"/>
    <w:rsid w:val="00B676D8"/>
    <w:rsid w:val="00B67F51"/>
    <w:rsid w:val="00B71675"/>
    <w:rsid w:val="00B71B62"/>
    <w:rsid w:val="00B71C3A"/>
    <w:rsid w:val="00B72167"/>
    <w:rsid w:val="00B7556A"/>
    <w:rsid w:val="00B75BC0"/>
    <w:rsid w:val="00B75EBD"/>
    <w:rsid w:val="00B760DB"/>
    <w:rsid w:val="00B7796D"/>
    <w:rsid w:val="00B77E1F"/>
    <w:rsid w:val="00B80B83"/>
    <w:rsid w:val="00B81A5A"/>
    <w:rsid w:val="00B82972"/>
    <w:rsid w:val="00B8575E"/>
    <w:rsid w:val="00B863A0"/>
    <w:rsid w:val="00B915D3"/>
    <w:rsid w:val="00B97362"/>
    <w:rsid w:val="00B979B2"/>
    <w:rsid w:val="00BA01AB"/>
    <w:rsid w:val="00BA1731"/>
    <w:rsid w:val="00BA29EF"/>
    <w:rsid w:val="00BA3306"/>
    <w:rsid w:val="00BA4D46"/>
    <w:rsid w:val="00BA53BA"/>
    <w:rsid w:val="00BA58F1"/>
    <w:rsid w:val="00BA605E"/>
    <w:rsid w:val="00BA73EE"/>
    <w:rsid w:val="00BB49D2"/>
    <w:rsid w:val="00BB4B2B"/>
    <w:rsid w:val="00BB7CA5"/>
    <w:rsid w:val="00BC591F"/>
    <w:rsid w:val="00BC5FFF"/>
    <w:rsid w:val="00BC7FCB"/>
    <w:rsid w:val="00BD03EC"/>
    <w:rsid w:val="00BD0793"/>
    <w:rsid w:val="00BD16DF"/>
    <w:rsid w:val="00BD2C89"/>
    <w:rsid w:val="00BD31C4"/>
    <w:rsid w:val="00BD76CF"/>
    <w:rsid w:val="00BE0710"/>
    <w:rsid w:val="00BE2BF4"/>
    <w:rsid w:val="00BE37AE"/>
    <w:rsid w:val="00BE3CAA"/>
    <w:rsid w:val="00BE3E5F"/>
    <w:rsid w:val="00BE44D7"/>
    <w:rsid w:val="00BE583A"/>
    <w:rsid w:val="00BE5C99"/>
    <w:rsid w:val="00BF249F"/>
    <w:rsid w:val="00BF2CFD"/>
    <w:rsid w:val="00BF3CD0"/>
    <w:rsid w:val="00BF735D"/>
    <w:rsid w:val="00BF7C13"/>
    <w:rsid w:val="00C02C1D"/>
    <w:rsid w:val="00C05372"/>
    <w:rsid w:val="00C05AC3"/>
    <w:rsid w:val="00C06418"/>
    <w:rsid w:val="00C070B9"/>
    <w:rsid w:val="00C070FD"/>
    <w:rsid w:val="00C07417"/>
    <w:rsid w:val="00C07BBA"/>
    <w:rsid w:val="00C104C2"/>
    <w:rsid w:val="00C11033"/>
    <w:rsid w:val="00C11832"/>
    <w:rsid w:val="00C12C7B"/>
    <w:rsid w:val="00C15419"/>
    <w:rsid w:val="00C23947"/>
    <w:rsid w:val="00C23FEA"/>
    <w:rsid w:val="00C2577C"/>
    <w:rsid w:val="00C27A55"/>
    <w:rsid w:val="00C317F3"/>
    <w:rsid w:val="00C36583"/>
    <w:rsid w:val="00C37939"/>
    <w:rsid w:val="00C425E6"/>
    <w:rsid w:val="00C436A4"/>
    <w:rsid w:val="00C44C37"/>
    <w:rsid w:val="00C46AE5"/>
    <w:rsid w:val="00C46C82"/>
    <w:rsid w:val="00C46E06"/>
    <w:rsid w:val="00C47324"/>
    <w:rsid w:val="00C47654"/>
    <w:rsid w:val="00C47DE4"/>
    <w:rsid w:val="00C50417"/>
    <w:rsid w:val="00C51335"/>
    <w:rsid w:val="00C51397"/>
    <w:rsid w:val="00C52ACF"/>
    <w:rsid w:val="00C56FA0"/>
    <w:rsid w:val="00C57E4D"/>
    <w:rsid w:val="00C62017"/>
    <w:rsid w:val="00C626E2"/>
    <w:rsid w:val="00C628C8"/>
    <w:rsid w:val="00C62F54"/>
    <w:rsid w:val="00C63503"/>
    <w:rsid w:val="00C651BA"/>
    <w:rsid w:val="00C66334"/>
    <w:rsid w:val="00C6772C"/>
    <w:rsid w:val="00C71DDC"/>
    <w:rsid w:val="00C722E0"/>
    <w:rsid w:val="00C727EE"/>
    <w:rsid w:val="00C738EC"/>
    <w:rsid w:val="00C745C7"/>
    <w:rsid w:val="00C7519E"/>
    <w:rsid w:val="00C75BB7"/>
    <w:rsid w:val="00C81A12"/>
    <w:rsid w:val="00C8305C"/>
    <w:rsid w:val="00C83980"/>
    <w:rsid w:val="00C840D6"/>
    <w:rsid w:val="00C846BE"/>
    <w:rsid w:val="00C864FF"/>
    <w:rsid w:val="00C86F58"/>
    <w:rsid w:val="00C87CD9"/>
    <w:rsid w:val="00C90ADE"/>
    <w:rsid w:val="00C929D3"/>
    <w:rsid w:val="00C94EFE"/>
    <w:rsid w:val="00C963DE"/>
    <w:rsid w:val="00CA0C26"/>
    <w:rsid w:val="00CA4190"/>
    <w:rsid w:val="00CA684C"/>
    <w:rsid w:val="00CA73F6"/>
    <w:rsid w:val="00CB024B"/>
    <w:rsid w:val="00CB07A8"/>
    <w:rsid w:val="00CB14A1"/>
    <w:rsid w:val="00CB2567"/>
    <w:rsid w:val="00CB4C8F"/>
    <w:rsid w:val="00CB5389"/>
    <w:rsid w:val="00CB56E5"/>
    <w:rsid w:val="00CB59AC"/>
    <w:rsid w:val="00CB78C8"/>
    <w:rsid w:val="00CC0CDC"/>
    <w:rsid w:val="00CC10E1"/>
    <w:rsid w:val="00CC3036"/>
    <w:rsid w:val="00CC3A85"/>
    <w:rsid w:val="00CC53DE"/>
    <w:rsid w:val="00CC7B83"/>
    <w:rsid w:val="00CD12E3"/>
    <w:rsid w:val="00CD1F07"/>
    <w:rsid w:val="00CD2117"/>
    <w:rsid w:val="00CD3183"/>
    <w:rsid w:val="00CD4EC3"/>
    <w:rsid w:val="00CD5F6D"/>
    <w:rsid w:val="00CD6327"/>
    <w:rsid w:val="00CD63C1"/>
    <w:rsid w:val="00CE0511"/>
    <w:rsid w:val="00CE2293"/>
    <w:rsid w:val="00CE2B78"/>
    <w:rsid w:val="00CE31D5"/>
    <w:rsid w:val="00CE427A"/>
    <w:rsid w:val="00CE7294"/>
    <w:rsid w:val="00CE74A3"/>
    <w:rsid w:val="00CF0BF9"/>
    <w:rsid w:val="00CF10A3"/>
    <w:rsid w:val="00CF2253"/>
    <w:rsid w:val="00CF2690"/>
    <w:rsid w:val="00D00A1F"/>
    <w:rsid w:val="00D0212C"/>
    <w:rsid w:val="00D02178"/>
    <w:rsid w:val="00D02443"/>
    <w:rsid w:val="00D0318F"/>
    <w:rsid w:val="00D03410"/>
    <w:rsid w:val="00D034DD"/>
    <w:rsid w:val="00D03D0C"/>
    <w:rsid w:val="00D04952"/>
    <w:rsid w:val="00D06A16"/>
    <w:rsid w:val="00D1078F"/>
    <w:rsid w:val="00D10E60"/>
    <w:rsid w:val="00D12CD2"/>
    <w:rsid w:val="00D13BEC"/>
    <w:rsid w:val="00D14D23"/>
    <w:rsid w:val="00D15D8B"/>
    <w:rsid w:val="00D17984"/>
    <w:rsid w:val="00D21E0A"/>
    <w:rsid w:val="00D224A6"/>
    <w:rsid w:val="00D233E4"/>
    <w:rsid w:val="00D24DAD"/>
    <w:rsid w:val="00D24E72"/>
    <w:rsid w:val="00D25916"/>
    <w:rsid w:val="00D25AF5"/>
    <w:rsid w:val="00D27206"/>
    <w:rsid w:val="00D322C0"/>
    <w:rsid w:val="00D329E6"/>
    <w:rsid w:val="00D33490"/>
    <w:rsid w:val="00D34B0E"/>
    <w:rsid w:val="00D35510"/>
    <w:rsid w:val="00D359F2"/>
    <w:rsid w:val="00D37315"/>
    <w:rsid w:val="00D37972"/>
    <w:rsid w:val="00D37A42"/>
    <w:rsid w:val="00D407F6"/>
    <w:rsid w:val="00D40896"/>
    <w:rsid w:val="00D41534"/>
    <w:rsid w:val="00D451FC"/>
    <w:rsid w:val="00D46C35"/>
    <w:rsid w:val="00D5059A"/>
    <w:rsid w:val="00D50A3D"/>
    <w:rsid w:val="00D50D56"/>
    <w:rsid w:val="00D52F7F"/>
    <w:rsid w:val="00D57C67"/>
    <w:rsid w:val="00D6301C"/>
    <w:rsid w:val="00D63C48"/>
    <w:rsid w:val="00D641BF"/>
    <w:rsid w:val="00D64289"/>
    <w:rsid w:val="00D643F2"/>
    <w:rsid w:val="00D64BB2"/>
    <w:rsid w:val="00D64C50"/>
    <w:rsid w:val="00D6667B"/>
    <w:rsid w:val="00D66D9A"/>
    <w:rsid w:val="00D67600"/>
    <w:rsid w:val="00D67AED"/>
    <w:rsid w:val="00D708A0"/>
    <w:rsid w:val="00D71400"/>
    <w:rsid w:val="00D717EB"/>
    <w:rsid w:val="00D72C23"/>
    <w:rsid w:val="00D80C47"/>
    <w:rsid w:val="00D81561"/>
    <w:rsid w:val="00D82D12"/>
    <w:rsid w:val="00D83614"/>
    <w:rsid w:val="00D8435D"/>
    <w:rsid w:val="00D8488D"/>
    <w:rsid w:val="00D84AF4"/>
    <w:rsid w:val="00D84CD2"/>
    <w:rsid w:val="00D87BBC"/>
    <w:rsid w:val="00D87DA1"/>
    <w:rsid w:val="00D9076B"/>
    <w:rsid w:val="00D91C2B"/>
    <w:rsid w:val="00D92670"/>
    <w:rsid w:val="00D93633"/>
    <w:rsid w:val="00D93D41"/>
    <w:rsid w:val="00D95394"/>
    <w:rsid w:val="00D96CEA"/>
    <w:rsid w:val="00D970E7"/>
    <w:rsid w:val="00DA032B"/>
    <w:rsid w:val="00DA0456"/>
    <w:rsid w:val="00DA0DB1"/>
    <w:rsid w:val="00DA269E"/>
    <w:rsid w:val="00DA3BE8"/>
    <w:rsid w:val="00DA55BB"/>
    <w:rsid w:val="00DA6325"/>
    <w:rsid w:val="00DA73EE"/>
    <w:rsid w:val="00DB66A2"/>
    <w:rsid w:val="00DC1393"/>
    <w:rsid w:val="00DC1743"/>
    <w:rsid w:val="00DC1F73"/>
    <w:rsid w:val="00DC34D0"/>
    <w:rsid w:val="00DC43BB"/>
    <w:rsid w:val="00DC44BD"/>
    <w:rsid w:val="00DC4CC9"/>
    <w:rsid w:val="00DC59BC"/>
    <w:rsid w:val="00DC5B9B"/>
    <w:rsid w:val="00DC7746"/>
    <w:rsid w:val="00DC7C13"/>
    <w:rsid w:val="00DD135F"/>
    <w:rsid w:val="00DD3049"/>
    <w:rsid w:val="00DD3547"/>
    <w:rsid w:val="00DD7305"/>
    <w:rsid w:val="00DE30E2"/>
    <w:rsid w:val="00DE3A9A"/>
    <w:rsid w:val="00DE4146"/>
    <w:rsid w:val="00DE5C25"/>
    <w:rsid w:val="00DE6421"/>
    <w:rsid w:val="00DF16C0"/>
    <w:rsid w:val="00DF4801"/>
    <w:rsid w:val="00DF548B"/>
    <w:rsid w:val="00E000A7"/>
    <w:rsid w:val="00E05FBC"/>
    <w:rsid w:val="00E069C1"/>
    <w:rsid w:val="00E06BB0"/>
    <w:rsid w:val="00E10B7D"/>
    <w:rsid w:val="00E1122E"/>
    <w:rsid w:val="00E128F7"/>
    <w:rsid w:val="00E163CB"/>
    <w:rsid w:val="00E20AB3"/>
    <w:rsid w:val="00E227EA"/>
    <w:rsid w:val="00E23660"/>
    <w:rsid w:val="00E23EEA"/>
    <w:rsid w:val="00E24A76"/>
    <w:rsid w:val="00E26F28"/>
    <w:rsid w:val="00E270A1"/>
    <w:rsid w:val="00E2761D"/>
    <w:rsid w:val="00E31A1E"/>
    <w:rsid w:val="00E33283"/>
    <w:rsid w:val="00E3365F"/>
    <w:rsid w:val="00E3370D"/>
    <w:rsid w:val="00E34484"/>
    <w:rsid w:val="00E34E37"/>
    <w:rsid w:val="00E36850"/>
    <w:rsid w:val="00E36BCD"/>
    <w:rsid w:val="00E37424"/>
    <w:rsid w:val="00E4041E"/>
    <w:rsid w:val="00E41293"/>
    <w:rsid w:val="00E431C7"/>
    <w:rsid w:val="00E45180"/>
    <w:rsid w:val="00E45305"/>
    <w:rsid w:val="00E4634C"/>
    <w:rsid w:val="00E464C9"/>
    <w:rsid w:val="00E46AC9"/>
    <w:rsid w:val="00E506F8"/>
    <w:rsid w:val="00E521FE"/>
    <w:rsid w:val="00E53DB6"/>
    <w:rsid w:val="00E54FB3"/>
    <w:rsid w:val="00E55904"/>
    <w:rsid w:val="00E55E72"/>
    <w:rsid w:val="00E5774D"/>
    <w:rsid w:val="00E62126"/>
    <w:rsid w:val="00E622C3"/>
    <w:rsid w:val="00E66614"/>
    <w:rsid w:val="00E713E4"/>
    <w:rsid w:val="00E71B6B"/>
    <w:rsid w:val="00E722B8"/>
    <w:rsid w:val="00E72332"/>
    <w:rsid w:val="00E733B8"/>
    <w:rsid w:val="00E773DF"/>
    <w:rsid w:val="00E803E6"/>
    <w:rsid w:val="00E80D20"/>
    <w:rsid w:val="00E81568"/>
    <w:rsid w:val="00E8269B"/>
    <w:rsid w:val="00E85D75"/>
    <w:rsid w:val="00E86DE5"/>
    <w:rsid w:val="00E915EA"/>
    <w:rsid w:val="00E930FA"/>
    <w:rsid w:val="00EA03BF"/>
    <w:rsid w:val="00EA1B29"/>
    <w:rsid w:val="00EA239B"/>
    <w:rsid w:val="00EA4C04"/>
    <w:rsid w:val="00EA615E"/>
    <w:rsid w:val="00EA66E6"/>
    <w:rsid w:val="00EA6D94"/>
    <w:rsid w:val="00EA762F"/>
    <w:rsid w:val="00EB37E7"/>
    <w:rsid w:val="00EB3F3E"/>
    <w:rsid w:val="00EB426B"/>
    <w:rsid w:val="00EB466A"/>
    <w:rsid w:val="00EB5E6D"/>
    <w:rsid w:val="00EC3A01"/>
    <w:rsid w:val="00EC7C64"/>
    <w:rsid w:val="00ED0C71"/>
    <w:rsid w:val="00ED2BEA"/>
    <w:rsid w:val="00ED400B"/>
    <w:rsid w:val="00ED5468"/>
    <w:rsid w:val="00ED5B07"/>
    <w:rsid w:val="00ED6B82"/>
    <w:rsid w:val="00EE1044"/>
    <w:rsid w:val="00EE29D2"/>
    <w:rsid w:val="00EE360D"/>
    <w:rsid w:val="00EF0B7C"/>
    <w:rsid w:val="00EF300A"/>
    <w:rsid w:val="00EF313C"/>
    <w:rsid w:val="00EF3278"/>
    <w:rsid w:val="00EF50A5"/>
    <w:rsid w:val="00EF6598"/>
    <w:rsid w:val="00EF75F9"/>
    <w:rsid w:val="00F0366D"/>
    <w:rsid w:val="00F049EC"/>
    <w:rsid w:val="00F05E49"/>
    <w:rsid w:val="00F074C6"/>
    <w:rsid w:val="00F11D1C"/>
    <w:rsid w:val="00F12483"/>
    <w:rsid w:val="00F154BE"/>
    <w:rsid w:val="00F15B83"/>
    <w:rsid w:val="00F20C67"/>
    <w:rsid w:val="00F223F5"/>
    <w:rsid w:val="00F22D5E"/>
    <w:rsid w:val="00F26B4B"/>
    <w:rsid w:val="00F2706C"/>
    <w:rsid w:val="00F27B67"/>
    <w:rsid w:val="00F3094A"/>
    <w:rsid w:val="00F30A1D"/>
    <w:rsid w:val="00F30D2A"/>
    <w:rsid w:val="00F315D3"/>
    <w:rsid w:val="00F31861"/>
    <w:rsid w:val="00F31A04"/>
    <w:rsid w:val="00F322A9"/>
    <w:rsid w:val="00F32D23"/>
    <w:rsid w:val="00F33886"/>
    <w:rsid w:val="00F34705"/>
    <w:rsid w:val="00F350D3"/>
    <w:rsid w:val="00F3598F"/>
    <w:rsid w:val="00F35A81"/>
    <w:rsid w:val="00F37D36"/>
    <w:rsid w:val="00F417DD"/>
    <w:rsid w:val="00F419C5"/>
    <w:rsid w:val="00F429F9"/>
    <w:rsid w:val="00F44EFB"/>
    <w:rsid w:val="00F509E5"/>
    <w:rsid w:val="00F5173C"/>
    <w:rsid w:val="00F54CAD"/>
    <w:rsid w:val="00F56314"/>
    <w:rsid w:val="00F56406"/>
    <w:rsid w:val="00F61A42"/>
    <w:rsid w:val="00F62B55"/>
    <w:rsid w:val="00F63AF5"/>
    <w:rsid w:val="00F71B3D"/>
    <w:rsid w:val="00F72B42"/>
    <w:rsid w:val="00F733F3"/>
    <w:rsid w:val="00F73A39"/>
    <w:rsid w:val="00F73E9F"/>
    <w:rsid w:val="00F75D3A"/>
    <w:rsid w:val="00F80139"/>
    <w:rsid w:val="00F813AE"/>
    <w:rsid w:val="00F83465"/>
    <w:rsid w:val="00F83C37"/>
    <w:rsid w:val="00F8445E"/>
    <w:rsid w:val="00F87C31"/>
    <w:rsid w:val="00F9085C"/>
    <w:rsid w:val="00F9212E"/>
    <w:rsid w:val="00F92A9E"/>
    <w:rsid w:val="00F96511"/>
    <w:rsid w:val="00F9783F"/>
    <w:rsid w:val="00F97A90"/>
    <w:rsid w:val="00FA0329"/>
    <w:rsid w:val="00FA38FD"/>
    <w:rsid w:val="00FA66D9"/>
    <w:rsid w:val="00FB0EA3"/>
    <w:rsid w:val="00FB1F79"/>
    <w:rsid w:val="00FB2E74"/>
    <w:rsid w:val="00FB366A"/>
    <w:rsid w:val="00FB57DB"/>
    <w:rsid w:val="00FB6238"/>
    <w:rsid w:val="00FC06E3"/>
    <w:rsid w:val="00FC0FFC"/>
    <w:rsid w:val="00FC22AB"/>
    <w:rsid w:val="00FC3310"/>
    <w:rsid w:val="00FC4EC8"/>
    <w:rsid w:val="00FC5797"/>
    <w:rsid w:val="00FC594B"/>
    <w:rsid w:val="00FD0DA5"/>
    <w:rsid w:val="00FD1DCF"/>
    <w:rsid w:val="00FD512B"/>
    <w:rsid w:val="00FD65A9"/>
    <w:rsid w:val="00FD6A72"/>
    <w:rsid w:val="00FD7841"/>
    <w:rsid w:val="00FE1C01"/>
    <w:rsid w:val="00FE2431"/>
    <w:rsid w:val="00FE4C58"/>
    <w:rsid w:val="00FE547C"/>
    <w:rsid w:val="00FE6746"/>
    <w:rsid w:val="00FF1FF7"/>
    <w:rsid w:val="00FF2550"/>
    <w:rsid w:val="00FF2A96"/>
    <w:rsid w:val="00FF3510"/>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CC7"/>
    <w:pPr>
      <w:spacing w:after="0" w:line="240" w:lineRule="auto"/>
    </w:pPr>
    <w:rPr>
      <w:sz w:val="24"/>
    </w:rPr>
  </w:style>
  <w:style w:type="paragraph" w:styleId="Heading1">
    <w:name w:val="heading 1"/>
    <w:basedOn w:val="Normal"/>
    <w:next w:val="Normal"/>
    <w:link w:val="Heading1Char"/>
    <w:qFormat/>
    <w:rsid w:val="000A734B"/>
    <w:pPr>
      <w:keepNext/>
      <w:keepLines/>
      <w:numPr>
        <w:numId w:val="1"/>
      </w:numPr>
      <w:spacing w:before="240" w:after="120"/>
      <w:ind w:left="567" w:hanging="567"/>
      <w:jc w:val="both"/>
      <w:outlineLvl w:val="0"/>
    </w:pPr>
    <w:rPr>
      <w:rFonts w:eastAsiaTheme="majorEastAsia" w:cstheme="majorBidi"/>
      <w:b/>
      <w:color w:val="000000" w:themeColor="text1"/>
      <w:sz w:val="32"/>
      <w:szCs w:val="28"/>
    </w:rPr>
  </w:style>
  <w:style w:type="paragraph" w:styleId="Heading2">
    <w:name w:val="heading 2"/>
    <w:basedOn w:val="Normal"/>
    <w:next w:val="Normal"/>
    <w:link w:val="Heading2Char"/>
    <w:unhideWhenUsed/>
    <w:qFormat/>
    <w:rsid w:val="000A734B"/>
    <w:pPr>
      <w:widowControl w:val="0"/>
      <w:spacing w:before="240" w:after="120"/>
      <w:jc w:val="both"/>
      <w:outlineLvl w:val="1"/>
    </w:pPr>
    <w:rPr>
      <w:rFonts w:cs="Arial"/>
      <w:b/>
      <w:bCs/>
      <w:i/>
      <w:snapToGrid w:val="0"/>
      <w:sz w:val="28"/>
      <w:szCs w:val="28"/>
    </w:rPr>
  </w:style>
  <w:style w:type="paragraph" w:styleId="Heading3">
    <w:name w:val="heading 3"/>
    <w:basedOn w:val="Normal"/>
    <w:next w:val="Normal"/>
    <w:link w:val="Heading3Char"/>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nhideWhenUsed/>
    <w:qFormat/>
    <w:rsid w:val="00624315"/>
    <w:pPr>
      <w:outlineLvl w:val="3"/>
    </w:pPr>
  </w:style>
  <w:style w:type="paragraph" w:styleId="Heading5">
    <w:name w:val="heading 5"/>
    <w:aliases w:val="Heading 2 - Body"/>
    <w:basedOn w:val="Heading2"/>
    <w:next w:val="Normal"/>
    <w:link w:val="Heading5Char"/>
    <w:unhideWhenUsed/>
    <w:qFormat/>
    <w:rsid w:val="003B095E"/>
    <w:pPr>
      <w:outlineLvl w:val="4"/>
    </w:pPr>
  </w:style>
  <w:style w:type="paragraph" w:styleId="Heading6">
    <w:name w:val="heading 6"/>
    <w:aliases w:val="Heading 3 - Body"/>
    <w:basedOn w:val="Heading3"/>
    <w:next w:val="Normal"/>
    <w:link w:val="Heading6Char"/>
    <w:unhideWhenUsed/>
    <w:qFormat/>
    <w:rsid w:val="00624315"/>
    <w:pPr>
      <w:outlineLvl w:val="5"/>
    </w:pPr>
    <w:rPr>
      <w:sz w:val="24"/>
    </w:rPr>
  </w:style>
  <w:style w:type="paragraph" w:styleId="Heading7">
    <w:name w:val="heading 7"/>
    <w:basedOn w:val="Heading1"/>
    <w:next w:val="Normal"/>
    <w:link w:val="Heading7Char"/>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nhideWhenUsed/>
    <w:qFormat/>
    <w:rsid w:val="002B5D7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34B"/>
    <w:rPr>
      <w:rFonts w:eastAsiaTheme="majorEastAsia" w:cstheme="majorBidi"/>
      <w:b/>
      <w:color w:val="000000" w:themeColor="text1"/>
      <w:sz w:val="32"/>
      <w:szCs w:val="28"/>
    </w:rPr>
  </w:style>
  <w:style w:type="character" w:customStyle="1" w:styleId="Heading2Char">
    <w:name w:val="Heading 2 Char"/>
    <w:basedOn w:val="DefaultParagraphFont"/>
    <w:link w:val="Heading2"/>
    <w:rsid w:val="000A734B"/>
    <w:rPr>
      <w:rFonts w:cs="Arial"/>
      <w:b/>
      <w:bCs/>
      <w:i/>
      <w:snapToGrid w:val="0"/>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Numbered para,Bullet1,Bullet 1,Bulleted - 2,1. Bullet Blank,Footnote,Bullet point,List Paragraph1,List Paragraph11,Recommendation,Section heading"/>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9"/>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rsid w:val="00472D4D"/>
    <w:rPr>
      <w:rFonts w:eastAsiaTheme="majorEastAsia" w:cstheme="majorBidi"/>
      <w:b/>
      <w:i/>
      <w:sz w:val="24"/>
      <w:szCs w:val="24"/>
    </w:rPr>
  </w:style>
  <w:style w:type="character" w:customStyle="1" w:styleId="Heading8Char">
    <w:name w:val="Heading 8 Char"/>
    <w:basedOn w:val="DefaultParagraphFont"/>
    <w:link w:val="Heading8"/>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A6CAB"/>
    <w:pPr>
      <w:spacing w:after="0" w:line="240" w:lineRule="auto"/>
    </w:pPr>
    <w:rPr>
      <w:rFonts w:ascii="Arial Narrow" w:hAnsi="Arial Narrow"/>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Narrow" w:hAnsi="Arial Narrow"/>
        <w:b/>
        <w:sz w:val="20"/>
      </w:rPr>
      <w:tblPr/>
      <w:tcPr>
        <w:vAlign w:val="center"/>
      </w:tcPr>
    </w:tblStylePr>
    <w:tblStylePr w:type="firstCol">
      <w:pPr>
        <w:wordWrap/>
        <w:spacing w:beforeLines="0" w:before="0" w:beforeAutospacing="0" w:afterLines="0" w:after="0" w:afterAutospacing="0"/>
        <w:ind w:leftChars="0" w:left="0" w:rightChars="0" w:right="0"/>
        <w:jc w:val="left"/>
      </w:pPr>
      <w:rPr>
        <w:rFonts w:ascii="Arial Narrow" w:hAnsi="Arial Narrow"/>
        <w:b w:val="0"/>
        <w:sz w:val="20"/>
      </w:rPr>
      <w:tblPr/>
      <w:tcPr>
        <w:vAlign w:val="center"/>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2"/>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8329D7"/>
    <w:pPr>
      <w:keepNext/>
      <w:jc w:val="center"/>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nhideWhenUsed/>
    <w:rsid w:val="00BA3306"/>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nhideWhenUsed/>
    <w:rsid w:val="004619BB"/>
    <w:rPr>
      <w:b/>
      <w:bCs/>
    </w:rPr>
  </w:style>
  <w:style w:type="character" w:customStyle="1" w:styleId="CommentSubjectChar">
    <w:name w:val="Comment Subject Char"/>
    <w:basedOn w:val="CommentTextChar"/>
    <w:link w:val="CommentSubject"/>
    <w:rsid w:val="004619BB"/>
    <w:rPr>
      <w:b/>
      <w:bCs/>
      <w:sz w:val="20"/>
      <w:szCs w:val="20"/>
    </w:rPr>
  </w:style>
  <w:style w:type="paragraph" w:styleId="BalloonText">
    <w:name w:val="Balloon Text"/>
    <w:basedOn w:val="Normal"/>
    <w:link w:val="BalloonTextChar"/>
    <w:unhideWhenUsed/>
    <w:rsid w:val="004619BB"/>
    <w:rPr>
      <w:rFonts w:ascii="Segoe UI" w:hAnsi="Segoe UI" w:cs="Segoe UI"/>
      <w:sz w:val="18"/>
      <w:szCs w:val="18"/>
    </w:rPr>
  </w:style>
  <w:style w:type="character" w:customStyle="1" w:styleId="BalloonTextChar">
    <w:name w:val="Balloon Text Char"/>
    <w:basedOn w:val="DefaultParagraphFont"/>
    <w:link w:val="BalloonText"/>
    <w:rsid w:val="004619BB"/>
    <w:rPr>
      <w:rFonts w:ascii="Segoe UI" w:hAnsi="Segoe UI" w:cs="Segoe UI"/>
      <w:sz w:val="18"/>
      <w:szCs w:val="18"/>
    </w:rPr>
  </w:style>
  <w:style w:type="paragraph" w:customStyle="1" w:styleId="TableHeading0">
    <w:name w:val="Table Heading"/>
    <w:basedOn w:val="Normal"/>
    <w:link w:val="TableHeadingChar"/>
    <w:qFormat/>
    <w:rsid w:val="008329D7"/>
    <w:pPr>
      <w:keepNext/>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2"/>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8329D7"/>
    <w:pPr>
      <w:widowControl w:val="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8329D7"/>
    <w:rPr>
      <w:rFonts w:ascii="Arial Narrow" w:eastAsia="Times New Roman" w:hAnsi="Arial Narrow" w:cs="Arial"/>
      <w:snapToGrid w:val="0"/>
      <w:sz w:val="18"/>
      <w:szCs w:val="20"/>
    </w:rPr>
  </w:style>
  <w:style w:type="paragraph" w:customStyle="1" w:styleId="TableNotes">
    <w:name w:val="TableNotes"/>
    <w:basedOn w:val="Normal"/>
    <w:uiPriority w:val="98"/>
    <w:qFormat/>
    <w:rsid w:val="00C317F3"/>
    <w:pPr>
      <w:spacing w:after="60"/>
    </w:pPr>
    <w:rPr>
      <w:sz w:val="20"/>
    </w:rPr>
  </w:style>
  <w:style w:type="paragraph" w:customStyle="1" w:styleId="oldTablefooter">
    <w:name w:val="old Table footer"/>
    <w:basedOn w:val="Normal"/>
    <w:link w:val="oldTablefooterChar"/>
    <w:qFormat/>
    <w:rsid w:val="00C317F3"/>
    <w:pPr>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C53DE"/>
    <w:pPr>
      <w:ind w:left="720" w:hanging="720"/>
      <w:outlineLvl w:val="0"/>
    </w:pPr>
    <w:rPr>
      <w:b/>
      <w:color w:val="000000" w:themeColor="text1"/>
      <w:sz w:val="36"/>
      <w:szCs w:val="36"/>
    </w:rPr>
  </w:style>
  <w:style w:type="character" w:customStyle="1" w:styleId="TitleChar">
    <w:name w:val="Title Char"/>
    <w:basedOn w:val="DefaultParagraphFont"/>
    <w:link w:val="Title"/>
    <w:rsid w:val="00CC53DE"/>
    <w:rPr>
      <w:b/>
      <w:color w:val="000000" w:themeColor="text1"/>
      <w:sz w:val="36"/>
      <w:szCs w:val="36"/>
    </w:rPr>
  </w:style>
  <w:style w:type="paragraph" w:styleId="BodyText">
    <w:name w:val="Body Text"/>
    <w:basedOn w:val="Normal"/>
    <w:link w:val="BodyTextChar"/>
    <w:qFormat/>
    <w:rsid w:val="00C317F3"/>
    <w:pPr>
      <w:widowControl w:val="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rsid w:val="00C317F3"/>
    <w:rPr>
      <w:b/>
    </w:rPr>
  </w:style>
  <w:style w:type="character" w:customStyle="1" w:styleId="RegularTextChar">
    <w:name w:val="Regular Text Char"/>
    <w:basedOn w:val="BodyTextChar"/>
    <w:link w:val="RegularText"/>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ind w:left="440"/>
    </w:pPr>
    <w:rPr>
      <w:rFonts w:eastAsia="Times New Roman" w:cs="Arial"/>
      <w:snapToGrid w:val="0"/>
      <w:sz w:val="20"/>
      <w:szCs w:val="20"/>
    </w:rPr>
  </w:style>
  <w:style w:type="paragraph" w:styleId="BodyText3">
    <w:name w:val="Body Text 3"/>
    <w:basedOn w:val="Normal"/>
    <w:link w:val="BodyText3Char"/>
    <w:rsid w:val="00C317F3"/>
    <w:pPr>
      <w:widowControl w:val="0"/>
      <w:spacing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rsid w:val="00C317F3"/>
    <w:rPr>
      <w:rFonts w:ascii="Arial" w:eastAsia="Times New Roman" w:hAnsi="Arial" w:cs="Arial"/>
      <w:snapToGrid w:val="0"/>
      <w:sz w:val="16"/>
      <w:szCs w:val="16"/>
    </w:rPr>
  </w:style>
  <w:style w:type="paragraph" w:styleId="TOC4">
    <w:name w:val="toc 4"/>
    <w:basedOn w:val="Normal"/>
    <w:next w:val="Normal"/>
    <w:autoRedefine/>
    <w:rsid w:val="00C317F3"/>
    <w:pPr>
      <w:widowControl w:val="0"/>
      <w:ind w:left="660"/>
    </w:pPr>
    <w:rPr>
      <w:rFonts w:eastAsia="Times New Roman" w:cs="Arial"/>
      <w:snapToGrid w:val="0"/>
      <w:sz w:val="20"/>
      <w:szCs w:val="20"/>
    </w:rPr>
  </w:style>
  <w:style w:type="paragraph" w:styleId="TOC5">
    <w:name w:val="toc 5"/>
    <w:basedOn w:val="Normal"/>
    <w:next w:val="Normal"/>
    <w:autoRedefine/>
    <w:rsid w:val="00C317F3"/>
    <w:pPr>
      <w:widowControl w:val="0"/>
      <w:ind w:left="880"/>
    </w:pPr>
    <w:rPr>
      <w:rFonts w:eastAsia="Times New Roman" w:cs="Arial"/>
      <w:snapToGrid w:val="0"/>
      <w:sz w:val="20"/>
      <w:szCs w:val="20"/>
    </w:rPr>
  </w:style>
  <w:style w:type="paragraph" w:styleId="TOC6">
    <w:name w:val="toc 6"/>
    <w:basedOn w:val="Normal"/>
    <w:next w:val="Normal"/>
    <w:autoRedefine/>
    <w:rsid w:val="00C317F3"/>
    <w:pPr>
      <w:widowControl w:val="0"/>
      <w:ind w:left="1100"/>
    </w:pPr>
    <w:rPr>
      <w:rFonts w:eastAsia="Times New Roman" w:cs="Arial"/>
      <w:snapToGrid w:val="0"/>
      <w:sz w:val="20"/>
      <w:szCs w:val="20"/>
    </w:rPr>
  </w:style>
  <w:style w:type="paragraph" w:styleId="TOC7">
    <w:name w:val="toc 7"/>
    <w:basedOn w:val="Normal"/>
    <w:next w:val="Normal"/>
    <w:autoRedefine/>
    <w:rsid w:val="00C317F3"/>
    <w:pPr>
      <w:widowControl w:val="0"/>
      <w:ind w:left="1320"/>
    </w:pPr>
    <w:rPr>
      <w:rFonts w:eastAsia="Times New Roman" w:cs="Arial"/>
      <w:snapToGrid w:val="0"/>
      <w:sz w:val="20"/>
      <w:szCs w:val="20"/>
    </w:rPr>
  </w:style>
  <w:style w:type="paragraph" w:styleId="TOC8">
    <w:name w:val="toc 8"/>
    <w:basedOn w:val="Normal"/>
    <w:next w:val="Normal"/>
    <w:autoRedefine/>
    <w:rsid w:val="00C317F3"/>
    <w:pPr>
      <w:widowControl w:val="0"/>
      <w:ind w:left="1540"/>
    </w:pPr>
    <w:rPr>
      <w:rFonts w:eastAsia="Times New Roman" w:cs="Arial"/>
      <w:snapToGrid w:val="0"/>
      <w:sz w:val="20"/>
      <w:szCs w:val="20"/>
    </w:rPr>
  </w:style>
  <w:style w:type="paragraph" w:styleId="TOC9">
    <w:name w:val="toc 9"/>
    <w:basedOn w:val="Normal"/>
    <w:next w:val="Normal"/>
    <w:autoRedefine/>
    <w:rsid w:val="00C317F3"/>
    <w:pPr>
      <w:widowControl w:val="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1"/>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rsid w:val="00C317F3"/>
    <w:pPr>
      <w:keepNext w:val="0"/>
      <w:keepLines/>
      <w:spacing w:before="0" w:after="360"/>
      <w:ind w:left="720"/>
    </w:pPr>
    <w:rPr>
      <w:sz w:val="18"/>
      <w:szCs w:val="18"/>
    </w:rPr>
  </w:style>
  <w:style w:type="paragraph" w:customStyle="1" w:styleId="TableNotes0">
    <w:name w:val="TableNotes+0"/>
    <w:basedOn w:val="TableNotes18"/>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C317F3"/>
    <w:pPr>
      <w:widowControl w:val="0"/>
      <w:spacing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rsid w:val="00C317F3"/>
    <w:rPr>
      <w:rFonts w:ascii="Arial" w:eastAsia="Times New Roman" w:hAnsi="Arial" w:cs="Arial"/>
      <w:snapToGrid w:val="0"/>
      <w:szCs w:val="20"/>
    </w:rPr>
  </w:style>
  <w:style w:type="paragraph" w:customStyle="1" w:styleId="Char1CharCharChar">
    <w:name w:val="Char1 Char Char Char"/>
    <w:basedOn w:val="Normal"/>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rsid w:val="00C317F3"/>
  </w:style>
  <w:style w:type="paragraph" w:styleId="Subtitle">
    <w:name w:val="Subtitle"/>
    <w:basedOn w:val="Normal"/>
    <w:link w:val="SubtitleChar"/>
    <w:qFormat/>
    <w:rsid w:val="00C317F3"/>
    <w:pPr>
      <w:jc w:val="both"/>
    </w:pPr>
    <w:rPr>
      <w:sz w:val="22"/>
    </w:rPr>
  </w:style>
  <w:style w:type="character" w:customStyle="1" w:styleId="SubtitleChar1">
    <w:name w:val="Subtitle Char1"/>
    <w:basedOn w:val="DefaultParagraphFont"/>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Numbered para Char,Bullet1 Char,Bullet 1 Char,Bulleted - 2 Char,1. Bullet Blank Char,Footnote Char,Bullet point Char,List Paragraph1 Char,List Paragraph11 Char,Recommendation Char,Section heading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semiHidden/>
    <w:unhideWhenUsed/>
    <w:rsid w:val="00177893"/>
    <w:rPr>
      <w:color w:val="954F72" w:themeColor="followedHyperlink"/>
      <w:u w:val="single"/>
    </w:rPr>
  </w:style>
  <w:style w:type="paragraph" w:customStyle="1" w:styleId="BulletLast">
    <w:name w:val="Bullet Last"/>
    <w:basedOn w:val="Normal"/>
    <w:qFormat/>
    <w:rsid w:val="00E46AC9"/>
    <w:pPr>
      <w:numPr>
        <w:numId w:val="10"/>
      </w:numPr>
      <w:spacing w:after="240"/>
      <w:ind w:left="357" w:hanging="357"/>
    </w:pPr>
    <w:rPr>
      <w:sz w:val="22"/>
    </w:rPr>
  </w:style>
  <w:style w:type="paragraph" w:customStyle="1" w:styleId="TableFigNote">
    <w:name w:val="TableFigNote"/>
    <w:basedOn w:val="Normal"/>
    <w:qFormat/>
    <w:rsid w:val="00576ADE"/>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after="120"/>
      <w:ind w:left="720" w:hanging="720"/>
      <w:jc w:val="both"/>
    </w:pPr>
    <w:rPr>
      <w:rFonts w:ascii="Calibri" w:hAnsi="Calibri"/>
    </w:rPr>
  </w:style>
  <w:style w:type="table" w:customStyle="1" w:styleId="PlainTable51">
    <w:name w:val="Plain Table 51"/>
    <w:basedOn w:val="TableNormal"/>
    <w:uiPriority w:val="45"/>
    <w:rsid w:val="00492E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HeadingRow">
    <w:name w:val="TableHeadingRow"/>
    <w:basedOn w:val="Normal"/>
    <w:uiPriority w:val="3"/>
    <w:qFormat/>
    <w:rsid w:val="003560FE"/>
    <w:pPr>
      <w:keepNext/>
      <w:spacing w:before="20" w:after="20"/>
      <w:jc w:val="both"/>
    </w:pPr>
    <w:rPr>
      <w:rFonts w:ascii="Calibri" w:eastAsia="Times New Roman" w:hAnsi="Calibri" w:cstheme="minorHAnsi"/>
      <w:b/>
      <w:sz w:val="20"/>
      <w:szCs w:val="20"/>
    </w:rPr>
  </w:style>
  <w:style w:type="character" w:customStyle="1" w:styleId="TableTextChar1">
    <w:name w:val="TableText Char"/>
    <w:basedOn w:val="DefaultParagraphFont"/>
    <w:link w:val="TableText1"/>
    <w:uiPriority w:val="3"/>
    <w:rsid w:val="0005503F"/>
    <w:rPr>
      <w:rFonts w:ascii="Arial Narrow" w:eastAsia="Times New Roman" w:hAnsi="Arial Narrow" w:cs="Arial Narrow"/>
      <w:sz w:val="20"/>
      <w:szCs w:val="20"/>
    </w:rPr>
  </w:style>
  <w:style w:type="paragraph" w:customStyle="1" w:styleId="PortraitHeader">
    <w:name w:val="Portrait Header"/>
    <w:basedOn w:val="Normal"/>
    <w:link w:val="PortraitHeaderChar"/>
    <w:uiPriority w:val="5"/>
    <w:qFormat/>
    <w:rsid w:val="00AA0363"/>
    <w:pPr>
      <w:pBdr>
        <w:bottom w:val="single" w:sz="4" w:space="1" w:color="auto"/>
      </w:pBdr>
      <w:tabs>
        <w:tab w:val="right" w:pos="9354"/>
      </w:tabs>
      <w:spacing w:after="240" w:line="288" w:lineRule="auto"/>
      <w:jc w:val="both"/>
    </w:pPr>
    <w:rPr>
      <w:rFonts w:ascii="Calibri" w:eastAsiaTheme="minorEastAsia" w:hAnsi="Calibri"/>
      <w:sz w:val="18"/>
      <w:szCs w:val="18"/>
      <w:lang w:eastAsia="zh-CN"/>
    </w:rPr>
  </w:style>
  <w:style w:type="character" w:customStyle="1" w:styleId="PortraitHeaderChar">
    <w:name w:val="Portrait Header Char"/>
    <w:basedOn w:val="DefaultParagraphFont"/>
    <w:link w:val="PortraitHeader"/>
    <w:uiPriority w:val="5"/>
    <w:rsid w:val="00AA0363"/>
    <w:rPr>
      <w:rFonts w:ascii="Calibri" w:eastAsiaTheme="minorEastAsia" w:hAnsi="Calibri"/>
      <w:sz w:val="18"/>
      <w:szCs w:val="18"/>
      <w:lang w:eastAsia="zh-CN"/>
    </w:rPr>
  </w:style>
  <w:style w:type="table" w:customStyle="1" w:styleId="Summarybox1">
    <w:name w:val="Summary box1"/>
    <w:basedOn w:val="TableNormal"/>
    <w:next w:val="TableGrid"/>
    <w:uiPriority w:val="59"/>
    <w:rsid w:val="00CF10A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locked/>
    <w:rsid w:val="003F7553"/>
    <w:rPr>
      <w:rFonts w:ascii="Arial Narrow" w:hAnsi="Arial Narrow"/>
      <w:sz w:val="20"/>
    </w:rPr>
  </w:style>
  <w:style w:type="character" w:customStyle="1" w:styleId="TableHeadingChar">
    <w:name w:val="Table Heading Char"/>
    <w:link w:val="TableHeading0"/>
    <w:rsid w:val="00473815"/>
    <w:rPr>
      <w:rFonts w:ascii="Arial Narrow" w:hAnsi="Arial Narrow"/>
      <w:b/>
      <w:sz w:val="20"/>
    </w:rPr>
  </w:style>
  <w:style w:type="table" w:customStyle="1" w:styleId="TableGridbeth5">
    <w:name w:val="Table Gridbeth5"/>
    <w:basedOn w:val="TableNormal"/>
    <w:next w:val="TableGrid"/>
    <w:uiPriority w:val="59"/>
    <w:rsid w:val="00123082"/>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Bulletpoints">
    <w:name w:val="Bullet points"/>
    <w:basedOn w:val="ListParagraph"/>
    <w:qFormat/>
    <w:rsid w:val="001F6727"/>
    <w:pPr>
      <w:widowControl w:val="0"/>
      <w:numPr>
        <w:numId w:val="17"/>
      </w:numPr>
      <w:ind w:left="425" w:hanging="425"/>
      <w:jc w:val="both"/>
    </w:pPr>
    <w:rPr>
      <w:rFonts w:ascii="Calibri" w:eastAsia="Times New Roman" w:hAnsi="Calibri" w:cs="Arial"/>
      <w:snapToGrid w:val="0"/>
      <w:szCs w:val="24"/>
    </w:rPr>
  </w:style>
  <w:style w:type="character" w:styleId="PageNumber">
    <w:name w:val="page number"/>
    <w:basedOn w:val="DefaultParagraphFont"/>
    <w:semiHidden/>
    <w:unhideWhenUsed/>
    <w:rsid w:val="001F6727"/>
  </w:style>
  <w:style w:type="paragraph" w:customStyle="1" w:styleId="Commentitalics">
    <w:name w:val="Comment (italics)"/>
    <w:basedOn w:val="Normal"/>
    <w:next w:val="Normal"/>
    <w:qFormat/>
    <w:rsid w:val="001F6727"/>
    <w:pPr>
      <w:widowControl w:val="0"/>
      <w:jc w:val="both"/>
    </w:pPr>
    <w:rPr>
      <w:rFonts w:ascii="Calibri" w:eastAsia="Times New Roman" w:hAnsi="Calibri" w:cs="Arial"/>
      <w:i/>
      <w:snapToGrid w:val="0"/>
      <w:szCs w:val="24"/>
    </w:rPr>
  </w:style>
  <w:style w:type="character" w:customStyle="1" w:styleId="COMBodyChar">
    <w:name w:val="COMBody Char"/>
    <w:basedOn w:val="DefaultParagraphFont"/>
    <w:link w:val="COMBody"/>
    <w:locked/>
    <w:rsid w:val="001F6727"/>
    <w:rPr>
      <w:rFonts w:ascii="Calibri" w:hAnsi="Calibri" w:cs="Arial"/>
      <w:sz w:val="24"/>
    </w:rPr>
  </w:style>
  <w:style w:type="paragraph" w:customStyle="1" w:styleId="COMBody">
    <w:name w:val="COMBody"/>
    <w:basedOn w:val="Normal"/>
    <w:link w:val="COMBodyChar"/>
    <w:qFormat/>
    <w:rsid w:val="001F6727"/>
    <w:pPr>
      <w:widowControl w:val="0"/>
      <w:snapToGrid w:val="0"/>
      <w:jc w:val="both"/>
    </w:pPr>
    <w:rPr>
      <w:rFonts w:ascii="Calibri" w:hAnsi="Calibri" w:cs="Arial"/>
    </w:rPr>
  </w:style>
  <w:style w:type="paragraph" w:customStyle="1" w:styleId="COMtbl-HEADLeftAligned">
    <w:name w:val="COMtbl-HEAD Left Aligned"/>
    <w:basedOn w:val="Normal"/>
    <w:qFormat/>
    <w:rsid w:val="001F6727"/>
    <w:pPr>
      <w:widowControl w:val="0"/>
      <w:tabs>
        <w:tab w:val="left" w:pos="720"/>
      </w:tabs>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1F6727"/>
    <w:pPr>
      <w:jc w:val="center"/>
    </w:pPr>
  </w:style>
  <w:style w:type="paragraph" w:customStyle="1" w:styleId="COMtbl-textLeftAligned">
    <w:name w:val="COMtbl-text Left Aligned"/>
    <w:basedOn w:val="COMtbl-HEADLeftAligned"/>
    <w:qFormat/>
    <w:rsid w:val="001F6727"/>
    <w:rPr>
      <w:b w:val="0"/>
    </w:rPr>
  </w:style>
  <w:style w:type="paragraph" w:customStyle="1" w:styleId="COMtbl-textCentred">
    <w:name w:val="COMtbl-text Centred"/>
    <w:basedOn w:val="COMtbl-HEADCentred"/>
    <w:qFormat/>
    <w:rsid w:val="001F6727"/>
    <w:rPr>
      <w:b w:val="0"/>
    </w:rPr>
  </w:style>
  <w:style w:type="character" w:customStyle="1" w:styleId="UnresolvedMention1">
    <w:name w:val="Unresolved Mention1"/>
    <w:basedOn w:val="DefaultParagraphFont"/>
    <w:uiPriority w:val="99"/>
    <w:semiHidden/>
    <w:unhideWhenUsed/>
    <w:rsid w:val="007852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2022351">
      <w:bodyDiv w:val="1"/>
      <w:marLeft w:val="0"/>
      <w:marRight w:val="0"/>
      <w:marTop w:val="0"/>
      <w:marBottom w:val="0"/>
      <w:divBdr>
        <w:top w:val="none" w:sz="0" w:space="0" w:color="auto"/>
        <w:left w:val="none" w:sz="0" w:space="0" w:color="auto"/>
        <w:bottom w:val="none" w:sz="0" w:space="0" w:color="auto"/>
        <w:right w:val="none" w:sz="0" w:space="0" w:color="auto"/>
      </w:divBdr>
    </w:div>
    <w:div w:id="163205170">
      <w:bodyDiv w:val="1"/>
      <w:marLeft w:val="0"/>
      <w:marRight w:val="0"/>
      <w:marTop w:val="0"/>
      <w:marBottom w:val="0"/>
      <w:divBdr>
        <w:top w:val="none" w:sz="0" w:space="0" w:color="auto"/>
        <w:left w:val="none" w:sz="0" w:space="0" w:color="auto"/>
        <w:bottom w:val="none" w:sz="0" w:space="0" w:color="auto"/>
        <w:right w:val="none" w:sz="0" w:space="0" w:color="auto"/>
      </w:divBdr>
      <w:divsChild>
        <w:div w:id="179465969">
          <w:marLeft w:val="360"/>
          <w:marRight w:val="0"/>
          <w:marTop w:val="200"/>
          <w:marBottom w:val="0"/>
          <w:divBdr>
            <w:top w:val="none" w:sz="0" w:space="0" w:color="auto"/>
            <w:left w:val="none" w:sz="0" w:space="0" w:color="auto"/>
            <w:bottom w:val="none" w:sz="0" w:space="0" w:color="auto"/>
            <w:right w:val="none" w:sz="0" w:space="0" w:color="auto"/>
          </w:divBdr>
        </w:div>
        <w:div w:id="1850828296">
          <w:marLeft w:val="360"/>
          <w:marRight w:val="0"/>
          <w:marTop w:val="200"/>
          <w:marBottom w:val="0"/>
          <w:divBdr>
            <w:top w:val="none" w:sz="0" w:space="0" w:color="auto"/>
            <w:left w:val="none" w:sz="0" w:space="0" w:color="auto"/>
            <w:bottom w:val="none" w:sz="0" w:space="0" w:color="auto"/>
            <w:right w:val="none" w:sz="0" w:space="0" w:color="auto"/>
          </w:divBdr>
        </w:div>
        <w:div w:id="1674530798">
          <w:marLeft w:val="1080"/>
          <w:marRight w:val="0"/>
          <w:marTop w:val="100"/>
          <w:marBottom w:val="0"/>
          <w:divBdr>
            <w:top w:val="none" w:sz="0" w:space="0" w:color="auto"/>
            <w:left w:val="none" w:sz="0" w:space="0" w:color="auto"/>
            <w:bottom w:val="none" w:sz="0" w:space="0" w:color="auto"/>
            <w:right w:val="none" w:sz="0" w:space="0" w:color="auto"/>
          </w:divBdr>
        </w:div>
        <w:div w:id="1152333182">
          <w:marLeft w:val="1080"/>
          <w:marRight w:val="0"/>
          <w:marTop w:val="100"/>
          <w:marBottom w:val="0"/>
          <w:divBdr>
            <w:top w:val="none" w:sz="0" w:space="0" w:color="auto"/>
            <w:left w:val="none" w:sz="0" w:space="0" w:color="auto"/>
            <w:bottom w:val="none" w:sz="0" w:space="0" w:color="auto"/>
            <w:right w:val="none" w:sz="0" w:space="0" w:color="auto"/>
          </w:divBdr>
        </w:div>
        <w:div w:id="393429702">
          <w:marLeft w:val="360"/>
          <w:marRight w:val="0"/>
          <w:marTop w:val="200"/>
          <w:marBottom w:val="0"/>
          <w:divBdr>
            <w:top w:val="none" w:sz="0" w:space="0" w:color="auto"/>
            <w:left w:val="none" w:sz="0" w:space="0" w:color="auto"/>
            <w:bottom w:val="none" w:sz="0" w:space="0" w:color="auto"/>
            <w:right w:val="none" w:sz="0" w:space="0" w:color="auto"/>
          </w:divBdr>
        </w:div>
        <w:div w:id="665786554">
          <w:marLeft w:val="1080"/>
          <w:marRight w:val="0"/>
          <w:marTop w:val="100"/>
          <w:marBottom w:val="0"/>
          <w:divBdr>
            <w:top w:val="none" w:sz="0" w:space="0" w:color="auto"/>
            <w:left w:val="none" w:sz="0" w:space="0" w:color="auto"/>
            <w:bottom w:val="none" w:sz="0" w:space="0" w:color="auto"/>
            <w:right w:val="none" w:sz="0" w:space="0" w:color="auto"/>
          </w:divBdr>
        </w:div>
        <w:div w:id="62871257">
          <w:marLeft w:val="360"/>
          <w:marRight w:val="0"/>
          <w:marTop w:val="200"/>
          <w:marBottom w:val="0"/>
          <w:divBdr>
            <w:top w:val="none" w:sz="0" w:space="0" w:color="auto"/>
            <w:left w:val="none" w:sz="0" w:space="0" w:color="auto"/>
            <w:bottom w:val="none" w:sz="0" w:space="0" w:color="auto"/>
            <w:right w:val="none" w:sz="0" w:space="0" w:color="auto"/>
          </w:divBdr>
        </w:div>
        <w:div w:id="1390685850">
          <w:marLeft w:val="1080"/>
          <w:marRight w:val="0"/>
          <w:marTop w:val="100"/>
          <w:marBottom w:val="0"/>
          <w:divBdr>
            <w:top w:val="none" w:sz="0" w:space="0" w:color="auto"/>
            <w:left w:val="none" w:sz="0" w:space="0" w:color="auto"/>
            <w:bottom w:val="none" w:sz="0" w:space="0" w:color="auto"/>
            <w:right w:val="none" w:sz="0" w:space="0" w:color="auto"/>
          </w:divBdr>
        </w:div>
        <w:div w:id="2144030771">
          <w:marLeft w:val="1080"/>
          <w:marRight w:val="0"/>
          <w:marTop w:val="100"/>
          <w:marBottom w:val="0"/>
          <w:divBdr>
            <w:top w:val="none" w:sz="0" w:space="0" w:color="auto"/>
            <w:left w:val="none" w:sz="0" w:space="0" w:color="auto"/>
            <w:bottom w:val="none" w:sz="0" w:space="0" w:color="auto"/>
            <w:right w:val="none" w:sz="0" w:space="0" w:color="auto"/>
          </w:divBdr>
        </w:div>
        <w:div w:id="1203593557">
          <w:marLeft w:val="1080"/>
          <w:marRight w:val="0"/>
          <w:marTop w:val="100"/>
          <w:marBottom w:val="0"/>
          <w:divBdr>
            <w:top w:val="none" w:sz="0" w:space="0" w:color="auto"/>
            <w:left w:val="none" w:sz="0" w:space="0" w:color="auto"/>
            <w:bottom w:val="none" w:sz="0" w:space="0" w:color="auto"/>
            <w:right w:val="none" w:sz="0" w:space="0" w:color="auto"/>
          </w:divBdr>
        </w:div>
        <w:div w:id="1465734596">
          <w:marLeft w:val="360"/>
          <w:marRight w:val="0"/>
          <w:marTop w:val="200"/>
          <w:marBottom w:val="0"/>
          <w:divBdr>
            <w:top w:val="none" w:sz="0" w:space="0" w:color="auto"/>
            <w:left w:val="none" w:sz="0" w:space="0" w:color="auto"/>
            <w:bottom w:val="none" w:sz="0" w:space="0" w:color="auto"/>
            <w:right w:val="none" w:sz="0" w:space="0" w:color="auto"/>
          </w:divBdr>
        </w:div>
        <w:div w:id="1053624127">
          <w:marLeft w:val="360"/>
          <w:marRight w:val="0"/>
          <w:marTop w:val="200"/>
          <w:marBottom w:val="0"/>
          <w:divBdr>
            <w:top w:val="none" w:sz="0" w:space="0" w:color="auto"/>
            <w:left w:val="none" w:sz="0" w:space="0" w:color="auto"/>
            <w:bottom w:val="none" w:sz="0" w:space="0" w:color="auto"/>
            <w:right w:val="none" w:sz="0" w:space="0" w:color="auto"/>
          </w:divBdr>
        </w:div>
      </w:divsChild>
    </w:div>
    <w:div w:id="171797293">
      <w:bodyDiv w:val="1"/>
      <w:marLeft w:val="0"/>
      <w:marRight w:val="0"/>
      <w:marTop w:val="0"/>
      <w:marBottom w:val="0"/>
      <w:divBdr>
        <w:top w:val="none" w:sz="0" w:space="0" w:color="auto"/>
        <w:left w:val="none" w:sz="0" w:space="0" w:color="auto"/>
        <w:bottom w:val="none" w:sz="0" w:space="0" w:color="auto"/>
        <w:right w:val="none" w:sz="0" w:space="0" w:color="auto"/>
      </w:divBdr>
      <w:divsChild>
        <w:div w:id="333344162">
          <w:marLeft w:val="360"/>
          <w:marRight w:val="0"/>
          <w:marTop w:val="200"/>
          <w:marBottom w:val="0"/>
          <w:divBdr>
            <w:top w:val="none" w:sz="0" w:space="0" w:color="auto"/>
            <w:left w:val="none" w:sz="0" w:space="0" w:color="auto"/>
            <w:bottom w:val="none" w:sz="0" w:space="0" w:color="auto"/>
            <w:right w:val="none" w:sz="0" w:space="0" w:color="auto"/>
          </w:divBdr>
        </w:div>
        <w:div w:id="1153571346">
          <w:marLeft w:val="1080"/>
          <w:marRight w:val="0"/>
          <w:marTop w:val="100"/>
          <w:marBottom w:val="0"/>
          <w:divBdr>
            <w:top w:val="none" w:sz="0" w:space="0" w:color="auto"/>
            <w:left w:val="none" w:sz="0" w:space="0" w:color="auto"/>
            <w:bottom w:val="none" w:sz="0" w:space="0" w:color="auto"/>
            <w:right w:val="none" w:sz="0" w:space="0" w:color="auto"/>
          </w:divBdr>
        </w:div>
        <w:div w:id="1141850918">
          <w:marLeft w:val="1080"/>
          <w:marRight w:val="0"/>
          <w:marTop w:val="100"/>
          <w:marBottom w:val="0"/>
          <w:divBdr>
            <w:top w:val="none" w:sz="0" w:space="0" w:color="auto"/>
            <w:left w:val="none" w:sz="0" w:space="0" w:color="auto"/>
            <w:bottom w:val="none" w:sz="0" w:space="0" w:color="auto"/>
            <w:right w:val="none" w:sz="0" w:space="0" w:color="auto"/>
          </w:divBdr>
        </w:div>
        <w:div w:id="2125727297">
          <w:marLeft w:val="360"/>
          <w:marRight w:val="0"/>
          <w:marTop w:val="200"/>
          <w:marBottom w:val="0"/>
          <w:divBdr>
            <w:top w:val="none" w:sz="0" w:space="0" w:color="auto"/>
            <w:left w:val="none" w:sz="0" w:space="0" w:color="auto"/>
            <w:bottom w:val="none" w:sz="0" w:space="0" w:color="auto"/>
            <w:right w:val="none" w:sz="0" w:space="0" w:color="auto"/>
          </w:divBdr>
        </w:div>
        <w:div w:id="1128234550">
          <w:marLeft w:val="1080"/>
          <w:marRight w:val="0"/>
          <w:marTop w:val="100"/>
          <w:marBottom w:val="0"/>
          <w:divBdr>
            <w:top w:val="none" w:sz="0" w:space="0" w:color="auto"/>
            <w:left w:val="none" w:sz="0" w:space="0" w:color="auto"/>
            <w:bottom w:val="none" w:sz="0" w:space="0" w:color="auto"/>
            <w:right w:val="none" w:sz="0" w:space="0" w:color="auto"/>
          </w:divBdr>
        </w:div>
        <w:div w:id="1380473884">
          <w:marLeft w:val="360"/>
          <w:marRight w:val="0"/>
          <w:marTop w:val="200"/>
          <w:marBottom w:val="0"/>
          <w:divBdr>
            <w:top w:val="none" w:sz="0" w:space="0" w:color="auto"/>
            <w:left w:val="none" w:sz="0" w:space="0" w:color="auto"/>
            <w:bottom w:val="none" w:sz="0" w:space="0" w:color="auto"/>
            <w:right w:val="none" w:sz="0" w:space="0" w:color="auto"/>
          </w:divBdr>
        </w:div>
        <w:div w:id="1679650735">
          <w:marLeft w:val="1080"/>
          <w:marRight w:val="0"/>
          <w:marTop w:val="100"/>
          <w:marBottom w:val="0"/>
          <w:divBdr>
            <w:top w:val="none" w:sz="0" w:space="0" w:color="auto"/>
            <w:left w:val="none" w:sz="0" w:space="0" w:color="auto"/>
            <w:bottom w:val="none" w:sz="0" w:space="0" w:color="auto"/>
            <w:right w:val="none" w:sz="0" w:space="0" w:color="auto"/>
          </w:divBdr>
        </w:div>
        <w:div w:id="1459185819">
          <w:marLeft w:val="360"/>
          <w:marRight w:val="0"/>
          <w:marTop w:val="200"/>
          <w:marBottom w:val="0"/>
          <w:divBdr>
            <w:top w:val="none" w:sz="0" w:space="0" w:color="auto"/>
            <w:left w:val="none" w:sz="0" w:space="0" w:color="auto"/>
            <w:bottom w:val="none" w:sz="0" w:space="0" w:color="auto"/>
            <w:right w:val="none" w:sz="0" w:space="0" w:color="auto"/>
          </w:divBdr>
        </w:div>
        <w:div w:id="266888781">
          <w:marLeft w:val="1080"/>
          <w:marRight w:val="0"/>
          <w:marTop w:val="100"/>
          <w:marBottom w:val="0"/>
          <w:divBdr>
            <w:top w:val="none" w:sz="0" w:space="0" w:color="auto"/>
            <w:left w:val="none" w:sz="0" w:space="0" w:color="auto"/>
            <w:bottom w:val="none" w:sz="0" w:space="0" w:color="auto"/>
            <w:right w:val="none" w:sz="0" w:space="0" w:color="auto"/>
          </w:divBdr>
        </w:div>
        <w:div w:id="1142230070">
          <w:marLeft w:val="1080"/>
          <w:marRight w:val="0"/>
          <w:marTop w:val="100"/>
          <w:marBottom w:val="0"/>
          <w:divBdr>
            <w:top w:val="none" w:sz="0" w:space="0" w:color="auto"/>
            <w:left w:val="none" w:sz="0" w:space="0" w:color="auto"/>
            <w:bottom w:val="none" w:sz="0" w:space="0" w:color="auto"/>
            <w:right w:val="none" w:sz="0" w:space="0" w:color="auto"/>
          </w:divBdr>
        </w:div>
        <w:div w:id="2110731425">
          <w:marLeft w:val="1080"/>
          <w:marRight w:val="0"/>
          <w:marTop w:val="100"/>
          <w:marBottom w:val="0"/>
          <w:divBdr>
            <w:top w:val="none" w:sz="0" w:space="0" w:color="auto"/>
            <w:left w:val="none" w:sz="0" w:space="0" w:color="auto"/>
            <w:bottom w:val="none" w:sz="0" w:space="0" w:color="auto"/>
            <w:right w:val="none" w:sz="0" w:space="0" w:color="auto"/>
          </w:divBdr>
        </w:div>
        <w:div w:id="283116304">
          <w:marLeft w:val="360"/>
          <w:marRight w:val="0"/>
          <w:marTop w:val="200"/>
          <w:marBottom w:val="0"/>
          <w:divBdr>
            <w:top w:val="none" w:sz="0" w:space="0" w:color="auto"/>
            <w:left w:val="none" w:sz="0" w:space="0" w:color="auto"/>
            <w:bottom w:val="none" w:sz="0" w:space="0" w:color="auto"/>
            <w:right w:val="none" w:sz="0" w:space="0" w:color="auto"/>
          </w:divBdr>
        </w:div>
      </w:divsChild>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734472392">
      <w:bodyDiv w:val="1"/>
      <w:marLeft w:val="0"/>
      <w:marRight w:val="0"/>
      <w:marTop w:val="0"/>
      <w:marBottom w:val="0"/>
      <w:divBdr>
        <w:top w:val="none" w:sz="0" w:space="0" w:color="auto"/>
        <w:left w:val="none" w:sz="0" w:space="0" w:color="auto"/>
        <w:bottom w:val="none" w:sz="0" w:space="0" w:color="auto"/>
        <w:right w:val="none" w:sz="0" w:space="0" w:color="auto"/>
      </w:divBdr>
      <w:divsChild>
        <w:div w:id="1804426755">
          <w:marLeft w:val="360"/>
          <w:marRight w:val="0"/>
          <w:marTop w:val="200"/>
          <w:marBottom w:val="0"/>
          <w:divBdr>
            <w:top w:val="none" w:sz="0" w:space="0" w:color="auto"/>
            <w:left w:val="none" w:sz="0" w:space="0" w:color="auto"/>
            <w:bottom w:val="none" w:sz="0" w:space="0" w:color="auto"/>
            <w:right w:val="none" w:sz="0" w:space="0" w:color="auto"/>
          </w:divBdr>
        </w:div>
        <w:div w:id="1157454503">
          <w:marLeft w:val="1080"/>
          <w:marRight w:val="0"/>
          <w:marTop w:val="100"/>
          <w:marBottom w:val="0"/>
          <w:divBdr>
            <w:top w:val="none" w:sz="0" w:space="0" w:color="auto"/>
            <w:left w:val="none" w:sz="0" w:space="0" w:color="auto"/>
            <w:bottom w:val="none" w:sz="0" w:space="0" w:color="auto"/>
            <w:right w:val="none" w:sz="0" w:space="0" w:color="auto"/>
          </w:divBdr>
        </w:div>
        <w:div w:id="1173036066">
          <w:marLeft w:val="1080"/>
          <w:marRight w:val="0"/>
          <w:marTop w:val="100"/>
          <w:marBottom w:val="0"/>
          <w:divBdr>
            <w:top w:val="none" w:sz="0" w:space="0" w:color="auto"/>
            <w:left w:val="none" w:sz="0" w:space="0" w:color="auto"/>
            <w:bottom w:val="none" w:sz="0" w:space="0" w:color="auto"/>
            <w:right w:val="none" w:sz="0" w:space="0" w:color="auto"/>
          </w:divBdr>
        </w:div>
        <w:div w:id="275990265">
          <w:marLeft w:val="1080"/>
          <w:marRight w:val="0"/>
          <w:marTop w:val="100"/>
          <w:marBottom w:val="0"/>
          <w:divBdr>
            <w:top w:val="none" w:sz="0" w:space="0" w:color="auto"/>
            <w:left w:val="none" w:sz="0" w:space="0" w:color="auto"/>
            <w:bottom w:val="none" w:sz="0" w:space="0" w:color="auto"/>
            <w:right w:val="none" w:sz="0" w:space="0" w:color="auto"/>
          </w:divBdr>
        </w:div>
        <w:div w:id="1572160351">
          <w:marLeft w:val="1080"/>
          <w:marRight w:val="0"/>
          <w:marTop w:val="100"/>
          <w:marBottom w:val="0"/>
          <w:divBdr>
            <w:top w:val="none" w:sz="0" w:space="0" w:color="auto"/>
            <w:left w:val="none" w:sz="0" w:space="0" w:color="auto"/>
            <w:bottom w:val="none" w:sz="0" w:space="0" w:color="auto"/>
            <w:right w:val="none" w:sz="0" w:space="0" w:color="auto"/>
          </w:divBdr>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69447347">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820150072">
      <w:bodyDiv w:val="1"/>
      <w:marLeft w:val="0"/>
      <w:marRight w:val="0"/>
      <w:marTop w:val="0"/>
      <w:marBottom w:val="0"/>
      <w:divBdr>
        <w:top w:val="none" w:sz="0" w:space="0" w:color="auto"/>
        <w:left w:val="none" w:sz="0" w:space="0" w:color="auto"/>
        <w:bottom w:val="none" w:sz="0" w:space="0" w:color="auto"/>
        <w:right w:val="none" w:sz="0" w:space="0" w:color="auto"/>
      </w:divBdr>
      <w:divsChild>
        <w:div w:id="1934896622">
          <w:marLeft w:val="360"/>
          <w:marRight w:val="0"/>
          <w:marTop w:val="200"/>
          <w:marBottom w:val="0"/>
          <w:divBdr>
            <w:top w:val="none" w:sz="0" w:space="0" w:color="auto"/>
            <w:left w:val="none" w:sz="0" w:space="0" w:color="auto"/>
            <w:bottom w:val="none" w:sz="0" w:space="0" w:color="auto"/>
            <w:right w:val="none" w:sz="0" w:space="0" w:color="auto"/>
          </w:divBdr>
        </w:div>
        <w:div w:id="1703170679">
          <w:marLeft w:val="360"/>
          <w:marRight w:val="0"/>
          <w:marTop w:val="200"/>
          <w:marBottom w:val="0"/>
          <w:divBdr>
            <w:top w:val="none" w:sz="0" w:space="0" w:color="auto"/>
            <w:left w:val="none" w:sz="0" w:space="0" w:color="auto"/>
            <w:bottom w:val="none" w:sz="0" w:space="0" w:color="auto"/>
            <w:right w:val="none" w:sz="0" w:space="0" w:color="auto"/>
          </w:divBdr>
        </w:div>
        <w:div w:id="133525308">
          <w:marLeft w:val="1080"/>
          <w:marRight w:val="0"/>
          <w:marTop w:val="100"/>
          <w:marBottom w:val="0"/>
          <w:divBdr>
            <w:top w:val="none" w:sz="0" w:space="0" w:color="auto"/>
            <w:left w:val="none" w:sz="0" w:space="0" w:color="auto"/>
            <w:bottom w:val="none" w:sz="0" w:space="0" w:color="auto"/>
            <w:right w:val="none" w:sz="0" w:space="0" w:color="auto"/>
          </w:divBdr>
        </w:div>
        <w:div w:id="1662662730">
          <w:marLeft w:val="1080"/>
          <w:marRight w:val="0"/>
          <w:marTop w:val="100"/>
          <w:marBottom w:val="0"/>
          <w:divBdr>
            <w:top w:val="none" w:sz="0" w:space="0" w:color="auto"/>
            <w:left w:val="none" w:sz="0" w:space="0" w:color="auto"/>
            <w:bottom w:val="none" w:sz="0" w:space="0" w:color="auto"/>
            <w:right w:val="none" w:sz="0" w:space="0" w:color="auto"/>
          </w:divBdr>
        </w:div>
        <w:div w:id="1795520510">
          <w:marLeft w:val="360"/>
          <w:marRight w:val="0"/>
          <w:marTop w:val="200"/>
          <w:marBottom w:val="0"/>
          <w:divBdr>
            <w:top w:val="none" w:sz="0" w:space="0" w:color="auto"/>
            <w:left w:val="none" w:sz="0" w:space="0" w:color="auto"/>
            <w:bottom w:val="none" w:sz="0" w:space="0" w:color="auto"/>
            <w:right w:val="none" w:sz="0" w:space="0" w:color="auto"/>
          </w:divBdr>
        </w:div>
        <w:div w:id="1422800508">
          <w:marLeft w:val="1080"/>
          <w:marRight w:val="0"/>
          <w:marTop w:val="100"/>
          <w:marBottom w:val="0"/>
          <w:divBdr>
            <w:top w:val="none" w:sz="0" w:space="0" w:color="auto"/>
            <w:left w:val="none" w:sz="0" w:space="0" w:color="auto"/>
            <w:bottom w:val="none" w:sz="0" w:space="0" w:color="auto"/>
            <w:right w:val="none" w:sz="0" w:space="0" w:color="auto"/>
          </w:divBdr>
        </w:div>
        <w:div w:id="30228374">
          <w:marLeft w:val="360"/>
          <w:marRight w:val="0"/>
          <w:marTop w:val="200"/>
          <w:marBottom w:val="0"/>
          <w:divBdr>
            <w:top w:val="none" w:sz="0" w:space="0" w:color="auto"/>
            <w:left w:val="none" w:sz="0" w:space="0" w:color="auto"/>
            <w:bottom w:val="none" w:sz="0" w:space="0" w:color="auto"/>
            <w:right w:val="none" w:sz="0" w:space="0" w:color="auto"/>
          </w:divBdr>
        </w:div>
        <w:div w:id="1129199668">
          <w:marLeft w:val="1080"/>
          <w:marRight w:val="0"/>
          <w:marTop w:val="100"/>
          <w:marBottom w:val="0"/>
          <w:divBdr>
            <w:top w:val="none" w:sz="0" w:space="0" w:color="auto"/>
            <w:left w:val="none" w:sz="0" w:space="0" w:color="auto"/>
            <w:bottom w:val="none" w:sz="0" w:space="0" w:color="auto"/>
            <w:right w:val="none" w:sz="0" w:space="0" w:color="auto"/>
          </w:divBdr>
        </w:div>
        <w:div w:id="509836144">
          <w:marLeft w:val="1080"/>
          <w:marRight w:val="0"/>
          <w:marTop w:val="100"/>
          <w:marBottom w:val="0"/>
          <w:divBdr>
            <w:top w:val="none" w:sz="0" w:space="0" w:color="auto"/>
            <w:left w:val="none" w:sz="0" w:space="0" w:color="auto"/>
            <w:bottom w:val="none" w:sz="0" w:space="0" w:color="auto"/>
            <w:right w:val="none" w:sz="0" w:space="0" w:color="auto"/>
          </w:divBdr>
        </w:div>
        <w:div w:id="654261282">
          <w:marLeft w:val="1080"/>
          <w:marRight w:val="0"/>
          <w:marTop w:val="100"/>
          <w:marBottom w:val="0"/>
          <w:divBdr>
            <w:top w:val="none" w:sz="0" w:space="0" w:color="auto"/>
            <w:left w:val="none" w:sz="0" w:space="0" w:color="auto"/>
            <w:bottom w:val="none" w:sz="0" w:space="0" w:color="auto"/>
            <w:right w:val="none" w:sz="0" w:space="0" w:color="auto"/>
          </w:divBdr>
        </w:div>
        <w:div w:id="2133553547">
          <w:marLeft w:val="360"/>
          <w:marRight w:val="0"/>
          <w:marTop w:val="200"/>
          <w:marBottom w:val="0"/>
          <w:divBdr>
            <w:top w:val="none" w:sz="0" w:space="0" w:color="auto"/>
            <w:left w:val="none" w:sz="0" w:space="0" w:color="auto"/>
            <w:bottom w:val="none" w:sz="0" w:space="0" w:color="auto"/>
            <w:right w:val="none" w:sz="0" w:space="0" w:color="auto"/>
          </w:divBdr>
        </w:div>
        <w:div w:id="73405714">
          <w:marLeft w:val="360"/>
          <w:marRight w:val="0"/>
          <w:marTop w:val="200"/>
          <w:marBottom w:val="0"/>
          <w:divBdr>
            <w:top w:val="none" w:sz="0" w:space="0" w:color="auto"/>
            <w:left w:val="none" w:sz="0" w:space="0" w:color="auto"/>
            <w:bottom w:val="none" w:sz="0" w:space="0" w:color="auto"/>
            <w:right w:val="none" w:sz="0" w:space="0" w:color="auto"/>
          </w:divBdr>
        </w:div>
      </w:divsChild>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5139-C308-4118-B44F-9842B834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10733</Words>
  <Characters>61183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2019-02-21T23:24:00Z</dcterms:created>
  <dcterms:modified xsi:type="dcterms:W3CDTF">2019-02-26T01:38:00Z</dcterms:modified>
</cp:coreProperties>
</file>