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2F9" w:rsidRDefault="009E0C8F" w:rsidP="00925F41">
      <w:pPr>
        <w:rPr>
          <w:b/>
          <w:sz w:val="36"/>
          <w:szCs w:val="36"/>
        </w:rPr>
      </w:pPr>
      <w:r>
        <w:rPr>
          <w:b/>
          <w:sz w:val="36"/>
          <w:szCs w:val="36"/>
        </w:rPr>
        <w:t>5.15</w:t>
      </w:r>
      <w:r w:rsidR="00925F41" w:rsidRPr="00C12C14">
        <w:rPr>
          <w:b/>
          <w:sz w:val="36"/>
          <w:szCs w:val="36"/>
        </w:rPr>
        <w:tab/>
      </w:r>
      <w:r w:rsidR="00925F41">
        <w:rPr>
          <w:b/>
          <w:sz w:val="36"/>
          <w:szCs w:val="36"/>
        </w:rPr>
        <w:t xml:space="preserve">TESTOSTERONE </w:t>
      </w:r>
    </w:p>
    <w:p w:rsidR="000B42F9" w:rsidRDefault="00925F41" w:rsidP="000B42F9">
      <w:pPr>
        <w:ind w:firstLine="720"/>
        <w:rPr>
          <w:b/>
          <w:sz w:val="36"/>
          <w:szCs w:val="36"/>
        </w:rPr>
      </w:pPr>
      <w:r>
        <w:rPr>
          <w:b/>
          <w:sz w:val="36"/>
          <w:szCs w:val="36"/>
        </w:rPr>
        <w:t xml:space="preserve">2% w/w </w:t>
      </w:r>
      <w:r w:rsidR="006B67C3">
        <w:rPr>
          <w:b/>
          <w:sz w:val="36"/>
          <w:szCs w:val="36"/>
        </w:rPr>
        <w:t>enhanced permeation</w:t>
      </w:r>
      <w:r>
        <w:rPr>
          <w:b/>
          <w:sz w:val="36"/>
          <w:szCs w:val="36"/>
        </w:rPr>
        <w:t xml:space="preserve"> (EP) </w:t>
      </w:r>
      <w:r w:rsidR="006B67C3">
        <w:rPr>
          <w:b/>
          <w:sz w:val="36"/>
          <w:szCs w:val="36"/>
        </w:rPr>
        <w:t>gel,</w:t>
      </w:r>
      <w:r w:rsidRPr="00C12C14">
        <w:rPr>
          <w:b/>
          <w:sz w:val="36"/>
          <w:szCs w:val="36"/>
        </w:rPr>
        <w:t xml:space="preserve"> </w:t>
      </w:r>
    </w:p>
    <w:p w:rsidR="000B42F9" w:rsidRDefault="00925F41" w:rsidP="000B42F9">
      <w:pPr>
        <w:ind w:left="720"/>
        <w:rPr>
          <w:b/>
          <w:sz w:val="36"/>
          <w:szCs w:val="36"/>
        </w:rPr>
      </w:pPr>
      <w:proofErr w:type="spellStart"/>
      <w:r>
        <w:rPr>
          <w:b/>
          <w:sz w:val="36"/>
          <w:szCs w:val="36"/>
        </w:rPr>
        <w:t>T</w:t>
      </w:r>
      <w:r w:rsidR="00285255">
        <w:rPr>
          <w:b/>
          <w:sz w:val="36"/>
          <w:szCs w:val="36"/>
        </w:rPr>
        <w:t>estavan</w:t>
      </w:r>
      <w:proofErr w:type="spellEnd"/>
      <w:r w:rsidRPr="00C205F1">
        <w:rPr>
          <w:rFonts w:ascii="Arial Bold" w:hAnsi="Arial Bold"/>
          <w:b/>
          <w:sz w:val="28"/>
          <w:vertAlign w:val="superscript"/>
        </w:rPr>
        <w:t>®</w:t>
      </w:r>
      <w:r w:rsidRPr="00C12C14">
        <w:rPr>
          <w:b/>
          <w:sz w:val="36"/>
          <w:szCs w:val="36"/>
        </w:rPr>
        <w:t xml:space="preserve">, </w:t>
      </w:r>
    </w:p>
    <w:p w:rsidR="00831667" w:rsidRPr="00737C8E" w:rsidRDefault="00925F41" w:rsidP="00737C8E">
      <w:pPr>
        <w:ind w:left="720"/>
        <w:rPr>
          <w:b/>
          <w:sz w:val="36"/>
          <w:szCs w:val="36"/>
        </w:rPr>
      </w:pPr>
      <w:proofErr w:type="spellStart"/>
      <w:r>
        <w:rPr>
          <w:b/>
          <w:sz w:val="36"/>
          <w:szCs w:val="36"/>
        </w:rPr>
        <w:t>Ferring</w:t>
      </w:r>
      <w:proofErr w:type="spellEnd"/>
      <w:r>
        <w:rPr>
          <w:b/>
          <w:sz w:val="36"/>
          <w:szCs w:val="36"/>
        </w:rPr>
        <w:t xml:space="preserve"> Pharmaceuticals</w:t>
      </w:r>
      <w:r w:rsidR="000B42F9">
        <w:rPr>
          <w:b/>
          <w:sz w:val="36"/>
          <w:szCs w:val="36"/>
        </w:rPr>
        <w:t xml:space="preserve"> Pty Ltd</w:t>
      </w:r>
    </w:p>
    <w:p w:rsidR="001B094D" w:rsidRPr="00882085" w:rsidRDefault="001B094D" w:rsidP="001B094D">
      <w:pPr>
        <w:pStyle w:val="PBACHeading1"/>
        <w:spacing w:before="240" w:after="120"/>
      </w:pPr>
      <w:bookmarkStart w:id="0" w:name="_Toc520285932"/>
      <w:bookmarkStart w:id="1" w:name="_Toc523307101"/>
      <w:r w:rsidRPr="00407F2D">
        <w:t>Purpose of Application</w:t>
      </w:r>
      <w:bookmarkEnd w:id="0"/>
      <w:bookmarkEnd w:id="1"/>
    </w:p>
    <w:p w:rsidR="001B094D" w:rsidRPr="008B1757" w:rsidRDefault="001B094D" w:rsidP="00B068D3">
      <w:pPr>
        <w:pStyle w:val="ListParagraph"/>
        <w:widowControl/>
        <w:numPr>
          <w:ilvl w:val="1"/>
          <w:numId w:val="1"/>
        </w:numPr>
      </w:pPr>
      <w:r>
        <w:t xml:space="preserve">The submission requested an </w:t>
      </w:r>
      <w:r w:rsidRPr="004B3DDB">
        <w:t xml:space="preserve">Authority </w:t>
      </w:r>
      <w:proofErr w:type="gramStart"/>
      <w:r w:rsidRPr="004B3DDB">
        <w:t>Required</w:t>
      </w:r>
      <w:proofErr w:type="gramEnd"/>
      <w:r w:rsidR="003710B9">
        <w:t xml:space="preserve"> (telephone)</w:t>
      </w:r>
      <w:r>
        <w:t xml:space="preserve"> </w:t>
      </w:r>
      <w:r w:rsidRPr="004B3DDB">
        <w:t xml:space="preserve">listing for </w:t>
      </w:r>
      <w:r>
        <w:t>testosterone 2% enhanced permeation (EP) gel</w:t>
      </w:r>
      <w:r w:rsidRPr="004B3DDB">
        <w:t xml:space="preserve"> for </w:t>
      </w:r>
      <w:r>
        <w:t xml:space="preserve">the </w:t>
      </w:r>
      <w:r w:rsidRPr="004B3DDB">
        <w:t xml:space="preserve">treatment of </w:t>
      </w:r>
      <w:r>
        <w:t>androgen deficiency. This was the first submission to PBAC for testosterone 2% EP gel.</w:t>
      </w:r>
    </w:p>
    <w:p w:rsidR="001B094D" w:rsidRDefault="001B094D" w:rsidP="00B068D3">
      <w:pPr>
        <w:pStyle w:val="ListParagraph"/>
        <w:widowControl/>
        <w:numPr>
          <w:ilvl w:val="1"/>
          <w:numId w:val="1"/>
        </w:numPr>
        <w:spacing w:after="120"/>
      </w:pPr>
      <w:r>
        <w:t>The requested listing was based on a cost-minimisation analysis of testosterone 2% EP to testosterone 1% gel. The key components of the clinical issue addressed by the submission are summarised below.</w:t>
      </w:r>
    </w:p>
    <w:p w:rsidR="001B094D" w:rsidRPr="005B610E" w:rsidRDefault="001B094D" w:rsidP="001B094D">
      <w:pPr>
        <w:pStyle w:val="Caption"/>
        <w:rPr>
          <w:rStyle w:val="CommentReference"/>
          <w:b/>
        </w:rPr>
      </w:pPr>
      <w:r w:rsidRPr="005B610E">
        <w:rPr>
          <w:rStyle w:val="CommentReference"/>
          <w:b/>
        </w:rPr>
        <w:t xml:space="preserve">Table </w:t>
      </w:r>
      <w:r w:rsidR="00AB4F41">
        <w:rPr>
          <w:rStyle w:val="CommentReference"/>
          <w:b/>
          <w:noProof/>
        </w:rPr>
        <w:t>1</w:t>
      </w:r>
      <w:r w:rsidRPr="005B610E">
        <w:rPr>
          <w:rStyle w:val="CommentReference"/>
          <w:b/>
        </w:rPr>
        <w:t>: Key components of the clinical issue addressed by the submission</w:t>
      </w:r>
    </w:p>
    <w:tbl>
      <w:tblPr>
        <w:tblW w:w="9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488"/>
      </w:tblGrid>
      <w:tr w:rsidR="001B094D" w:rsidRPr="00A518F3" w:rsidTr="007E3DD7">
        <w:tc>
          <w:tcPr>
            <w:tcW w:w="1560" w:type="dxa"/>
            <w:shd w:val="clear" w:color="auto" w:fill="FFFFFF" w:themeFill="background1"/>
            <w:vAlign w:val="center"/>
          </w:tcPr>
          <w:p w:rsidR="001B094D" w:rsidRPr="00A518F3" w:rsidRDefault="001B094D" w:rsidP="00A7369A">
            <w:pPr>
              <w:pStyle w:val="Tabletext"/>
              <w:rPr>
                <w:b/>
              </w:rPr>
            </w:pPr>
            <w:r w:rsidRPr="00A518F3">
              <w:rPr>
                <w:b/>
              </w:rPr>
              <w:t>Component</w:t>
            </w:r>
          </w:p>
        </w:tc>
        <w:tc>
          <w:tcPr>
            <w:tcW w:w="7488" w:type="dxa"/>
            <w:shd w:val="clear" w:color="auto" w:fill="FFFFFF" w:themeFill="background1"/>
            <w:vAlign w:val="center"/>
          </w:tcPr>
          <w:p w:rsidR="001B094D" w:rsidRPr="00A518F3" w:rsidRDefault="001B094D" w:rsidP="00A7369A">
            <w:pPr>
              <w:pStyle w:val="Tabletext"/>
              <w:jc w:val="center"/>
              <w:rPr>
                <w:b/>
              </w:rPr>
            </w:pPr>
            <w:r w:rsidRPr="00A518F3">
              <w:rPr>
                <w:b/>
              </w:rPr>
              <w:t>Description</w:t>
            </w:r>
          </w:p>
        </w:tc>
      </w:tr>
      <w:tr w:rsidR="001B094D" w:rsidTr="007E3DD7">
        <w:tc>
          <w:tcPr>
            <w:tcW w:w="1560" w:type="dxa"/>
            <w:vAlign w:val="center"/>
          </w:tcPr>
          <w:p w:rsidR="001B094D" w:rsidRDefault="001B094D" w:rsidP="00A7369A">
            <w:pPr>
              <w:pStyle w:val="Tabletext"/>
            </w:pPr>
            <w:r>
              <w:t>Population</w:t>
            </w:r>
          </w:p>
        </w:tc>
        <w:tc>
          <w:tcPr>
            <w:tcW w:w="7488" w:type="dxa"/>
            <w:vAlign w:val="center"/>
          </w:tcPr>
          <w:p w:rsidR="001B094D" w:rsidRDefault="001B094D" w:rsidP="00A7369A">
            <w:pPr>
              <w:pStyle w:val="Tabletext"/>
            </w:pPr>
            <w:r>
              <w:t>Patients with androgen deficiency.</w:t>
            </w:r>
          </w:p>
        </w:tc>
      </w:tr>
      <w:tr w:rsidR="001B094D" w:rsidTr="007E3DD7">
        <w:tc>
          <w:tcPr>
            <w:tcW w:w="1560" w:type="dxa"/>
            <w:vAlign w:val="center"/>
          </w:tcPr>
          <w:p w:rsidR="001B094D" w:rsidRDefault="001B094D" w:rsidP="00A7369A">
            <w:pPr>
              <w:pStyle w:val="Tabletext"/>
            </w:pPr>
            <w:r>
              <w:t>Intervention</w:t>
            </w:r>
          </w:p>
        </w:tc>
        <w:tc>
          <w:tcPr>
            <w:tcW w:w="7488" w:type="dxa"/>
            <w:vAlign w:val="center"/>
          </w:tcPr>
          <w:p w:rsidR="001B094D" w:rsidRDefault="001B094D" w:rsidP="00822C96">
            <w:pPr>
              <w:pStyle w:val="Tabletext"/>
            </w:pPr>
            <w:r>
              <w:t>Testosterone 2% EP gel (TESTAVAN</w:t>
            </w:r>
            <w:r w:rsidRPr="00531F05">
              <w:rPr>
                <w:vertAlign w:val="superscript"/>
              </w:rPr>
              <w:t>®</w:t>
            </w:r>
            <w:r>
              <w:t>) applied once daily to clean, dry, intact skin of the shoulder/upper arm</w:t>
            </w:r>
            <w:proofErr w:type="gramStart"/>
            <w:r>
              <w:t>.</w:t>
            </w:r>
            <w:r w:rsidR="00822C96">
              <w:t>*</w:t>
            </w:r>
            <w:proofErr w:type="gramEnd"/>
            <w:r w:rsidR="00822C96">
              <w:t xml:space="preserve">* </w:t>
            </w:r>
          </w:p>
        </w:tc>
      </w:tr>
      <w:tr w:rsidR="001B094D" w:rsidTr="007E3DD7">
        <w:tc>
          <w:tcPr>
            <w:tcW w:w="1560" w:type="dxa"/>
            <w:vAlign w:val="center"/>
          </w:tcPr>
          <w:p w:rsidR="001B094D" w:rsidRDefault="001B094D" w:rsidP="00A7369A">
            <w:pPr>
              <w:pStyle w:val="Tabletext"/>
            </w:pPr>
            <w:r>
              <w:t>Comparator</w:t>
            </w:r>
          </w:p>
        </w:tc>
        <w:tc>
          <w:tcPr>
            <w:tcW w:w="7488" w:type="dxa"/>
            <w:vAlign w:val="center"/>
          </w:tcPr>
          <w:p w:rsidR="001B094D" w:rsidRDefault="001B094D" w:rsidP="00A7369A">
            <w:pPr>
              <w:pStyle w:val="Tabletext"/>
            </w:pPr>
            <w:r>
              <w:t>Testosterone 1% gel (</w:t>
            </w:r>
            <w:proofErr w:type="spellStart"/>
            <w:r>
              <w:t>Testogel</w:t>
            </w:r>
            <w:proofErr w:type="spellEnd"/>
            <w:r w:rsidRPr="00F90E2A">
              <w:rPr>
                <w:vertAlign w:val="superscript"/>
              </w:rPr>
              <w:t>®</w:t>
            </w:r>
            <w:r>
              <w:t>) applied once daily to clean, dry, intact skin of the shoulder, upper arm or abdomen</w:t>
            </w:r>
            <w:proofErr w:type="gramStart"/>
            <w:r>
              <w:t>.</w:t>
            </w:r>
            <w:r w:rsidR="00822C96">
              <w:t>*</w:t>
            </w:r>
            <w:proofErr w:type="gramEnd"/>
            <w:r w:rsidR="00822C96">
              <w:t>*</w:t>
            </w:r>
            <w:r>
              <w:t xml:space="preserve"> </w:t>
            </w:r>
          </w:p>
        </w:tc>
      </w:tr>
      <w:tr w:rsidR="001B094D" w:rsidTr="007E3DD7">
        <w:tc>
          <w:tcPr>
            <w:tcW w:w="1560" w:type="dxa"/>
            <w:vAlign w:val="center"/>
          </w:tcPr>
          <w:p w:rsidR="001B094D" w:rsidRDefault="001B094D" w:rsidP="00A7369A">
            <w:pPr>
              <w:pStyle w:val="Tabletext"/>
            </w:pPr>
            <w:r>
              <w:t>Outcomes</w:t>
            </w:r>
          </w:p>
        </w:tc>
        <w:tc>
          <w:tcPr>
            <w:tcW w:w="7488" w:type="dxa"/>
            <w:vAlign w:val="center"/>
          </w:tcPr>
          <w:p w:rsidR="001B094D" w:rsidRDefault="001B094D" w:rsidP="00A7369A">
            <w:pPr>
              <w:pStyle w:val="Tabletext"/>
            </w:pPr>
            <w:r>
              <w:t xml:space="preserve">Proportion of patients who attain total testosterone </w:t>
            </w:r>
            <w:proofErr w:type="spellStart"/>
            <w:proofErr w:type="gramStart"/>
            <w:r>
              <w:t>C</w:t>
            </w:r>
            <w:r w:rsidRPr="00F375F2">
              <w:rPr>
                <w:vertAlign w:val="subscript"/>
              </w:rPr>
              <w:t>avg</w:t>
            </w:r>
            <w:proofErr w:type="spellEnd"/>
            <w:r w:rsidR="00D57D22">
              <w:rPr>
                <w:vertAlign w:val="subscript"/>
              </w:rPr>
              <w:t>(</w:t>
            </w:r>
            <w:proofErr w:type="gramEnd"/>
            <w:r w:rsidR="00D57D22">
              <w:rPr>
                <w:vertAlign w:val="subscript"/>
              </w:rPr>
              <w:t>0-24</w:t>
            </w:r>
            <w:r>
              <w:rPr>
                <w:vertAlign w:val="subscript"/>
              </w:rPr>
              <w:t>)</w:t>
            </w:r>
            <w:r w:rsidRPr="00F375F2">
              <w:rPr>
                <w:vertAlign w:val="subscript"/>
              </w:rPr>
              <w:t xml:space="preserve"> </w:t>
            </w:r>
            <w:r>
              <w:t xml:space="preserve">levels within the normal physiological testosterone levels (10.4-36.4 </w:t>
            </w:r>
            <w:proofErr w:type="spellStart"/>
            <w:r>
              <w:t>nmol</w:t>
            </w:r>
            <w:proofErr w:type="spellEnd"/>
            <w:r>
              <w:t xml:space="preserve">/L)* (i.e. response </w:t>
            </w:r>
            <w:r w:rsidRPr="00F74BC4">
              <w:t>rate).</w:t>
            </w:r>
            <w:r w:rsidRPr="00F74BC4">
              <w:rPr>
                <w:i/>
              </w:rPr>
              <w:t xml:space="preserve"> </w:t>
            </w:r>
            <w:r w:rsidRPr="00C3391A">
              <w:t>The definition of normal physiological testosterone levels, and the timing of the analysis differed between the two studies used in the naïve indirect comparison presented in the submission. Further, no evidence was presented to confirm that ‘average levels’ are a surrogate for clinical outcomes. For some therapeutics the duration of time above a minimum threshold concentration is relevant to clinical outcomes.</w:t>
            </w:r>
          </w:p>
        </w:tc>
      </w:tr>
      <w:tr w:rsidR="001B094D" w:rsidTr="007E3DD7">
        <w:tc>
          <w:tcPr>
            <w:tcW w:w="1560" w:type="dxa"/>
            <w:vAlign w:val="center"/>
          </w:tcPr>
          <w:p w:rsidR="001B094D" w:rsidRDefault="001B094D" w:rsidP="00A7369A">
            <w:pPr>
              <w:pStyle w:val="Tabletext"/>
            </w:pPr>
            <w:r>
              <w:t>Clinical claim</w:t>
            </w:r>
          </w:p>
        </w:tc>
        <w:tc>
          <w:tcPr>
            <w:tcW w:w="7488" w:type="dxa"/>
            <w:vAlign w:val="center"/>
          </w:tcPr>
          <w:p w:rsidR="001B094D" w:rsidRDefault="001B094D" w:rsidP="00A7369A">
            <w:pPr>
              <w:pStyle w:val="Tabletext"/>
            </w:pPr>
            <w:r>
              <w:t xml:space="preserve">For patients with androgen deficiency, testosterone 2% EP gel is non-inferior to testosterone 1% gel in bringing serum testosterone into the </w:t>
            </w:r>
            <w:proofErr w:type="spellStart"/>
            <w:r>
              <w:t>eugonadal</w:t>
            </w:r>
            <w:proofErr w:type="spellEnd"/>
            <w:r>
              <w:t xml:space="preserve"> range. </w:t>
            </w:r>
          </w:p>
        </w:tc>
      </w:tr>
    </w:tbl>
    <w:p w:rsidR="001B094D" w:rsidRPr="00870E14" w:rsidRDefault="009753F2" w:rsidP="001B094D">
      <w:pPr>
        <w:pStyle w:val="TableFooter"/>
      </w:pPr>
      <w:r>
        <w:t xml:space="preserve">Abbreviations: </w:t>
      </w:r>
      <w:proofErr w:type="spellStart"/>
      <w:proofErr w:type="gramStart"/>
      <w:r w:rsidR="001B094D" w:rsidRPr="00870E14">
        <w:t>C</w:t>
      </w:r>
      <w:r w:rsidR="001B094D" w:rsidRPr="00870E14">
        <w:rPr>
          <w:vertAlign w:val="subscript"/>
        </w:rPr>
        <w:t>avg</w:t>
      </w:r>
      <w:proofErr w:type="spellEnd"/>
      <w:r w:rsidR="00D57D22">
        <w:rPr>
          <w:vertAlign w:val="subscript"/>
        </w:rPr>
        <w:t>(</w:t>
      </w:r>
      <w:proofErr w:type="gramEnd"/>
      <w:r w:rsidR="00D57D22">
        <w:rPr>
          <w:vertAlign w:val="subscript"/>
        </w:rPr>
        <w:t>0-24</w:t>
      </w:r>
      <w:r w:rsidR="001B094D" w:rsidRPr="008C421C">
        <w:rPr>
          <w:vertAlign w:val="subscript"/>
        </w:rPr>
        <w:t>)</w:t>
      </w:r>
      <w:r w:rsidR="001B094D">
        <w:t xml:space="preserve"> </w:t>
      </w:r>
      <w:r w:rsidR="001B094D" w:rsidRPr="00870E14">
        <w:t>= average concentration</w:t>
      </w:r>
      <w:r w:rsidR="001B094D">
        <w:t xml:space="preserve"> over 24 hours</w:t>
      </w:r>
      <w:r w:rsidR="001B094D" w:rsidRPr="00870E14">
        <w:t>; EP = enhanced permeation.</w:t>
      </w:r>
    </w:p>
    <w:p w:rsidR="001B094D" w:rsidRDefault="001B094D" w:rsidP="001B094D">
      <w:pPr>
        <w:pStyle w:val="TableFooter"/>
      </w:pPr>
      <w:r w:rsidRPr="00870E14">
        <w:t>* Testosterone normal physiological range as quoted in the testosterone 2% EP gel (TESTAVAN</w:t>
      </w:r>
      <w:r w:rsidRPr="00870E14">
        <w:rPr>
          <w:vertAlign w:val="superscript"/>
        </w:rPr>
        <w:t>®</w:t>
      </w:r>
      <w:r w:rsidRPr="00870E14">
        <w:t xml:space="preserve">) Product Information. </w:t>
      </w:r>
    </w:p>
    <w:p w:rsidR="00822C96" w:rsidRPr="00870E14" w:rsidRDefault="00822C96" w:rsidP="001B094D">
      <w:pPr>
        <w:pStyle w:val="TableFooter"/>
      </w:pPr>
      <w:r w:rsidRPr="00361179">
        <w:t>**</w:t>
      </w:r>
      <w:r w:rsidRPr="00361179">
        <w:rPr>
          <w:i/>
          <w:szCs w:val="24"/>
        </w:rPr>
        <w:t xml:space="preserve"> </w:t>
      </w:r>
      <w:r w:rsidRPr="00C3391A">
        <w:rPr>
          <w:szCs w:val="24"/>
        </w:rPr>
        <w:t xml:space="preserve">Throughout </w:t>
      </w:r>
      <w:r w:rsidR="0083466F">
        <w:rPr>
          <w:szCs w:val="24"/>
        </w:rPr>
        <w:t>this document</w:t>
      </w:r>
      <w:r w:rsidRPr="00C3391A">
        <w:rPr>
          <w:szCs w:val="24"/>
        </w:rPr>
        <w:t xml:space="preserve">, when doses are cited they refer to the dose of testosterone (in </w:t>
      </w:r>
      <w:proofErr w:type="spellStart"/>
      <w:r w:rsidRPr="00C3391A">
        <w:rPr>
          <w:szCs w:val="24"/>
        </w:rPr>
        <w:t>nmo</w:t>
      </w:r>
      <w:r w:rsidR="004D4F36">
        <w:rPr>
          <w:szCs w:val="24"/>
        </w:rPr>
        <w:t>l</w:t>
      </w:r>
      <w:proofErr w:type="spellEnd"/>
      <w:r w:rsidRPr="00C3391A">
        <w:rPr>
          <w:szCs w:val="24"/>
        </w:rPr>
        <w:t>/L), rather than the dose of gel.</w:t>
      </w:r>
    </w:p>
    <w:p w:rsidR="001B094D" w:rsidRPr="008B1757" w:rsidRDefault="001B094D" w:rsidP="00E83861">
      <w:pPr>
        <w:pStyle w:val="TableFooter"/>
        <w:rPr>
          <w:rStyle w:val="CommentReference"/>
        </w:rPr>
      </w:pPr>
      <w:r w:rsidRPr="00870E14">
        <w:t>Source: Table 1.1-1, p8 of the submission.</w:t>
      </w:r>
    </w:p>
    <w:p w:rsidR="001B094D" w:rsidRDefault="001B094D" w:rsidP="001B094D">
      <w:pPr>
        <w:pStyle w:val="PBACHeading1"/>
        <w:spacing w:before="240" w:after="120"/>
      </w:pPr>
      <w:bookmarkStart w:id="2" w:name="_Toc520285933"/>
      <w:bookmarkStart w:id="3" w:name="_Toc523307102"/>
      <w:r w:rsidRPr="00407F2D">
        <w:t>Requested listing</w:t>
      </w:r>
      <w:bookmarkEnd w:id="2"/>
      <w:bookmarkEnd w:id="3"/>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134"/>
        <w:gridCol w:w="1333"/>
        <w:gridCol w:w="1313"/>
        <w:gridCol w:w="941"/>
        <w:gridCol w:w="1653"/>
        <w:gridCol w:w="1862"/>
      </w:tblGrid>
      <w:tr w:rsidR="001B094D" w:rsidRPr="007D2D5F" w:rsidTr="00A7369A">
        <w:tc>
          <w:tcPr>
            <w:tcW w:w="0" w:type="auto"/>
          </w:tcPr>
          <w:p w:rsidR="001B094D" w:rsidRPr="002C71CE" w:rsidRDefault="001B094D" w:rsidP="00A7369A">
            <w:pPr>
              <w:pStyle w:val="Tabletext"/>
              <w:rPr>
                <w:b/>
                <w:bCs/>
              </w:rPr>
            </w:pPr>
            <w:r w:rsidRPr="002C71CE">
              <w:rPr>
                <w:b/>
              </w:rPr>
              <w:t>Name, restriction, manner of administration, form</w:t>
            </w:r>
          </w:p>
        </w:tc>
        <w:tc>
          <w:tcPr>
            <w:tcW w:w="0" w:type="auto"/>
          </w:tcPr>
          <w:p w:rsidR="001B094D" w:rsidRPr="002C71CE" w:rsidRDefault="001B094D" w:rsidP="00A7369A">
            <w:pPr>
              <w:pStyle w:val="Tabletext"/>
              <w:jc w:val="center"/>
              <w:rPr>
                <w:b/>
                <w:bCs/>
              </w:rPr>
            </w:pPr>
            <w:r w:rsidRPr="002C71CE">
              <w:rPr>
                <w:b/>
              </w:rPr>
              <w:t>Maximum quantity (packs)</w:t>
            </w:r>
          </w:p>
        </w:tc>
        <w:tc>
          <w:tcPr>
            <w:tcW w:w="0" w:type="auto"/>
          </w:tcPr>
          <w:p w:rsidR="001B094D" w:rsidRPr="002C71CE" w:rsidRDefault="001B094D" w:rsidP="00A7369A">
            <w:pPr>
              <w:pStyle w:val="Tabletext"/>
              <w:jc w:val="center"/>
              <w:rPr>
                <w:b/>
                <w:bCs/>
              </w:rPr>
            </w:pPr>
            <w:r w:rsidRPr="002C71CE">
              <w:rPr>
                <w:b/>
              </w:rPr>
              <w:t>Maximum quantity (units)</w:t>
            </w:r>
          </w:p>
        </w:tc>
        <w:tc>
          <w:tcPr>
            <w:tcW w:w="0" w:type="auto"/>
          </w:tcPr>
          <w:p w:rsidR="001B094D" w:rsidRPr="002C71CE" w:rsidRDefault="001B094D" w:rsidP="00A7369A">
            <w:pPr>
              <w:pStyle w:val="Tabletext"/>
              <w:rPr>
                <w:b/>
                <w:bCs/>
              </w:rPr>
            </w:pPr>
            <w:r w:rsidRPr="002C71CE">
              <w:rPr>
                <w:b/>
              </w:rPr>
              <w:t>No. of repeats</w:t>
            </w:r>
          </w:p>
        </w:tc>
        <w:tc>
          <w:tcPr>
            <w:tcW w:w="0" w:type="auto"/>
          </w:tcPr>
          <w:p w:rsidR="001B094D" w:rsidRPr="002C71CE" w:rsidRDefault="001B094D" w:rsidP="00A7369A">
            <w:pPr>
              <w:pStyle w:val="Tabletext"/>
              <w:rPr>
                <w:b/>
                <w:bCs/>
              </w:rPr>
            </w:pPr>
            <w:r w:rsidRPr="002C71CE">
              <w:rPr>
                <w:b/>
              </w:rPr>
              <w:t>Dispensed price for maximum quantity</w:t>
            </w:r>
          </w:p>
        </w:tc>
        <w:tc>
          <w:tcPr>
            <w:tcW w:w="0" w:type="auto"/>
          </w:tcPr>
          <w:p w:rsidR="001B094D" w:rsidRPr="002C71CE" w:rsidRDefault="001B094D" w:rsidP="00A7369A">
            <w:pPr>
              <w:pStyle w:val="Tabletext"/>
              <w:rPr>
                <w:b/>
                <w:bCs/>
              </w:rPr>
            </w:pPr>
            <w:r w:rsidRPr="002C71CE">
              <w:rPr>
                <w:b/>
              </w:rPr>
              <w:t>Proprietary name and manufacturer</w:t>
            </w:r>
          </w:p>
        </w:tc>
      </w:tr>
      <w:tr w:rsidR="001B094D" w:rsidRPr="007D2D5F" w:rsidTr="00A7369A">
        <w:tc>
          <w:tcPr>
            <w:tcW w:w="0" w:type="auto"/>
          </w:tcPr>
          <w:p w:rsidR="001B094D" w:rsidRPr="007C2051" w:rsidRDefault="001B094D" w:rsidP="00A7369A">
            <w:pPr>
              <w:pStyle w:val="Tabletext"/>
            </w:pPr>
            <w:r w:rsidRPr="007C2051">
              <w:t>TESTAVAN</w:t>
            </w:r>
            <w:r w:rsidRPr="007C2051">
              <w:rPr>
                <w:vertAlign w:val="superscript"/>
              </w:rPr>
              <w:t>®</w:t>
            </w:r>
          </w:p>
          <w:p w:rsidR="001B094D" w:rsidRPr="00F74BC4" w:rsidRDefault="001B094D" w:rsidP="00A7369A">
            <w:pPr>
              <w:pStyle w:val="Tabletext"/>
              <w:rPr>
                <w:b/>
                <w:bCs/>
              </w:rPr>
            </w:pPr>
            <w:r w:rsidRPr="00F74BC4">
              <w:t xml:space="preserve">testosterone 2% </w:t>
            </w:r>
            <w:r>
              <w:t>EP</w:t>
            </w:r>
            <w:r w:rsidRPr="00F74BC4">
              <w:t xml:space="preserve"> </w:t>
            </w:r>
            <w:proofErr w:type="spellStart"/>
            <w:r w:rsidRPr="00F74BC4">
              <w:t>gel</w:t>
            </w:r>
            <w:r>
              <w:rPr>
                <w:vertAlign w:val="superscript"/>
              </w:rPr>
              <w:t>a</w:t>
            </w:r>
            <w:proofErr w:type="spellEnd"/>
          </w:p>
        </w:tc>
        <w:tc>
          <w:tcPr>
            <w:tcW w:w="0" w:type="auto"/>
          </w:tcPr>
          <w:p w:rsidR="001B094D" w:rsidRPr="007C2051" w:rsidRDefault="001B094D" w:rsidP="00A7369A">
            <w:pPr>
              <w:pStyle w:val="Tabletext"/>
              <w:jc w:val="center"/>
              <w:rPr>
                <w:rFonts w:ascii="Times" w:hAnsi="Times"/>
              </w:rPr>
            </w:pPr>
            <w:r w:rsidRPr="007C2051">
              <w:t>1</w:t>
            </w:r>
          </w:p>
        </w:tc>
        <w:tc>
          <w:tcPr>
            <w:tcW w:w="0" w:type="auto"/>
          </w:tcPr>
          <w:p w:rsidR="001B094D" w:rsidRPr="007C2051" w:rsidRDefault="001B094D" w:rsidP="00A7369A">
            <w:pPr>
              <w:pStyle w:val="Tabletext"/>
              <w:jc w:val="center"/>
              <w:rPr>
                <w:rFonts w:ascii="Times" w:hAnsi="Times"/>
              </w:rPr>
            </w:pPr>
            <w:r w:rsidRPr="007C2051">
              <w:rPr>
                <w:rFonts w:ascii="Times" w:hAnsi="Times"/>
              </w:rPr>
              <w:t>1</w:t>
            </w:r>
          </w:p>
        </w:tc>
        <w:tc>
          <w:tcPr>
            <w:tcW w:w="0" w:type="auto"/>
          </w:tcPr>
          <w:p w:rsidR="001B094D" w:rsidRPr="007C2051" w:rsidRDefault="001B094D" w:rsidP="00A7369A">
            <w:pPr>
              <w:pStyle w:val="Tabletext"/>
              <w:jc w:val="center"/>
              <w:rPr>
                <w:rFonts w:ascii="Times" w:hAnsi="Times"/>
              </w:rPr>
            </w:pPr>
            <w:r w:rsidRPr="007C2051">
              <w:t>5</w:t>
            </w:r>
          </w:p>
        </w:tc>
        <w:tc>
          <w:tcPr>
            <w:tcW w:w="0" w:type="auto"/>
          </w:tcPr>
          <w:p w:rsidR="001B094D" w:rsidRPr="007C2051" w:rsidRDefault="001B094D" w:rsidP="00A7369A">
            <w:pPr>
              <w:pStyle w:val="Tabletext"/>
              <w:rPr>
                <w:rFonts w:ascii="Times" w:hAnsi="Times"/>
              </w:rPr>
            </w:pPr>
            <w:r w:rsidRPr="007C2051">
              <w:t>$</w:t>
            </w:r>
            <w:r w:rsidR="00A662CC">
              <w:rPr>
                <w:noProof/>
                <w:color w:val="000000"/>
                <w:highlight w:val="black"/>
              </w:rPr>
              <w:t>''''''''''''''''</w:t>
            </w:r>
          </w:p>
        </w:tc>
        <w:tc>
          <w:tcPr>
            <w:tcW w:w="0" w:type="auto"/>
          </w:tcPr>
          <w:p w:rsidR="001B094D" w:rsidRPr="007C2051" w:rsidRDefault="001B094D" w:rsidP="00A7369A">
            <w:pPr>
              <w:pStyle w:val="Tabletext"/>
              <w:rPr>
                <w:rFonts w:ascii="Times" w:hAnsi="Times"/>
              </w:rPr>
            </w:pPr>
            <w:proofErr w:type="spellStart"/>
            <w:r w:rsidRPr="007C2051">
              <w:t>Ferring</w:t>
            </w:r>
            <w:proofErr w:type="spellEnd"/>
            <w:r w:rsidRPr="007C2051">
              <w:t xml:space="preserve"> Pharmaceuticals Pty Ltd</w:t>
            </w:r>
          </w:p>
        </w:tc>
      </w:tr>
    </w:tbl>
    <w:p w:rsidR="001B094D" w:rsidRPr="00C3391A" w:rsidRDefault="001B094D" w:rsidP="001B094D">
      <w:pPr>
        <w:rPr>
          <w:rFonts w:ascii="Arial Narrow" w:hAnsi="Arial Narrow"/>
          <w:sz w:val="18"/>
          <w:szCs w:val="18"/>
        </w:rPr>
      </w:pPr>
      <w:proofErr w:type="gramStart"/>
      <w:r w:rsidRPr="00C3391A">
        <w:rPr>
          <w:rFonts w:ascii="Arial Narrow" w:hAnsi="Arial Narrow"/>
          <w:sz w:val="18"/>
          <w:szCs w:val="18"/>
          <w:vertAlign w:val="superscript"/>
        </w:rPr>
        <w:t>a</w:t>
      </w:r>
      <w:proofErr w:type="gramEnd"/>
      <w:r w:rsidRPr="00C3391A">
        <w:rPr>
          <w:rFonts w:ascii="Arial Narrow" w:hAnsi="Arial Narrow"/>
          <w:sz w:val="18"/>
          <w:szCs w:val="18"/>
        </w:rPr>
        <w:t xml:space="preserve"> 23 mg</w:t>
      </w:r>
      <w:r w:rsidR="002B467A" w:rsidRPr="00C3391A">
        <w:rPr>
          <w:rFonts w:ascii="Arial Narrow" w:hAnsi="Arial Narrow"/>
          <w:sz w:val="18"/>
          <w:szCs w:val="18"/>
        </w:rPr>
        <w:t xml:space="preserve"> testosterone per pump actuation</w:t>
      </w:r>
      <w:r w:rsidRPr="00C3391A">
        <w:rPr>
          <w:rFonts w:ascii="Arial Narrow" w:hAnsi="Arial Narrow"/>
          <w:sz w:val="18"/>
          <w:szCs w:val="18"/>
        </w:rPr>
        <w:t>, 56 actuations per pack (1,288 mg testosterone /pump pack)</w:t>
      </w:r>
    </w:p>
    <w:p w:rsidR="001B094D" w:rsidRPr="00C3391A" w:rsidRDefault="001B094D" w:rsidP="001B094D">
      <w:proofErr w:type="gramStart"/>
      <w:r w:rsidRPr="00C3391A">
        <w:rPr>
          <w:rFonts w:ascii="Arial Narrow" w:hAnsi="Arial Narrow"/>
          <w:sz w:val="18"/>
          <w:szCs w:val="18"/>
          <w:vertAlign w:val="superscript"/>
        </w:rPr>
        <w:t>b</w:t>
      </w:r>
      <w:proofErr w:type="gramEnd"/>
      <w:r w:rsidR="002D3173">
        <w:rPr>
          <w:rFonts w:ascii="Arial Narrow" w:hAnsi="Arial Narrow"/>
          <w:sz w:val="18"/>
          <w:szCs w:val="18"/>
        </w:rPr>
        <w:t xml:space="preserve"> </w:t>
      </w:r>
      <w:r w:rsidRPr="00C3391A">
        <w:rPr>
          <w:rFonts w:ascii="Arial Narrow" w:hAnsi="Arial Narrow"/>
          <w:sz w:val="18"/>
          <w:szCs w:val="18"/>
        </w:rPr>
        <w:t>In the financial estimates, a dispensed price for maximum quantity of $</w:t>
      </w:r>
      <w:r w:rsidR="00A662CC">
        <w:rPr>
          <w:rFonts w:ascii="Arial Narrow" w:hAnsi="Arial Narrow"/>
          <w:noProof/>
          <w:color w:val="000000"/>
          <w:sz w:val="18"/>
          <w:szCs w:val="18"/>
          <w:highlight w:val="black"/>
        </w:rPr>
        <w:t>''''''''''''</w:t>
      </w:r>
      <w:r w:rsidRPr="00C3391A">
        <w:rPr>
          <w:rFonts w:ascii="Arial Narrow" w:hAnsi="Arial Narrow"/>
          <w:sz w:val="18"/>
          <w:szCs w:val="18"/>
        </w:rPr>
        <w:t xml:space="preserve"> was used.</w:t>
      </w:r>
    </w:p>
    <w:p w:rsidR="00591831" w:rsidRDefault="00591831" w:rsidP="001B094D"/>
    <w:tbl>
      <w:tblPr>
        <w:tblW w:w="5000" w:type="pct"/>
        <w:tblLook w:val="0000" w:firstRow="0" w:lastRow="0" w:firstColumn="0" w:lastColumn="0" w:noHBand="0" w:noVBand="0"/>
      </w:tblPr>
      <w:tblGrid>
        <w:gridCol w:w="1407"/>
        <w:gridCol w:w="7610"/>
      </w:tblGrid>
      <w:tr w:rsidR="001B094D" w:rsidRPr="00870E14" w:rsidTr="00A7369A">
        <w:trPr>
          <w:cantSplit/>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094D" w:rsidRPr="00870E14" w:rsidRDefault="001B094D" w:rsidP="00A7369A">
            <w:pPr>
              <w:widowControl/>
              <w:rPr>
                <w:rFonts w:ascii="Arial Narrow" w:hAnsi="Arial Narrow" w:cstheme="minorHAnsi"/>
                <w:b/>
                <w:snapToGrid/>
                <w:sz w:val="20"/>
                <w:szCs w:val="20"/>
                <w:lang w:eastAsia="en-AU"/>
              </w:rPr>
            </w:pPr>
            <w:r w:rsidRPr="00870E14">
              <w:rPr>
                <w:rFonts w:ascii="Arial Narrow" w:hAnsi="Arial Narrow" w:cstheme="minorHAnsi"/>
                <w:b/>
                <w:snapToGrid/>
                <w:sz w:val="20"/>
                <w:szCs w:val="20"/>
                <w:lang w:eastAsia="en-AU"/>
              </w:rPr>
              <w:t>Restriction 1</w:t>
            </w:r>
            <w:r w:rsidRPr="00870E14">
              <w:rPr>
                <w:rFonts w:ascii="Arial Narrow" w:eastAsiaTheme="minorHAnsi" w:hAnsi="Arial Narrow" w:cstheme="minorHAnsi"/>
                <w:b/>
                <w:snapToGrid/>
                <w:sz w:val="20"/>
                <w:szCs w:val="20"/>
              </w:rPr>
              <w:t xml:space="preserve"> </w:t>
            </w:r>
            <w:r w:rsidRPr="00870E14">
              <w:rPr>
                <w:rFonts w:ascii="Arial Narrow" w:hAnsi="Arial Narrow" w:cstheme="minorHAnsi"/>
                <w:b/>
                <w:snapToGrid/>
                <w:sz w:val="20"/>
                <w:szCs w:val="20"/>
                <w:lang w:eastAsia="en-AU"/>
              </w:rPr>
              <w:t>- Established pituitary or testicular disorder</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 xml:space="preserve">Category / </w:t>
            </w:r>
          </w:p>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Program</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GENERAL – General Schedule (Code GE)</w:t>
            </w:r>
          </w:p>
          <w:p w:rsidR="001B094D" w:rsidRPr="00870E14" w:rsidRDefault="001B094D" w:rsidP="00A7369A">
            <w:pPr>
              <w:widowControl/>
              <w:rPr>
                <w:rFonts w:ascii="Arial Narrow" w:hAnsi="Arial Narrow" w:cstheme="minorHAnsi"/>
                <w:snapToGrid/>
                <w:sz w:val="20"/>
                <w:szCs w:val="20"/>
                <w:lang w:eastAsia="en-AU"/>
              </w:rPr>
            </w:pP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Prescriber type:</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 xml:space="preserve">Dental </w:t>
            </w:r>
            <w:r w:rsidRPr="00870E1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 xml:space="preserve">Medical Practitioners </w:t>
            </w:r>
            <w:r w:rsidRPr="00870E14">
              <w:rPr>
                <w:rFonts w:ascii="Arial Narrow" w:hAnsi="Arial Narrow" w:cstheme="minorHAnsi"/>
                <w:snapToGrid/>
                <w:sz w:val="20"/>
                <w:szCs w:val="20"/>
                <w:lang w:eastAsia="en-AU"/>
              </w:rPr>
              <w:fldChar w:fldCharType="begin">
                <w:ffData>
                  <w:name w:val="Check3"/>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 xml:space="preserve">Nurse practitioners </w:t>
            </w:r>
            <w:r w:rsidRPr="00870E14">
              <w:rPr>
                <w:rFonts w:ascii="Arial Narrow" w:hAnsi="Arial Narrow" w:cstheme="minorHAnsi"/>
                <w:snapToGrid/>
                <w:sz w:val="20"/>
                <w:szCs w:val="20"/>
                <w:lang w:eastAsia="en-AU"/>
              </w:rPr>
              <w:fldChar w:fldCharType="begin">
                <w:ffData>
                  <w:name w:val=""/>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Optometrists</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Midwives</w:t>
            </w:r>
          </w:p>
        </w:tc>
      </w:tr>
      <w:tr w:rsidR="001B094D" w:rsidRPr="00870E14" w:rsidTr="00A7369A">
        <w:trPr>
          <w:cantSplit/>
          <w:trHeight w:val="119"/>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lastRenderedPageBreak/>
              <w:t>Condition:</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Androgen deficiency</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Treatment criteria:</w:t>
            </w:r>
          </w:p>
          <w:p w:rsidR="001B094D" w:rsidRPr="00870E14" w:rsidRDefault="001B094D" w:rsidP="00A7369A">
            <w:pPr>
              <w:widowControl/>
              <w:jc w:val="left"/>
              <w:rPr>
                <w:rFonts w:ascii="Arial Narrow" w:hAnsi="Arial Narrow" w:cstheme="minorHAnsi"/>
                <w:snapToGrid/>
                <w:sz w:val="20"/>
                <w:szCs w:val="20"/>
                <w:lang w:eastAsia="en-AU"/>
              </w:rPr>
            </w:pP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Restriction Level / Method:</w:t>
            </w:r>
          </w:p>
          <w:p w:rsidR="001B094D" w:rsidRPr="00870E14" w:rsidRDefault="001B094D" w:rsidP="00A7369A">
            <w:pPr>
              <w:widowControl/>
              <w:jc w:val="left"/>
              <w:rPr>
                <w:rFonts w:ascii="Arial Narrow" w:hAnsi="Arial Narrow" w:cstheme="minorHAnsi"/>
                <w:snapToGrid/>
                <w:sz w:val="20"/>
                <w:szCs w:val="20"/>
                <w:lang w:eastAsia="en-AU"/>
              </w:rPr>
            </w:pP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Restricted benefit</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In Writing</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Telephone</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Emergency</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Electronic</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Streamlined</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Clinical criteria:</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Patient must have an established pituitary or testicular disorder</w:t>
            </w:r>
          </w:p>
        </w:tc>
      </w:tr>
      <w:tr w:rsidR="001B094D" w:rsidRPr="00870E14" w:rsidTr="00A7369A">
        <w:trPr>
          <w:cantSplit/>
          <w:trHeight w:val="311"/>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Administrative Advice</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The name of the specialist must be included in the authority application</w:t>
            </w:r>
          </w:p>
        </w:tc>
      </w:tr>
    </w:tbl>
    <w:p w:rsidR="001B094D" w:rsidRDefault="001B094D" w:rsidP="001B094D"/>
    <w:tbl>
      <w:tblPr>
        <w:tblW w:w="5000" w:type="pct"/>
        <w:tblLook w:val="0000" w:firstRow="0" w:lastRow="0" w:firstColumn="0" w:lastColumn="0" w:noHBand="0" w:noVBand="0"/>
      </w:tblPr>
      <w:tblGrid>
        <w:gridCol w:w="1407"/>
        <w:gridCol w:w="7610"/>
      </w:tblGrid>
      <w:tr w:rsidR="001B094D" w:rsidRPr="00870E14" w:rsidTr="00A7369A">
        <w:trPr>
          <w:cantSplit/>
          <w:trHeight w:val="12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094D" w:rsidRPr="00870E14" w:rsidRDefault="001B094D" w:rsidP="00A7369A">
            <w:pPr>
              <w:keepNext/>
              <w:widowControl/>
              <w:rPr>
                <w:rFonts w:ascii="Arial Narrow" w:hAnsi="Arial Narrow" w:cstheme="minorHAnsi"/>
                <w:b/>
                <w:snapToGrid/>
                <w:sz w:val="20"/>
                <w:szCs w:val="20"/>
                <w:lang w:eastAsia="en-AU"/>
              </w:rPr>
            </w:pPr>
            <w:r w:rsidRPr="00870E14">
              <w:rPr>
                <w:rFonts w:ascii="Arial Narrow" w:hAnsi="Arial Narrow" w:cstheme="minorHAnsi"/>
                <w:b/>
                <w:snapToGrid/>
                <w:sz w:val="20"/>
                <w:szCs w:val="20"/>
                <w:lang w:eastAsia="en-AU"/>
              </w:rPr>
              <w:t>Restriction 2</w:t>
            </w:r>
            <w:r w:rsidRPr="00870E14">
              <w:rPr>
                <w:rFonts w:ascii="Arial Narrow" w:eastAsiaTheme="minorHAnsi" w:hAnsi="Arial Narrow" w:cstheme="minorHAnsi"/>
                <w:b/>
                <w:snapToGrid/>
                <w:sz w:val="20"/>
                <w:szCs w:val="20"/>
              </w:rPr>
              <w:t xml:space="preserve"> </w:t>
            </w:r>
            <w:r w:rsidRPr="00870E14">
              <w:rPr>
                <w:rFonts w:ascii="Arial Narrow" w:hAnsi="Arial Narrow" w:cstheme="minorHAnsi"/>
                <w:b/>
                <w:snapToGrid/>
                <w:sz w:val="20"/>
                <w:szCs w:val="20"/>
                <w:lang w:eastAsia="en-AU"/>
              </w:rPr>
              <w:t>- Androgen deficiency is demonstrated through hormone levels</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 xml:space="preserve">Category / </w:t>
            </w:r>
          </w:p>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Program</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GENERAL – General Schedule (Code GE)</w:t>
            </w:r>
          </w:p>
          <w:p w:rsidR="001B094D" w:rsidRPr="00870E14" w:rsidRDefault="001B094D" w:rsidP="00A7369A">
            <w:pPr>
              <w:widowControl/>
              <w:rPr>
                <w:rFonts w:ascii="Arial Narrow" w:hAnsi="Arial Narrow" w:cstheme="minorHAnsi"/>
                <w:snapToGrid/>
                <w:sz w:val="20"/>
                <w:szCs w:val="20"/>
                <w:lang w:eastAsia="en-AU"/>
              </w:rPr>
            </w:pP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Prescriber type:</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 xml:space="preserve">Dental </w:t>
            </w:r>
            <w:r w:rsidRPr="00870E1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 xml:space="preserve">Medical Practitioners </w:t>
            </w:r>
            <w:r w:rsidRPr="00870E14">
              <w:rPr>
                <w:rFonts w:ascii="Arial Narrow" w:hAnsi="Arial Narrow" w:cstheme="minorHAnsi"/>
                <w:snapToGrid/>
                <w:sz w:val="20"/>
                <w:szCs w:val="20"/>
                <w:lang w:eastAsia="en-AU"/>
              </w:rPr>
              <w:fldChar w:fldCharType="begin">
                <w:ffData>
                  <w:name w:val="Check3"/>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 xml:space="preserve">Nurse practitioners </w:t>
            </w:r>
            <w:r w:rsidRPr="00870E14">
              <w:rPr>
                <w:rFonts w:ascii="Arial Narrow" w:hAnsi="Arial Narrow" w:cstheme="minorHAnsi"/>
                <w:snapToGrid/>
                <w:sz w:val="20"/>
                <w:szCs w:val="20"/>
                <w:lang w:eastAsia="en-AU"/>
              </w:rPr>
              <w:fldChar w:fldCharType="begin">
                <w:ffData>
                  <w:name w:val=""/>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Optometrists</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Midwives</w:t>
            </w:r>
          </w:p>
        </w:tc>
      </w:tr>
      <w:tr w:rsidR="001B094D" w:rsidRPr="00870E14" w:rsidTr="00A7369A">
        <w:trPr>
          <w:cantSplit/>
          <w:trHeight w:val="83"/>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Condition:</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Androgen deficiency</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Treatment criteria:</w:t>
            </w:r>
          </w:p>
          <w:p w:rsidR="001B094D" w:rsidRPr="00870E14" w:rsidRDefault="001B094D" w:rsidP="00A7369A">
            <w:pPr>
              <w:widowControl/>
              <w:jc w:val="left"/>
              <w:rPr>
                <w:rFonts w:ascii="Arial Narrow" w:hAnsi="Arial Narrow" w:cstheme="minorHAnsi"/>
                <w:snapToGrid/>
                <w:sz w:val="20"/>
                <w:szCs w:val="20"/>
                <w:lang w:eastAsia="en-AU"/>
              </w:rPr>
            </w:pP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Must be treated by a specialist urologist, specialist endocrinologist or a Fellow of the Australasian Chapter of Sexual Health Medicine; or in consultation with one of these specialists; or have an appointment to be assessed by one of these specialists.</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Restriction Level / Method:</w:t>
            </w:r>
          </w:p>
          <w:p w:rsidR="001B094D" w:rsidRPr="00870E14" w:rsidRDefault="001B094D" w:rsidP="00A7369A">
            <w:pPr>
              <w:widowControl/>
              <w:jc w:val="left"/>
              <w:rPr>
                <w:rFonts w:ascii="Arial Narrow" w:hAnsi="Arial Narrow" w:cstheme="minorHAnsi"/>
                <w:snapToGrid/>
                <w:sz w:val="20"/>
                <w:szCs w:val="20"/>
                <w:lang w:eastAsia="en-AU"/>
              </w:rPr>
            </w:pP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Restricted benefit</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In Writing</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Telephone</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Emergency</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Authority Required - Electronic</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870E1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870E14">
              <w:rPr>
                <w:rFonts w:ascii="Arial Narrow" w:hAnsi="Arial Narrow" w:cstheme="minorHAnsi"/>
                <w:snapToGrid/>
                <w:sz w:val="20"/>
                <w:szCs w:val="20"/>
                <w:lang w:eastAsia="en-AU"/>
              </w:rPr>
              <w:fldChar w:fldCharType="end"/>
            </w:r>
            <w:r w:rsidRPr="00870E14">
              <w:rPr>
                <w:rFonts w:ascii="Arial Narrow" w:hAnsi="Arial Narrow" w:cstheme="minorHAnsi"/>
                <w:snapToGrid/>
                <w:sz w:val="20"/>
                <w:szCs w:val="20"/>
                <w:lang w:eastAsia="en-AU"/>
              </w:rPr>
              <w:t>Streamlined</w:t>
            </w:r>
          </w:p>
        </w:tc>
      </w:tr>
      <w:tr w:rsidR="001B094D" w:rsidRPr="00870E14" w:rsidTr="00A7369A">
        <w:trPr>
          <w:cantSplit/>
          <w:trHeight w:val="644"/>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Clinical criteria:</w:t>
            </w:r>
          </w:p>
          <w:p w:rsidR="001B094D" w:rsidRPr="00870E14" w:rsidRDefault="001B094D" w:rsidP="00A7369A">
            <w:pPr>
              <w:widowControl/>
              <w:jc w:val="left"/>
              <w:rPr>
                <w:rFonts w:ascii="Arial Narrow" w:hAnsi="Arial Narrow" w:cstheme="minorHAnsi"/>
                <w:snapToGrid/>
                <w:sz w:val="20"/>
                <w:szCs w:val="20"/>
                <w:lang w:eastAsia="en-AU"/>
              </w:rPr>
            </w:pP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Patient must not have an established pituitary or testicular disorder</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AND</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 xml:space="preserve">The condition must not be due to age, obesity, cardiovascular diseases, infertility or drugs </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Population criteria:</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Patient must be aged 40 years or older</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Prescriber Instructions</w:t>
            </w:r>
          </w:p>
          <w:p w:rsidR="001B094D" w:rsidRPr="00870E14" w:rsidRDefault="001B094D" w:rsidP="00A7369A">
            <w:pPr>
              <w:widowControl/>
              <w:jc w:val="left"/>
              <w:rPr>
                <w:rFonts w:ascii="Arial Narrow" w:hAnsi="Arial Narrow" w:cstheme="minorHAnsi"/>
                <w:snapToGrid/>
                <w:sz w:val="20"/>
                <w:szCs w:val="20"/>
                <w:lang w:eastAsia="en-AU"/>
              </w:rPr>
            </w:pP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Androgen deficiency is defined as:</w:t>
            </w:r>
          </w:p>
          <w:p w:rsidR="001B094D" w:rsidRPr="00870E14" w:rsidRDefault="001B094D" w:rsidP="00B068D3">
            <w:pPr>
              <w:widowControl/>
              <w:numPr>
                <w:ilvl w:val="0"/>
                <w:numId w:val="3"/>
              </w:numPr>
              <w:ind w:left="606" w:hanging="249"/>
              <w:contextualSpacing/>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 xml:space="preserve">testosterone level of less than 6 </w:t>
            </w:r>
            <w:proofErr w:type="spellStart"/>
            <w:r w:rsidRPr="00870E14">
              <w:rPr>
                <w:rFonts w:ascii="Arial Narrow" w:hAnsi="Arial Narrow" w:cstheme="minorHAnsi"/>
                <w:snapToGrid/>
                <w:sz w:val="20"/>
                <w:szCs w:val="20"/>
                <w:lang w:eastAsia="en-AU"/>
              </w:rPr>
              <w:t>nmol</w:t>
            </w:r>
            <w:proofErr w:type="spellEnd"/>
            <w:r w:rsidRPr="00870E14">
              <w:rPr>
                <w:rFonts w:ascii="Arial Narrow" w:hAnsi="Arial Narrow" w:cstheme="minorHAnsi"/>
                <w:snapToGrid/>
                <w:sz w:val="20"/>
                <w:szCs w:val="20"/>
                <w:lang w:eastAsia="en-AU"/>
              </w:rPr>
              <w:t xml:space="preserve"> per litre; OR</w:t>
            </w:r>
          </w:p>
          <w:p w:rsidR="001B094D" w:rsidRPr="00870E14" w:rsidRDefault="001B094D" w:rsidP="00B068D3">
            <w:pPr>
              <w:widowControl/>
              <w:numPr>
                <w:ilvl w:val="0"/>
                <w:numId w:val="3"/>
              </w:numPr>
              <w:ind w:left="606" w:hanging="249"/>
              <w:contextualSpacing/>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 xml:space="preserve">testosterone level between 6 and 15 </w:t>
            </w:r>
            <w:proofErr w:type="spellStart"/>
            <w:r w:rsidRPr="00870E14">
              <w:rPr>
                <w:rFonts w:ascii="Arial Narrow" w:hAnsi="Arial Narrow" w:cstheme="minorHAnsi"/>
                <w:snapToGrid/>
                <w:sz w:val="20"/>
                <w:szCs w:val="20"/>
                <w:lang w:eastAsia="en-AU"/>
              </w:rPr>
              <w:t>nmol</w:t>
            </w:r>
            <w:proofErr w:type="spellEnd"/>
            <w:r w:rsidRPr="00870E14">
              <w:rPr>
                <w:rFonts w:ascii="Arial Narrow" w:hAnsi="Arial Narrow" w:cstheme="minorHAnsi"/>
                <w:snapToGrid/>
                <w:sz w:val="20"/>
                <w:szCs w:val="20"/>
                <w:lang w:eastAsia="en-AU"/>
              </w:rPr>
              <w:t xml:space="preserve"> per litre with high luteinising hormone (LH) (greater than 1.5 times the upper limit of the </w:t>
            </w:r>
            <w:proofErr w:type="spellStart"/>
            <w:r w:rsidRPr="00870E14">
              <w:rPr>
                <w:rFonts w:ascii="Arial Narrow" w:hAnsi="Arial Narrow" w:cstheme="minorHAnsi"/>
                <w:snapToGrid/>
                <w:sz w:val="20"/>
                <w:szCs w:val="20"/>
                <w:lang w:eastAsia="en-AU"/>
              </w:rPr>
              <w:t>eugonadal</w:t>
            </w:r>
            <w:proofErr w:type="spellEnd"/>
            <w:r w:rsidRPr="00870E14">
              <w:rPr>
                <w:rFonts w:ascii="Arial Narrow" w:hAnsi="Arial Narrow" w:cstheme="minorHAnsi"/>
                <w:snapToGrid/>
                <w:sz w:val="20"/>
                <w:szCs w:val="20"/>
                <w:lang w:eastAsia="en-AU"/>
              </w:rPr>
              <w:t xml:space="preserve"> reference range for young men, or greater than 14 IU per litre, whichever is higher)</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Androgen deficiency must be confirmed by at least two morning blood samples taken on different mornings.</w:t>
            </w:r>
          </w:p>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The dates and levels of the qualifying testosterone and LH measurements must be, or must have been provided in the authority application when treatment with this drug is or was initiated</w:t>
            </w:r>
          </w:p>
        </w:tc>
      </w:tr>
      <w:tr w:rsidR="001B094D" w:rsidRPr="00870E14" w:rsidTr="00A7369A">
        <w:trPr>
          <w:cantSplit/>
          <w:trHeight w:val="360"/>
        </w:trPr>
        <w:tc>
          <w:tcPr>
            <w:tcW w:w="78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Administrative Advice</w:t>
            </w:r>
          </w:p>
        </w:tc>
        <w:tc>
          <w:tcPr>
            <w:tcW w:w="4220" w:type="pct"/>
            <w:tcBorders>
              <w:top w:val="single" w:sz="4" w:space="0" w:color="auto"/>
              <w:left w:val="single" w:sz="4" w:space="0" w:color="auto"/>
              <w:bottom w:val="single" w:sz="4" w:space="0" w:color="auto"/>
              <w:right w:val="single" w:sz="4" w:space="0" w:color="auto"/>
            </w:tcBorders>
          </w:tcPr>
          <w:p w:rsidR="001B094D" w:rsidRPr="00870E14" w:rsidRDefault="001B094D" w:rsidP="00A7369A">
            <w:pPr>
              <w:widowControl/>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The name of the specialist must be included in the authority application</w:t>
            </w:r>
          </w:p>
        </w:tc>
      </w:tr>
    </w:tbl>
    <w:p w:rsidR="001B094D" w:rsidRDefault="001B094D" w:rsidP="001B094D"/>
    <w:tbl>
      <w:tblPr>
        <w:tblW w:w="5000" w:type="pct"/>
        <w:tblLook w:val="0000" w:firstRow="0" w:lastRow="0" w:firstColumn="0" w:lastColumn="0" w:noHBand="0" w:noVBand="0"/>
      </w:tblPr>
      <w:tblGrid>
        <w:gridCol w:w="1246"/>
        <w:gridCol w:w="7771"/>
      </w:tblGrid>
      <w:tr w:rsidR="001B094D" w:rsidRPr="009C3F3B" w:rsidTr="00A7369A">
        <w:trPr>
          <w:cantSplit/>
          <w:trHeight w:val="15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094D" w:rsidRPr="009C3F3B" w:rsidRDefault="001B094D" w:rsidP="00A7369A">
            <w:pPr>
              <w:widowControl/>
              <w:rPr>
                <w:rFonts w:ascii="Arial Narrow" w:hAnsi="Arial Narrow" w:cstheme="minorHAnsi"/>
                <w:b/>
                <w:snapToGrid/>
                <w:sz w:val="20"/>
                <w:szCs w:val="20"/>
                <w:lang w:eastAsia="en-AU"/>
              </w:rPr>
            </w:pPr>
            <w:r w:rsidRPr="009C3F3B">
              <w:rPr>
                <w:rFonts w:ascii="Arial Narrow" w:hAnsi="Arial Narrow" w:cstheme="minorHAnsi"/>
                <w:b/>
                <w:snapToGrid/>
                <w:sz w:val="20"/>
                <w:szCs w:val="20"/>
                <w:lang w:eastAsia="en-AU"/>
              </w:rPr>
              <w:t xml:space="preserve">Restriction 3a – </w:t>
            </w:r>
            <w:proofErr w:type="spellStart"/>
            <w:r w:rsidRPr="009C3F3B">
              <w:rPr>
                <w:rFonts w:ascii="Arial Narrow" w:hAnsi="Arial Narrow" w:cstheme="minorHAnsi"/>
                <w:b/>
                <w:snapToGrid/>
                <w:sz w:val="20"/>
                <w:szCs w:val="20"/>
                <w:lang w:eastAsia="en-AU"/>
              </w:rPr>
              <w:t>Micropenis</w:t>
            </w:r>
            <w:proofErr w:type="spellEnd"/>
          </w:p>
        </w:tc>
      </w:tr>
      <w:tr w:rsidR="001B094D" w:rsidRPr="009C3F3B" w:rsidTr="00A7369A">
        <w:trPr>
          <w:cantSplit/>
          <w:trHeight w:val="360"/>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 xml:space="preserve">Category / </w:t>
            </w:r>
          </w:p>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Program</w:t>
            </w: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GENERAL – General Schedule (Code GE)</w:t>
            </w:r>
          </w:p>
          <w:p w:rsidR="001B094D" w:rsidRPr="009C3F3B" w:rsidRDefault="001B094D" w:rsidP="00A7369A">
            <w:pPr>
              <w:widowControl/>
              <w:rPr>
                <w:rFonts w:ascii="Arial Narrow" w:hAnsi="Arial Narrow" w:cstheme="minorHAnsi"/>
                <w:snapToGrid/>
                <w:sz w:val="20"/>
                <w:szCs w:val="20"/>
                <w:lang w:eastAsia="en-AU"/>
              </w:rPr>
            </w:pPr>
          </w:p>
        </w:tc>
      </w:tr>
      <w:tr w:rsidR="001B094D" w:rsidRPr="009C3F3B" w:rsidTr="00A7369A">
        <w:trPr>
          <w:cantSplit/>
          <w:trHeight w:val="360"/>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Prescriber type:</w:t>
            </w: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Dental </w:t>
            </w: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Medical Practitioners </w:t>
            </w:r>
            <w:r w:rsidRPr="009C3F3B">
              <w:rPr>
                <w:rFonts w:ascii="Arial Narrow" w:hAnsi="Arial Narrow" w:cstheme="minorHAnsi"/>
                <w:snapToGrid/>
                <w:sz w:val="20"/>
                <w:szCs w:val="20"/>
                <w:lang w:eastAsia="en-AU"/>
              </w:rPr>
              <w:fldChar w:fldCharType="begin">
                <w:ffData>
                  <w:name w:val="Check3"/>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Nurse practitioners </w:t>
            </w:r>
            <w:r w:rsidRPr="009C3F3B">
              <w:rPr>
                <w:rFonts w:ascii="Arial Narrow" w:hAnsi="Arial Narrow" w:cstheme="minorHAnsi"/>
                <w:snapToGrid/>
                <w:sz w:val="20"/>
                <w:szCs w:val="20"/>
                <w:lang w:eastAsia="en-AU"/>
              </w:rPr>
              <w:fldChar w:fldCharType="begin">
                <w:ffData>
                  <w:name w:val=""/>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Optometrists</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Midwives</w:t>
            </w:r>
          </w:p>
        </w:tc>
      </w:tr>
      <w:tr w:rsidR="001B094D" w:rsidRPr="009C3F3B" w:rsidTr="00A7369A">
        <w:trPr>
          <w:cantSplit/>
          <w:trHeight w:val="119"/>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Condition:</w:t>
            </w: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proofErr w:type="spellStart"/>
            <w:r w:rsidRPr="009C3F3B">
              <w:rPr>
                <w:rFonts w:ascii="Arial Narrow" w:hAnsi="Arial Narrow" w:cstheme="minorHAnsi"/>
                <w:snapToGrid/>
                <w:sz w:val="20"/>
                <w:szCs w:val="20"/>
                <w:lang w:eastAsia="en-AU"/>
              </w:rPr>
              <w:t>Micropenis</w:t>
            </w:r>
            <w:proofErr w:type="spellEnd"/>
          </w:p>
        </w:tc>
      </w:tr>
      <w:tr w:rsidR="001B094D" w:rsidRPr="009C3F3B" w:rsidTr="00A7369A">
        <w:trPr>
          <w:cantSplit/>
          <w:trHeight w:val="360"/>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lastRenderedPageBreak/>
              <w:t>Treatment criteria:</w:t>
            </w:r>
          </w:p>
          <w:p w:rsidR="001B094D" w:rsidRPr="009C3F3B" w:rsidRDefault="001B094D" w:rsidP="00A7369A">
            <w:pPr>
              <w:widowControl/>
              <w:jc w:val="left"/>
              <w:rPr>
                <w:rFonts w:ascii="Arial Narrow" w:hAnsi="Arial Narrow" w:cstheme="minorHAnsi"/>
                <w:snapToGrid/>
                <w:sz w:val="20"/>
                <w:szCs w:val="20"/>
                <w:lang w:eastAsia="en-AU"/>
              </w:rPr>
            </w:pP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1B094D" w:rsidRPr="009C3F3B" w:rsidTr="00A7369A">
        <w:trPr>
          <w:cantSplit/>
          <w:trHeight w:val="360"/>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Restriction Level / Method:</w:t>
            </w:r>
          </w:p>
          <w:p w:rsidR="001B094D" w:rsidRPr="009C3F3B" w:rsidRDefault="001B094D" w:rsidP="00A7369A">
            <w:pPr>
              <w:widowControl/>
              <w:jc w:val="left"/>
              <w:rPr>
                <w:rFonts w:ascii="Arial Narrow" w:hAnsi="Arial Narrow" w:cstheme="minorHAnsi"/>
                <w:snapToGrid/>
                <w:sz w:val="20"/>
                <w:szCs w:val="20"/>
                <w:lang w:eastAsia="en-AU"/>
              </w:rPr>
            </w:pP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Restricted benefit</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In Writing</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Telephone</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Emergency</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Electronic</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Streamlined</w:t>
            </w:r>
          </w:p>
        </w:tc>
      </w:tr>
      <w:tr w:rsidR="001B094D" w:rsidRPr="009C3F3B" w:rsidTr="00A7369A">
        <w:trPr>
          <w:cantSplit/>
          <w:trHeight w:val="241"/>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Population criteria:</w:t>
            </w: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Patient must be under 18 years of age</w:t>
            </w:r>
          </w:p>
        </w:tc>
      </w:tr>
      <w:tr w:rsidR="001B094D" w:rsidRPr="009C3F3B" w:rsidTr="00A7369A">
        <w:trPr>
          <w:cantSplit/>
          <w:trHeight w:val="360"/>
        </w:trPr>
        <w:tc>
          <w:tcPr>
            <w:tcW w:w="678"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Administrative Advice</w:t>
            </w:r>
          </w:p>
        </w:tc>
        <w:tc>
          <w:tcPr>
            <w:tcW w:w="4322"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The name of the specialist must be included in the authority application</w:t>
            </w:r>
          </w:p>
        </w:tc>
      </w:tr>
    </w:tbl>
    <w:p w:rsidR="001B094D" w:rsidRDefault="001B094D" w:rsidP="001B094D"/>
    <w:tbl>
      <w:tblPr>
        <w:tblW w:w="5000" w:type="pct"/>
        <w:tblLook w:val="0000" w:firstRow="0" w:lastRow="0" w:firstColumn="0" w:lastColumn="0" w:noHBand="0" w:noVBand="0"/>
      </w:tblPr>
      <w:tblGrid>
        <w:gridCol w:w="1246"/>
        <w:gridCol w:w="7771"/>
      </w:tblGrid>
      <w:tr w:rsidR="001B094D" w:rsidRPr="009C3F3B" w:rsidTr="00A7369A">
        <w:trPr>
          <w:cantSplit/>
          <w:trHeight w:val="17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094D" w:rsidRPr="009C3F3B" w:rsidRDefault="001B094D" w:rsidP="00A7369A">
            <w:pPr>
              <w:widowControl/>
              <w:rPr>
                <w:rFonts w:ascii="Arial Narrow" w:hAnsi="Arial Narrow" w:cstheme="minorHAnsi"/>
                <w:b/>
                <w:snapToGrid/>
                <w:sz w:val="20"/>
                <w:szCs w:val="20"/>
                <w:lang w:eastAsia="en-AU"/>
              </w:rPr>
            </w:pPr>
            <w:r w:rsidRPr="009C3F3B">
              <w:rPr>
                <w:rFonts w:ascii="Arial Narrow" w:hAnsi="Arial Narrow" w:cstheme="minorHAnsi"/>
                <w:b/>
                <w:snapToGrid/>
                <w:sz w:val="20"/>
                <w:szCs w:val="20"/>
                <w:lang w:eastAsia="en-AU"/>
              </w:rPr>
              <w:t>Restriction 3b</w:t>
            </w:r>
            <w:r w:rsidRPr="009C3F3B">
              <w:rPr>
                <w:rFonts w:ascii="Arial Narrow" w:eastAsiaTheme="minorHAnsi" w:hAnsi="Arial Narrow" w:cstheme="minorHAnsi"/>
                <w:b/>
                <w:snapToGrid/>
                <w:sz w:val="22"/>
              </w:rPr>
              <w:t xml:space="preserve"> </w:t>
            </w:r>
            <w:r w:rsidRPr="009C3F3B">
              <w:rPr>
                <w:rFonts w:ascii="Arial Narrow" w:hAnsi="Arial Narrow" w:cstheme="minorHAnsi"/>
                <w:b/>
                <w:snapToGrid/>
                <w:sz w:val="20"/>
                <w:szCs w:val="20"/>
                <w:lang w:eastAsia="en-AU"/>
              </w:rPr>
              <w:t>- Pubertal induction</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 xml:space="preserve">Category / </w:t>
            </w:r>
          </w:p>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Program</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GENERAL – General Schedule (Code GE)</w:t>
            </w:r>
          </w:p>
          <w:p w:rsidR="001B094D" w:rsidRPr="009C3F3B" w:rsidRDefault="001B094D" w:rsidP="00A7369A">
            <w:pPr>
              <w:widowControl/>
              <w:rPr>
                <w:rFonts w:ascii="Arial Narrow" w:hAnsi="Arial Narrow" w:cstheme="minorHAnsi"/>
                <w:snapToGrid/>
                <w:sz w:val="20"/>
                <w:szCs w:val="20"/>
                <w:lang w:eastAsia="en-AU"/>
              </w:rPr>
            </w:pP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Prescriber type:</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Dental </w:t>
            </w: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Medical Practitioners </w:t>
            </w:r>
            <w:r w:rsidRPr="009C3F3B">
              <w:rPr>
                <w:rFonts w:ascii="Arial Narrow" w:hAnsi="Arial Narrow" w:cstheme="minorHAnsi"/>
                <w:snapToGrid/>
                <w:sz w:val="20"/>
                <w:szCs w:val="20"/>
                <w:lang w:eastAsia="en-AU"/>
              </w:rPr>
              <w:fldChar w:fldCharType="begin">
                <w:ffData>
                  <w:name w:val="Check3"/>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Nurse practitioners </w:t>
            </w:r>
            <w:r w:rsidRPr="009C3F3B">
              <w:rPr>
                <w:rFonts w:ascii="Arial Narrow" w:hAnsi="Arial Narrow" w:cstheme="minorHAnsi"/>
                <w:snapToGrid/>
                <w:sz w:val="20"/>
                <w:szCs w:val="20"/>
                <w:lang w:eastAsia="en-AU"/>
              </w:rPr>
              <w:fldChar w:fldCharType="begin">
                <w:ffData>
                  <w:name w:val=""/>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Optometrists</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Midwives</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Condition:</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Pubertal induction</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Treatment criteria:</w:t>
            </w:r>
          </w:p>
          <w:p w:rsidR="001B094D" w:rsidRPr="009C3F3B" w:rsidRDefault="001B094D" w:rsidP="00A7369A">
            <w:pPr>
              <w:widowControl/>
              <w:jc w:val="left"/>
              <w:rPr>
                <w:rFonts w:ascii="Arial Narrow" w:hAnsi="Arial Narrow" w:cstheme="minorHAnsi"/>
                <w:snapToGrid/>
                <w:sz w:val="20"/>
                <w:szCs w:val="20"/>
                <w:lang w:eastAsia="en-AU"/>
              </w:rPr>
            </w:pP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Restriction Level / Method:</w:t>
            </w:r>
          </w:p>
          <w:p w:rsidR="001B094D" w:rsidRPr="009C3F3B" w:rsidRDefault="001B094D" w:rsidP="00A7369A">
            <w:pPr>
              <w:widowControl/>
              <w:jc w:val="left"/>
              <w:rPr>
                <w:rFonts w:ascii="Arial Narrow" w:hAnsi="Arial Narrow" w:cstheme="minorHAnsi"/>
                <w:snapToGrid/>
                <w:sz w:val="20"/>
                <w:szCs w:val="20"/>
                <w:lang w:eastAsia="en-AU"/>
              </w:rPr>
            </w:pP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Restricted benefit</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In Writing</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Telephone</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Emergency</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Electronic</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Streamlined</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Population criteria:</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Patient must be under 18 years of age</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Administrative Advice</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The name of the specialist must be included in the authority application</w:t>
            </w:r>
          </w:p>
        </w:tc>
      </w:tr>
    </w:tbl>
    <w:p w:rsidR="001B094D" w:rsidRDefault="001B094D" w:rsidP="001B094D"/>
    <w:tbl>
      <w:tblPr>
        <w:tblW w:w="5000" w:type="pct"/>
        <w:tblLook w:val="0000" w:firstRow="0" w:lastRow="0" w:firstColumn="0" w:lastColumn="0" w:noHBand="0" w:noVBand="0"/>
      </w:tblPr>
      <w:tblGrid>
        <w:gridCol w:w="1246"/>
        <w:gridCol w:w="7771"/>
      </w:tblGrid>
      <w:tr w:rsidR="001B094D" w:rsidRPr="009C3F3B" w:rsidTr="00A7369A">
        <w:trPr>
          <w:cantSplit/>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1B094D" w:rsidRPr="009C3F3B" w:rsidRDefault="001B094D" w:rsidP="00A7369A">
            <w:pPr>
              <w:widowControl/>
              <w:rPr>
                <w:rFonts w:ascii="Arial Narrow" w:hAnsi="Arial Narrow" w:cstheme="minorHAnsi"/>
                <w:b/>
                <w:snapToGrid/>
                <w:sz w:val="20"/>
                <w:szCs w:val="20"/>
                <w:lang w:eastAsia="en-AU"/>
              </w:rPr>
            </w:pPr>
            <w:r w:rsidRPr="009C3F3B">
              <w:rPr>
                <w:rFonts w:ascii="Arial Narrow" w:hAnsi="Arial Narrow" w:cstheme="minorHAnsi"/>
                <w:b/>
                <w:snapToGrid/>
                <w:sz w:val="20"/>
                <w:szCs w:val="20"/>
                <w:lang w:eastAsia="en-AU"/>
              </w:rPr>
              <w:t>Restriction 3c</w:t>
            </w:r>
            <w:r w:rsidRPr="009C3F3B">
              <w:rPr>
                <w:rFonts w:ascii="Arial Narrow" w:eastAsiaTheme="minorHAnsi" w:hAnsi="Arial Narrow" w:cstheme="minorHAnsi"/>
                <w:b/>
                <w:snapToGrid/>
                <w:sz w:val="22"/>
              </w:rPr>
              <w:t xml:space="preserve"> </w:t>
            </w:r>
            <w:r w:rsidRPr="009C3F3B">
              <w:rPr>
                <w:rFonts w:ascii="Arial Narrow" w:hAnsi="Arial Narrow" w:cstheme="minorHAnsi"/>
                <w:b/>
                <w:snapToGrid/>
                <w:sz w:val="20"/>
                <w:szCs w:val="20"/>
                <w:lang w:eastAsia="en-AU"/>
              </w:rPr>
              <w:t>- Constitutional delay of growth or puberty</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 xml:space="preserve">Category / </w:t>
            </w:r>
          </w:p>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Program</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GENERAL – General Schedule (Code GE)</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Prescriber type:</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Dental </w:t>
            </w: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Medical Practitioners </w:t>
            </w:r>
            <w:r w:rsidRPr="009C3F3B">
              <w:rPr>
                <w:rFonts w:ascii="Arial Narrow" w:hAnsi="Arial Narrow" w:cstheme="minorHAnsi"/>
                <w:snapToGrid/>
                <w:sz w:val="20"/>
                <w:szCs w:val="20"/>
                <w:lang w:eastAsia="en-AU"/>
              </w:rPr>
              <w:fldChar w:fldCharType="begin">
                <w:ffData>
                  <w:name w:val="Check3"/>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 xml:space="preserve">Nurse practitioners </w:t>
            </w:r>
            <w:r w:rsidRPr="009C3F3B">
              <w:rPr>
                <w:rFonts w:ascii="Arial Narrow" w:hAnsi="Arial Narrow" w:cstheme="minorHAnsi"/>
                <w:snapToGrid/>
                <w:sz w:val="20"/>
                <w:szCs w:val="20"/>
                <w:lang w:eastAsia="en-AU"/>
              </w:rPr>
              <w:fldChar w:fldCharType="begin">
                <w:ffData>
                  <w:name w:val=""/>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Optometrists</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Midwives</w:t>
            </w:r>
          </w:p>
        </w:tc>
      </w:tr>
      <w:tr w:rsidR="001B094D" w:rsidRPr="009C3F3B" w:rsidTr="00A7369A">
        <w:trPr>
          <w:cantSplit/>
          <w:trHeight w:val="92"/>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Condition:</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Constitutional delay of growth or puberty</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Treatment criteria:</w:t>
            </w:r>
          </w:p>
          <w:p w:rsidR="001B094D" w:rsidRPr="009C3F3B" w:rsidRDefault="001B094D" w:rsidP="00A7369A">
            <w:pPr>
              <w:widowControl/>
              <w:jc w:val="left"/>
              <w:rPr>
                <w:rFonts w:ascii="Arial Narrow" w:hAnsi="Arial Narrow" w:cstheme="minorHAnsi"/>
                <w:snapToGrid/>
                <w:sz w:val="20"/>
                <w:szCs w:val="20"/>
                <w:lang w:eastAsia="en-AU"/>
              </w:rPr>
            </w:pP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Restriction Level / Method:</w:t>
            </w:r>
          </w:p>
          <w:p w:rsidR="001B094D" w:rsidRPr="009C3F3B" w:rsidRDefault="001B094D" w:rsidP="00A7369A">
            <w:pPr>
              <w:widowControl/>
              <w:jc w:val="left"/>
              <w:rPr>
                <w:rFonts w:ascii="Arial Narrow" w:hAnsi="Arial Narrow" w:cstheme="minorHAnsi"/>
                <w:snapToGrid/>
                <w:sz w:val="20"/>
                <w:szCs w:val="20"/>
                <w:lang w:eastAsia="en-AU"/>
              </w:rPr>
            </w:pP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1"/>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Restricted benefit</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In Writing</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Telephone</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Emergency</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Authority Required - Electronic</w:t>
            </w:r>
          </w:p>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9C3F3B">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9C3F3B">
              <w:rPr>
                <w:rFonts w:ascii="Arial Narrow" w:hAnsi="Arial Narrow" w:cstheme="minorHAnsi"/>
                <w:snapToGrid/>
                <w:sz w:val="20"/>
                <w:szCs w:val="20"/>
                <w:lang w:eastAsia="en-AU"/>
              </w:rPr>
              <w:fldChar w:fldCharType="end"/>
            </w:r>
            <w:r w:rsidRPr="009C3F3B">
              <w:rPr>
                <w:rFonts w:ascii="Arial Narrow" w:hAnsi="Arial Narrow" w:cstheme="minorHAnsi"/>
                <w:snapToGrid/>
                <w:sz w:val="20"/>
                <w:szCs w:val="20"/>
                <w:lang w:eastAsia="en-AU"/>
              </w:rPr>
              <w:t>Streamlined</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Population criteria:</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Patient must be under 18 years of age</w:t>
            </w:r>
          </w:p>
        </w:tc>
      </w:tr>
      <w:tr w:rsidR="001B094D" w:rsidRPr="009C3F3B" w:rsidTr="00A7369A">
        <w:trPr>
          <w:cantSplit/>
          <w:trHeight w:val="360"/>
        </w:trPr>
        <w:tc>
          <w:tcPr>
            <w:tcW w:w="691"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jc w:val="left"/>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lastRenderedPageBreak/>
              <w:t>Administrative Advice</w:t>
            </w:r>
          </w:p>
        </w:tc>
        <w:tc>
          <w:tcPr>
            <w:tcW w:w="4309" w:type="pct"/>
            <w:tcBorders>
              <w:top w:val="single" w:sz="4" w:space="0" w:color="auto"/>
              <w:left w:val="single" w:sz="4" w:space="0" w:color="auto"/>
              <w:bottom w:val="single" w:sz="4" w:space="0" w:color="auto"/>
              <w:right w:val="single" w:sz="4" w:space="0" w:color="auto"/>
            </w:tcBorders>
          </w:tcPr>
          <w:p w:rsidR="001B094D" w:rsidRPr="009C3F3B" w:rsidRDefault="001B094D" w:rsidP="00A7369A">
            <w:pPr>
              <w:widowControl/>
              <w:rPr>
                <w:rFonts w:ascii="Arial Narrow" w:hAnsi="Arial Narrow" w:cstheme="minorHAnsi"/>
                <w:snapToGrid/>
                <w:sz w:val="20"/>
                <w:szCs w:val="20"/>
                <w:lang w:eastAsia="en-AU"/>
              </w:rPr>
            </w:pPr>
            <w:r w:rsidRPr="009C3F3B">
              <w:rPr>
                <w:rFonts w:ascii="Arial Narrow" w:hAnsi="Arial Narrow" w:cstheme="minorHAnsi"/>
                <w:snapToGrid/>
                <w:sz w:val="20"/>
                <w:szCs w:val="20"/>
                <w:lang w:eastAsia="en-AU"/>
              </w:rPr>
              <w:t>The name of the specialist must be included in the authority application</w:t>
            </w:r>
          </w:p>
        </w:tc>
      </w:tr>
    </w:tbl>
    <w:p w:rsidR="001B094D" w:rsidRPr="007C609A" w:rsidRDefault="001B094D" w:rsidP="001B094D"/>
    <w:p w:rsidR="001B094D" w:rsidRPr="00C3391A" w:rsidRDefault="001B094D" w:rsidP="00B068D3">
      <w:pPr>
        <w:pStyle w:val="ListParagraph"/>
        <w:widowControl/>
        <w:numPr>
          <w:ilvl w:val="1"/>
          <w:numId w:val="1"/>
        </w:numPr>
      </w:pPr>
      <w:r w:rsidRPr="00C3391A">
        <w:t>The requested restrictions were identical to those for alternative topical, transdermal testosterone formulations currently listed on the PBS for these indications.</w:t>
      </w:r>
    </w:p>
    <w:p w:rsidR="001B094D" w:rsidRPr="00C3391A" w:rsidRDefault="0083466F" w:rsidP="00B068D3">
      <w:pPr>
        <w:pStyle w:val="ListParagraph"/>
        <w:widowControl/>
        <w:numPr>
          <w:ilvl w:val="1"/>
          <w:numId w:val="1"/>
        </w:numPr>
      </w:pPr>
      <w:r>
        <w:t>Three</w:t>
      </w:r>
      <w:r w:rsidR="001B094D" w:rsidRPr="00C3391A">
        <w:t xml:space="preserve"> formulations (gel, patch cream)</w:t>
      </w:r>
      <w:r>
        <w:t xml:space="preserve"> of topical testosterone</w:t>
      </w:r>
      <w:r w:rsidR="001B094D" w:rsidRPr="00C3391A">
        <w:t xml:space="preserve"> are already PBS-listed. Testosterone in capsule and injectable forms is also PBS-listed for the conditions described in the requeste</w:t>
      </w:r>
      <w:r w:rsidR="00822C96" w:rsidRPr="00C3391A">
        <w:t>d</w:t>
      </w:r>
      <w:r w:rsidR="001B094D" w:rsidRPr="00C3391A">
        <w:t xml:space="preserve"> listing</w:t>
      </w:r>
      <w:r w:rsidR="001B094D" w:rsidRPr="0083466F">
        <w:t>.</w:t>
      </w:r>
      <w:r w:rsidR="00705B30" w:rsidRPr="0083466F">
        <w:t xml:space="preserve"> </w:t>
      </w:r>
      <w:r w:rsidR="00705B30" w:rsidRPr="00940072">
        <w:t>The ESC considered that the 2% EP gel would be useful and likely easier to use than existing testosterone products</w:t>
      </w:r>
      <w:r w:rsidR="004C1389" w:rsidRPr="00940072">
        <w:t xml:space="preserve"> due to the shorter time to absorption</w:t>
      </w:r>
      <w:r w:rsidR="00705B30" w:rsidRPr="00940072">
        <w:t>.</w:t>
      </w:r>
      <w:r w:rsidR="002D3173">
        <w:t xml:space="preserve"> </w:t>
      </w:r>
    </w:p>
    <w:p w:rsidR="001B094D" w:rsidRPr="00C3391A" w:rsidRDefault="001B094D" w:rsidP="00B068D3">
      <w:pPr>
        <w:pStyle w:val="ListParagraph"/>
        <w:widowControl/>
        <w:numPr>
          <w:ilvl w:val="1"/>
          <w:numId w:val="1"/>
        </w:numPr>
        <w:spacing w:after="120"/>
      </w:pPr>
      <w:r w:rsidRPr="00C3391A">
        <w:t xml:space="preserve">The requested restrictions differed from the registered TGA indication for testosterone 2% EP gel, which is </w:t>
      </w:r>
      <w:r w:rsidR="00361179" w:rsidRPr="00C3391A">
        <w:t xml:space="preserve">only </w:t>
      </w:r>
      <w:r w:rsidRPr="00C3391A">
        <w:t xml:space="preserve">for adult male hypogonadism when testosterone deficiency has been confirmed by clinical features and biochemical tests: </w:t>
      </w:r>
    </w:p>
    <w:p w:rsidR="001B094D" w:rsidRPr="00C42DDA" w:rsidRDefault="001B094D" w:rsidP="00591831">
      <w:pPr>
        <w:pStyle w:val="ListParagraph"/>
        <w:widowControl/>
        <w:numPr>
          <w:ilvl w:val="2"/>
          <w:numId w:val="1"/>
        </w:numPr>
        <w:spacing w:after="120"/>
        <w:ind w:left="1077" w:hanging="357"/>
      </w:pPr>
      <w:r w:rsidRPr="00C42DDA">
        <w:t xml:space="preserve">The TGA-approved PI states that use of testosterone 2% EP gel is not indicated in children and has not been clinically evaluated in males under 18 years of age. </w:t>
      </w:r>
      <w:r w:rsidR="004C1389" w:rsidRPr="00C42DDA">
        <w:t xml:space="preserve">The </w:t>
      </w:r>
      <w:r w:rsidR="00C42DDA" w:rsidRPr="00C42DDA">
        <w:t>Pre-Sub-Committee Response (</w:t>
      </w:r>
      <w:r w:rsidR="004C1389" w:rsidRPr="00C42DDA">
        <w:t>PSCR</w:t>
      </w:r>
      <w:r w:rsidR="00B34F29" w:rsidRPr="00C42DDA">
        <w:t xml:space="preserve">) stated that the proposed PBS listings </w:t>
      </w:r>
      <w:r w:rsidR="00AC0FB5">
        <w:t>were the same as those for currently listed</w:t>
      </w:r>
      <w:r w:rsidR="00B34F29" w:rsidRPr="00C42DDA">
        <w:t xml:space="preserve"> testosterone replacement therapies (TRTs)</w:t>
      </w:r>
      <w:r w:rsidR="00AC0FB5">
        <w:t>, and</w:t>
      </w:r>
      <w:r w:rsidR="006716BF" w:rsidRPr="00C42DDA">
        <w:t xml:space="preserve"> noted</w:t>
      </w:r>
      <w:r w:rsidR="00B34F29" w:rsidRPr="00C42DDA">
        <w:t xml:space="preserve"> that other TRTs have been listed on the basis of clinical trials enrolling adult patients</w:t>
      </w:r>
      <w:r w:rsidR="00AC0FB5">
        <w:t>. It was further noted</w:t>
      </w:r>
      <w:r w:rsidR="00B34F29" w:rsidRPr="00C42DDA">
        <w:t xml:space="preserve"> that </w:t>
      </w:r>
      <w:r w:rsidR="00AC0FB5" w:rsidRPr="00C42DDA">
        <w:t xml:space="preserve">a minority of the total use of TRTs </w:t>
      </w:r>
      <w:r w:rsidR="00AC0FB5">
        <w:t xml:space="preserve">is expected in </w:t>
      </w:r>
      <w:r w:rsidR="00B34F29" w:rsidRPr="00C42DDA">
        <w:t xml:space="preserve">patients under the age of </w:t>
      </w:r>
      <w:r w:rsidR="003356D5" w:rsidRPr="00C42DDA">
        <w:t>18</w:t>
      </w:r>
      <w:r w:rsidR="003356D5">
        <w:t xml:space="preserve"> </w:t>
      </w:r>
      <w:r w:rsidR="00ED4A2A">
        <w:t>years of age</w:t>
      </w:r>
      <w:r w:rsidR="003356D5" w:rsidRPr="00C42DDA">
        <w:t xml:space="preserve">. </w:t>
      </w:r>
      <w:r w:rsidR="006716BF" w:rsidRPr="00C42DDA">
        <w:t xml:space="preserve">The ESC agreed </w:t>
      </w:r>
      <w:r w:rsidR="00533F81" w:rsidRPr="00C42DDA">
        <w:t>with the PSCR however, noted that this product may be preferred in paediatric populations due to ease of use.</w:t>
      </w:r>
      <w:r w:rsidR="002D3173" w:rsidRPr="00C42DDA">
        <w:t xml:space="preserve"> </w:t>
      </w:r>
    </w:p>
    <w:p w:rsidR="00C6451B" w:rsidRPr="00C6451B" w:rsidRDefault="00C6451B" w:rsidP="00591831">
      <w:pPr>
        <w:pStyle w:val="ListParagraph"/>
        <w:widowControl/>
        <w:numPr>
          <w:ilvl w:val="2"/>
          <w:numId w:val="1"/>
        </w:numPr>
        <w:ind w:left="1077" w:hanging="357"/>
      </w:pPr>
      <w:r w:rsidRPr="00C6451B">
        <w:t xml:space="preserve">Neither of the two key clinical studies presented in the submission </w:t>
      </w:r>
      <w:r w:rsidR="00263EEC" w:rsidRPr="00C6451B">
        <w:t>appear</w:t>
      </w:r>
      <w:r w:rsidR="00263EEC">
        <w:t>ed</w:t>
      </w:r>
      <w:r w:rsidRPr="00C6451B">
        <w:t xml:space="preserve"> to have required patients to have clinical features of androgen deficiency at baseline.</w:t>
      </w:r>
    </w:p>
    <w:p w:rsidR="001B094D" w:rsidRPr="00C3391A" w:rsidRDefault="001B094D" w:rsidP="00B068D3">
      <w:pPr>
        <w:pStyle w:val="ListParagraph"/>
        <w:widowControl/>
        <w:numPr>
          <w:ilvl w:val="1"/>
          <w:numId w:val="1"/>
        </w:numPr>
      </w:pPr>
      <w:r w:rsidRPr="00C3391A">
        <w:t xml:space="preserve">The study population of the key testosterone 2% EP gel study (Study 127) differed from the proposed PBS population: </w:t>
      </w:r>
    </w:p>
    <w:p w:rsidR="001B094D" w:rsidRPr="00C3391A" w:rsidRDefault="001B094D" w:rsidP="00591831">
      <w:pPr>
        <w:pStyle w:val="ListParagraph"/>
        <w:widowControl/>
        <w:numPr>
          <w:ilvl w:val="2"/>
          <w:numId w:val="1"/>
        </w:numPr>
        <w:spacing w:after="120"/>
        <w:ind w:left="1077" w:hanging="357"/>
      </w:pPr>
      <w:r w:rsidRPr="00C3391A">
        <w:t>None of the patients in the study were under the age of 18 years (relevant to Restrictions 3a-3c);</w:t>
      </w:r>
    </w:p>
    <w:p w:rsidR="001B094D" w:rsidRPr="00C3391A" w:rsidRDefault="001B094D" w:rsidP="00591831">
      <w:pPr>
        <w:pStyle w:val="ListParagraph"/>
        <w:widowControl/>
        <w:numPr>
          <w:ilvl w:val="2"/>
          <w:numId w:val="1"/>
        </w:numPr>
        <w:spacing w:after="120"/>
        <w:ind w:left="1077" w:hanging="357"/>
      </w:pPr>
      <w:r w:rsidRPr="00C3391A">
        <w:t>Eligibility for the study was based on serum testosterone levels, with no requirement for a clinical diagnosis. The underlying causes of androgen deficiency were not reported in the Clinical Study Report (CSR) for Study 127, and the definition used by the submission to classify patients in Study 127 as having secondary hypogonadism</w:t>
      </w:r>
      <w:r w:rsidR="009802D0">
        <w:rPr>
          <w:rStyle w:val="FootnoteReference"/>
        </w:rPr>
        <w:footnoteReference w:id="1"/>
      </w:r>
      <w:r w:rsidRPr="00C3391A">
        <w:t xml:space="preserve"> (96% of patients) was not clear.</w:t>
      </w:r>
    </w:p>
    <w:p w:rsidR="001B094D" w:rsidRPr="00C3391A" w:rsidRDefault="001B094D" w:rsidP="00591831">
      <w:pPr>
        <w:pStyle w:val="ListParagraph"/>
        <w:widowControl/>
        <w:numPr>
          <w:ilvl w:val="1"/>
          <w:numId w:val="4"/>
        </w:numPr>
        <w:ind w:left="1434" w:hanging="357"/>
      </w:pPr>
      <w:r w:rsidRPr="00C3391A">
        <w:lastRenderedPageBreak/>
        <w:t>Only 4% of patients had an established testicular disorder, while the proportion with an established pituitary disorder was not reported (relevant to Restriction 1);</w:t>
      </w:r>
    </w:p>
    <w:p w:rsidR="001B094D" w:rsidRPr="00C3391A" w:rsidRDefault="001B094D" w:rsidP="00591831">
      <w:pPr>
        <w:pStyle w:val="ListParagraph"/>
        <w:widowControl/>
        <w:numPr>
          <w:ilvl w:val="1"/>
          <w:numId w:val="4"/>
        </w:numPr>
        <w:ind w:left="1434" w:hanging="357"/>
      </w:pPr>
      <w:r w:rsidRPr="00C3391A">
        <w:t>Patients were included in the study on the basis of two screening testosterone levels ≤ 10.4 </w:t>
      </w:r>
      <w:proofErr w:type="spellStart"/>
      <w:r w:rsidRPr="00C3391A">
        <w:t>nmol</w:t>
      </w:r>
      <w:proofErr w:type="spellEnd"/>
      <w:r w:rsidRPr="00C3391A">
        <w:t xml:space="preserve">/L, with no requirement to have high luteinising hormone (LH), and patients whose androgen deficiency was due to age or obesity were not excluded from the study. Therefore, the proportion of adult patients in the study who, in the absence of established testicular or pituitary disorders, would have been eligible for treatment under proposed Restriction 2 was uncertain. </w:t>
      </w:r>
    </w:p>
    <w:p w:rsidR="00591831" w:rsidRPr="00407F2D" w:rsidRDefault="001B094D" w:rsidP="00591831">
      <w:pPr>
        <w:pStyle w:val="PBACHeading1"/>
        <w:spacing w:before="240" w:after="120"/>
      </w:pPr>
      <w:bookmarkStart w:id="4" w:name="_Toc520285934"/>
      <w:bookmarkStart w:id="5" w:name="_Toc523307103"/>
      <w:r w:rsidRPr="00407F2D">
        <w:t>Background</w:t>
      </w:r>
      <w:bookmarkEnd w:id="4"/>
      <w:bookmarkEnd w:id="5"/>
    </w:p>
    <w:p w:rsidR="001B094D" w:rsidRPr="004151CF" w:rsidRDefault="001B094D" w:rsidP="00F77C40">
      <w:pPr>
        <w:spacing w:after="120"/>
        <w:rPr>
          <w:b/>
          <w:i/>
          <w:sz w:val="28"/>
          <w:szCs w:val="28"/>
        </w:rPr>
      </w:pPr>
      <w:r w:rsidRPr="004151CF">
        <w:rPr>
          <w:b/>
          <w:i/>
          <w:sz w:val="28"/>
          <w:szCs w:val="28"/>
        </w:rPr>
        <w:t>Registration status</w:t>
      </w:r>
    </w:p>
    <w:p w:rsidR="001B094D" w:rsidRPr="00D927A5" w:rsidRDefault="001B094D" w:rsidP="00B068D3">
      <w:pPr>
        <w:pStyle w:val="ListParagraph"/>
        <w:widowControl/>
        <w:numPr>
          <w:ilvl w:val="1"/>
          <w:numId w:val="1"/>
        </w:numPr>
      </w:pPr>
      <w:r>
        <w:t>Testosterone 2% EP gel was approved for registration by the TGA on 26 May 2017 for the following indication: use as testosterone replacement therapy (TRT) for adult male hypogonadism when testosterone deficiency has been confirmed by clinical features and biochemical tests.</w:t>
      </w:r>
    </w:p>
    <w:p w:rsidR="001B094D" w:rsidRPr="004151CF" w:rsidRDefault="001B094D" w:rsidP="00F77C40">
      <w:pPr>
        <w:widowControl/>
        <w:spacing w:after="120"/>
        <w:rPr>
          <w:b/>
          <w:i/>
          <w:sz w:val="28"/>
          <w:szCs w:val="28"/>
        </w:rPr>
      </w:pPr>
      <w:r w:rsidRPr="004151CF">
        <w:rPr>
          <w:b/>
          <w:i/>
          <w:sz w:val="28"/>
          <w:szCs w:val="28"/>
        </w:rPr>
        <w:t>Previous PBAC consideration</w:t>
      </w:r>
    </w:p>
    <w:p w:rsidR="009A5AA8" w:rsidRDefault="001B094D" w:rsidP="009A5AA8">
      <w:pPr>
        <w:pStyle w:val="ListParagraph"/>
        <w:widowControl/>
        <w:numPr>
          <w:ilvl w:val="1"/>
          <w:numId w:val="1"/>
        </w:numPr>
      </w:pPr>
      <w:r w:rsidRPr="00C3391A">
        <w:t xml:space="preserve">There </w:t>
      </w:r>
      <w:r w:rsidR="004C1389">
        <w:t>has been</w:t>
      </w:r>
      <w:r w:rsidRPr="00C3391A">
        <w:t xml:space="preserve"> no previous PBAC consideration for testosterone 2% EP gel.</w:t>
      </w:r>
    </w:p>
    <w:p w:rsidR="001B094D" w:rsidRPr="00882085" w:rsidRDefault="001B094D" w:rsidP="001B094D">
      <w:pPr>
        <w:pStyle w:val="PBACHeading1"/>
        <w:spacing w:before="240" w:after="120"/>
      </w:pPr>
      <w:bookmarkStart w:id="6" w:name="_Toc520285935"/>
      <w:bookmarkStart w:id="7" w:name="_Toc523307104"/>
      <w:r>
        <w:t>Population and disease</w:t>
      </w:r>
      <w:bookmarkEnd w:id="6"/>
      <w:bookmarkEnd w:id="7"/>
    </w:p>
    <w:p w:rsidR="001B094D" w:rsidRPr="00F95EA2" w:rsidRDefault="001B094D" w:rsidP="00B068D3">
      <w:pPr>
        <w:pStyle w:val="ListParagraph"/>
        <w:widowControl/>
        <w:numPr>
          <w:ilvl w:val="1"/>
          <w:numId w:val="1"/>
        </w:numPr>
      </w:pPr>
      <w:r>
        <w:t>Androgen deficiency is characterised by deficient testicular production of testosterone</w:t>
      </w:r>
      <w:r w:rsidR="00AF0671">
        <w:rPr>
          <w:rStyle w:val="FootnoteReference"/>
        </w:rPr>
        <w:footnoteReference w:id="2"/>
      </w:r>
      <w:r w:rsidR="00556A97">
        <w:t>.</w:t>
      </w:r>
      <w:r>
        <w:t xml:space="preserve"> Presenting clinical features of androgen deficiency include non-specific symptoms (lethargy, fatigue, decreased energy and/or endurance, depression, irritability, poor concentration, impaired short term memory, sleepiness, deteriorating work performance, hot flushes), organ-specific symptoms (osteopenia, osteoporosis, reduced muscle mass and strength, increased fat mass and gynaecomastia) and sexual and reproductive symptoms (decreased libido and erectile </w:t>
      </w:r>
      <w:r>
        <w:lastRenderedPageBreak/>
        <w:t>dysfunction)</w:t>
      </w:r>
      <w:r w:rsidR="009928EF">
        <w:rPr>
          <w:rStyle w:val="FootnoteReference"/>
        </w:rPr>
        <w:footnoteReference w:id="3"/>
      </w:r>
      <w:r>
        <w:t>. Australian literature reported that classical androgen deficiency occurs in about 1 in 200 adult men</w:t>
      </w:r>
      <w:r w:rsidR="009928EF">
        <w:rPr>
          <w:rStyle w:val="FootnoteReference"/>
        </w:rPr>
        <w:footnoteReference w:id="4"/>
      </w:r>
      <w:proofErr w:type="gramStart"/>
      <w:r w:rsidR="003710B9" w:rsidRPr="003710B9">
        <w:rPr>
          <w:vertAlign w:val="superscript"/>
        </w:rPr>
        <w:t>,</w:t>
      </w:r>
      <w:r w:rsidR="009928EF">
        <w:rPr>
          <w:rStyle w:val="FootnoteReference"/>
        </w:rPr>
        <w:footnoteReference w:id="5"/>
      </w:r>
      <w:r w:rsidR="009928EF">
        <w:t>.</w:t>
      </w:r>
      <w:proofErr w:type="gramEnd"/>
      <w:r>
        <w:t xml:space="preserve"> </w:t>
      </w:r>
    </w:p>
    <w:p w:rsidR="001B094D" w:rsidRPr="00C3391A" w:rsidRDefault="001B094D" w:rsidP="00B068D3">
      <w:pPr>
        <w:pStyle w:val="ListParagraph"/>
        <w:widowControl/>
        <w:numPr>
          <w:ilvl w:val="1"/>
          <w:numId w:val="1"/>
        </w:numPr>
      </w:pPr>
      <w:r>
        <w:t xml:space="preserve">There is no general agreement on the normal range of serum testosterone, with considerable variation in the </w:t>
      </w:r>
      <w:r w:rsidRPr="00B4283A">
        <w:t>reference range</w:t>
      </w:r>
      <w:r>
        <w:t>s cited in the Australian literature</w:t>
      </w:r>
      <w:bookmarkStart w:id="8" w:name="_Ref529955975"/>
      <w:r w:rsidR="001A71A0">
        <w:rPr>
          <w:rStyle w:val="FootnoteReference"/>
        </w:rPr>
        <w:footnoteReference w:id="6"/>
      </w:r>
      <w:bookmarkEnd w:id="8"/>
      <w:r>
        <w:t>.</w:t>
      </w:r>
      <w:r w:rsidRPr="00C3391A">
        <w:t xml:space="preserve"> In July 2014, the PBAC amended the serum testosterone threshold in the PBS restrictions for testosterone products for men aged 40 years or older who did not have established pituitary disorders to less than 6 </w:t>
      </w:r>
      <w:proofErr w:type="spellStart"/>
      <w:r w:rsidRPr="00C3391A">
        <w:t>nmol</w:t>
      </w:r>
      <w:proofErr w:type="spellEnd"/>
      <w:r w:rsidRPr="00C3391A">
        <w:t xml:space="preserve">/L, or between 6 and 15 </w:t>
      </w:r>
      <w:proofErr w:type="spellStart"/>
      <w:r w:rsidRPr="00C3391A">
        <w:t>nmol</w:t>
      </w:r>
      <w:proofErr w:type="spellEnd"/>
      <w:r w:rsidRPr="00C3391A">
        <w:t>/L in combination with high LH (Paragraph 6.1, Testosterone Public Summary Document (PSD), July 2014 PBAC Meeting). Additionally, PBAC recommended that, based on the high degree of variability observed in the measurement of testosterone levels depending on the assay methodology used, serum testosterone assays should be used in combination with a high LH concentration to diagnose androgen deficiency (Paragraph 3.8, Testosterone PSD, August 2013 PBAC Meeting).</w:t>
      </w:r>
    </w:p>
    <w:p w:rsidR="001B094D" w:rsidRPr="00882085" w:rsidRDefault="001B094D" w:rsidP="001B094D">
      <w:pPr>
        <w:pStyle w:val="ListParagraph"/>
        <w:widowControl/>
        <w:numPr>
          <w:ilvl w:val="1"/>
          <w:numId w:val="1"/>
        </w:numPr>
      </w:pPr>
      <w:r w:rsidRPr="00C3391A">
        <w:t xml:space="preserve">There are currently three topical transdermal formulations listed on the PBS for the same population: cream, patch and 1% gel. When testosterone 5% cream, </w:t>
      </w:r>
      <w:proofErr w:type="spellStart"/>
      <w:r w:rsidRPr="00C3391A">
        <w:t>AndroForte</w:t>
      </w:r>
      <w:proofErr w:type="spellEnd"/>
      <w:r w:rsidRPr="00C3391A">
        <w:t xml:space="preserve"> 5® was submitted for PBS consideration, ESC noted that there may not be a compelling clinical need for another topical testosterone preparation. (Paragraph 6.17, Testosterone; 50mg/mL cream, 50 mL; </w:t>
      </w:r>
      <w:proofErr w:type="spellStart"/>
      <w:r w:rsidRPr="00C3391A">
        <w:t>AndroForte</w:t>
      </w:r>
      <w:proofErr w:type="spellEnd"/>
      <w:r w:rsidRPr="00C3391A">
        <w:t xml:space="preserve"> 5® PSD, March 2015). </w:t>
      </w:r>
    </w:p>
    <w:p w:rsidR="001B094D" w:rsidRPr="00882085" w:rsidRDefault="001B094D" w:rsidP="001B094D">
      <w:pPr>
        <w:pStyle w:val="PBACHeading1"/>
        <w:spacing w:before="240" w:after="120"/>
      </w:pPr>
      <w:bookmarkStart w:id="9" w:name="_Toc520285936"/>
      <w:bookmarkStart w:id="10" w:name="_Toc523307105"/>
      <w:r w:rsidRPr="00407F2D">
        <w:t>Comparator</w:t>
      </w:r>
      <w:bookmarkEnd w:id="9"/>
      <w:bookmarkEnd w:id="10"/>
    </w:p>
    <w:p w:rsidR="001B094D" w:rsidRDefault="001B094D" w:rsidP="00B068D3">
      <w:pPr>
        <w:pStyle w:val="ListParagraph"/>
        <w:widowControl/>
        <w:numPr>
          <w:ilvl w:val="1"/>
          <w:numId w:val="1"/>
        </w:numPr>
      </w:pPr>
      <w:r w:rsidRPr="00170D53">
        <w:t xml:space="preserve">The submission nominated testosterone 1% gel, as the main comparator. </w:t>
      </w:r>
      <w:r w:rsidRPr="00C3391A">
        <w:t>This was appropriate.</w:t>
      </w:r>
    </w:p>
    <w:p w:rsidR="00382323" w:rsidRPr="00382323" w:rsidRDefault="00382323" w:rsidP="00382323">
      <w:pPr>
        <w:pStyle w:val="ListParagraph"/>
        <w:widowControl/>
        <w:numPr>
          <w:ilvl w:val="1"/>
          <w:numId w:val="1"/>
        </w:numPr>
      </w:pPr>
      <w:r w:rsidRPr="00382323">
        <w:t>As outlined above, there are a number of testosterone products currently listed on the PBS. Based on the PBS Therapeutic Relativity Sheets:</w:t>
      </w:r>
    </w:p>
    <w:p w:rsidR="00382323" w:rsidRPr="00382323" w:rsidRDefault="00382323" w:rsidP="004D4F36">
      <w:pPr>
        <w:pStyle w:val="ListParagraph"/>
        <w:widowControl/>
        <w:numPr>
          <w:ilvl w:val="0"/>
          <w:numId w:val="4"/>
        </w:numPr>
        <w:ind w:left="1077" w:hanging="357"/>
      </w:pPr>
      <w:r w:rsidRPr="00382323">
        <w:t xml:space="preserve">Testosterone transdermal patch was recommended on a cost minimisation basis compared with testosterone </w:t>
      </w:r>
      <w:proofErr w:type="spellStart"/>
      <w:r w:rsidRPr="00382323">
        <w:t>undecanoate</w:t>
      </w:r>
      <w:proofErr w:type="spellEnd"/>
      <w:r w:rsidRPr="00382323">
        <w:t xml:space="preserve"> capsule. </w:t>
      </w:r>
    </w:p>
    <w:p w:rsidR="00382323" w:rsidRDefault="00382323" w:rsidP="004D4F36">
      <w:pPr>
        <w:pStyle w:val="ListParagraph"/>
        <w:widowControl/>
        <w:numPr>
          <w:ilvl w:val="0"/>
          <w:numId w:val="4"/>
        </w:numPr>
        <w:ind w:left="1077" w:hanging="357"/>
      </w:pPr>
      <w:proofErr w:type="spellStart"/>
      <w:r>
        <w:t>Testogel</w:t>
      </w:r>
      <w:proofErr w:type="spellEnd"/>
      <w:r>
        <w:t>®, testosterone transdermal gel 50 mg per 5 g sachet, was listed on a cost minimisation basis versus testosterone transdermal patch releasing 5 mg per day.</w:t>
      </w:r>
    </w:p>
    <w:p w:rsidR="00382323" w:rsidRPr="00923F79" w:rsidRDefault="00382323" w:rsidP="004D4F36">
      <w:pPr>
        <w:pStyle w:val="ListParagraph"/>
        <w:widowControl/>
        <w:numPr>
          <w:ilvl w:val="0"/>
          <w:numId w:val="4"/>
        </w:numPr>
        <w:ind w:left="1077" w:hanging="357"/>
        <w:rPr>
          <w:rFonts w:asciiTheme="minorHAnsi" w:hAnsiTheme="minorHAnsi" w:cstheme="minorHAnsi"/>
          <w:szCs w:val="24"/>
        </w:rPr>
      </w:pPr>
      <w:proofErr w:type="spellStart"/>
      <w:r w:rsidRPr="00382323">
        <w:lastRenderedPageBreak/>
        <w:t>Axiron</w:t>
      </w:r>
      <w:proofErr w:type="spellEnd"/>
      <w:r w:rsidRPr="00382323">
        <w:t>®, testosterone transdermal solution was recommended on a cost-minimisation basis compared with testosterone gel.</w:t>
      </w:r>
      <w:r w:rsidR="00923F79">
        <w:t xml:space="preserve"> </w:t>
      </w:r>
      <w:r w:rsidR="00923F79" w:rsidRPr="00923F79">
        <w:rPr>
          <w:rFonts w:asciiTheme="minorHAnsi" w:hAnsiTheme="minorHAnsi" w:cstheme="minorHAnsi"/>
          <w:color w:val="222222"/>
          <w:szCs w:val="24"/>
          <w:shd w:val="clear" w:color="auto" w:fill="FFFFFF"/>
        </w:rPr>
        <w:t>The equi-effective doses are 70 mg testosterone solution and 50 mg testosterone gel.</w:t>
      </w:r>
    </w:p>
    <w:p w:rsidR="00382323" w:rsidRPr="00923F79" w:rsidRDefault="00382323" w:rsidP="004D4F36">
      <w:pPr>
        <w:pStyle w:val="ListParagraph"/>
        <w:widowControl/>
        <w:numPr>
          <w:ilvl w:val="0"/>
          <w:numId w:val="4"/>
        </w:numPr>
        <w:ind w:left="1077" w:hanging="357"/>
        <w:rPr>
          <w:rFonts w:asciiTheme="minorHAnsi" w:hAnsiTheme="minorHAnsi" w:cstheme="minorHAnsi"/>
          <w:szCs w:val="24"/>
        </w:rPr>
      </w:pPr>
      <w:r w:rsidRPr="00382323">
        <w:t>Testosterone 1% gel pump bottle was recommended for listing for the treatment of androgen deficiency on a cost minimisation basis with Testosterone 1% gel sachet. </w:t>
      </w:r>
      <w:r w:rsidR="00923F79" w:rsidRPr="00923F79">
        <w:rPr>
          <w:rFonts w:asciiTheme="minorHAnsi" w:hAnsiTheme="minorHAnsi" w:cstheme="minorHAnsi"/>
          <w:color w:val="222222"/>
          <w:szCs w:val="24"/>
          <w:shd w:val="clear" w:color="auto" w:fill="FFFFFF"/>
        </w:rPr>
        <w:t>The equi-effective doses are testosterone 1% gel 5 g pump bottle and testosterone 1% gel 5 g gel sachet.</w:t>
      </w:r>
    </w:p>
    <w:p w:rsidR="001B094D" w:rsidRPr="00737C8E" w:rsidRDefault="00382323" w:rsidP="001B094D">
      <w:pPr>
        <w:pStyle w:val="ListParagraph"/>
        <w:widowControl/>
        <w:numPr>
          <w:ilvl w:val="0"/>
          <w:numId w:val="4"/>
        </w:numPr>
        <w:ind w:left="1077" w:hanging="357"/>
        <w:rPr>
          <w:rFonts w:asciiTheme="minorHAnsi" w:hAnsiTheme="minorHAnsi" w:cstheme="minorHAnsi"/>
          <w:szCs w:val="24"/>
        </w:rPr>
      </w:pPr>
      <w:r w:rsidRPr="00923F79">
        <w:rPr>
          <w:rFonts w:asciiTheme="minorHAnsi" w:hAnsiTheme="minorHAnsi" w:cstheme="minorHAnsi"/>
          <w:szCs w:val="24"/>
        </w:rPr>
        <w:t>Testosterone 5% cream was recommended for listing for the treatment of androgen deficiency on a cost minimisation basis with the currently listed testosterone 1% gel.</w:t>
      </w:r>
      <w:r w:rsidR="00923F79" w:rsidRPr="00923F79">
        <w:rPr>
          <w:rFonts w:asciiTheme="minorHAnsi" w:hAnsiTheme="minorHAnsi" w:cstheme="minorHAnsi"/>
          <w:color w:val="222222"/>
          <w:szCs w:val="24"/>
          <w:shd w:val="clear" w:color="auto" w:fill="FFFFFF"/>
        </w:rPr>
        <w:t xml:space="preserve"> The equi effective doses are testosterone 5% cream 100 mg daily and testosterone 1% gel 50 mg daily.</w:t>
      </w:r>
    </w:p>
    <w:p w:rsidR="001B094D" w:rsidRPr="00407F2D" w:rsidRDefault="001B094D" w:rsidP="006D5611">
      <w:pPr>
        <w:pStyle w:val="PBACHeading1"/>
        <w:spacing w:before="240" w:after="120"/>
      </w:pPr>
      <w:bookmarkStart w:id="11" w:name="_Toc520285937"/>
      <w:bookmarkStart w:id="12" w:name="_Toc523307106"/>
      <w:r>
        <w:t>C</w:t>
      </w:r>
      <w:r w:rsidRPr="00407F2D">
        <w:t>onsideration of the evidence</w:t>
      </w:r>
      <w:bookmarkEnd w:id="11"/>
      <w:bookmarkEnd w:id="12"/>
    </w:p>
    <w:p w:rsidR="00550469" w:rsidRPr="00C9624D" w:rsidRDefault="00550469" w:rsidP="003710B9">
      <w:pPr>
        <w:pStyle w:val="Heading2"/>
        <w:spacing w:before="240" w:after="120"/>
      </w:pPr>
      <w:r>
        <w:t>Sponsor hearing</w:t>
      </w:r>
    </w:p>
    <w:p w:rsidR="00550469" w:rsidRPr="00C3391A" w:rsidRDefault="00550469" w:rsidP="00550469">
      <w:pPr>
        <w:pStyle w:val="ListParagraph"/>
        <w:widowControl/>
        <w:numPr>
          <w:ilvl w:val="1"/>
          <w:numId w:val="1"/>
        </w:numPr>
      </w:pPr>
      <w:r>
        <w:t xml:space="preserve">There was no hearing for this item. </w:t>
      </w:r>
    </w:p>
    <w:p w:rsidR="00550469" w:rsidRPr="00C9624D" w:rsidRDefault="00550469" w:rsidP="00550469">
      <w:pPr>
        <w:pStyle w:val="Heading2"/>
        <w:spacing w:before="240" w:after="120"/>
      </w:pPr>
      <w:r>
        <w:t>Consumer comments</w:t>
      </w:r>
    </w:p>
    <w:p w:rsidR="00550469" w:rsidRPr="00C3391A" w:rsidRDefault="00550469" w:rsidP="00831667">
      <w:pPr>
        <w:pStyle w:val="ListParagraph"/>
        <w:widowControl/>
        <w:numPr>
          <w:ilvl w:val="1"/>
          <w:numId w:val="1"/>
        </w:numPr>
      </w:pPr>
      <w:r>
        <w:t xml:space="preserve">The PBAC noted that no consumer comments were received for this item. </w:t>
      </w:r>
    </w:p>
    <w:p w:rsidR="001B094D" w:rsidRPr="00C9624D" w:rsidRDefault="001B094D" w:rsidP="00F77C40">
      <w:pPr>
        <w:pStyle w:val="Heading2"/>
        <w:spacing w:after="120"/>
      </w:pPr>
      <w:bookmarkStart w:id="13" w:name="_Toc520285938"/>
      <w:bookmarkStart w:id="14" w:name="_Toc523307107"/>
      <w:r w:rsidRPr="00C9624D">
        <w:t>Clinical trials</w:t>
      </w:r>
      <w:bookmarkEnd w:id="13"/>
      <w:bookmarkEnd w:id="14"/>
    </w:p>
    <w:p w:rsidR="001B094D" w:rsidRPr="00212CC9" w:rsidRDefault="001B094D" w:rsidP="00B068D3">
      <w:pPr>
        <w:pStyle w:val="ListParagraph"/>
        <w:widowControl/>
        <w:numPr>
          <w:ilvl w:val="1"/>
          <w:numId w:val="1"/>
        </w:numPr>
      </w:pPr>
      <w:r>
        <w:rPr>
          <w:rFonts w:cs="Calibri"/>
          <w:snapToGrid/>
          <w:szCs w:val="24"/>
          <w:lang w:val="en-US" w:eastAsia="en-AU"/>
        </w:rPr>
        <w:t>The submission presented a naïve indirect comparison based on the following studies</w:t>
      </w:r>
      <w:r w:rsidR="003B6D34">
        <w:rPr>
          <w:rFonts w:cs="Calibri"/>
          <w:snapToGrid/>
          <w:szCs w:val="24"/>
          <w:lang w:val="en-US" w:eastAsia="en-AU"/>
        </w:rPr>
        <w:t xml:space="preserve"> (n</w:t>
      </w:r>
      <w:r w:rsidR="003B6D34" w:rsidRPr="00C3391A">
        <w:rPr>
          <w:rFonts w:cs="Calibri"/>
          <w:snapToGrid/>
          <w:szCs w:val="24"/>
          <w:lang w:val="en-US" w:eastAsia="en-AU"/>
        </w:rPr>
        <w:t>ote that when doses are cited they refer to the dose of testosterone rather than the dose of gel</w:t>
      </w:r>
      <w:r w:rsidR="003B6D34">
        <w:rPr>
          <w:rFonts w:cs="Calibri"/>
          <w:snapToGrid/>
          <w:szCs w:val="24"/>
          <w:lang w:val="en-US" w:eastAsia="en-AU"/>
        </w:rPr>
        <w:t>):</w:t>
      </w:r>
    </w:p>
    <w:p w:rsidR="001B094D" w:rsidRPr="00A874C0" w:rsidRDefault="001B094D" w:rsidP="004D4F36">
      <w:pPr>
        <w:pStyle w:val="ListParagraph"/>
        <w:widowControl/>
        <w:numPr>
          <w:ilvl w:val="0"/>
          <w:numId w:val="4"/>
        </w:numPr>
        <w:ind w:left="1077" w:hanging="357"/>
      </w:pPr>
      <w:r w:rsidRPr="00A874C0">
        <w:t xml:space="preserve">Study 127 (N = 159) was a Phase 3, open-label, single arm study </w:t>
      </w:r>
      <w:r>
        <w:t>evaluating</w:t>
      </w:r>
      <w:r w:rsidRPr="00A874C0">
        <w:t xml:space="preserve"> the efficacy and safety of testosterone 2% EP gel, in adult </w:t>
      </w:r>
      <w:r>
        <w:t>men with androgen deficiency</w:t>
      </w:r>
      <w:r w:rsidRPr="00A874C0">
        <w:t>, diagnosed on the basis of two fasting morning testost</w:t>
      </w:r>
      <w:r>
        <w:t>erone levels &lt;</w:t>
      </w:r>
      <w:r w:rsidRPr="00A874C0">
        <w:t>10.4</w:t>
      </w:r>
      <w:r>
        <w:t> </w:t>
      </w:r>
      <w:proofErr w:type="spellStart"/>
      <w:r w:rsidRPr="00A874C0">
        <w:t>nmol</w:t>
      </w:r>
      <w:proofErr w:type="spellEnd"/>
      <w:r w:rsidRPr="00A874C0">
        <w:t xml:space="preserve">/L, taken at least 3 </w:t>
      </w:r>
      <w:r w:rsidRPr="003E01EA">
        <w:t xml:space="preserve">days apart. The primary efficacy analysis was performed at </w:t>
      </w:r>
      <w:r w:rsidR="002845E5">
        <w:t>day</w:t>
      </w:r>
      <w:r w:rsidRPr="003E01EA">
        <w:t xml:space="preserve"> 90 from initiation of therapy. </w:t>
      </w:r>
    </w:p>
    <w:p w:rsidR="00D4290D" w:rsidRPr="003B6D34" w:rsidRDefault="001B094D" w:rsidP="004D4F36">
      <w:pPr>
        <w:pStyle w:val="ListParagraph"/>
        <w:widowControl/>
        <w:numPr>
          <w:ilvl w:val="0"/>
          <w:numId w:val="4"/>
        </w:numPr>
        <w:ind w:left="1077" w:hanging="357"/>
      </w:pPr>
      <w:proofErr w:type="spellStart"/>
      <w:r w:rsidRPr="00A874C0">
        <w:t>Swerdloff</w:t>
      </w:r>
      <w:proofErr w:type="spellEnd"/>
      <w:r w:rsidRPr="00A874C0">
        <w:t xml:space="preserve"> 2000 (N = 227) was a </w:t>
      </w:r>
      <w:r>
        <w:t xml:space="preserve">three arm </w:t>
      </w:r>
      <w:r w:rsidRPr="00A874C0">
        <w:t>randomised trial</w:t>
      </w:r>
      <w:r>
        <w:t xml:space="preserve"> in </w:t>
      </w:r>
      <w:proofErr w:type="spellStart"/>
      <w:r>
        <w:t>hypogonadal</w:t>
      </w:r>
      <w:proofErr w:type="spellEnd"/>
      <w:r>
        <w:t xml:space="preserve"> men</w:t>
      </w:r>
      <w:r w:rsidRPr="002602B0">
        <w:t xml:space="preserve"> </w:t>
      </w:r>
      <w:r>
        <w:t xml:space="preserve">with </w:t>
      </w:r>
      <w:r w:rsidRPr="00A874C0">
        <w:t xml:space="preserve">a single morning </w:t>
      </w:r>
      <w:r>
        <w:t xml:space="preserve">screening </w:t>
      </w:r>
      <w:r w:rsidRPr="00A874C0">
        <w:t xml:space="preserve">serum testosterone level of ≤ 10.4 </w:t>
      </w:r>
      <w:proofErr w:type="spellStart"/>
      <w:r w:rsidRPr="00A874C0">
        <w:t>nmol</w:t>
      </w:r>
      <w:proofErr w:type="spellEnd"/>
      <w:r w:rsidRPr="00A874C0">
        <w:t>/L</w:t>
      </w:r>
      <w:r>
        <w:t xml:space="preserve">. Patients were randomised to receive one of two doses of </w:t>
      </w:r>
      <w:r w:rsidRPr="00A874C0">
        <w:t>testosterone 1% gel (50</w:t>
      </w:r>
      <w:r>
        <w:t> </w:t>
      </w:r>
      <w:r w:rsidRPr="00A874C0">
        <w:t>mg</w:t>
      </w:r>
      <w:r>
        <w:t xml:space="preserve"> testosterone</w:t>
      </w:r>
      <w:r w:rsidRPr="00A874C0">
        <w:t xml:space="preserve">/day </w:t>
      </w:r>
      <w:r>
        <w:t>or</w:t>
      </w:r>
      <w:r w:rsidRPr="00A874C0">
        <w:t xml:space="preserve"> 100</w:t>
      </w:r>
      <w:r>
        <w:t> </w:t>
      </w:r>
      <w:r w:rsidRPr="00A874C0">
        <w:t>mg</w:t>
      </w:r>
      <w:r>
        <w:t xml:space="preserve"> testosterone</w:t>
      </w:r>
      <w:r w:rsidRPr="00A874C0">
        <w:t>/day)</w:t>
      </w:r>
      <w:r>
        <w:t>,</w:t>
      </w:r>
      <w:r w:rsidRPr="00A874C0">
        <w:t xml:space="preserve"> </w:t>
      </w:r>
      <w:r>
        <w:t>or</w:t>
      </w:r>
      <w:r w:rsidRPr="00A874C0">
        <w:t xml:space="preserve"> a testosterone patch (5.0</w:t>
      </w:r>
      <w:r>
        <w:t> mg</w:t>
      </w:r>
      <w:r w:rsidRPr="00A874C0">
        <w:t xml:space="preserve"> </w:t>
      </w:r>
      <w:r>
        <w:t>testosterone</w:t>
      </w:r>
      <w:r w:rsidRPr="00A874C0">
        <w:t xml:space="preserve">/day) </w:t>
      </w:r>
      <w:r>
        <w:t xml:space="preserve">for 90 days, during which time the study was double-blind </w:t>
      </w:r>
      <w:r w:rsidRPr="00A874C0">
        <w:t>with respect to the gels</w:t>
      </w:r>
      <w:r>
        <w:t xml:space="preserve">. At 90 days, a single adjustment of the dose of testosterone 1% gel was allowed and patients could continue in an open-label phase, with final efficacy assessments performed on </w:t>
      </w:r>
      <w:r w:rsidR="002845E5">
        <w:t>day</w:t>
      </w:r>
      <w:r>
        <w:t xml:space="preserve"> 180. </w:t>
      </w:r>
    </w:p>
    <w:p w:rsidR="001B094D" w:rsidRPr="00C3391A" w:rsidRDefault="00C6451B" w:rsidP="00B068D3">
      <w:pPr>
        <w:pStyle w:val="ListParagraph"/>
        <w:widowControl/>
        <w:numPr>
          <w:ilvl w:val="1"/>
          <w:numId w:val="1"/>
        </w:numPr>
      </w:pPr>
      <w:r>
        <w:t>I</w:t>
      </w:r>
      <w:r w:rsidR="001B094D" w:rsidRPr="00C3391A">
        <w:t>t was not clear how many of the patients enrolled i</w:t>
      </w:r>
      <w:r w:rsidR="00496A43" w:rsidRPr="00C3391A">
        <w:t>n Study 127 would have been elig</w:t>
      </w:r>
      <w:r w:rsidR="001B094D" w:rsidRPr="00C3391A">
        <w:t xml:space="preserve">ible for PBS-subsidised treatment. In </w:t>
      </w:r>
      <w:proofErr w:type="spellStart"/>
      <w:r w:rsidR="001B094D" w:rsidRPr="00C3391A">
        <w:t>Swerdloff</w:t>
      </w:r>
      <w:proofErr w:type="spellEnd"/>
      <w:r w:rsidR="001B094D" w:rsidRPr="00C3391A">
        <w:t xml:space="preserve"> 2000, approximately 60% of the patients randomised to testosterone 1% had well defined primary or secondary </w:t>
      </w:r>
      <w:r w:rsidR="001B094D" w:rsidRPr="00C3391A">
        <w:lastRenderedPageBreak/>
        <w:t xml:space="preserve">hypogonadism, and would have been eligible for PBS-subsidised testosterone under Restriction 1. Thirteen percent of patients had age-related androgen deficiency, while the proportion of the remaining subjects (classified as </w:t>
      </w:r>
      <w:proofErr w:type="spellStart"/>
      <w:r w:rsidR="001B094D" w:rsidRPr="00C3391A">
        <w:t>normogonadotropic</w:t>
      </w:r>
      <w:proofErr w:type="spellEnd"/>
      <w:r w:rsidR="001B094D" w:rsidRPr="00C3391A">
        <w:t xml:space="preserve"> hypogonadism) who would have met the criteria in Restriction 2 was uncertain. </w:t>
      </w:r>
    </w:p>
    <w:p w:rsidR="001B094D" w:rsidRPr="00C3391A" w:rsidRDefault="001B094D" w:rsidP="00B068D3">
      <w:pPr>
        <w:pStyle w:val="ListParagraph"/>
        <w:widowControl/>
        <w:numPr>
          <w:ilvl w:val="1"/>
          <w:numId w:val="1"/>
        </w:numPr>
      </w:pPr>
      <w:r w:rsidRPr="00C3391A">
        <w:rPr>
          <w:rFonts w:cs="Calibri"/>
          <w:snapToGrid/>
          <w:szCs w:val="24"/>
          <w:lang w:eastAsia="en-AU"/>
        </w:rPr>
        <w:t xml:space="preserve">The submission also presented one small (N=11) Phase 1, head-to-head randomised open-label cross-over pharmacokinetic study (CS02) </w:t>
      </w:r>
      <w:r w:rsidRPr="00C3391A">
        <w:t xml:space="preserve">of three testosterone preparations; testosterone 1% EP gel, testosterone 2% EP gel and testosterone 1% gel in down-regulated healthy men. CS02 </w:t>
      </w:r>
      <w:r w:rsidRPr="00C3391A">
        <w:rPr>
          <w:rFonts w:asciiTheme="minorHAnsi" w:hAnsiTheme="minorHAnsi" w:cstheme="minorHAnsi"/>
        </w:rPr>
        <w:t xml:space="preserve">enrolled healthy adult men with suppressed endogenous testosterone production to mimic hypogonadism. </w:t>
      </w:r>
      <w:r w:rsidR="003B6D34">
        <w:rPr>
          <w:rFonts w:asciiTheme="minorHAnsi" w:hAnsiTheme="minorHAnsi" w:cstheme="minorHAnsi"/>
        </w:rPr>
        <w:t>Therefore,</w:t>
      </w:r>
      <w:r w:rsidRPr="00C3391A">
        <w:rPr>
          <w:rFonts w:asciiTheme="minorHAnsi" w:hAnsiTheme="minorHAnsi" w:cstheme="minorHAnsi"/>
        </w:rPr>
        <w:t xml:space="preserve"> the patient group was not representative of any of the 5 groups in the requested listing.</w:t>
      </w:r>
    </w:p>
    <w:p w:rsidR="001B094D" w:rsidRPr="00B50DB8" w:rsidRDefault="001B094D" w:rsidP="00B068D3">
      <w:pPr>
        <w:pStyle w:val="ListParagraph"/>
        <w:widowControl/>
        <w:numPr>
          <w:ilvl w:val="1"/>
          <w:numId w:val="1"/>
        </w:numPr>
      </w:pPr>
      <w:r>
        <w:rPr>
          <w:rFonts w:cs="Calibri"/>
          <w:snapToGrid/>
          <w:szCs w:val="24"/>
          <w:lang w:val="en-US" w:eastAsia="en-AU"/>
        </w:rPr>
        <w:t>Details of the studies presented in the submission are provided in the table below.</w:t>
      </w:r>
      <w:r w:rsidR="002D3173">
        <w:rPr>
          <w:rFonts w:cs="Calibri"/>
          <w:snapToGrid/>
          <w:szCs w:val="24"/>
          <w:lang w:val="en-US" w:eastAsia="en-AU"/>
        </w:rPr>
        <w:t xml:space="preserve"> </w:t>
      </w:r>
    </w:p>
    <w:p w:rsidR="001B094D" w:rsidRDefault="001B094D" w:rsidP="001B094D">
      <w:pPr>
        <w:pStyle w:val="Caption"/>
        <w:rPr>
          <w:rStyle w:val="CommentReference"/>
          <w:b/>
        </w:rPr>
      </w:pPr>
      <w:r w:rsidRPr="006B3C0B">
        <w:rPr>
          <w:rStyle w:val="CommentReference"/>
          <w:b/>
        </w:rPr>
        <w:t xml:space="preserve">Table </w:t>
      </w:r>
      <w:r w:rsidR="00AB4F41">
        <w:rPr>
          <w:rStyle w:val="CommentReference"/>
          <w:b/>
          <w:noProof/>
        </w:rPr>
        <w:t>2</w:t>
      </w:r>
      <w:r w:rsidRPr="006B3C0B">
        <w:rPr>
          <w:rStyle w:val="CommentReference"/>
          <w:b/>
        </w:rPr>
        <w:t xml:space="preserve">: </w:t>
      </w:r>
      <w:r>
        <w:rPr>
          <w:rStyle w:val="CommentReference"/>
          <w:b/>
        </w:rPr>
        <w:t>Studies</w:t>
      </w:r>
      <w:r w:rsidRPr="006B3C0B">
        <w:rPr>
          <w:rStyle w:val="CommentReference"/>
          <w:b/>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1B094D" w:rsidRPr="00B41614" w:rsidTr="00A7369A">
        <w:trPr>
          <w:tblHeader/>
        </w:trPr>
        <w:tc>
          <w:tcPr>
            <w:tcW w:w="796" w:type="pct"/>
            <w:shd w:val="clear" w:color="auto" w:fill="FFFFFF" w:themeFill="background1"/>
            <w:vAlign w:val="center"/>
          </w:tcPr>
          <w:p w:rsidR="001B094D" w:rsidRPr="00B41614" w:rsidRDefault="001B094D" w:rsidP="00A7369A">
            <w:pPr>
              <w:pStyle w:val="Tabletext"/>
              <w:rPr>
                <w:b/>
              </w:rPr>
            </w:pPr>
            <w:r w:rsidRPr="00B41614">
              <w:rPr>
                <w:b/>
              </w:rPr>
              <w:t>Trial ID</w:t>
            </w:r>
          </w:p>
        </w:tc>
        <w:tc>
          <w:tcPr>
            <w:tcW w:w="3027" w:type="pct"/>
            <w:shd w:val="clear" w:color="auto" w:fill="FFFFFF" w:themeFill="background1"/>
            <w:vAlign w:val="center"/>
          </w:tcPr>
          <w:p w:rsidR="001B094D" w:rsidRPr="00B41614" w:rsidRDefault="001B094D" w:rsidP="00A7369A">
            <w:pPr>
              <w:pStyle w:val="Tabletext"/>
              <w:jc w:val="center"/>
              <w:rPr>
                <w:b/>
              </w:rPr>
            </w:pPr>
            <w:r w:rsidRPr="00B41614">
              <w:rPr>
                <w:b/>
              </w:rPr>
              <w:t>Protocol title/ Publication title</w:t>
            </w:r>
          </w:p>
        </w:tc>
        <w:tc>
          <w:tcPr>
            <w:tcW w:w="1177" w:type="pct"/>
            <w:shd w:val="clear" w:color="auto" w:fill="FFFFFF" w:themeFill="background1"/>
            <w:vAlign w:val="center"/>
          </w:tcPr>
          <w:p w:rsidR="001B094D" w:rsidRPr="00B41614" w:rsidRDefault="001B094D" w:rsidP="00A7369A">
            <w:pPr>
              <w:pStyle w:val="Tabletext"/>
              <w:jc w:val="center"/>
              <w:rPr>
                <w:b/>
              </w:rPr>
            </w:pPr>
            <w:r w:rsidRPr="00B41614">
              <w:rPr>
                <w:b/>
              </w:rPr>
              <w:t>Publication citation</w:t>
            </w:r>
          </w:p>
        </w:tc>
      </w:tr>
      <w:tr w:rsidR="001B094D" w:rsidRPr="008A046E" w:rsidTr="00A7369A">
        <w:tc>
          <w:tcPr>
            <w:tcW w:w="5000" w:type="pct"/>
            <w:gridSpan w:val="3"/>
            <w:tcBorders>
              <w:bottom w:val="single" w:sz="4" w:space="0" w:color="auto"/>
            </w:tcBorders>
          </w:tcPr>
          <w:p w:rsidR="001B094D" w:rsidRPr="008A046E" w:rsidRDefault="001B094D" w:rsidP="00A7369A">
            <w:pPr>
              <w:pStyle w:val="Tabletext"/>
              <w:rPr>
                <w:b/>
                <w:szCs w:val="18"/>
                <w:lang w:eastAsia="en-AU"/>
              </w:rPr>
            </w:pPr>
            <w:r w:rsidRPr="008A046E">
              <w:rPr>
                <w:b/>
                <w:szCs w:val="18"/>
                <w:lang w:eastAsia="en-AU"/>
              </w:rPr>
              <w:t>Testosterone 2% EP gel</w:t>
            </w:r>
          </w:p>
        </w:tc>
      </w:tr>
      <w:tr w:rsidR="001B094D" w:rsidRPr="00D2463B" w:rsidTr="00A7369A">
        <w:tc>
          <w:tcPr>
            <w:tcW w:w="796" w:type="pct"/>
            <w:tcBorders>
              <w:bottom w:val="nil"/>
            </w:tcBorders>
          </w:tcPr>
          <w:p w:rsidR="001B094D" w:rsidRDefault="001B094D" w:rsidP="00A7369A">
            <w:pPr>
              <w:pStyle w:val="Tabletext"/>
              <w:spacing w:after="40"/>
            </w:pPr>
            <w:r>
              <w:t>Study 127</w:t>
            </w:r>
          </w:p>
          <w:p w:rsidR="001B094D" w:rsidRPr="00CB38A8" w:rsidRDefault="001B094D" w:rsidP="00A7369A">
            <w:pPr>
              <w:pStyle w:val="Tabletext"/>
              <w:spacing w:after="40"/>
            </w:pPr>
          </w:p>
        </w:tc>
        <w:tc>
          <w:tcPr>
            <w:tcW w:w="3027" w:type="pct"/>
            <w:tcBorders>
              <w:bottom w:val="nil"/>
            </w:tcBorders>
            <w:vAlign w:val="center"/>
          </w:tcPr>
          <w:p w:rsidR="001B094D" w:rsidRPr="00E34A35" w:rsidRDefault="001B094D" w:rsidP="00A7369A">
            <w:pPr>
              <w:pStyle w:val="Tabletext"/>
              <w:spacing w:after="40"/>
              <w:rPr>
                <w:szCs w:val="18"/>
                <w:lang w:eastAsia="en-AU"/>
              </w:rPr>
            </w:pPr>
            <w:r>
              <w:rPr>
                <w:szCs w:val="18"/>
                <w:lang w:eastAsia="en-AU"/>
              </w:rPr>
              <w:t xml:space="preserve">Clinical Study Report. A Phase 3, Open-Label, Non-Randomised, Clinical Trial to Evaluate the Efficacy and Safety of FE 999303 (Testosterone Gel) in Adult </w:t>
            </w:r>
            <w:proofErr w:type="spellStart"/>
            <w:r>
              <w:rPr>
                <w:szCs w:val="18"/>
                <w:lang w:eastAsia="en-AU"/>
              </w:rPr>
              <w:t>Hypogonadal</w:t>
            </w:r>
            <w:proofErr w:type="spellEnd"/>
            <w:r>
              <w:rPr>
                <w:szCs w:val="18"/>
                <w:lang w:eastAsia="en-AU"/>
              </w:rPr>
              <w:t xml:space="preserve"> Males.</w:t>
            </w:r>
          </w:p>
        </w:tc>
        <w:tc>
          <w:tcPr>
            <w:tcW w:w="1177" w:type="pct"/>
            <w:tcBorders>
              <w:bottom w:val="nil"/>
            </w:tcBorders>
          </w:tcPr>
          <w:p w:rsidR="001B094D" w:rsidRDefault="001B094D" w:rsidP="00A7369A">
            <w:pPr>
              <w:pStyle w:val="Tabletext"/>
              <w:spacing w:after="40"/>
              <w:rPr>
                <w:szCs w:val="18"/>
                <w:lang w:eastAsia="en-AU"/>
              </w:rPr>
            </w:pPr>
            <w:r>
              <w:rPr>
                <w:szCs w:val="18"/>
                <w:lang w:eastAsia="en-AU"/>
              </w:rPr>
              <w:t>November 2015</w:t>
            </w:r>
          </w:p>
          <w:p w:rsidR="001B094D" w:rsidRDefault="001B094D" w:rsidP="00A7369A">
            <w:pPr>
              <w:pStyle w:val="Tabletext"/>
              <w:spacing w:after="40"/>
              <w:rPr>
                <w:szCs w:val="18"/>
                <w:lang w:eastAsia="en-AU"/>
              </w:rPr>
            </w:pPr>
          </w:p>
          <w:p w:rsidR="001B094D" w:rsidRPr="00D2463B" w:rsidRDefault="001B094D" w:rsidP="00A7369A">
            <w:pPr>
              <w:pStyle w:val="Tabletext"/>
              <w:spacing w:after="40"/>
              <w:rPr>
                <w:i/>
                <w:szCs w:val="18"/>
                <w:lang w:eastAsia="en-AU"/>
              </w:rPr>
            </w:pPr>
          </w:p>
        </w:tc>
      </w:tr>
      <w:tr w:rsidR="001B094D" w:rsidRPr="00D2463B" w:rsidTr="00A7369A">
        <w:tc>
          <w:tcPr>
            <w:tcW w:w="796" w:type="pct"/>
            <w:tcBorders>
              <w:top w:val="nil"/>
            </w:tcBorders>
          </w:tcPr>
          <w:p w:rsidR="001B094D" w:rsidRDefault="001B094D" w:rsidP="00A7369A">
            <w:pPr>
              <w:pStyle w:val="Tabletext"/>
            </w:pPr>
          </w:p>
        </w:tc>
        <w:tc>
          <w:tcPr>
            <w:tcW w:w="3027" w:type="pct"/>
            <w:tcBorders>
              <w:top w:val="nil"/>
            </w:tcBorders>
            <w:vAlign w:val="center"/>
          </w:tcPr>
          <w:p w:rsidR="001B094D" w:rsidRDefault="001B094D" w:rsidP="00A7369A">
            <w:pPr>
              <w:pStyle w:val="Tabletext"/>
              <w:rPr>
                <w:szCs w:val="18"/>
                <w:lang w:eastAsia="en-AU"/>
              </w:rPr>
            </w:pPr>
            <w:r>
              <w:rPr>
                <w:szCs w:val="18"/>
                <w:lang w:eastAsia="en-AU"/>
              </w:rPr>
              <w:t xml:space="preserve">Cunningham G, </w:t>
            </w:r>
            <w:proofErr w:type="spellStart"/>
            <w:r>
              <w:rPr>
                <w:szCs w:val="18"/>
                <w:lang w:eastAsia="en-AU"/>
              </w:rPr>
              <w:t>Belkoff</w:t>
            </w:r>
            <w:proofErr w:type="spellEnd"/>
            <w:r>
              <w:rPr>
                <w:szCs w:val="18"/>
                <w:lang w:eastAsia="en-AU"/>
              </w:rPr>
              <w:t xml:space="preserve"> L et al. Efficacy and Safety of a New Topical Testosterone Replacement Gel Therapy for the Treatment of Male Hypogonadism.</w:t>
            </w:r>
          </w:p>
        </w:tc>
        <w:tc>
          <w:tcPr>
            <w:tcW w:w="1177" w:type="pct"/>
            <w:tcBorders>
              <w:top w:val="nil"/>
            </w:tcBorders>
          </w:tcPr>
          <w:p w:rsidR="001B094D" w:rsidRDefault="001B094D" w:rsidP="00A7369A">
            <w:pPr>
              <w:pStyle w:val="Tabletext"/>
              <w:rPr>
                <w:szCs w:val="18"/>
                <w:lang w:eastAsia="en-AU"/>
              </w:rPr>
            </w:pPr>
            <w:proofErr w:type="spellStart"/>
            <w:r w:rsidRPr="00D2463B">
              <w:rPr>
                <w:i/>
                <w:szCs w:val="18"/>
                <w:lang w:eastAsia="en-AU"/>
              </w:rPr>
              <w:t>Endocr</w:t>
            </w:r>
            <w:proofErr w:type="spellEnd"/>
            <w:r w:rsidRPr="00D2463B">
              <w:rPr>
                <w:i/>
                <w:szCs w:val="18"/>
                <w:lang w:eastAsia="en-AU"/>
              </w:rPr>
              <w:t xml:space="preserve"> </w:t>
            </w:r>
            <w:proofErr w:type="spellStart"/>
            <w:r w:rsidRPr="00D2463B">
              <w:rPr>
                <w:i/>
                <w:szCs w:val="18"/>
                <w:lang w:eastAsia="en-AU"/>
              </w:rPr>
              <w:t>Pract</w:t>
            </w:r>
            <w:proofErr w:type="spellEnd"/>
            <w:r w:rsidRPr="00D2463B">
              <w:rPr>
                <w:i/>
                <w:szCs w:val="18"/>
                <w:lang w:eastAsia="en-AU"/>
              </w:rPr>
              <w:t xml:space="preserve"> </w:t>
            </w:r>
            <w:r w:rsidRPr="001E6D0E">
              <w:rPr>
                <w:szCs w:val="18"/>
                <w:lang w:eastAsia="en-AU"/>
              </w:rPr>
              <w:t>2017; 23:557-565</w:t>
            </w:r>
          </w:p>
        </w:tc>
      </w:tr>
      <w:tr w:rsidR="001B094D" w:rsidRPr="008A046E" w:rsidTr="00A7369A">
        <w:tc>
          <w:tcPr>
            <w:tcW w:w="5000" w:type="pct"/>
            <w:gridSpan w:val="3"/>
            <w:tcBorders>
              <w:bottom w:val="single" w:sz="4" w:space="0" w:color="auto"/>
            </w:tcBorders>
            <w:vAlign w:val="center"/>
          </w:tcPr>
          <w:p w:rsidR="001B094D" w:rsidRPr="008A046E" w:rsidRDefault="001B094D" w:rsidP="00A7369A">
            <w:pPr>
              <w:pStyle w:val="Tabletext"/>
              <w:rPr>
                <w:b/>
                <w:szCs w:val="18"/>
                <w:lang w:val="en-US" w:eastAsia="en-AU"/>
              </w:rPr>
            </w:pPr>
            <w:r w:rsidRPr="008A046E">
              <w:rPr>
                <w:b/>
                <w:szCs w:val="18"/>
                <w:lang w:val="en-US" w:eastAsia="en-AU"/>
              </w:rPr>
              <w:t xml:space="preserve">Testosterone 1% gel </w:t>
            </w:r>
          </w:p>
        </w:tc>
      </w:tr>
      <w:tr w:rsidR="001B094D" w:rsidRPr="00BF0C95" w:rsidTr="00A7369A">
        <w:tc>
          <w:tcPr>
            <w:tcW w:w="796" w:type="pct"/>
            <w:tcBorders>
              <w:bottom w:val="nil"/>
            </w:tcBorders>
          </w:tcPr>
          <w:p w:rsidR="001B094D" w:rsidRPr="00BF0C95" w:rsidRDefault="001B094D" w:rsidP="00A7369A">
            <w:pPr>
              <w:pStyle w:val="Tabletext"/>
              <w:spacing w:after="40"/>
            </w:pPr>
            <w:proofErr w:type="spellStart"/>
            <w:r w:rsidRPr="00BF0C95">
              <w:t>Swerdloff</w:t>
            </w:r>
            <w:proofErr w:type="spellEnd"/>
            <w:r w:rsidRPr="00BF0C95">
              <w:t xml:space="preserve"> </w:t>
            </w:r>
            <w:r>
              <w:t>2000</w:t>
            </w:r>
            <w:r w:rsidR="002D3173">
              <w:t xml:space="preserve"> </w:t>
            </w:r>
          </w:p>
        </w:tc>
        <w:tc>
          <w:tcPr>
            <w:tcW w:w="3027" w:type="pct"/>
            <w:tcBorders>
              <w:bottom w:val="nil"/>
            </w:tcBorders>
          </w:tcPr>
          <w:p w:rsidR="001B094D" w:rsidRPr="00FE5356" w:rsidRDefault="001B094D" w:rsidP="00A7369A">
            <w:pPr>
              <w:pStyle w:val="Tabletext"/>
              <w:spacing w:after="40"/>
            </w:pPr>
            <w:proofErr w:type="spellStart"/>
            <w:r w:rsidRPr="00FE5356">
              <w:t>Swerdloff</w:t>
            </w:r>
            <w:proofErr w:type="spellEnd"/>
            <w:r w:rsidRPr="00FE5356">
              <w:t xml:space="preserve"> R, Wang C et al. Long-Term Pharmacokinetics of Transdermal Testosterone Gel in </w:t>
            </w:r>
            <w:proofErr w:type="spellStart"/>
            <w:r w:rsidRPr="00FE5356">
              <w:t>Hypogonadal</w:t>
            </w:r>
            <w:proofErr w:type="spellEnd"/>
            <w:r w:rsidRPr="00FE5356">
              <w:t xml:space="preserve"> Men.</w:t>
            </w:r>
          </w:p>
        </w:tc>
        <w:tc>
          <w:tcPr>
            <w:tcW w:w="1177" w:type="pct"/>
            <w:tcBorders>
              <w:bottom w:val="nil"/>
            </w:tcBorders>
          </w:tcPr>
          <w:p w:rsidR="001B094D" w:rsidRPr="00FE5356" w:rsidRDefault="001B094D" w:rsidP="00A7369A">
            <w:pPr>
              <w:pStyle w:val="Tabletext"/>
              <w:spacing w:after="40"/>
            </w:pPr>
            <w:r w:rsidRPr="009F3567">
              <w:rPr>
                <w:i/>
              </w:rPr>
              <w:t xml:space="preserve">J </w:t>
            </w:r>
            <w:proofErr w:type="spellStart"/>
            <w:r w:rsidRPr="009F3567">
              <w:rPr>
                <w:i/>
              </w:rPr>
              <w:t>Clin</w:t>
            </w:r>
            <w:proofErr w:type="spellEnd"/>
            <w:r w:rsidRPr="009F3567">
              <w:rPr>
                <w:i/>
              </w:rPr>
              <w:t xml:space="preserve"> </w:t>
            </w:r>
            <w:proofErr w:type="spellStart"/>
            <w:r w:rsidRPr="009F3567">
              <w:rPr>
                <w:i/>
              </w:rPr>
              <w:t>Endocrinol</w:t>
            </w:r>
            <w:proofErr w:type="spellEnd"/>
            <w:r w:rsidRPr="009F3567">
              <w:rPr>
                <w:i/>
              </w:rPr>
              <w:t xml:space="preserve"> </w:t>
            </w:r>
            <w:proofErr w:type="spellStart"/>
            <w:r w:rsidRPr="009F3567">
              <w:rPr>
                <w:i/>
              </w:rPr>
              <w:t>Metab</w:t>
            </w:r>
            <w:proofErr w:type="spellEnd"/>
            <w:r w:rsidRPr="00FE5356">
              <w:t xml:space="preserve"> 2000; 85:4500-4510</w:t>
            </w:r>
          </w:p>
        </w:tc>
      </w:tr>
      <w:tr w:rsidR="001B094D" w:rsidRPr="00BF0C95" w:rsidTr="00A7369A">
        <w:tc>
          <w:tcPr>
            <w:tcW w:w="796" w:type="pct"/>
            <w:tcBorders>
              <w:top w:val="nil"/>
              <w:bottom w:val="nil"/>
            </w:tcBorders>
          </w:tcPr>
          <w:p w:rsidR="001B094D" w:rsidRPr="00BF0C95" w:rsidRDefault="001B094D" w:rsidP="00A7369A">
            <w:pPr>
              <w:pStyle w:val="Tabletext"/>
              <w:spacing w:after="40"/>
            </w:pPr>
          </w:p>
        </w:tc>
        <w:tc>
          <w:tcPr>
            <w:tcW w:w="3027" w:type="pct"/>
            <w:tcBorders>
              <w:top w:val="nil"/>
              <w:bottom w:val="nil"/>
            </w:tcBorders>
          </w:tcPr>
          <w:p w:rsidR="001B094D" w:rsidRPr="00FE5356" w:rsidRDefault="001B094D" w:rsidP="00A7369A">
            <w:pPr>
              <w:pStyle w:val="Tabletext"/>
              <w:spacing w:after="40"/>
            </w:pPr>
            <w:r w:rsidRPr="00FE5356">
              <w:t xml:space="preserve">Wang C, </w:t>
            </w:r>
            <w:proofErr w:type="spellStart"/>
            <w:r w:rsidRPr="00FE5356">
              <w:t>Swerdloff</w:t>
            </w:r>
            <w:proofErr w:type="spellEnd"/>
            <w:r w:rsidRPr="00FE5356">
              <w:t xml:space="preserve"> R et al. Transdermal Testosterone Gel Improves Sexual Function, Mood, Muscle Strength, and Body Composition Parameters in </w:t>
            </w:r>
            <w:proofErr w:type="spellStart"/>
            <w:r w:rsidRPr="00FE5356">
              <w:t>Hypogonadal</w:t>
            </w:r>
            <w:proofErr w:type="spellEnd"/>
            <w:r w:rsidRPr="00FE5356">
              <w:t xml:space="preserve"> Men.</w:t>
            </w:r>
          </w:p>
        </w:tc>
        <w:tc>
          <w:tcPr>
            <w:tcW w:w="1177" w:type="pct"/>
            <w:tcBorders>
              <w:top w:val="nil"/>
              <w:bottom w:val="nil"/>
            </w:tcBorders>
          </w:tcPr>
          <w:p w:rsidR="001B094D" w:rsidRPr="00FE5356" w:rsidRDefault="001B094D" w:rsidP="00A7369A">
            <w:pPr>
              <w:pStyle w:val="Tabletext"/>
              <w:spacing w:after="40"/>
            </w:pPr>
            <w:r w:rsidRPr="009F3567">
              <w:rPr>
                <w:i/>
              </w:rPr>
              <w:t xml:space="preserve">J </w:t>
            </w:r>
            <w:proofErr w:type="spellStart"/>
            <w:r w:rsidRPr="009F3567">
              <w:rPr>
                <w:i/>
              </w:rPr>
              <w:t>Clin</w:t>
            </w:r>
            <w:proofErr w:type="spellEnd"/>
            <w:r w:rsidRPr="009F3567">
              <w:rPr>
                <w:i/>
              </w:rPr>
              <w:t xml:space="preserve"> </w:t>
            </w:r>
            <w:proofErr w:type="spellStart"/>
            <w:r w:rsidRPr="009F3567">
              <w:rPr>
                <w:i/>
              </w:rPr>
              <w:t>Endocrinol</w:t>
            </w:r>
            <w:proofErr w:type="spellEnd"/>
            <w:r w:rsidRPr="009F3567">
              <w:rPr>
                <w:i/>
              </w:rPr>
              <w:t xml:space="preserve"> </w:t>
            </w:r>
            <w:proofErr w:type="spellStart"/>
            <w:r w:rsidRPr="009F3567">
              <w:rPr>
                <w:i/>
              </w:rPr>
              <w:t>Metab</w:t>
            </w:r>
            <w:proofErr w:type="spellEnd"/>
            <w:r w:rsidRPr="00FE5356">
              <w:t xml:space="preserve"> 2000; 85:2839-2853</w:t>
            </w:r>
          </w:p>
          <w:p w:rsidR="001B094D" w:rsidRPr="00FE5356" w:rsidRDefault="001B094D" w:rsidP="00A7369A">
            <w:pPr>
              <w:pStyle w:val="Tabletext"/>
              <w:spacing w:after="40"/>
            </w:pPr>
          </w:p>
        </w:tc>
      </w:tr>
      <w:tr w:rsidR="001B094D" w:rsidRPr="00BF0C95" w:rsidTr="00A7369A">
        <w:tc>
          <w:tcPr>
            <w:tcW w:w="796" w:type="pct"/>
            <w:tcBorders>
              <w:top w:val="nil"/>
              <w:bottom w:val="nil"/>
            </w:tcBorders>
          </w:tcPr>
          <w:p w:rsidR="001B094D" w:rsidRPr="00BF0C95" w:rsidRDefault="001B094D" w:rsidP="00A7369A">
            <w:pPr>
              <w:pStyle w:val="Tabletext"/>
              <w:spacing w:after="40"/>
            </w:pPr>
          </w:p>
        </w:tc>
        <w:tc>
          <w:tcPr>
            <w:tcW w:w="3027" w:type="pct"/>
            <w:tcBorders>
              <w:top w:val="nil"/>
              <w:bottom w:val="nil"/>
            </w:tcBorders>
          </w:tcPr>
          <w:p w:rsidR="001B094D" w:rsidRPr="00FE5356" w:rsidRDefault="001B094D" w:rsidP="00A7369A">
            <w:pPr>
              <w:pStyle w:val="Tabletext"/>
              <w:spacing w:after="40"/>
            </w:pPr>
            <w:r w:rsidRPr="00FE5356">
              <w:t xml:space="preserve">Wang C, </w:t>
            </w:r>
            <w:proofErr w:type="spellStart"/>
            <w:r w:rsidRPr="00FE5356">
              <w:t>Swerdloff</w:t>
            </w:r>
            <w:proofErr w:type="spellEnd"/>
            <w:r w:rsidRPr="00FE5356">
              <w:t xml:space="preserve"> R et al. Effects of transdermal testosterone gel on bone turnover markers and bone mineral density in </w:t>
            </w:r>
            <w:proofErr w:type="spellStart"/>
            <w:r w:rsidRPr="00FE5356">
              <w:t>hypogonadal</w:t>
            </w:r>
            <w:proofErr w:type="spellEnd"/>
            <w:r w:rsidRPr="00FE5356">
              <w:t xml:space="preserve"> men.</w:t>
            </w:r>
          </w:p>
        </w:tc>
        <w:tc>
          <w:tcPr>
            <w:tcW w:w="1177" w:type="pct"/>
            <w:tcBorders>
              <w:top w:val="nil"/>
              <w:bottom w:val="nil"/>
            </w:tcBorders>
          </w:tcPr>
          <w:p w:rsidR="001B094D" w:rsidRPr="00FE5356" w:rsidRDefault="001B094D" w:rsidP="00A7369A">
            <w:pPr>
              <w:pStyle w:val="Tabletext"/>
              <w:spacing w:after="40"/>
            </w:pPr>
            <w:proofErr w:type="spellStart"/>
            <w:r w:rsidRPr="009F3567">
              <w:rPr>
                <w:i/>
              </w:rPr>
              <w:t>Clin</w:t>
            </w:r>
            <w:proofErr w:type="spellEnd"/>
            <w:r w:rsidRPr="009F3567">
              <w:rPr>
                <w:i/>
              </w:rPr>
              <w:t xml:space="preserve"> </w:t>
            </w:r>
            <w:proofErr w:type="spellStart"/>
            <w:r w:rsidRPr="009F3567">
              <w:rPr>
                <w:i/>
              </w:rPr>
              <w:t>Endocrinol</w:t>
            </w:r>
            <w:proofErr w:type="spellEnd"/>
            <w:r w:rsidRPr="00FE5356">
              <w:t xml:space="preserve"> 2001; 54:739-750</w:t>
            </w:r>
          </w:p>
        </w:tc>
      </w:tr>
      <w:tr w:rsidR="001B094D" w:rsidRPr="00BF0C95" w:rsidTr="00A7369A">
        <w:tc>
          <w:tcPr>
            <w:tcW w:w="796" w:type="pct"/>
            <w:tcBorders>
              <w:top w:val="nil"/>
            </w:tcBorders>
          </w:tcPr>
          <w:p w:rsidR="001B094D" w:rsidRPr="00BF0C95" w:rsidRDefault="001B094D" w:rsidP="00A7369A">
            <w:pPr>
              <w:pStyle w:val="Tabletext"/>
            </w:pPr>
          </w:p>
        </w:tc>
        <w:tc>
          <w:tcPr>
            <w:tcW w:w="3027" w:type="pct"/>
            <w:tcBorders>
              <w:top w:val="nil"/>
            </w:tcBorders>
          </w:tcPr>
          <w:p w:rsidR="001B094D" w:rsidRPr="009465FE" w:rsidRDefault="001B094D" w:rsidP="00A7369A">
            <w:pPr>
              <w:pStyle w:val="Tabletext"/>
            </w:pPr>
            <w:r>
              <w:t>Wang C, Cunningham G et al. Long-Term Testosterone Gel (</w:t>
            </w:r>
            <w:proofErr w:type="spellStart"/>
            <w:r>
              <w:t>AndroGel</w:t>
            </w:r>
            <w:proofErr w:type="spellEnd"/>
            <w:r>
              <w:t xml:space="preserve">) Treatment Maintains Beneficial Effects on Sexual Function and Mood, Lean and Fat Mass, and Bone Mineral Density in </w:t>
            </w:r>
            <w:proofErr w:type="spellStart"/>
            <w:r>
              <w:t>Hypogonadal</w:t>
            </w:r>
            <w:proofErr w:type="spellEnd"/>
            <w:r>
              <w:t xml:space="preserve"> Men.</w:t>
            </w:r>
          </w:p>
        </w:tc>
        <w:tc>
          <w:tcPr>
            <w:tcW w:w="1177" w:type="pct"/>
            <w:tcBorders>
              <w:top w:val="nil"/>
            </w:tcBorders>
          </w:tcPr>
          <w:p w:rsidR="001B094D" w:rsidRPr="00BF0C95" w:rsidRDefault="001B094D" w:rsidP="00A7369A">
            <w:pPr>
              <w:pStyle w:val="Tabletext"/>
              <w:rPr>
                <w:i/>
              </w:rPr>
            </w:pPr>
            <w:r>
              <w:rPr>
                <w:i/>
              </w:rPr>
              <w:t xml:space="preserve">J </w:t>
            </w:r>
            <w:proofErr w:type="spellStart"/>
            <w:r>
              <w:rPr>
                <w:i/>
              </w:rPr>
              <w:t>Clin</w:t>
            </w:r>
            <w:proofErr w:type="spellEnd"/>
            <w:r>
              <w:rPr>
                <w:i/>
              </w:rPr>
              <w:t xml:space="preserve"> </w:t>
            </w:r>
            <w:proofErr w:type="spellStart"/>
            <w:r>
              <w:rPr>
                <w:i/>
              </w:rPr>
              <w:t>Endocrinol</w:t>
            </w:r>
            <w:proofErr w:type="spellEnd"/>
            <w:r>
              <w:rPr>
                <w:i/>
              </w:rPr>
              <w:t xml:space="preserve"> </w:t>
            </w:r>
            <w:proofErr w:type="spellStart"/>
            <w:r>
              <w:rPr>
                <w:i/>
              </w:rPr>
              <w:t>Metab</w:t>
            </w:r>
            <w:proofErr w:type="spellEnd"/>
            <w:r>
              <w:rPr>
                <w:i/>
              </w:rPr>
              <w:t xml:space="preserve"> </w:t>
            </w:r>
            <w:r w:rsidRPr="001E6D0E">
              <w:t>2004; 89:2085-2098</w:t>
            </w:r>
          </w:p>
        </w:tc>
      </w:tr>
      <w:tr w:rsidR="001B094D" w:rsidRPr="00CB38A8" w:rsidTr="00A7369A">
        <w:tc>
          <w:tcPr>
            <w:tcW w:w="5000" w:type="pct"/>
            <w:gridSpan w:val="3"/>
            <w:tcBorders>
              <w:bottom w:val="single" w:sz="4" w:space="0" w:color="auto"/>
            </w:tcBorders>
          </w:tcPr>
          <w:p w:rsidR="001B094D" w:rsidRPr="008A046E" w:rsidRDefault="001B094D" w:rsidP="00A7369A">
            <w:pPr>
              <w:pStyle w:val="Tabletext"/>
              <w:rPr>
                <w:b/>
              </w:rPr>
            </w:pPr>
            <w:r>
              <w:rPr>
                <w:b/>
              </w:rPr>
              <w:t>Head to head pharmacokinetic study</w:t>
            </w:r>
          </w:p>
        </w:tc>
      </w:tr>
      <w:tr w:rsidR="001B094D" w:rsidRPr="00CB38A8" w:rsidTr="00A7369A">
        <w:tc>
          <w:tcPr>
            <w:tcW w:w="796" w:type="pct"/>
            <w:tcBorders>
              <w:bottom w:val="nil"/>
            </w:tcBorders>
          </w:tcPr>
          <w:p w:rsidR="001B094D" w:rsidRDefault="001B094D" w:rsidP="00A7369A">
            <w:pPr>
              <w:pStyle w:val="Tabletext"/>
              <w:spacing w:after="40"/>
            </w:pPr>
            <w:r>
              <w:t>Study CS02</w:t>
            </w:r>
          </w:p>
          <w:p w:rsidR="001B094D" w:rsidRPr="00CB38A8" w:rsidRDefault="001B094D" w:rsidP="00A7369A">
            <w:pPr>
              <w:pStyle w:val="Tabletext"/>
              <w:spacing w:after="40"/>
              <w:rPr>
                <w:rFonts w:ascii="Times" w:hAnsi="Times"/>
              </w:rPr>
            </w:pPr>
          </w:p>
        </w:tc>
        <w:tc>
          <w:tcPr>
            <w:tcW w:w="3027" w:type="pct"/>
            <w:tcBorders>
              <w:bottom w:val="nil"/>
            </w:tcBorders>
          </w:tcPr>
          <w:p w:rsidR="001B094D" w:rsidRPr="00AB6248" w:rsidRDefault="001B094D" w:rsidP="00A7369A">
            <w:pPr>
              <w:pStyle w:val="Tabletext"/>
              <w:spacing w:after="40"/>
              <w:rPr>
                <w:szCs w:val="18"/>
              </w:rPr>
            </w:pPr>
            <w:r>
              <w:rPr>
                <w:szCs w:val="18"/>
              </w:rPr>
              <w:t>Clinical Trial Report. A Randomised, Open-Label, Active Control, Multiple Dose, 3-Way Cross-over, Relative Bioavailability Study for two Testosterone Gel (FE 999303) Formulations in Comparison to TESTOGEL in Down-regulated Healthy Men</w:t>
            </w:r>
            <w:r w:rsidRPr="00E34A35">
              <w:rPr>
                <w:szCs w:val="18"/>
              </w:rPr>
              <w:t>.</w:t>
            </w:r>
          </w:p>
        </w:tc>
        <w:tc>
          <w:tcPr>
            <w:tcW w:w="1177" w:type="pct"/>
            <w:tcBorders>
              <w:bottom w:val="nil"/>
            </w:tcBorders>
          </w:tcPr>
          <w:p w:rsidR="001B094D" w:rsidRDefault="001B094D" w:rsidP="00A7369A">
            <w:pPr>
              <w:pStyle w:val="Tabletext"/>
              <w:spacing w:after="40"/>
            </w:pPr>
            <w:r>
              <w:t>June 2011</w:t>
            </w:r>
          </w:p>
          <w:p w:rsidR="001B094D" w:rsidRPr="007F33CA" w:rsidRDefault="001B094D" w:rsidP="00A7369A">
            <w:pPr>
              <w:pStyle w:val="Tabletext"/>
              <w:spacing w:after="40"/>
              <w:rPr>
                <w:rFonts w:ascii="Times" w:hAnsi="Times"/>
                <w:i/>
              </w:rPr>
            </w:pPr>
          </w:p>
        </w:tc>
      </w:tr>
      <w:tr w:rsidR="001B094D" w:rsidRPr="00CB38A8" w:rsidTr="00A7369A">
        <w:tc>
          <w:tcPr>
            <w:tcW w:w="796" w:type="pct"/>
            <w:tcBorders>
              <w:top w:val="nil"/>
            </w:tcBorders>
          </w:tcPr>
          <w:p w:rsidR="001B094D" w:rsidRDefault="001B094D" w:rsidP="00A7369A">
            <w:pPr>
              <w:pStyle w:val="Tabletext"/>
            </w:pPr>
          </w:p>
        </w:tc>
        <w:tc>
          <w:tcPr>
            <w:tcW w:w="3027" w:type="pct"/>
            <w:tcBorders>
              <w:top w:val="nil"/>
            </w:tcBorders>
          </w:tcPr>
          <w:p w:rsidR="001B094D" w:rsidRDefault="001B094D" w:rsidP="00A7369A">
            <w:pPr>
              <w:pStyle w:val="Tabletext"/>
              <w:rPr>
                <w:szCs w:val="18"/>
              </w:rPr>
            </w:pPr>
            <w:r>
              <w:rPr>
                <w:szCs w:val="18"/>
              </w:rPr>
              <w:t xml:space="preserve">Olsson H, </w:t>
            </w:r>
            <w:proofErr w:type="spellStart"/>
            <w:r>
              <w:rPr>
                <w:szCs w:val="18"/>
              </w:rPr>
              <w:t>Sandström</w:t>
            </w:r>
            <w:proofErr w:type="spellEnd"/>
            <w:r>
              <w:rPr>
                <w:szCs w:val="18"/>
              </w:rPr>
              <w:t xml:space="preserve"> R et al. Pharmacokinetics and Bioavailability of a New Testosterone Gel Formulation in Comparison to </w:t>
            </w:r>
            <w:proofErr w:type="spellStart"/>
            <w:r>
              <w:rPr>
                <w:szCs w:val="18"/>
              </w:rPr>
              <w:t>Testogel</w:t>
            </w:r>
            <w:proofErr w:type="spellEnd"/>
            <w:r w:rsidRPr="00D7372F">
              <w:rPr>
                <w:szCs w:val="18"/>
                <w:vertAlign w:val="superscript"/>
              </w:rPr>
              <w:t>®</w:t>
            </w:r>
            <w:r>
              <w:rPr>
                <w:szCs w:val="18"/>
              </w:rPr>
              <w:t xml:space="preserve"> in Healthy Men.</w:t>
            </w:r>
          </w:p>
        </w:tc>
        <w:tc>
          <w:tcPr>
            <w:tcW w:w="1177" w:type="pct"/>
            <w:tcBorders>
              <w:top w:val="nil"/>
            </w:tcBorders>
          </w:tcPr>
          <w:p w:rsidR="001B094D" w:rsidRDefault="001B094D" w:rsidP="00A7369A">
            <w:pPr>
              <w:pStyle w:val="Tabletext"/>
            </w:pPr>
            <w:proofErr w:type="spellStart"/>
            <w:r w:rsidRPr="007F33CA">
              <w:rPr>
                <w:i/>
              </w:rPr>
              <w:t>Clin</w:t>
            </w:r>
            <w:proofErr w:type="spellEnd"/>
            <w:r w:rsidRPr="007F33CA">
              <w:rPr>
                <w:i/>
              </w:rPr>
              <w:t xml:space="preserve"> Pharmacology in Drug Development</w:t>
            </w:r>
            <w:r w:rsidRPr="001E6D0E">
              <w:t xml:space="preserve"> 2014; 3(5):358-364</w:t>
            </w:r>
          </w:p>
        </w:tc>
      </w:tr>
    </w:tbl>
    <w:p w:rsidR="001B094D" w:rsidRPr="00036C22" w:rsidRDefault="009753F2" w:rsidP="001B094D">
      <w:pPr>
        <w:pStyle w:val="TableFooter"/>
      </w:pPr>
      <w:r>
        <w:t xml:space="preserve">Abbreviations: </w:t>
      </w:r>
      <w:r w:rsidR="001B094D" w:rsidRPr="00036C22">
        <w:t>EP = enhanced permeation</w:t>
      </w:r>
    </w:p>
    <w:p w:rsidR="001B094D" w:rsidRPr="00036C22" w:rsidRDefault="001B094D" w:rsidP="001B094D">
      <w:pPr>
        <w:pStyle w:val="TableFooter"/>
      </w:pPr>
      <w:r w:rsidRPr="00036C22">
        <w:t>Source: Table 2.2-2, p29 of the submission.</w:t>
      </w:r>
    </w:p>
    <w:p w:rsidR="001B094D" w:rsidRPr="006B3C0B" w:rsidRDefault="001B094D" w:rsidP="001B094D"/>
    <w:p w:rsidR="001B094D" w:rsidRDefault="001B094D" w:rsidP="00B068D3">
      <w:pPr>
        <w:pStyle w:val="ListParagraph"/>
        <w:widowControl/>
        <w:numPr>
          <w:ilvl w:val="1"/>
          <w:numId w:val="1"/>
        </w:numPr>
      </w:pPr>
      <w:r w:rsidRPr="00B50DB8">
        <w:t xml:space="preserve">The key features of the </w:t>
      </w:r>
      <w:r>
        <w:t xml:space="preserve">studies included in the </w:t>
      </w:r>
      <w:r w:rsidR="00B83495">
        <w:t xml:space="preserve">naïve </w:t>
      </w:r>
      <w:r>
        <w:t>in</w:t>
      </w:r>
      <w:r w:rsidRPr="00B50DB8">
        <w:t xml:space="preserve">direct </w:t>
      </w:r>
      <w:r>
        <w:t xml:space="preserve">comparison </w:t>
      </w:r>
      <w:r w:rsidRPr="00B50DB8">
        <w:t>are summarised in the table below.</w:t>
      </w:r>
      <w:r w:rsidR="002D3173">
        <w:t xml:space="preserve"> </w:t>
      </w:r>
    </w:p>
    <w:p w:rsidR="001B094D" w:rsidRPr="006B3C0B" w:rsidRDefault="001B094D" w:rsidP="00270C97">
      <w:pPr>
        <w:pStyle w:val="Caption"/>
        <w:widowControl w:val="0"/>
        <w:rPr>
          <w:rStyle w:val="CommentReference"/>
          <w:b/>
        </w:rPr>
      </w:pPr>
      <w:r w:rsidRPr="006B3C0B">
        <w:rPr>
          <w:rStyle w:val="CommentReference"/>
          <w:b/>
        </w:rPr>
        <w:lastRenderedPageBreak/>
        <w:t xml:space="preserve">Table </w:t>
      </w:r>
      <w:r w:rsidR="00AB4F41">
        <w:rPr>
          <w:rStyle w:val="CommentReference"/>
          <w:b/>
          <w:noProof/>
        </w:rPr>
        <w:t>3</w:t>
      </w:r>
      <w:r w:rsidRPr="006B3C0B">
        <w:rPr>
          <w:rStyle w:val="CommentReference"/>
          <w:b/>
        </w:rPr>
        <w:t xml:space="preserve">: Key features of the included evidence – </w:t>
      </w:r>
      <w:r w:rsidR="00B83495">
        <w:rPr>
          <w:rStyle w:val="CommentReference"/>
          <w:b/>
        </w:rPr>
        <w:t xml:space="preserve">naïve </w:t>
      </w:r>
      <w:r w:rsidRPr="006B3C0B">
        <w:rPr>
          <w:rStyle w:val="CommentReference"/>
          <w:b/>
        </w:rPr>
        <w:t>indirect comparison</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2"/>
        <w:gridCol w:w="841"/>
        <w:gridCol w:w="1407"/>
        <w:gridCol w:w="1115"/>
        <w:gridCol w:w="1539"/>
        <w:gridCol w:w="2700"/>
      </w:tblGrid>
      <w:tr w:rsidR="001B094D" w:rsidRPr="00B41614" w:rsidTr="00A7369A">
        <w:trPr>
          <w:tblHeader/>
        </w:trPr>
        <w:tc>
          <w:tcPr>
            <w:tcW w:w="726" w:type="pct"/>
            <w:shd w:val="clear" w:color="auto" w:fill="auto"/>
            <w:vAlign w:val="center"/>
          </w:tcPr>
          <w:p w:rsidR="001B094D" w:rsidRPr="00B41614" w:rsidRDefault="001B094D" w:rsidP="00270C97">
            <w:pPr>
              <w:pStyle w:val="Tabletext"/>
              <w:keepNext/>
              <w:widowControl w:val="0"/>
              <w:rPr>
                <w:b/>
                <w:lang w:val="en-US"/>
              </w:rPr>
            </w:pPr>
            <w:r w:rsidRPr="00B41614">
              <w:rPr>
                <w:b/>
                <w:lang w:val="en-US"/>
              </w:rPr>
              <w:t>Trial</w:t>
            </w:r>
          </w:p>
        </w:tc>
        <w:tc>
          <w:tcPr>
            <w:tcW w:w="473" w:type="pct"/>
            <w:shd w:val="clear" w:color="auto" w:fill="auto"/>
            <w:vAlign w:val="center"/>
          </w:tcPr>
          <w:p w:rsidR="001B094D" w:rsidRPr="00B41614" w:rsidRDefault="001B094D" w:rsidP="00270C97">
            <w:pPr>
              <w:pStyle w:val="Tabletext"/>
              <w:keepNext/>
              <w:widowControl w:val="0"/>
              <w:jc w:val="center"/>
              <w:rPr>
                <w:b/>
                <w:lang w:val="en-US"/>
              </w:rPr>
            </w:pPr>
            <w:r w:rsidRPr="00B41614">
              <w:rPr>
                <w:b/>
                <w:lang w:val="en-US"/>
              </w:rPr>
              <w:t>N</w:t>
            </w:r>
          </w:p>
        </w:tc>
        <w:tc>
          <w:tcPr>
            <w:tcW w:w="791" w:type="pct"/>
            <w:shd w:val="clear" w:color="auto" w:fill="auto"/>
            <w:vAlign w:val="center"/>
          </w:tcPr>
          <w:p w:rsidR="001B094D" w:rsidRPr="00B41614" w:rsidRDefault="001B094D" w:rsidP="00270C97">
            <w:pPr>
              <w:pStyle w:val="Tabletext"/>
              <w:keepNext/>
              <w:widowControl w:val="0"/>
              <w:jc w:val="center"/>
              <w:rPr>
                <w:b/>
                <w:lang w:val="en-US"/>
              </w:rPr>
            </w:pPr>
            <w:r w:rsidRPr="00B41614">
              <w:rPr>
                <w:b/>
                <w:lang w:val="en-US"/>
              </w:rPr>
              <w:t>Design/ duration</w:t>
            </w:r>
          </w:p>
        </w:tc>
        <w:tc>
          <w:tcPr>
            <w:tcW w:w="627" w:type="pct"/>
            <w:shd w:val="clear" w:color="auto" w:fill="auto"/>
            <w:vAlign w:val="center"/>
          </w:tcPr>
          <w:p w:rsidR="001B094D" w:rsidRPr="00B41614" w:rsidRDefault="001B094D" w:rsidP="00270C97">
            <w:pPr>
              <w:pStyle w:val="Tabletext"/>
              <w:keepNext/>
              <w:widowControl w:val="0"/>
              <w:jc w:val="center"/>
              <w:rPr>
                <w:b/>
                <w:lang w:val="en-US"/>
              </w:rPr>
            </w:pPr>
            <w:r w:rsidRPr="00B41614">
              <w:rPr>
                <w:b/>
                <w:lang w:val="en-US"/>
              </w:rPr>
              <w:t>Risk of bias</w:t>
            </w:r>
            <w:r>
              <w:rPr>
                <w:b/>
                <w:lang w:val="en-US"/>
              </w:rPr>
              <w:t>**</w:t>
            </w:r>
          </w:p>
        </w:tc>
        <w:tc>
          <w:tcPr>
            <w:tcW w:w="865" w:type="pct"/>
            <w:shd w:val="clear" w:color="auto" w:fill="auto"/>
            <w:vAlign w:val="center"/>
          </w:tcPr>
          <w:p w:rsidR="001B094D" w:rsidRPr="00B41614" w:rsidRDefault="001B094D" w:rsidP="00270C97">
            <w:pPr>
              <w:pStyle w:val="Tabletext"/>
              <w:keepNext/>
              <w:widowControl w:val="0"/>
              <w:jc w:val="center"/>
              <w:rPr>
                <w:b/>
                <w:lang w:val="en-US"/>
              </w:rPr>
            </w:pPr>
            <w:r w:rsidRPr="00B41614">
              <w:rPr>
                <w:b/>
                <w:lang w:val="en-US"/>
              </w:rPr>
              <w:t>Patient population</w:t>
            </w:r>
          </w:p>
        </w:tc>
        <w:tc>
          <w:tcPr>
            <w:tcW w:w="1518" w:type="pct"/>
            <w:shd w:val="clear" w:color="auto" w:fill="auto"/>
            <w:vAlign w:val="center"/>
          </w:tcPr>
          <w:p w:rsidR="001B094D" w:rsidRPr="00B41614" w:rsidRDefault="001B094D" w:rsidP="00270C97">
            <w:pPr>
              <w:pStyle w:val="Tabletext"/>
              <w:keepNext/>
              <w:widowControl w:val="0"/>
              <w:jc w:val="center"/>
              <w:rPr>
                <w:b/>
                <w:lang w:val="en-US"/>
              </w:rPr>
            </w:pPr>
            <w:r w:rsidRPr="00B41614">
              <w:rPr>
                <w:b/>
                <w:lang w:val="en-US"/>
              </w:rPr>
              <w:t>Outcomes</w:t>
            </w:r>
          </w:p>
        </w:tc>
      </w:tr>
      <w:tr w:rsidR="001B094D" w:rsidRPr="00E2771E" w:rsidTr="00A7369A">
        <w:tc>
          <w:tcPr>
            <w:tcW w:w="5000" w:type="pct"/>
            <w:gridSpan w:val="6"/>
            <w:shd w:val="clear" w:color="auto" w:fill="auto"/>
            <w:vAlign w:val="center"/>
          </w:tcPr>
          <w:p w:rsidR="001B094D" w:rsidRPr="00B41614" w:rsidRDefault="001B094D" w:rsidP="00270C97">
            <w:pPr>
              <w:pStyle w:val="Tabletext"/>
              <w:keepNext/>
              <w:widowControl w:val="0"/>
              <w:rPr>
                <w:b/>
                <w:lang w:val="en-US"/>
              </w:rPr>
            </w:pPr>
            <w:r>
              <w:rPr>
                <w:b/>
                <w:lang w:val="en-US"/>
              </w:rPr>
              <w:t>Testosterone 2% EP gel (single arm)</w:t>
            </w:r>
          </w:p>
        </w:tc>
      </w:tr>
      <w:tr w:rsidR="001B094D" w:rsidRPr="00E2771E" w:rsidTr="00A7369A">
        <w:tc>
          <w:tcPr>
            <w:tcW w:w="726" w:type="pct"/>
            <w:shd w:val="clear" w:color="auto" w:fill="auto"/>
            <w:vAlign w:val="center"/>
          </w:tcPr>
          <w:p w:rsidR="001B094D" w:rsidRPr="00E2771E" w:rsidRDefault="001B094D" w:rsidP="00270C97">
            <w:pPr>
              <w:pStyle w:val="Tabletext"/>
              <w:keepNext/>
              <w:widowControl w:val="0"/>
              <w:rPr>
                <w:lang w:val="en-US"/>
              </w:rPr>
            </w:pPr>
            <w:r>
              <w:rPr>
                <w:lang w:val="en-US"/>
              </w:rPr>
              <w:t>Study 127</w:t>
            </w:r>
          </w:p>
        </w:tc>
        <w:tc>
          <w:tcPr>
            <w:tcW w:w="473" w:type="pct"/>
            <w:shd w:val="clear" w:color="auto" w:fill="auto"/>
            <w:vAlign w:val="center"/>
          </w:tcPr>
          <w:p w:rsidR="001B094D" w:rsidRPr="00E2771E" w:rsidRDefault="001B094D" w:rsidP="00270C97">
            <w:pPr>
              <w:pStyle w:val="Tabletext"/>
              <w:keepNext/>
              <w:widowControl w:val="0"/>
              <w:jc w:val="center"/>
              <w:rPr>
                <w:lang w:val="en-US"/>
              </w:rPr>
            </w:pPr>
            <w:r>
              <w:rPr>
                <w:lang w:val="en-US"/>
              </w:rPr>
              <w:t>160</w:t>
            </w:r>
            <w:r w:rsidRPr="007119D0">
              <w:rPr>
                <w:vertAlign w:val="superscript"/>
                <w:lang w:val="en-US"/>
              </w:rPr>
              <w:t>^</w:t>
            </w:r>
          </w:p>
        </w:tc>
        <w:tc>
          <w:tcPr>
            <w:tcW w:w="791" w:type="pct"/>
            <w:shd w:val="clear" w:color="auto" w:fill="auto"/>
            <w:vAlign w:val="center"/>
          </w:tcPr>
          <w:p w:rsidR="001B094D" w:rsidRPr="00E2771E" w:rsidRDefault="001B094D" w:rsidP="00270C97">
            <w:pPr>
              <w:pStyle w:val="Tabletext"/>
              <w:keepNext/>
              <w:widowControl w:val="0"/>
              <w:jc w:val="center"/>
              <w:rPr>
                <w:lang w:val="en-US"/>
              </w:rPr>
            </w:pPr>
            <w:r>
              <w:rPr>
                <w:lang w:val="en-US"/>
              </w:rPr>
              <w:t>Single arm</w:t>
            </w:r>
          </w:p>
          <w:p w:rsidR="001B094D" w:rsidRPr="00E2771E" w:rsidRDefault="001B094D" w:rsidP="00270C97">
            <w:pPr>
              <w:pStyle w:val="Tabletext"/>
              <w:keepNext/>
              <w:widowControl w:val="0"/>
              <w:jc w:val="center"/>
              <w:rPr>
                <w:lang w:val="en-US"/>
              </w:rPr>
            </w:pPr>
            <w:r>
              <w:rPr>
                <w:lang w:val="en-US"/>
              </w:rPr>
              <w:t>90 days</w:t>
            </w:r>
          </w:p>
        </w:tc>
        <w:tc>
          <w:tcPr>
            <w:tcW w:w="627" w:type="pct"/>
            <w:shd w:val="clear" w:color="auto" w:fill="auto"/>
            <w:vAlign w:val="center"/>
          </w:tcPr>
          <w:p w:rsidR="001B094D" w:rsidRPr="00E2771E" w:rsidRDefault="001B094D" w:rsidP="00270C97">
            <w:pPr>
              <w:pStyle w:val="Tabletext"/>
              <w:keepNext/>
              <w:widowControl w:val="0"/>
              <w:jc w:val="center"/>
              <w:rPr>
                <w:lang w:val="en-US"/>
              </w:rPr>
            </w:pPr>
            <w:r>
              <w:rPr>
                <w:lang w:val="en-US"/>
              </w:rPr>
              <w:t>High</w:t>
            </w:r>
          </w:p>
        </w:tc>
        <w:tc>
          <w:tcPr>
            <w:tcW w:w="865" w:type="pct"/>
            <w:shd w:val="clear" w:color="auto" w:fill="auto"/>
            <w:vAlign w:val="center"/>
          </w:tcPr>
          <w:p w:rsidR="001B094D" w:rsidRPr="00E2771E" w:rsidRDefault="001B094D" w:rsidP="00270C97">
            <w:pPr>
              <w:pStyle w:val="Tabletext"/>
              <w:keepNext/>
              <w:widowControl w:val="0"/>
              <w:jc w:val="center"/>
              <w:rPr>
                <w:lang w:val="en-US"/>
              </w:rPr>
            </w:pPr>
            <w:r>
              <w:rPr>
                <w:lang w:val="en-US"/>
              </w:rPr>
              <w:t>Adult male with androgen deficiency</w:t>
            </w:r>
          </w:p>
        </w:tc>
        <w:tc>
          <w:tcPr>
            <w:tcW w:w="1518" w:type="pct"/>
            <w:shd w:val="clear" w:color="auto" w:fill="auto"/>
            <w:vAlign w:val="center"/>
          </w:tcPr>
          <w:p w:rsidR="001B094D" w:rsidRPr="00E2771E" w:rsidRDefault="001B094D" w:rsidP="00270C97">
            <w:pPr>
              <w:pStyle w:val="Tabletext"/>
              <w:keepNext/>
              <w:widowControl w:val="0"/>
              <w:jc w:val="center"/>
              <w:rPr>
                <w:lang w:val="en-US"/>
              </w:rPr>
            </w:pPr>
            <w:r>
              <w:rPr>
                <w:lang w:val="en-US"/>
              </w:rPr>
              <w:t xml:space="preserve">The proportion of </w:t>
            </w:r>
            <w:r w:rsidRPr="007119D0">
              <w:rPr>
                <w:lang w:val="en-US"/>
              </w:rPr>
              <w:t xml:space="preserve">patients with testosterone </w:t>
            </w:r>
            <w:proofErr w:type="spellStart"/>
            <w:proofErr w:type="gramStart"/>
            <w:r w:rsidRPr="007119D0">
              <w:rPr>
                <w:lang w:val="en-US"/>
              </w:rPr>
              <w:t>C</w:t>
            </w:r>
            <w:r w:rsidRPr="007119D0">
              <w:rPr>
                <w:vertAlign w:val="subscript"/>
                <w:lang w:val="en-US"/>
              </w:rPr>
              <w:t>avg</w:t>
            </w:r>
            <w:proofErr w:type="spellEnd"/>
            <w:r w:rsidR="00A87BEA">
              <w:rPr>
                <w:vertAlign w:val="subscript"/>
                <w:lang w:val="en-US"/>
              </w:rPr>
              <w:t>(</w:t>
            </w:r>
            <w:proofErr w:type="gramEnd"/>
            <w:r w:rsidR="00A87BEA">
              <w:rPr>
                <w:vertAlign w:val="subscript"/>
                <w:lang w:val="en-US"/>
              </w:rPr>
              <w:t>0-24)</w:t>
            </w:r>
            <w:r w:rsidRPr="007119D0">
              <w:rPr>
                <w:lang w:val="en-US"/>
              </w:rPr>
              <w:t xml:space="preserve"> levels within </w:t>
            </w:r>
            <w:r>
              <w:rPr>
                <w:lang w:val="en-US"/>
              </w:rPr>
              <w:br/>
            </w:r>
            <w:r>
              <w:t xml:space="preserve">10.4 – 36.4 </w:t>
            </w:r>
            <w:proofErr w:type="spellStart"/>
            <w:r>
              <w:t>nmol</w:t>
            </w:r>
            <w:proofErr w:type="spellEnd"/>
            <w:r>
              <w:t xml:space="preserve">/L at </w:t>
            </w:r>
            <w:r w:rsidR="002845E5">
              <w:t>day</w:t>
            </w:r>
            <w:r>
              <w:t xml:space="preserve"> 90</w:t>
            </w:r>
            <w:r w:rsidRPr="007119D0">
              <w:rPr>
                <w:lang w:val="en-US"/>
              </w:rPr>
              <w:t>.</w:t>
            </w:r>
          </w:p>
        </w:tc>
      </w:tr>
      <w:tr w:rsidR="001B094D" w:rsidRPr="00E2771E" w:rsidTr="00A7369A">
        <w:tc>
          <w:tcPr>
            <w:tcW w:w="5000" w:type="pct"/>
            <w:gridSpan w:val="6"/>
            <w:shd w:val="clear" w:color="auto" w:fill="auto"/>
            <w:vAlign w:val="center"/>
          </w:tcPr>
          <w:p w:rsidR="001B094D" w:rsidRPr="00B41614" w:rsidRDefault="001B094D" w:rsidP="00270C97">
            <w:pPr>
              <w:pStyle w:val="Tabletext"/>
              <w:keepNext/>
              <w:widowControl w:val="0"/>
              <w:rPr>
                <w:b/>
                <w:lang w:val="en-US"/>
              </w:rPr>
            </w:pPr>
            <w:r>
              <w:rPr>
                <w:b/>
                <w:lang w:val="en-US"/>
              </w:rPr>
              <w:t xml:space="preserve">Testosterone 1% gel 50mg/day vs. 100mg/day </w:t>
            </w:r>
          </w:p>
        </w:tc>
      </w:tr>
      <w:tr w:rsidR="001B094D" w:rsidRPr="00E2771E" w:rsidTr="00A7369A">
        <w:tc>
          <w:tcPr>
            <w:tcW w:w="726" w:type="pct"/>
            <w:shd w:val="clear" w:color="auto" w:fill="auto"/>
            <w:vAlign w:val="center"/>
          </w:tcPr>
          <w:p w:rsidR="001B094D" w:rsidRPr="00E2771E" w:rsidRDefault="001B094D" w:rsidP="00270C97">
            <w:pPr>
              <w:pStyle w:val="Tabletext"/>
              <w:keepNext/>
              <w:widowControl w:val="0"/>
              <w:rPr>
                <w:lang w:val="en-US"/>
              </w:rPr>
            </w:pPr>
            <w:proofErr w:type="spellStart"/>
            <w:r>
              <w:rPr>
                <w:lang w:val="en-US"/>
              </w:rPr>
              <w:t>Swedloff</w:t>
            </w:r>
            <w:proofErr w:type="spellEnd"/>
            <w:r>
              <w:rPr>
                <w:lang w:val="en-US"/>
              </w:rPr>
              <w:t xml:space="preserve"> 2000</w:t>
            </w:r>
          </w:p>
        </w:tc>
        <w:tc>
          <w:tcPr>
            <w:tcW w:w="473" w:type="pct"/>
            <w:shd w:val="clear" w:color="auto" w:fill="auto"/>
            <w:vAlign w:val="center"/>
          </w:tcPr>
          <w:p w:rsidR="001B094D" w:rsidRPr="00E2771E" w:rsidRDefault="001B094D" w:rsidP="00270C97">
            <w:pPr>
              <w:pStyle w:val="Tabletext"/>
              <w:keepNext/>
              <w:widowControl w:val="0"/>
              <w:jc w:val="center"/>
              <w:rPr>
                <w:lang w:val="en-US"/>
              </w:rPr>
            </w:pPr>
            <w:r>
              <w:rPr>
                <w:lang w:val="en-US"/>
              </w:rPr>
              <w:t>151*</w:t>
            </w:r>
          </w:p>
        </w:tc>
        <w:tc>
          <w:tcPr>
            <w:tcW w:w="791" w:type="pct"/>
            <w:shd w:val="clear" w:color="auto" w:fill="auto"/>
            <w:vAlign w:val="center"/>
          </w:tcPr>
          <w:p w:rsidR="001B094D" w:rsidRDefault="001B094D" w:rsidP="00270C97">
            <w:pPr>
              <w:pStyle w:val="Tabletext"/>
              <w:keepNext/>
              <w:widowControl w:val="0"/>
              <w:jc w:val="center"/>
              <w:rPr>
                <w:lang w:val="en-US"/>
              </w:rPr>
            </w:pPr>
            <w:r>
              <w:rPr>
                <w:lang w:val="en-US"/>
              </w:rPr>
              <w:t>OL</w:t>
            </w:r>
            <w:r w:rsidRPr="00397436">
              <w:rPr>
                <w:vertAlign w:val="superscript"/>
                <w:lang w:val="en-US"/>
              </w:rPr>
              <w:t>†</w:t>
            </w:r>
          </w:p>
          <w:p w:rsidR="001B094D" w:rsidRPr="00E2771E" w:rsidRDefault="001B094D" w:rsidP="00270C97">
            <w:pPr>
              <w:pStyle w:val="Tabletext"/>
              <w:keepNext/>
              <w:widowControl w:val="0"/>
              <w:jc w:val="center"/>
              <w:rPr>
                <w:lang w:val="en-US"/>
              </w:rPr>
            </w:pPr>
            <w:r>
              <w:rPr>
                <w:lang w:val="en-US"/>
              </w:rPr>
              <w:t>180 days</w:t>
            </w:r>
          </w:p>
        </w:tc>
        <w:tc>
          <w:tcPr>
            <w:tcW w:w="627" w:type="pct"/>
            <w:shd w:val="clear" w:color="auto" w:fill="auto"/>
            <w:vAlign w:val="center"/>
          </w:tcPr>
          <w:p w:rsidR="001B094D" w:rsidRPr="00E2771E" w:rsidRDefault="001B094D" w:rsidP="00270C97">
            <w:pPr>
              <w:pStyle w:val="Tabletext"/>
              <w:keepNext/>
              <w:widowControl w:val="0"/>
              <w:jc w:val="center"/>
              <w:rPr>
                <w:lang w:val="en-US"/>
              </w:rPr>
            </w:pPr>
            <w:r>
              <w:rPr>
                <w:lang w:val="en-US"/>
              </w:rPr>
              <w:t>High</w:t>
            </w:r>
          </w:p>
        </w:tc>
        <w:tc>
          <w:tcPr>
            <w:tcW w:w="865" w:type="pct"/>
            <w:shd w:val="clear" w:color="auto" w:fill="auto"/>
            <w:vAlign w:val="center"/>
          </w:tcPr>
          <w:p w:rsidR="001B094D" w:rsidRPr="00E2771E" w:rsidRDefault="001B094D" w:rsidP="00270C97">
            <w:pPr>
              <w:pStyle w:val="Tabletext"/>
              <w:keepNext/>
              <w:widowControl w:val="0"/>
              <w:jc w:val="center"/>
              <w:rPr>
                <w:lang w:val="en-US"/>
              </w:rPr>
            </w:pPr>
            <w:r>
              <w:rPr>
                <w:lang w:val="en-US"/>
              </w:rPr>
              <w:t>As above</w:t>
            </w:r>
          </w:p>
        </w:tc>
        <w:tc>
          <w:tcPr>
            <w:tcW w:w="1518" w:type="pct"/>
            <w:shd w:val="clear" w:color="auto" w:fill="auto"/>
            <w:vAlign w:val="center"/>
          </w:tcPr>
          <w:p w:rsidR="001B094D" w:rsidRPr="00E2771E" w:rsidRDefault="001B094D" w:rsidP="00270C97">
            <w:pPr>
              <w:pStyle w:val="Tabletext"/>
              <w:keepNext/>
              <w:widowControl w:val="0"/>
              <w:jc w:val="center"/>
              <w:rPr>
                <w:lang w:val="en-US"/>
              </w:rPr>
            </w:pPr>
            <w:r>
              <w:rPr>
                <w:lang w:val="en-US"/>
              </w:rPr>
              <w:t xml:space="preserve">The proportion of </w:t>
            </w:r>
            <w:r w:rsidRPr="007119D0">
              <w:rPr>
                <w:lang w:val="en-US"/>
              </w:rPr>
              <w:t xml:space="preserve">patients with testosterone </w:t>
            </w:r>
            <w:proofErr w:type="spellStart"/>
            <w:proofErr w:type="gramStart"/>
            <w:r w:rsidRPr="007119D0">
              <w:rPr>
                <w:lang w:val="en-US"/>
              </w:rPr>
              <w:t>C</w:t>
            </w:r>
            <w:r w:rsidRPr="007119D0">
              <w:rPr>
                <w:vertAlign w:val="subscript"/>
                <w:lang w:val="en-US"/>
              </w:rPr>
              <w:t>avg</w:t>
            </w:r>
            <w:proofErr w:type="spellEnd"/>
            <w:r w:rsidR="00A87BEA">
              <w:rPr>
                <w:vertAlign w:val="subscript"/>
                <w:lang w:val="en-US"/>
              </w:rPr>
              <w:t>(</w:t>
            </w:r>
            <w:proofErr w:type="gramEnd"/>
            <w:r w:rsidR="00A87BEA">
              <w:rPr>
                <w:vertAlign w:val="subscript"/>
                <w:lang w:val="en-US"/>
              </w:rPr>
              <w:t>0-24)</w:t>
            </w:r>
            <w:r w:rsidRPr="007119D0">
              <w:rPr>
                <w:lang w:val="en-US"/>
              </w:rPr>
              <w:t xml:space="preserve"> levels within </w:t>
            </w:r>
            <w:r>
              <w:rPr>
                <w:lang w:val="en-US"/>
              </w:rPr>
              <w:br/>
            </w:r>
            <w:r>
              <w:t xml:space="preserve">10.4 – 34.7 </w:t>
            </w:r>
            <w:proofErr w:type="spellStart"/>
            <w:r>
              <w:t>nmol</w:t>
            </w:r>
            <w:proofErr w:type="spellEnd"/>
            <w:r>
              <w:t xml:space="preserve">/L at </w:t>
            </w:r>
            <w:r w:rsidR="002845E5">
              <w:t>day</w:t>
            </w:r>
            <w:r>
              <w:t xml:space="preserve"> 180</w:t>
            </w:r>
            <w:r w:rsidRPr="007119D0">
              <w:rPr>
                <w:lang w:val="en-US"/>
              </w:rPr>
              <w:t>.</w:t>
            </w:r>
          </w:p>
        </w:tc>
      </w:tr>
    </w:tbl>
    <w:p w:rsidR="001B094D" w:rsidRPr="00D13A3E" w:rsidRDefault="009753F2" w:rsidP="001B094D">
      <w:pPr>
        <w:pStyle w:val="TableFooter"/>
      </w:pPr>
      <w:r>
        <w:t xml:space="preserve">Abbreviations: </w:t>
      </w:r>
      <w:proofErr w:type="spellStart"/>
      <w:proofErr w:type="gramStart"/>
      <w:r w:rsidR="00A87BEA" w:rsidRPr="00870E14">
        <w:t>C</w:t>
      </w:r>
      <w:r w:rsidR="00A87BEA" w:rsidRPr="00870E14">
        <w:rPr>
          <w:vertAlign w:val="subscript"/>
        </w:rPr>
        <w:t>avg</w:t>
      </w:r>
      <w:proofErr w:type="spellEnd"/>
      <w:r w:rsidR="00A87BEA">
        <w:rPr>
          <w:vertAlign w:val="subscript"/>
        </w:rPr>
        <w:t>(</w:t>
      </w:r>
      <w:proofErr w:type="gramEnd"/>
      <w:r w:rsidR="00A87BEA">
        <w:rPr>
          <w:vertAlign w:val="subscript"/>
        </w:rPr>
        <w:t>0-24</w:t>
      </w:r>
      <w:r w:rsidR="00A87BEA" w:rsidRPr="008C421C">
        <w:rPr>
          <w:vertAlign w:val="subscript"/>
        </w:rPr>
        <w:t>)</w:t>
      </w:r>
      <w:r w:rsidR="00A87BEA">
        <w:t xml:space="preserve"> </w:t>
      </w:r>
      <w:r w:rsidR="00A87BEA" w:rsidRPr="00870E14">
        <w:t>= average concentration</w:t>
      </w:r>
      <w:r w:rsidR="00A87BEA">
        <w:t xml:space="preserve"> over 24 hours; </w:t>
      </w:r>
      <w:r w:rsidR="001B094D" w:rsidRPr="009A6831">
        <w:t xml:space="preserve">OL=open label; </w:t>
      </w:r>
      <w:r w:rsidR="001B094D" w:rsidRPr="00D13A3E">
        <w:t>R=randomised</w:t>
      </w:r>
      <w:r w:rsidR="001B094D">
        <w:t xml:space="preserve">. </w:t>
      </w:r>
    </w:p>
    <w:p w:rsidR="001B094D" w:rsidRDefault="001B094D" w:rsidP="001B094D">
      <w:pPr>
        <w:pStyle w:val="TableFooter"/>
      </w:pPr>
      <w:r>
        <w:t xml:space="preserve">^ </w:t>
      </w:r>
      <w:proofErr w:type="gramStart"/>
      <w:r>
        <w:t>one</w:t>
      </w:r>
      <w:proofErr w:type="gramEnd"/>
      <w:r>
        <w:t xml:space="preserve"> patient did not receive the treatment and excluded from the analysis</w:t>
      </w:r>
    </w:p>
    <w:p w:rsidR="001B094D" w:rsidRDefault="001B094D" w:rsidP="001B094D">
      <w:pPr>
        <w:pStyle w:val="TableFooter"/>
      </w:pPr>
      <w:r>
        <w:t xml:space="preserve">* </w:t>
      </w:r>
      <w:proofErr w:type="gramStart"/>
      <w:r>
        <w:t>only</w:t>
      </w:r>
      <w:proofErr w:type="gramEnd"/>
      <w:r>
        <w:t xml:space="preserve"> include patients randomised to testosterone 1% gel.</w:t>
      </w:r>
    </w:p>
    <w:p w:rsidR="001B094D" w:rsidRDefault="001B094D" w:rsidP="001B094D">
      <w:pPr>
        <w:pStyle w:val="TableFooter"/>
      </w:pPr>
      <w:r>
        <w:t xml:space="preserve">** </w:t>
      </w:r>
      <w:proofErr w:type="gramStart"/>
      <w:r>
        <w:t>for</w:t>
      </w:r>
      <w:proofErr w:type="gramEnd"/>
      <w:r>
        <w:t xml:space="preserve"> </w:t>
      </w:r>
      <w:r w:rsidR="0062354D">
        <w:t xml:space="preserve">naïve </w:t>
      </w:r>
      <w:r>
        <w:t>indirect comparison</w:t>
      </w:r>
    </w:p>
    <w:p w:rsidR="001B094D" w:rsidRDefault="001B094D" w:rsidP="001B094D">
      <w:pPr>
        <w:pStyle w:val="TableFooter"/>
        <w:ind w:left="142" w:hanging="142"/>
      </w:pPr>
      <w:r w:rsidRPr="00112F6D">
        <w:rPr>
          <w:szCs w:val="18"/>
          <w:vertAlign w:val="superscript"/>
        </w:rPr>
        <w:t>†</w:t>
      </w:r>
      <w:r>
        <w:rPr>
          <w:szCs w:val="18"/>
        </w:rPr>
        <w:t xml:space="preserve"> The study was randomised and blinded in respect to dose of testosterone 1% gel from </w:t>
      </w:r>
      <w:r w:rsidR="002845E5">
        <w:rPr>
          <w:szCs w:val="18"/>
        </w:rPr>
        <w:t>day</w:t>
      </w:r>
      <w:r>
        <w:rPr>
          <w:szCs w:val="18"/>
        </w:rPr>
        <w:t xml:space="preserve"> 0-90. However, the results used in the naïve indirect comparison were from the non-randomised, open-label phase of the study (</w:t>
      </w:r>
      <w:r w:rsidR="002845E5">
        <w:rPr>
          <w:szCs w:val="18"/>
        </w:rPr>
        <w:t>day</w:t>
      </w:r>
      <w:r>
        <w:rPr>
          <w:szCs w:val="18"/>
        </w:rPr>
        <w:t xml:space="preserve"> 91-180)</w:t>
      </w:r>
    </w:p>
    <w:p w:rsidR="001B094D" w:rsidRPr="007F1017" w:rsidRDefault="001B094D" w:rsidP="001B094D">
      <w:pPr>
        <w:pStyle w:val="TableFooter"/>
        <w:rPr>
          <w:szCs w:val="18"/>
        </w:rPr>
      </w:pPr>
      <w:r>
        <w:t>Source: compiled during the evaluation based on Sections 2.1-2.4 of the submission.</w:t>
      </w:r>
    </w:p>
    <w:p w:rsidR="001B094D" w:rsidRDefault="001B094D" w:rsidP="001B094D"/>
    <w:p w:rsidR="001B094D" w:rsidRPr="00C3391A" w:rsidRDefault="001B094D" w:rsidP="00B068D3">
      <w:pPr>
        <w:pStyle w:val="ListParagraph"/>
        <w:widowControl/>
        <w:numPr>
          <w:ilvl w:val="1"/>
          <w:numId w:val="1"/>
        </w:numPr>
      </w:pPr>
      <w:r w:rsidRPr="00C3391A">
        <w:t>The naïve indirect comparison was subject to uncertainty and the key transitivity issues are summarised below:</w:t>
      </w:r>
    </w:p>
    <w:p w:rsidR="001B094D" w:rsidRPr="00C3391A" w:rsidRDefault="001B094D" w:rsidP="004D4F36">
      <w:pPr>
        <w:pStyle w:val="ListParagraph"/>
        <w:widowControl/>
        <w:numPr>
          <w:ilvl w:val="0"/>
          <w:numId w:val="4"/>
        </w:numPr>
        <w:ind w:left="1077" w:hanging="357"/>
      </w:pPr>
      <w:r w:rsidRPr="00C3391A">
        <w:t xml:space="preserve">Serum </w:t>
      </w:r>
      <w:r w:rsidR="00D2338D" w:rsidRPr="00C3391A">
        <w:t xml:space="preserve">testosterone </w:t>
      </w:r>
      <w:r w:rsidRPr="00C3391A">
        <w:t xml:space="preserve">level at screening: patients in Study 127 had a higher serum testosterone level at screening (7.8 </w:t>
      </w:r>
      <w:proofErr w:type="spellStart"/>
      <w:r w:rsidRPr="00C3391A">
        <w:t>nmol</w:t>
      </w:r>
      <w:proofErr w:type="spellEnd"/>
      <w:r w:rsidRPr="00C3391A">
        <w:t xml:space="preserve">/L) than those included in </w:t>
      </w:r>
      <w:proofErr w:type="spellStart"/>
      <w:r w:rsidRPr="00C3391A">
        <w:t>Swerdloff</w:t>
      </w:r>
      <w:proofErr w:type="spellEnd"/>
      <w:r w:rsidRPr="00C3391A">
        <w:t xml:space="preserve"> 2000 (6.4 </w:t>
      </w:r>
      <w:proofErr w:type="spellStart"/>
      <w:r w:rsidRPr="00C3391A">
        <w:t>nmol</w:t>
      </w:r>
      <w:proofErr w:type="spellEnd"/>
      <w:r w:rsidRPr="00C3391A">
        <w:t>/L);</w:t>
      </w:r>
    </w:p>
    <w:p w:rsidR="001B094D" w:rsidRPr="00C3391A" w:rsidRDefault="001B094D" w:rsidP="004D4F36">
      <w:pPr>
        <w:pStyle w:val="ListParagraph"/>
        <w:widowControl/>
        <w:numPr>
          <w:ilvl w:val="0"/>
          <w:numId w:val="4"/>
        </w:numPr>
        <w:ind w:left="1077" w:hanging="357"/>
      </w:pPr>
      <w:r w:rsidRPr="00C3391A">
        <w:t xml:space="preserve">Causes of hypogonadism: the majority of patients in the testosterone 1% gel arms of </w:t>
      </w:r>
      <w:proofErr w:type="spellStart"/>
      <w:r w:rsidRPr="00C3391A">
        <w:t>Swerdloff</w:t>
      </w:r>
      <w:proofErr w:type="spellEnd"/>
      <w:r w:rsidRPr="00C3391A">
        <w:t xml:space="preserve"> 2000 had established primary (40%) or secondary (20%) hypogonadism, while, as explained above, the underlying causes of androgen deficiency in Study 127 were not clear;</w:t>
      </w:r>
    </w:p>
    <w:p w:rsidR="001B094D" w:rsidRPr="00C3391A" w:rsidRDefault="001B094D" w:rsidP="004D4F36">
      <w:pPr>
        <w:pStyle w:val="ListParagraph"/>
        <w:widowControl/>
        <w:numPr>
          <w:ilvl w:val="0"/>
          <w:numId w:val="4"/>
        </w:numPr>
        <w:ind w:left="1077" w:hanging="357"/>
      </w:pPr>
      <w:r w:rsidRPr="00C3391A">
        <w:t xml:space="preserve">Different assay methods were used to measure serum testosterone concentrations in the two studies (liquid chromatography-mass spectrometry/mass spectrometry assay </w:t>
      </w:r>
      <w:r w:rsidR="006B295B" w:rsidRPr="00C3391A">
        <w:t>in</w:t>
      </w:r>
      <w:r w:rsidRPr="00C3391A">
        <w:t xml:space="preserve"> Study 127 versus </w:t>
      </w:r>
      <w:r w:rsidR="006B295B" w:rsidRPr="00C3391A">
        <w:t>radioimmunoassay in</w:t>
      </w:r>
      <w:r w:rsidRPr="00C3391A">
        <w:t xml:space="preserve"> </w:t>
      </w:r>
      <w:proofErr w:type="spellStart"/>
      <w:r w:rsidRPr="00C3391A">
        <w:t>Swerdloff</w:t>
      </w:r>
      <w:proofErr w:type="spellEnd"/>
      <w:r w:rsidRPr="00C3391A">
        <w:t xml:space="preserve"> 2000</w:t>
      </w:r>
      <w:r w:rsidR="006B295B" w:rsidRPr="00C3391A">
        <w:t>)</w:t>
      </w:r>
      <w:r w:rsidRPr="00C3391A">
        <w:t>, which may have contributed to the differences in the observed baseline testosterone levels and also confounded the measurement of response rate</w:t>
      </w:r>
      <w:r w:rsidR="005E133B">
        <w:t>;</w:t>
      </w:r>
    </w:p>
    <w:p w:rsidR="005E133B" w:rsidRDefault="001B094D" w:rsidP="004D4F36">
      <w:pPr>
        <w:pStyle w:val="ListParagraph"/>
        <w:widowControl/>
        <w:numPr>
          <w:ilvl w:val="0"/>
          <w:numId w:val="4"/>
        </w:numPr>
        <w:ind w:left="1077" w:hanging="357"/>
      </w:pPr>
      <w:r w:rsidRPr="00C3391A">
        <w:t xml:space="preserve">Differences between studies </w:t>
      </w:r>
      <w:r w:rsidR="00CD4C64" w:rsidRPr="00C3391A">
        <w:t>in terms of t</w:t>
      </w:r>
      <w:r w:rsidRPr="00C3391A">
        <w:t xml:space="preserve">he </w:t>
      </w:r>
      <w:proofErr w:type="spellStart"/>
      <w:r w:rsidRPr="00C3391A">
        <w:t>timepoint</w:t>
      </w:r>
      <w:proofErr w:type="spellEnd"/>
      <w:r w:rsidRPr="00C3391A">
        <w:t xml:space="preserve"> for assessment of response</w:t>
      </w:r>
      <w:r w:rsidR="00CD4C64" w:rsidRPr="00C3391A">
        <w:t xml:space="preserve">: </w:t>
      </w:r>
      <w:r w:rsidRPr="00C3391A">
        <w:t>90 days for Study 127</w:t>
      </w:r>
      <w:r w:rsidR="00CD4C64" w:rsidRPr="00C3391A">
        <w:t>,</w:t>
      </w:r>
      <w:r w:rsidRPr="00C3391A">
        <w:t xml:space="preserve"> and 180 days for </w:t>
      </w:r>
      <w:proofErr w:type="spellStart"/>
      <w:r w:rsidRPr="00C3391A">
        <w:t>Swerdloff</w:t>
      </w:r>
      <w:proofErr w:type="spellEnd"/>
      <w:r w:rsidRPr="00C3391A">
        <w:t xml:space="preserve"> 2000</w:t>
      </w:r>
      <w:r w:rsidR="005E133B">
        <w:t>.</w:t>
      </w:r>
    </w:p>
    <w:p w:rsidR="001B094D" w:rsidRPr="00C3391A" w:rsidRDefault="001B094D" w:rsidP="00B068D3">
      <w:pPr>
        <w:pStyle w:val="ListParagraph"/>
        <w:widowControl/>
        <w:numPr>
          <w:ilvl w:val="1"/>
          <w:numId w:val="1"/>
        </w:numPr>
      </w:pPr>
      <w:r w:rsidRPr="00C3391A">
        <w:t xml:space="preserve">The submission did </w:t>
      </w:r>
      <w:r w:rsidR="00CC0764" w:rsidRPr="00C3391A">
        <w:t xml:space="preserve">not specify a non-inferiority margin (minimal clinically important difference) for </w:t>
      </w:r>
      <w:r w:rsidRPr="00C3391A">
        <w:t xml:space="preserve">the outcome used in the </w:t>
      </w:r>
      <w:r w:rsidR="00D21874" w:rsidRPr="00C3391A">
        <w:t xml:space="preserve">naïve </w:t>
      </w:r>
      <w:r w:rsidRPr="00C3391A">
        <w:t>indirect comparison.</w:t>
      </w:r>
    </w:p>
    <w:p w:rsidR="001B094D" w:rsidRDefault="001B094D" w:rsidP="00F77C40">
      <w:pPr>
        <w:pStyle w:val="Heading2"/>
        <w:keepNext/>
        <w:spacing w:after="120"/>
      </w:pPr>
      <w:bookmarkStart w:id="15" w:name="_Toc520285939"/>
      <w:bookmarkStart w:id="16" w:name="_Toc523307108"/>
      <w:r w:rsidRPr="00C9624D">
        <w:t>Comparative effectiveness</w:t>
      </w:r>
      <w:bookmarkEnd w:id="15"/>
      <w:bookmarkEnd w:id="16"/>
    </w:p>
    <w:p w:rsidR="001B094D" w:rsidRPr="00C42DDA" w:rsidRDefault="001B094D" w:rsidP="004D4F36">
      <w:pPr>
        <w:pStyle w:val="ListParagraph"/>
        <w:keepNext/>
        <w:widowControl/>
        <w:numPr>
          <w:ilvl w:val="1"/>
          <w:numId w:val="1"/>
        </w:numPr>
      </w:pPr>
      <w:r w:rsidRPr="00C3391A">
        <w:t>The pharmacokinetics of the two testosterone gel preparations at steady state differed, with diurnal variation in serum testosterone levels evident with testosterone 2% EP gel, while the serum concentrations remained fairly stable over 24 hours with testosterone 1% gel. The implications of these differences on the patient relevant clinical outcomes of resolution of symptoms, signs and complications of androgen deficiency were uncertain.</w:t>
      </w:r>
      <w:r w:rsidR="00FF63E4">
        <w:t xml:space="preserve"> </w:t>
      </w:r>
      <w:r w:rsidR="005F50D5" w:rsidRPr="00C42DDA">
        <w:t>The PSCR</w:t>
      </w:r>
      <w:r w:rsidR="00FF63E4" w:rsidRPr="00C42DDA">
        <w:t xml:space="preserve"> stated that as patients experience a variety of </w:t>
      </w:r>
      <w:r w:rsidR="00FF63E4" w:rsidRPr="00C42DDA">
        <w:lastRenderedPageBreak/>
        <w:t xml:space="preserve">symptoms associated with androgen deficiency, there is no </w:t>
      </w:r>
      <w:r w:rsidR="005F50D5" w:rsidRPr="00C42DDA">
        <w:t>single</w:t>
      </w:r>
      <w:r w:rsidR="00FF63E4" w:rsidRPr="00C42DDA">
        <w:t xml:space="preserve"> symptom that can be used to assess clinical improvement on a population basis. It noted that </w:t>
      </w:r>
      <w:r w:rsidR="00357253" w:rsidRPr="00C42DDA">
        <w:t xml:space="preserve">patient </w:t>
      </w:r>
      <w:r w:rsidR="00FF63E4" w:rsidRPr="00C42DDA">
        <w:t>reported outcomes</w:t>
      </w:r>
      <w:r w:rsidR="00357253" w:rsidRPr="00C42DDA">
        <w:t xml:space="preserve"> (erectile dysfunction,</w:t>
      </w:r>
      <w:r w:rsidR="002D3173" w:rsidRPr="00C42DDA">
        <w:t xml:space="preserve"> </w:t>
      </w:r>
      <w:r w:rsidR="00357253" w:rsidRPr="00C42DDA">
        <w:t>fatigue and general health) were recorded in Study 127 and that treatment with 2% gel was associated with improvements in all the patient reported out</w:t>
      </w:r>
      <w:r w:rsidR="005F50D5" w:rsidRPr="00C42DDA">
        <w:t xml:space="preserve">comes. The PSCR </w:t>
      </w:r>
      <w:r w:rsidR="00357253" w:rsidRPr="00C42DDA">
        <w:t xml:space="preserve">noted that </w:t>
      </w:r>
      <w:r w:rsidR="00FF63E4" w:rsidRPr="00C42DDA">
        <w:t xml:space="preserve">the presented responder analyses, defined as the proportion of patients who achieve testosterone concentration within the </w:t>
      </w:r>
      <w:proofErr w:type="spellStart"/>
      <w:r w:rsidR="00FF63E4" w:rsidRPr="00C42DDA">
        <w:t>eugonadal</w:t>
      </w:r>
      <w:proofErr w:type="spellEnd"/>
      <w:r w:rsidR="00FF63E4" w:rsidRPr="00C42DDA">
        <w:t xml:space="preserve"> range</w:t>
      </w:r>
      <w:r w:rsidR="00357253" w:rsidRPr="00C42DDA">
        <w:t xml:space="preserve">, was the efficacy outcome that could be compared between Study 127 and </w:t>
      </w:r>
      <w:proofErr w:type="spellStart"/>
      <w:r w:rsidR="00357253" w:rsidRPr="00C42DDA">
        <w:t>Swerdloff</w:t>
      </w:r>
      <w:proofErr w:type="spellEnd"/>
      <w:r w:rsidR="00357253" w:rsidRPr="00C42DDA">
        <w:t xml:space="preserve"> et al., 2000 and is </w:t>
      </w:r>
      <w:r w:rsidR="00FF63E4" w:rsidRPr="00C42DDA">
        <w:t>consistent with the goal of TRT</w:t>
      </w:r>
      <w:r w:rsidR="00357253" w:rsidRPr="00C42DDA">
        <w:t xml:space="preserve">. Further, the PSCR stated that the PBAC has previously recommended TRTs on the basis of the achievement of testosterone levels within the </w:t>
      </w:r>
      <w:proofErr w:type="spellStart"/>
      <w:r w:rsidR="00357253" w:rsidRPr="00C42DDA">
        <w:t>eugonadal</w:t>
      </w:r>
      <w:proofErr w:type="spellEnd"/>
      <w:r w:rsidR="00357253" w:rsidRPr="00C42DDA">
        <w:t xml:space="preserve"> range (</w:t>
      </w:r>
      <w:proofErr w:type="spellStart"/>
      <w:r w:rsidR="00357253" w:rsidRPr="00C42DDA">
        <w:t>Axiron</w:t>
      </w:r>
      <w:proofErr w:type="spellEnd"/>
      <w:r w:rsidR="00357253" w:rsidRPr="00C42DDA">
        <w:t xml:space="preserve"> PSD, November 2011; </w:t>
      </w:r>
      <w:proofErr w:type="spellStart"/>
      <w:r w:rsidR="00357253" w:rsidRPr="00C42DDA">
        <w:t>AndroForte</w:t>
      </w:r>
      <w:proofErr w:type="spellEnd"/>
      <w:r w:rsidR="00357253" w:rsidRPr="00C42DDA">
        <w:t xml:space="preserve"> PSD, March 2015).</w:t>
      </w:r>
      <w:r w:rsidR="002D3173" w:rsidRPr="00C42DDA">
        <w:t xml:space="preserve"> </w:t>
      </w:r>
    </w:p>
    <w:p w:rsidR="006A76E0" w:rsidRPr="00C3391A" w:rsidRDefault="006A76E0" w:rsidP="00B068D3">
      <w:pPr>
        <w:pStyle w:val="ListParagraph"/>
        <w:widowControl/>
        <w:numPr>
          <w:ilvl w:val="1"/>
          <w:numId w:val="1"/>
        </w:numPr>
        <w:rPr>
          <w:szCs w:val="24"/>
        </w:rPr>
      </w:pPr>
      <w:r w:rsidRPr="00C3391A">
        <w:rPr>
          <w:szCs w:val="24"/>
        </w:rPr>
        <w:t xml:space="preserve">For the naïve indirect comparison, the submission used the response rate in the per protocol (PP) completers analysis set in Study 127, as it was considered that this analysis set best matched the analysis set for which the response rate was reported in </w:t>
      </w:r>
      <w:proofErr w:type="spellStart"/>
      <w:r w:rsidRPr="00C3391A">
        <w:rPr>
          <w:szCs w:val="24"/>
        </w:rPr>
        <w:t>Swerdloff</w:t>
      </w:r>
      <w:proofErr w:type="spellEnd"/>
      <w:r w:rsidRPr="00C3391A">
        <w:rPr>
          <w:szCs w:val="24"/>
        </w:rPr>
        <w:t xml:space="preserve"> 2000. The analysis set used for the response rate reported for </w:t>
      </w:r>
      <w:proofErr w:type="spellStart"/>
      <w:r w:rsidRPr="00C3391A">
        <w:rPr>
          <w:szCs w:val="24"/>
        </w:rPr>
        <w:t>Swerdloff</w:t>
      </w:r>
      <w:proofErr w:type="spellEnd"/>
      <w:r w:rsidRPr="00C3391A">
        <w:rPr>
          <w:szCs w:val="24"/>
        </w:rPr>
        <w:t xml:space="preserve"> 2000 included patients who received testosterone 1% gel from day 90-180 (the </w:t>
      </w:r>
      <w:proofErr w:type="spellStart"/>
      <w:r w:rsidRPr="00C3391A">
        <w:rPr>
          <w:szCs w:val="24"/>
        </w:rPr>
        <w:t>unblinded</w:t>
      </w:r>
      <w:proofErr w:type="spellEnd"/>
      <w:r w:rsidRPr="00C3391A">
        <w:rPr>
          <w:szCs w:val="24"/>
        </w:rPr>
        <w:t xml:space="preserve"> part of the study) and who had sufficient data for analysis at day 180 (i.e. completed the study).</w:t>
      </w:r>
    </w:p>
    <w:p w:rsidR="006A76E0" w:rsidRPr="00C3391A" w:rsidRDefault="006A76E0" w:rsidP="00B068D3">
      <w:pPr>
        <w:pStyle w:val="ListParagraph"/>
        <w:widowControl/>
        <w:numPr>
          <w:ilvl w:val="1"/>
          <w:numId w:val="1"/>
        </w:numPr>
      </w:pPr>
      <w:r w:rsidRPr="00C3391A">
        <w:t xml:space="preserve">While the conclusion was reasonable that the PP completer analysis set in Study 127 most closely resembled that used for the analysis of the response rate in </w:t>
      </w:r>
      <w:proofErr w:type="spellStart"/>
      <w:r w:rsidRPr="00C3391A">
        <w:t>Swerdloff</w:t>
      </w:r>
      <w:proofErr w:type="spellEnd"/>
      <w:r w:rsidRPr="00C3391A">
        <w:t xml:space="preserve"> 2000, a considerable proportion of patients in both studies were excluded from this analysis (</w:t>
      </w:r>
      <w:r w:rsidR="00AB4F41" w:rsidRPr="00C3391A">
        <w:t>Table 4</w:t>
      </w:r>
      <w:r w:rsidRPr="00C3391A">
        <w:t xml:space="preserve">). As the response rate in </w:t>
      </w:r>
      <w:proofErr w:type="spellStart"/>
      <w:r w:rsidRPr="00C3391A">
        <w:t>Swerdloff</w:t>
      </w:r>
      <w:proofErr w:type="spellEnd"/>
      <w:r w:rsidRPr="00C3391A">
        <w:t xml:space="preserve"> 2000 was not reported for any alternative analysis sets, a comparison of the response rates based on alternative analysis sets was not feasible, even though the PP completer analysis response rates were the least conservative from Study 127.</w:t>
      </w:r>
    </w:p>
    <w:p w:rsidR="001B094D" w:rsidRPr="00961B03" w:rsidRDefault="001B094D" w:rsidP="00B068D3">
      <w:pPr>
        <w:pStyle w:val="ListParagraph"/>
        <w:widowControl/>
        <w:numPr>
          <w:ilvl w:val="1"/>
          <w:numId w:val="1"/>
        </w:numPr>
      </w:pPr>
      <w:r w:rsidRPr="00961B03">
        <w:rPr>
          <w:szCs w:val="24"/>
        </w:rPr>
        <w:t xml:space="preserve">The response rates across the single arms in Study 127 and </w:t>
      </w:r>
      <w:proofErr w:type="spellStart"/>
      <w:r w:rsidRPr="00961B03">
        <w:rPr>
          <w:szCs w:val="24"/>
        </w:rPr>
        <w:t>Swerdloff</w:t>
      </w:r>
      <w:proofErr w:type="spellEnd"/>
      <w:r w:rsidRPr="00961B03">
        <w:rPr>
          <w:szCs w:val="24"/>
        </w:rPr>
        <w:t xml:space="preserve"> 2000 are summarised below.</w:t>
      </w:r>
    </w:p>
    <w:p w:rsidR="001B094D" w:rsidRPr="00961B03" w:rsidRDefault="001B094D" w:rsidP="004D4F36">
      <w:pPr>
        <w:pStyle w:val="Caption"/>
        <w:rPr>
          <w:rStyle w:val="CommentReference"/>
          <w:b/>
        </w:rPr>
      </w:pPr>
      <w:bookmarkStart w:id="17" w:name="_Ref523740601"/>
      <w:r w:rsidRPr="00961B03">
        <w:rPr>
          <w:rStyle w:val="CommentReference"/>
          <w:b/>
        </w:rPr>
        <w:t xml:space="preserve">Table </w:t>
      </w:r>
      <w:r w:rsidR="00AB4F41">
        <w:rPr>
          <w:rStyle w:val="CommentReference"/>
          <w:b/>
          <w:noProof/>
        </w:rPr>
        <w:t>4</w:t>
      </w:r>
      <w:bookmarkEnd w:id="17"/>
      <w:r w:rsidRPr="00961B03">
        <w:rPr>
          <w:rStyle w:val="CommentReference"/>
          <w:b/>
        </w:rPr>
        <w:t xml:space="preserve">: Results of the naïve indirect comparison of response rates for Study 127 and </w:t>
      </w:r>
      <w:proofErr w:type="spellStart"/>
      <w:r w:rsidRPr="00961B03">
        <w:rPr>
          <w:rStyle w:val="CommentReference"/>
          <w:b/>
        </w:rPr>
        <w:t>Swerdloff</w:t>
      </w:r>
      <w:proofErr w:type="spellEnd"/>
      <w:r w:rsidRPr="00961B03">
        <w:rPr>
          <w:rStyle w:val="CommentReference"/>
          <w:b/>
        </w:rPr>
        <w:t xml:space="preserve"> 2000.</w:t>
      </w:r>
    </w:p>
    <w:tbl>
      <w:tblPr>
        <w:tblStyle w:val="TableGrid"/>
        <w:tblW w:w="4907" w:type="pct"/>
        <w:tblInd w:w="108" w:type="dxa"/>
        <w:tblLook w:val="04A0" w:firstRow="1" w:lastRow="0" w:firstColumn="1" w:lastColumn="0" w:noHBand="0" w:noVBand="1"/>
        <w:tblCaption w:val="Results of the naïve indirect comparison of response rates for Study 127 and Swerdloff 2000"/>
      </w:tblPr>
      <w:tblGrid>
        <w:gridCol w:w="2002"/>
        <w:gridCol w:w="1572"/>
        <w:gridCol w:w="1570"/>
        <w:gridCol w:w="1572"/>
        <w:gridCol w:w="2133"/>
      </w:tblGrid>
      <w:tr w:rsidR="004B1DFD" w:rsidRPr="00961B03" w:rsidTr="004D4F36">
        <w:tc>
          <w:tcPr>
            <w:tcW w:w="1132" w:type="pct"/>
            <w:vMerge w:val="restart"/>
            <w:shd w:val="clear" w:color="auto" w:fill="FFFFFF" w:themeFill="background1"/>
          </w:tcPr>
          <w:p w:rsidR="004B1DFD" w:rsidRPr="00961B03" w:rsidRDefault="004B1DFD" w:rsidP="004D4F36">
            <w:pPr>
              <w:keepNext/>
              <w:rPr>
                <w:b/>
                <w:szCs w:val="24"/>
              </w:rPr>
            </w:pPr>
          </w:p>
        </w:tc>
        <w:tc>
          <w:tcPr>
            <w:tcW w:w="2663" w:type="pct"/>
            <w:gridSpan w:val="3"/>
            <w:shd w:val="clear" w:color="auto" w:fill="FFFFFF" w:themeFill="background1"/>
          </w:tcPr>
          <w:p w:rsidR="004B1DFD" w:rsidRPr="00961B03" w:rsidRDefault="004B1DFD" w:rsidP="004D4F36">
            <w:pPr>
              <w:keepNext/>
              <w:jc w:val="center"/>
              <w:rPr>
                <w:rFonts w:ascii="Arial Narrow" w:hAnsi="Arial Narrow"/>
                <w:b/>
                <w:sz w:val="20"/>
                <w:szCs w:val="20"/>
              </w:rPr>
            </w:pPr>
            <w:r w:rsidRPr="00961B03">
              <w:rPr>
                <w:rFonts w:ascii="Arial Narrow" w:hAnsi="Arial Narrow"/>
                <w:b/>
                <w:sz w:val="20"/>
                <w:szCs w:val="20"/>
              </w:rPr>
              <w:t xml:space="preserve">Testosterone 2% EP gel </w:t>
            </w:r>
            <w:r w:rsidRPr="00961B03">
              <w:rPr>
                <w:rFonts w:ascii="Arial Narrow" w:hAnsi="Arial Narrow"/>
                <w:b/>
                <w:sz w:val="20"/>
                <w:szCs w:val="20"/>
              </w:rPr>
              <w:br/>
              <w:t>day 90 (Study 127)</w:t>
            </w:r>
          </w:p>
        </w:tc>
        <w:tc>
          <w:tcPr>
            <w:tcW w:w="1205" w:type="pct"/>
            <w:shd w:val="clear" w:color="auto" w:fill="FFFFFF" w:themeFill="background1"/>
          </w:tcPr>
          <w:p w:rsidR="004B1DFD" w:rsidRPr="00961B03" w:rsidRDefault="004B1DFD" w:rsidP="004D4F36">
            <w:pPr>
              <w:keepNext/>
              <w:jc w:val="center"/>
              <w:rPr>
                <w:rFonts w:ascii="Arial Narrow" w:hAnsi="Arial Narrow"/>
                <w:b/>
                <w:sz w:val="20"/>
                <w:szCs w:val="20"/>
              </w:rPr>
            </w:pPr>
            <w:r w:rsidRPr="00961B03">
              <w:rPr>
                <w:rFonts w:ascii="Arial Narrow" w:hAnsi="Arial Narrow"/>
                <w:b/>
                <w:sz w:val="20"/>
                <w:szCs w:val="20"/>
              </w:rPr>
              <w:t>Testosterone 1% gel</w:t>
            </w:r>
          </w:p>
          <w:p w:rsidR="004B1DFD" w:rsidRPr="00961B03" w:rsidRDefault="004B1DFD" w:rsidP="004D4F36">
            <w:pPr>
              <w:keepNext/>
              <w:jc w:val="center"/>
              <w:rPr>
                <w:rFonts w:ascii="Arial Narrow" w:hAnsi="Arial Narrow"/>
                <w:b/>
                <w:sz w:val="20"/>
                <w:szCs w:val="20"/>
              </w:rPr>
            </w:pPr>
            <w:r w:rsidRPr="00961B03">
              <w:rPr>
                <w:rFonts w:ascii="Arial Narrow" w:hAnsi="Arial Narrow"/>
                <w:b/>
                <w:sz w:val="20"/>
                <w:szCs w:val="20"/>
              </w:rPr>
              <w:t>day 180 (</w:t>
            </w:r>
            <w:proofErr w:type="spellStart"/>
            <w:r w:rsidRPr="00961B03">
              <w:rPr>
                <w:rFonts w:ascii="Arial Narrow" w:hAnsi="Arial Narrow"/>
                <w:b/>
                <w:sz w:val="20"/>
                <w:szCs w:val="20"/>
              </w:rPr>
              <w:t>Swerdloff</w:t>
            </w:r>
            <w:proofErr w:type="spellEnd"/>
            <w:r w:rsidRPr="00961B03">
              <w:rPr>
                <w:rFonts w:ascii="Arial Narrow" w:hAnsi="Arial Narrow"/>
                <w:b/>
                <w:sz w:val="20"/>
                <w:szCs w:val="20"/>
              </w:rPr>
              <w:t xml:space="preserve"> 2000)</w:t>
            </w:r>
          </w:p>
        </w:tc>
      </w:tr>
      <w:tr w:rsidR="004B1DFD" w:rsidRPr="00961B03" w:rsidTr="004D4F36">
        <w:tc>
          <w:tcPr>
            <w:tcW w:w="1132" w:type="pct"/>
            <w:vMerge/>
            <w:shd w:val="clear" w:color="auto" w:fill="FFFFFF" w:themeFill="background1"/>
          </w:tcPr>
          <w:p w:rsidR="004B1DFD" w:rsidRPr="00961B03" w:rsidRDefault="004B1DFD" w:rsidP="004D4F36">
            <w:pPr>
              <w:keepNext/>
              <w:rPr>
                <w:b/>
                <w:szCs w:val="24"/>
              </w:rPr>
            </w:pPr>
          </w:p>
        </w:tc>
        <w:tc>
          <w:tcPr>
            <w:tcW w:w="888" w:type="pct"/>
            <w:shd w:val="clear" w:color="auto" w:fill="FFFFFF" w:themeFill="background1"/>
          </w:tcPr>
          <w:p w:rsidR="003B14FA" w:rsidRPr="00961B03" w:rsidRDefault="000A3DB3" w:rsidP="004D4F36">
            <w:pPr>
              <w:keepNext/>
              <w:jc w:val="center"/>
              <w:rPr>
                <w:rFonts w:ascii="Arial Narrow" w:hAnsi="Arial Narrow"/>
                <w:b/>
                <w:sz w:val="20"/>
                <w:szCs w:val="20"/>
              </w:rPr>
            </w:pPr>
            <w:r w:rsidRPr="00961B03">
              <w:rPr>
                <w:rFonts w:ascii="Arial Narrow" w:hAnsi="Arial Narrow"/>
                <w:b/>
                <w:sz w:val="20"/>
                <w:szCs w:val="20"/>
              </w:rPr>
              <w:t>FAS</w:t>
            </w:r>
            <w:r w:rsidR="004B1DFD" w:rsidRPr="00961B03">
              <w:rPr>
                <w:rFonts w:ascii="Arial Narrow" w:hAnsi="Arial Narrow"/>
                <w:b/>
                <w:sz w:val="20"/>
                <w:szCs w:val="20"/>
                <w:vertAlign w:val="superscript"/>
              </w:rPr>
              <w:t>§</w:t>
            </w:r>
          </w:p>
        </w:tc>
        <w:tc>
          <w:tcPr>
            <w:tcW w:w="887" w:type="pct"/>
            <w:shd w:val="clear" w:color="auto" w:fill="FFFFFF" w:themeFill="background1"/>
          </w:tcPr>
          <w:p w:rsidR="003B14FA" w:rsidRPr="00961B03" w:rsidRDefault="004B1DFD" w:rsidP="004D4F36">
            <w:pPr>
              <w:keepNext/>
              <w:jc w:val="center"/>
              <w:rPr>
                <w:rFonts w:ascii="Arial Narrow" w:hAnsi="Arial Narrow"/>
                <w:b/>
                <w:sz w:val="20"/>
                <w:szCs w:val="20"/>
              </w:rPr>
            </w:pPr>
            <w:r w:rsidRPr="00961B03">
              <w:rPr>
                <w:rFonts w:ascii="Arial Narrow" w:hAnsi="Arial Narrow"/>
                <w:b/>
                <w:sz w:val="20"/>
                <w:szCs w:val="20"/>
              </w:rPr>
              <w:t>ITT with LOCF</w:t>
            </w:r>
          </w:p>
        </w:tc>
        <w:tc>
          <w:tcPr>
            <w:tcW w:w="887" w:type="pct"/>
            <w:shd w:val="clear" w:color="auto" w:fill="FFFFFF" w:themeFill="background1"/>
          </w:tcPr>
          <w:p w:rsidR="003B14FA" w:rsidRPr="00961B03" w:rsidRDefault="004B1DFD" w:rsidP="004D4F36">
            <w:pPr>
              <w:keepNext/>
              <w:jc w:val="center"/>
              <w:rPr>
                <w:rFonts w:ascii="Arial Narrow" w:hAnsi="Arial Narrow"/>
                <w:b/>
                <w:sz w:val="20"/>
                <w:szCs w:val="20"/>
              </w:rPr>
            </w:pPr>
            <w:r w:rsidRPr="00961B03">
              <w:rPr>
                <w:rFonts w:ascii="Arial Narrow" w:hAnsi="Arial Narrow"/>
                <w:b/>
                <w:sz w:val="20"/>
                <w:szCs w:val="20"/>
              </w:rPr>
              <w:t xml:space="preserve">PP </w:t>
            </w:r>
            <w:proofErr w:type="spellStart"/>
            <w:r w:rsidR="008B63D4" w:rsidRPr="00961B03">
              <w:rPr>
                <w:rFonts w:ascii="Arial Narrow" w:hAnsi="Arial Narrow"/>
                <w:b/>
                <w:sz w:val="20"/>
                <w:szCs w:val="20"/>
              </w:rPr>
              <w:t>population</w:t>
            </w:r>
            <w:r w:rsidRPr="00961B03">
              <w:rPr>
                <w:rFonts w:ascii="Arial Narrow" w:hAnsi="Arial Narrow"/>
                <w:b/>
                <w:sz w:val="20"/>
                <w:szCs w:val="20"/>
                <w:vertAlign w:val="superscript"/>
              </w:rPr>
              <w:t>Ψ</w:t>
            </w:r>
            <w:proofErr w:type="spellEnd"/>
          </w:p>
        </w:tc>
        <w:tc>
          <w:tcPr>
            <w:tcW w:w="1205" w:type="pct"/>
            <w:shd w:val="clear" w:color="auto" w:fill="FFFFFF" w:themeFill="background1"/>
          </w:tcPr>
          <w:p w:rsidR="003B14FA" w:rsidRPr="00961B03" w:rsidRDefault="004B1DFD" w:rsidP="004D4F36">
            <w:pPr>
              <w:keepNext/>
              <w:jc w:val="center"/>
              <w:rPr>
                <w:rFonts w:ascii="Arial Narrow" w:hAnsi="Arial Narrow"/>
                <w:b/>
                <w:i/>
                <w:sz w:val="20"/>
                <w:szCs w:val="20"/>
              </w:rPr>
            </w:pPr>
            <w:r w:rsidRPr="00961B03">
              <w:rPr>
                <w:rFonts w:ascii="Arial Narrow" w:hAnsi="Arial Narrow"/>
                <w:b/>
                <w:i/>
                <w:sz w:val="20"/>
                <w:szCs w:val="20"/>
              </w:rPr>
              <w:t>Completers*</w:t>
            </w:r>
          </w:p>
        </w:tc>
      </w:tr>
      <w:tr w:rsidR="004B1DFD" w:rsidRPr="00961B03" w:rsidTr="004D4F36">
        <w:tc>
          <w:tcPr>
            <w:tcW w:w="1132" w:type="pct"/>
          </w:tcPr>
          <w:p w:rsidR="004B1DFD" w:rsidRPr="00961B03" w:rsidRDefault="004B1DFD" w:rsidP="004D4F36">
            <w:pPr>
              <w:keepNext/>
              <w:jc w:val="left"/>
              <w:rPr>
                <w:rFonts w:ascii="Arial Narrow" w:hAnsi="Arial Narrow"/>
                <w:b/>
                <w:sz w:val="20"/>
                <w:szCs w:val="20"/>
              </w:rPr>
            </w:pPr>
            <w:r w:rsidRPr="00961B03">
              <w:rPr>
                <w:rFonts w:ascii="Arial Narrow" w:hAnsi="Arial Narrow"/>
                <w:b/>
                <w:sz w:val="20"/>
                <w:szCs w:val="20"/>
              </w:rPr>
              <w:t>Proportion of responders</w:t>
            </w:r>
            <w:r w:rsidRPr="00961B03">
              <w:rPr>
                <w:rFonts w:ascii="Arial Narrow" w:hAnsi="Arial Narrow"/>
                <w:b/>
                <w:sz w:val="20"/>
                <w:szCs w:val="20"/>
                <w:vertAlign w:val="superscript"/>
              </w:rPr>
              <w:t>♦</w:t>
            </w:r>
            <w:r w:rsidRPr="00961B03">
              <w:rPr>
                <w:rFonts w:ascii="Arial Narrow" w:hAnsi="Arial Narrow"/>
                <w:b/>
                <w:sz w:val="20"/>
                <w:szCs w:val="20"/>
              </w:rPr>
              <w:t>, n (%)</w:t>
            </w:r>
          </w:p>
          <w:p w:rsidR="004B1DFD" w:rsidRPr="00961B03" w:rsidRDefault="004B1DFD" w:rsidP="004D4F36">
            <w:pPr>
              <w:keepNext/>
              <w:jc w:val="left"/>
              <w:rPr>
                <w:rFonts w:ascii="Arial Narrow" w:hAnsi="Arial Narrow"/>
                <w:b/>
                <w:sz w:val="20"/>
                <w:szCs w:val="20"/>
              </w:rPr>
            </w:pPr>
            <w:r w:rsidRPr="00961B03">
              <w:rPr>
                <w:rFonts w:ascii="Arial Narrow" w:hAnsi="Arial Narrow"/>
                <w:b/>
                <w:sz w:val="20"/>
                <w:szCs w:val="20"/>
              </w:rPr>
              <w:t>[95% CI]</w:t>
            </w:r>
          </w:p>
        </w:tc>
        <w:tc>
          <w:tcPr>
            <w:tcW w:w="888" w:type="pct"/>
          </w:tcPr>
          <w:p w:rsidR="000A3DB3" w:rsidRPr="00961B03" w:rsidRDefault="000A3DB3" w:rsidP="004D4F36">
            <w:pPr>
              <w:keepNext/>
              <w:jc w:val="center"/>
              <w:rPr>
                <w:rFonts w:ascii="Arial Narrow" w:hAnsi="Arial Narrow"/>
                <w:sz w:val="20"/>
                <w:szCs w:val="20"/>
                <w:u w:val="single"/>
                <w:vertAlign w:val="superscript"/>
              </w:rPr>
            </w:pPr>
            <w:r w:rsidRPr="00961B03">
              <w:rPr>
                <w:rFonts w:ascii="Arial Narrow" w:hAnsi="Arial Narrow"/>
                <w:sz w:val="20"/>
                <w:szCs w:val="20"/>
                <w:u w:val="single"/>
              </w:rPr>
              <w:t>LOCF</w:t>
            </w:r>
          </w:p>
          <w:p w:rsidR="004B1DFD" w:rsidRPr="00961B03" w:rsidRDefault="004B1DFD" w:rsidP="004D4F36">
            <w:pPr>
              <w:keepNext/>
              <w:jc w:val="center"/>
              <w:rPr>
                <w:rFonts w:ascii="Arial Narrow" w:hAnsi="Arial Narrow"/>
                <w:sz w:val="20"/>
                <w:szCs w:val="20"/>
              </w:rPr>
            </w:pPr>
            <w:r w:rsidRPr="00961B03">
              <w:rPr>
                <w:rFonts w:ascii="Arial Narrow" w:hAnsi="Arial Narrow"/>
                <w:sz w:val="20"/>
                <w:szCs w:val="20"/>
              </w:rPr>
              <w:t>118</w:t>
            </w:r>
            <w:r w:rsidR="000A3DB3" w:rsidRPr="00961B03">
              <w:rPr>
                <w:rFonts w:ascii="Arial Narrow" w:hAnsi="Arial Narrow"/>
                <w:sz w:val="20"/>
                <w:szCs w:val="20"/>
              </w:rPr>
              <w:t>/155</w:t>
            </w:r>
            <w:r w:rsidRPr="00961B03">
              <w:rPr>
                <w:rFonts w:ascii="Arial Narrow" w:hAnsi="Arial Narrow"/>
                <w:sz w:val="20"/>
                <w:szCs w:val="20"/>
              </w:rPr>
              <w:t xml:space="preserve"> (76.1)</w:t>
            </w:r>
          </w:p>
          <w:p w:rsidR="004B1DFD" w:rsidRPr="00961B03" w:rsidRDefault="00BE19C4" w:rsidP="004D4F36">
            <w:pPr>
              <w:keepNext/>
              <w:jc w:val="center"/>
              <w:rPr>
                <w:rFonts w:ascii="Arial Narrow" w:hAnsi="Arial Narrow"/>
                <w:sz w:val="20"/>
                <w:szCs w:val="20"/>
              </w:rPr>
            </w:pPr>
            <w:r w:rsidRPr="00961B03">
              <w:rPr>
                <w:rFonts w:ascii="Arial Narrow" w:hAnsi="Arial Narrow"/>
                <w:sz w:val="20"/>
                <w:szCs w:val="20"/>
              </w:rPr>
              <w:t xml:space="preserve">[69.4, </w:t>
            </w:r>
            <w:r w:rsidR="004B1DFD" w:rsidRPr="00961B03">
              <w:rPr>
                <w:rFonts w:ascii="Arial Narrow" w:hAnsi="Arial Narrow"/>
                <w:sz w:val="20"/>
                <w:szCs w:val="20"/>
              </w:rPr>
              <w:t>82.8]</w:t>
            </w:r>
          </w:p>
          <w:p w:rsidR="000A3DB3" w:rsidRPr="00961B03" w:rsidRDefault="000A3DB3" w:rsidP="004D4F36">
            <w:pPr>
              <w:keepNext/>
              <w:spacing w:before="80"/>
              <w:jc w:val="center"/>
              <w:rPr>
                <w:rFonts w:ascii="Arial Narrow" w:hAnsi="Arial Narrow"/>
                <w:sz w:val="20"/>
                <w:szCs w:val="20"/>
                <w:vertAlign w:val="superscript"/>
              </w:rPr>
            </w:pPr>
            <w:r w:rsidRPr="00961B03">
              <w:rPr>
                <w:rFonts w:ascii="Arial Narrow" w:hAnsi="Arial Narrow"/>
                <w:sz w:val="20"/>
                <w:szCs w:val="20"/>
                <w:u w:val="single"/>
              </w:rPr>
              <w:t>Completers</w:t>
            </w:r>
            <w:r w:rsidR="00120FC2" w:rsidRPr="00961B03">
              <w:rPr>
                <w:rFonts w:ascii="Arial Narrow" w:hAnsi="Arial Narrow"/>
                <w:sz w:val="20"/>
                <w:szCs w:val="20"/>
                <w:vertAlign w:val="superscript"/>
              </w:rPr>
              <w:t>^</w:t>
            </w:r>
          </w:p>
          <w:p w:rsidR="000A3DB3" w:rsidRPr="00961B03" w:rsidRDefault="00120FC2" w:rsidP="004D4F36">
            <w:pPr>
              <w:keepNext/>
              <w:jc w:val="center"/>
              <w:rPr>
                <w:rFonts w:ascii="Arial Narrow" w:hAnsi="Arial Narrow"/>
                <w:sz w:val="20"/>
                <w:szCs w:val="20"/>
              </w:rPr>
            </w:pPr>
            <w:r w:rsidRPr="00961B03">
              <w:rPr>
                <w:rFonts w:ascii="Arial Narrow" w:hAnsi="Arial Narrow"/>
                <w:sz w:val="20"/>
                <w:szCs w:val="20"/>
              </w:rPr>
              <w:t>114/139 (82.0)</w:t>
            </w:r>
          </w:p>
          <w:p w:rsidR="00120FC2" w:rsidRPr="00961B03" w:rsidRDefault="00120FC2" w:rsidP="004D4F36">
            <w:pPr>
              <w:keepNext/>
              <w:jc w:val="center"/>
              <w:rPr>
                <w:rFonts w:ascii="Arial Narrow" w:hAnsi="Arial Narrow"/>
                <w:sz w:val="20"/>
                <w:szCs w:val="20"/>
              </w:rPr>
            </w:pPr>
            <w:r w:rsidRPr="00961B03">
              <w:rPr>
                <w:rFonts w:ascii="Arial Narrow" w:hAnsi="Arial Narrow"/>
                <w:sz w:val="20"/>
                <w:szCs w:val="20"/>
              </w:rPr>
              <w:t>[75.6, 88.4]</w:t>
            </w:r>
          </w:p>
        </w:tc>
        <w:tc>
          <w:tcPr>
            <w:tcW w:w="887" w:type="pct"/>
            <w:shd w:val="clear" w:color="auto" w:fill="FFFFFF" w:themeFill="background1"/>
          </w:tcPr>
          <w:p w:rsidR="00120FC2" w:rsidRPr="00961B03" w:rsidRDefault="00120FC2" w:rsidP="004D4F36">
            <w:pPr>
              <w:keepNext/>
              <w:jc w:val="center"/>
              <w:rPr>
                <w:rFonts w:ascii="Arial Narrow" w:hAnsi="Arial Narrow"/>
                <w:sz w:val="20"/>
                <w:szCs w:val="20"/>
              </w:rPr>
            </w:pPr>
          </w:p>
          <w:p w:rsidR="004B1DFD" w:rsidRPr="00961B03" w:rsidRDefault="004B1DFD" w:rsidP="004D4F36">
            <w:pPr>
              <w:keepNext/>
              <w:jc w:val="center"/>
              <w:rPr>
                <w:rFonts w:ascii="Arial Narrow" w:hAnsi="Arial Narrow"/>
                <w:sz w:val="20"/>
                <w:szCs w:val="20"/>
              </w:rPr>
            </w:pPr>
            <w:r w:rsidRPr="00961B03">
              <w:rPr>
                <w:rFonts w:ascii="Arial Narrow" w:hAnsi="Arial Narrow"/>
                <w:sz w:val="20"/>
                <w:szCs w:val="20"/>
              </w:rPr>
              <w:t>118</w:t>
            </w:r>
            <w:r w:rsidR="000A3DB3" w:rsidRPr="00961B03">
              <w:rPr>
                <w:rFonts w:ascii="Arial Narrow" w:hAnsi="Arial Narrow"/>
                <w:sz w:val="20"/>
                <w:szCs w:val="20"/>
              </w:rPr>
              <w:t>/159</w:t>
            </w:r>
            <w:r w:rsidRPr="00961B03">
              <w:rPr>
                <w:rFonts w:ascii="Arial Narrow" w:hAnsi="Arial Narrow"/>
                <w:sz w:val="20"/>
                <w:szCs w:val="20"/>
              </w:rPr>
              <w:t xml:space="preserve"> (74.2)</w:t>
            </w:r>
          </w:p>
          <w:p w:rsidR="004B1DFD" w:rsidRPr="00961B03" w:rsidRDefault="004B1DFD" w:rsidP="004D4F36">
            <w:pPr>
              <w:keepNext/>
              <w:jc w:val="center"/>
              <w:rPr>
                <w:rFonts w:ascii="Arial Narrow" w:hAnsi="Arial Narrow"/>
                <w:i/>
                <w:sz w:val="20"/>
                <w:szCs w:val="20"/>
              </w:rPr>
            </w:pPr>
            <w:r w:rsidRPr="00961B03">
              <w:rPr>
                <w:rFonts w:ascii="Arial Narrow" w:hAnsi="Arial Narrow"/>
                <w:i/>
                <w:sz w:val="20"/>
                <w:szCs w:val="20"/>
              </w:rPr>
              <w:t>[67.4, 81.0]</w:t>
            </w:r>
          </w:p>
        </w:tc>
        <w:tc>
          <w:tcPr>
            <w:tcW w:w="887" w:type="pct"/>
            <w:shd w:val="clear" w:color="auto" w:fill="FFFFFF" w:themeFill="background1"/>
          </w:tcPr>
          <w:p w:rsidR="00120FC2" w:rsidRPr="00961B03" w:rsidRDefault="00120FC2" w:rsidP="004D4F36">
            <w:pPr>
              <w:keepNext/>
              <w:jc w:val="center"/>
              <w:rPr>
                <w:rFonts w:ascii="Arial Narrow" w:hAnsi="Arial Narrow"/>
                <w:sz w:val="20"/>
                <w:szCs w:val="20"/>
                <w:u w:val="single"/>
              </w:rPr>
            </w:pPr>
            <w:r w:rsidRPr="00961B03">
              <w:rPr>
                <w:rFonts w:ascii="Arial Narrow" w:hAnsi="Arial Narrow"/>
                <w:sz w:val="20"/>
                <w:szCs w:val="20"/>
                <w:u w:val="single"/>
              </w:rPr>
              <w:t>LOCF</w:t>
            </w:r>
            <w:r w:rsidRPr="00961B03">
              <w:rPr>
                <w:rFonts w:ascii="Arial Narrow" w:hAnsi="Arial Narrow"/>
                <w:sz w:val="20"/>
                <w:szCs w:val="20"/>
                <w:u w:val="single"/>
              </w:rPr>
              <w:br/>
            </w:r>
            <w:r w:rsidRPr="00961B03">
              <w:rPr>
                <w:rFonts w:ascii="Arial Narrow" w:hAnsi="Arial Narrow"/>
                <w:sz w:val="20"/>
                <w:szCs w:val="20"/>
              </w:rPr>
              <w:t>114/145 (78.6)</w:t>
            </w:r>
          </w:p>
          <w:p w:rsidR="00120FC2" w:rsidRPr="00961B03" w:rsidRDefault="00120FC2" w:rsidP="004D4F36">
            <w:pPr>
              <w:keepNext/>
              <w:jc w:val="center"/>
              <w:rPr>
                <w:rFonts w:ascii="Arial Narrow" w:hAnsi="Arial Narrow"/>
                <w:i/>
                <w:sz w:val="20"/>
                <w:szCs w:val="20"/>
              </w:rPr>
            </w:pPr>
            <w:r w:rsidRPr="00961B03">
              <w:rPr>
                <w:rFonts w:ascii="Arial Narrow" w:hAnsi="Arial Narrow"/>
                <w:i/>
                <w:sz w:val="20"/>
                <w:szCs w:val="20"/>
              </w:rPr>
              <w:t xml:space="preserve">[71.9, </w:t>
            </w:r>
            <w:r w:rsidR="008B63D4" w:rsidRPr="00961B03">
              <w:rPr>
                <w:rFonts w:ascii="Arial Narrow" w:hAnsi="Arial Narrow"/>
                <w:i/>
                <w:sz w:val="20"/>
                <w:szCs w:val="20"/>
              </w:rPr>
              <w:t>85.3</w:t>
            </w:r>
            <w:r w:rsidRPr="00961B03">
              <w:rPr>
                <w:rFonts w:ascii="Arial Narrow" w:hAnsi="Arial Narrow"/>
                <w:i/>
                <w:sz w:val="20"/>
                <w:szCs w:val="20"/>
              </w:rPr>
              <w:t>]</w:t>
            </w:r>
          </w:p>
          <w:p w:rsidR="00120FC2" w:rsidRPr="00961B03" w:rsidRDefault="00120FC2" w:rsidP="004D4F36">
            <w:pPr>
              <w:keepNext/>
              <w:spacing w:before="80"/>
              <w:jc w:val="center"/>
              <w:rPr>
                <w:rFonts w:ascii="Arial Narrow" w:hAnsi="Arial Narrow"/>
                <w:b/>
                <w:sz w:val="20"/>
                <w:szCs w:val="20"/>
                <w:u w:val="single"/>
                <w:vertAlign w:val="superscript"/>
              </w:rPr>
            </w:pPr>
            <w:r w:rsidRPr="00961B03">
              <w:rPr>
                <w:rFonts w:ascii="Arial Narrow" w:hAnsi="Arial Narrow"/>
                <w:b/>
                <w:sz w:val="20"/>
                <w:szCs w:val="20"/>
                <w:u w:val="single"/>
              </w:rPr>
              <w:t>Completers</w:t>
            </w:r>
            <w:r w:rsidRPr="00961B03">
              <w:rPr>
                <w:rFonts w:ascii="Arial Narrow" w:hAnsi="Arial Narrow"/>
                <w:b/>
                <w:sz w:val="20"/>
                <w:szCs w:val="20"/>
                <w:vertAlign w:val="superscript"/>
              </w:rPr>
              <w:t>^</w:t>
            </w:r>
          </w:p>
          <w:p w:rsidR="004B1DFD" w:rsidRPr="00961B03" w:rsidRDefault="004B1DFD" w:rsidP="004D4F36">
            <w:pPr>
              <w:keepNext/>
              <w:jc w:val="center"/>
              <w:rPr>
                <w:rFonts w:ascii="Arial Narrow" w:hAnsi="Arial Narrow"/>
                <w:b/>
                <w:sz w:val="20"/>
                <w:szCs w:val="20"/>
              </w:rPr>
            </w:pPr>
            <w:r w:rsidRPr="00961B03">
              <w:rPr>
                <w:rFonts w:ascii="Arial Narrow" w:hAnsi="Arial Narrow"/>
                <w:b/>
                <w:sz w:val="20"/>
                <w:szCs w:val="20"/>
              </w:rPr>
              <w:t>111</w:t>
            </w:r>
            <w:r w:rsidR="000A3DB3" w:rsidRPr="00961B03">
              <w:rPr>
                <w:rFonts w:ascii="Arial Narrow" w:hAnsi="Arial Narrow"/>
                <w:b/>
                <w:sz w:val="20"/>
                <w:szCs w:val="20"/>
              </w:rPr>
              <w:t>/134</w:t>
            </w:r>
            <w:r w:rsidRPr="00961B03">
              <w:rPr>
                <w:rFonts w:ascii="Arial Narrow" w:hAnsi="Arial Narrow"/>
                <w:b/>
                <w:sz w:val="20"/>
                <w:szCs w:val="20"/>
              </w:rPr>
              <w:t xml:space="preserve"> (82.8)</w:t>
            </w:r>
          </w:p>
          <w:p w:rsidR="004B1DFD" w:rsidRPr="00961B03" w:rsidRDefault="004B1DFD" w:rsidP="004D4F36">
            <w:pPr>
              <w:keepNext/>
              <w:jc w:val="center"/>
              <w:rPr>
                <w:rFonts w:ascii="Arial Narrow" w:hAnsi="Arial Narrow"/>
                <w:sz w:val="20"/>
                <w:szCs w:val="20"/>
              </w:rPr>
            </w:pPr>
            <w:r w:rsidRPr="00961B03">
              <w:rPr>
                <w:rFonts w:ascii="Arial Narrow" w:hAnsi="Arial Narrow"/>
                <w:b/>
                <w:sz w:val="20"/>
                <w:szCs w:val="20"/>
              </w:rPr>
              <w:t>[76.5, 89.2]</w:t>
            </w:r>
          </w:p>
        </w:tc>
        <w:tc>
          <w:tcPr>
            <w:tcW w:w="1205" w:type="pct"/>
            <w:shd w:val="clear" w:color="auto" w:fill="FFFFFF" w:themeFill="background1"/>
          </w:tcPr>
          <w:p w:rsidR="00120FC2" w:rsidRPr="00961B03" w:rsidRDefault="00120FC2" w:rsidP="004D4F36">
            <w:pPr>
              <w:keepNext/>
              <w:jc w:val="center"/>
              <w:rPr>
                <w:rFonts w:ascii="Arial Narrow" w:hAnsi="Arial Narrow"/>
                <w:sz w:val="20"/>
                <w:szCs w:val="20"/>
              </w:rPr>
            </w:pPr>
          </w:p>
          <w:p w:rsidR="004B1DFD" w:rsidRPr="00961B03" w:rsidRDefault="004B1DFD" w:rsidP="004D4F36">
            <w:pPr>
              <w:keepNext/>
              <w:jc w:val="center"/>
              <w:rPr>
                <w:rFonts w:ascii="Arial Narrow" w:hAnsi="Arial Narrow"/>
                <w:b/>
                <w:sz w:val="20"/>
                <w:szCs w:val="20"/>
              </w:rPr>
            </w:pPr>
            <w:r w:rsidRPr="00961B03">
              <w:rPr>
                <w:rFonts w:ascii="Arial Narrow" w:hAnsi="Arial Narrow"/>
                <w:b/>
                <w:sz w:val="20"/>
                <w:szCs w:val="20"/>
              </w:rPr>
              <w:t>112</w:t>
            </w:r>
            <w:r w:rsidR="000A3DB3" w:rsidRPr="00961B03">
              <w:rPr>
                <w:rFonts w:ascii="Arial Narrow" w:hAnsi="Arial Narrow"/>
                <w:b/>
                <w:sz w:val="20"/>
                <w:szCs w:val="20"/>
              </w:rPr>
              <w:t>/129</w:t>
            </w:r>
            <w:r w:rsidRPr="00961B03">
              <w:rPr>
                <w:rFonts w:ascii="Arial Narrow" w:hAnsi="Arial Narrow"/>
                <w:b/>
                <w:sz w:val="20"/>
                <w:szCs w:val="20"/>
              </w:rPr>
              <w:t xml:space="preserve"> (87)</w:t>
            </w:r>
            <w:r w:rsidR="000A3DB3" w:rsidRPr="00961B03">
              <w:rPr>
                <w:rFonts w:ascii="Arial Narrow" w:hAnsi="Arial Narrow"/>
                <w:b/>
                <w:sz w:val="20"/>
                <w:szCs w:val="20"/>
                <w:vertAlign w:val="superscript"/>
              </w:rPr>
              <w:t xml:space="preserve"> †</w:t>
            </w:r>
          </w:p>
          <w:p w:rsidR="004B1DFD" w:rsidRPr="00961B03" w:rsidRDefault="004B1DFD" w:rsidP="004D4F36">
            <w:pPr>
              <w:keepNext/>
              <w:jc w:val="center"/>
              <w:rPr>
                <w:rFonts w:ascii="Arial Narrow" w:hAnsi="Arial Narrow"/>
                <w:sz w:val="20"/>
                <w:szCs w:val="20"/>
              </w:rPr>
            </w:pPr>
            <w:r w:rsidRPr="00961B03">
              <w:rPr>
                <w:rFonts w:ascii="Arial Narrow" w:hAnsi="Arial Narrow"/>
                <w:b/>
                <w:i/>
                <w:sz w:val="20"/>
                <w:szCs w:val="20"/>
              </w:rPr>
              <w:t>[81.0, 92.7]</w:t>
            </w:r>
          </w:p>
        </w:tc>
      </w:tr>
      <w:tr w:rsidR="004B1DFD" w:rsidRPr="00961B03" w:rsidTr="004D4F36">
        <w:tc>
          <w:tcPr>
            <w:tcW w:w="1132" w:type="pct"/>
          </w:tcPr>
          <w:p w:rsidR="004B1DFD" w:rsidRPr="00961B03" w:rsidRDefault="004B1DFD" w:rsidP="004D4F36">
            <w:pPr>
              <w:keepNext/>
              <w:rPr>
                <w:rFonts w:ascii="Arial Narrow" w:hAnsi="Arial Narrow"/>
                <w:b/>
                <w:sz w:val="20"/>
                <w:szCs w:val="20"/>
              </w:rPr>
            </w:pPr>
            <w:r w:rsidRPr="00961B03">
              <w:rPr>
                <w:rFonts w:ascii="Arial Narrow" w:hAnsi="Arial Narrow"/>
                <w:b/>
                <w:sz w:val="20"/>
                <w:szCs w:val="20"/>
              </w:rPr>
              <w:t>Average dose (mg/day)</w:t>
            </w:r>
          </w:p>
        </w:tc>
        <w:tc>
          <w:tcPr>
            <w:tcW w:w="888" w:type="pct"/>
          </w:tcPr>
          <w:p w:rsidR="004B1DFD" w:rsidRPr="00961B03" w:rsidRDefault="004B1DFD" w:rsidP="004D4F36">
            <w:pPr>
              <w:keepNext/>
              <w:jc w:val="center"/>
              <w:rPr>
                <w:rFonts w:ascii="Arial Narrow" w:hAnsi="Arial Narrow"/>
                <w:sz w:val="20"/>
                <w:szCs w:val="20"/>
              </w:rPr>
            </w:pPr>
            <w:r w:rsidRPr="00961B03">
              <w:rPr>
                <w:rFonts w:ascii="Arial Narrow" w:hAnsi="Arial Narrow"/>
                <w:sz w:val="20"/>
                <w:szCs w:val="20"/>
              </w:rPr>
              <w:t>NR</w:t>
            </w:r>
          </w:p>
        </w:tc>
        <w:tc>
          <w:tcPr>
            <w:tcW w:w="887" w:type="pct"/>
            <w:shd w:val="clear" w:color="auto" w:fill="FFFFFF" w:themeFill="background1"/>
          </w:tcPr>
          <w:p w:rsidR="004B1DFD" w:rsidRPr="00961B03" w:rsidRDefault="004B1DFD" w:rsidP="004D4F36">
            <w:pPr>
              <w:keepNext/>
              <w:jc w:val="center"/>
              <w:rPr>
                <w:rFonts w:ascii="Arial Narrow" w:hAnsi="Arial Narrow"/>
                <w:sz w:val="20"/>
                <w:szCs w:val="20"/>
              </w:rPr>
            </w:pPr>
            <w:r w:rsidRPr="00961B03">
              <w:rPr>
                <w:rFonts w:ascii="Arial Narrow" w:hAnsi="Arial Narrow"/>
                <w:sz w:val="20"/>
                <w:szCs w:val="20"/>
              </w:rPr>
              <w:t>NR</w:t>
            </w:r>
          </w:p>
        </w:tc>
        <w:tc>
          <w:tcPr>
            <w:tcW w:w="887" w:type="pct"/>
            <w:shd w:val="clear" w:color="auto" w:fill="FFFFFF" w:themeFill="background1"/>
          </w:tcPr>
          <w:p w:rsidR="004B1DFD" w:rsidRPr="00961B03" w:rsidRDefault="004B1DFD" w:rsidP="004D4F36">
            <w:pPr>
              <w:keepNext/>
              <w:jc w:val="center"/>
              <w:rPr>
                <w:rFonts w:ascii="Arial Narrow" w:hAnsi="Arial Narrow"/>
                <w:sz w:val="20"/>
                <w:szCs w:val="20"/>
              </w:rPr>
            </w:pPr>
            <w:r w:rsidRPr="00961B03">
              <w:rPr>
                <w:rFonts w:ascii="Arial Narrow" w:hAnsi="Arial Narrow"/>
                <w:sz w:val="20"/>
                <w:szCs w:val="20"/>
              </w:rPr>
              <w:t>60.07</w:t>
            </w:r>
            <w:r w:rsidRPr="00961B03">
              <w:rPr>
                <w:rFonts w:ascii="Arial Narrow" w:hAnsi="Arial Narrow"/>
                <w:sz w:val="20"/>
                <w:szCs w:val="20"/>
                <w:vertAlign w:val="superscript"/>
              </w:rPr>
              <w:t>∆</w:t>
            </w:r>
          </w:p>
        </w:tc>
        <w:tc>
          <w:tcPr>
            <w:tcW w:w="1205" w:type="pct"/>
            <w:shd w:val="clear" w:color="auto" w:fill="FFFFFF" w:themeFill="background1"/>
          </w:tcPr>
          <w:p w:rsidR="004B1DFD" w:rsidRPr="00961B03" w:rsidRDefault="004B1DFD" w:rsidP="004D4F36">
            <w:pPr>
              <w:keepNext/>
              <w:jc w:val="center"/>
              <w:rPr>
                <w:rFonts w:ascii="Arial Narrow" w:hAnsi="Arial Narrow"/>
                <w:sz w:val="20"/>
                <w:szCs w:val="20"/>
              </w:rPr>
            </w:pPr>
            <w:r w:rsidRPr="00961B03">
              <w:rPr>
                <w:rFonts w:ascii="Arial Narrow" w:hAnsi="Arial Narrow"/>
                <w:sz w:val="20"/>
                <w:szCs w:val="20"/>
              </w:rPr>
              <w:t>75.78</w:t>
            </w:r>
            <w:r w:rsidR="004A0815" w:rsidRPr="00961B03">
              <w:rPr>
                <w:rFonts w:ascii="Arial Narrow" w:hAnsi="Arial Narrow"/>
                <w:b/>
                <w:sz w:val="20"/>
                <w:szCs w:val="20"/>
                <w:vertAlign w:val="superscript"/>
              </w:rPr>
              <w:t>†</w:t>
            </w:r>
          </w:p>
        </w:tc>
      </w:tr>
    </w:tbl>
    <w:p w:rsidR="001B094D" w:rsidRPr="00C3391A" w:rsidRDefault="009753F2" w:rsidP="009753F2">
      <w:pPr>
        <w:pStyle w:val="TableFooter"/>
      </w:pPr>
      <w:r w:rsidRPr="00C3391A">
        <w:rPr>
          <w:rStyle w:val="TableFooterChar"/>
        </w:rPr>
        <w:t xml:space="preserve">Abbreviations: </w:t>
      </w:r>
      <w:r w:rsidR="001B094D" w:rsidRPr="00C3391A">
        <w:t>EP = enhanced permeation; FAS = full analysis set; ITT = intention to treat; LOCF = last observation carried forward; n = number of responders; N = total patients in the group; NR = not reported; PP = per protocol</w:t>
      </w:r>
    </w:p>
    <w:p w:rsidR="001B094D" w:rsidRPr="00C3391A" w:rsidRDefault="001B094D" w:rsidP="001B094D">
      <w:pPr>
        <w:rPr>
          <w:rFonts w:ascii="Arial Narrow" w:hAnsi="Arial Narrow"/>
          <w:sz w:val="18"/>
          <w:szCs w:val="18"/>
        </w:rPr>
      </w:pPr>
      <w:r w:rsidRPr="00C3391A">
        <w:rPr>
          <w:rFonts w:ascii="Arial Narrow" w:hAnsi="Arial Narrow"/>
          <w:sz w:val="18"/>
          <w:szCs w:val="18"/>
          <w:vertAlign w:val="superscript"/>
        </w:rPr>
        <w:t>§</w:t>
      </w:r>
      <w:r w:rsidRPr="00C3391A">
        <w:rPr>
          <w:rFonts w:ascii="Arial Narrow" w:hAnsi="Arial Narrow"/>
          <w:sz w:val="18"/>
          <w:szCs w:val="18"/>
        </w:rPr>
        <w:t xml:space="preserve"> </w:t>
      </w:r>
      <w:r w:rsidR="00120FC2" w:rsidRPr="00C3391A">
        <w:rPr>
          <w:rFonts w:ascii="Arial Narrow" w:hAnsi="Arial Narrow"/>
          <w:sz w:val="18"/>
          <w:szCs w:val="18"/>
        </w:rPr>
        <w:t xml:space="preserve">The </w:t>
      </w:r>
      <w:r w:rsidRPr="00C3391A">
        <w:rPr>
          <w:rFonts w:ascii="Arial Narrow" w:hAnsi="Arial Narrow"/>
          <w:sz w:val="18"/>
          <w:szCs w:val="18"/>
        </w:rPr>
        <w:t xml:space="preserve">FAS included subjects who had sufficient pharmacokinetic data to determine an average total serum testosterone concentration (0-24 hours) on days 14, 35, 56 or 90. </w:t>
      </w:r>
      <w:r w:rsidR="000A3DB3" w:rsidRPr="00C3391A">
        <w:rPr>
          <w:rFonts w:ascii="Arial Narrow" w:hAnsi="Arial Narrow"/>
          <w:sz w:val="18"/>
          <w:szCs w:val="18"/>
        </w:rPr>
        <w:t>The</w:t>
      </w:r>
      <w:r w:rsidRPr="00C3391A">
        <w:rPr>
          <w:rFonts w:ascii="Arial Narrow" w:hAnsi="Arial Narrow"/>
          <w:sz w:val="18"/>
          <w:szCs w:val="18"/>
        </w:rPr>
        <w:t xml:space="preserve"> primary analysis specified in the study protocol</w:t>
      </w:r>
      <w:r w:rsidR="000A3DB3" w:rsidRPr="00C3391A">
        <w:rPr>
          <w:rFonts w:ascii="Arial Narrow" w:hAnsi="Arial Narrow"/>
          <w:sz w:val="18"/>
          <w:szCs w:val="18"/>
        </w:rPr>
        <w:t xml:space="preserve"> was the FAS analysis with LOCF</w:t>
      </w:r>
      <w:r w:rsidRPr="00C3391A">
        <w:rPr>
          <w:rFonts w:ascii="Arial Narrow" w:hAnsi="Arial Narrow"/>
          <w:sz w:val="18"/>
          <w:szCs w:val="18"/>
        </w:rPr>
        <w:t>.</w:t>
      </w:r>
    </w:p>
    <w:p w:rsidR="001B094D" w:rsidRPr="00C3391A" w:rsidRDefault="001B094D" w:rsidP="001B094D">
      <w:pPr>
        <w:rPr>
          <w:rFonts w:ascii="Arial Narrow" w:hAnsi="Arial Narrow"/>
          <w:sz w:val="18"/>
          <w:szCs w:val="18"/>
        </w:rPr>
      </w:pPr>
      <w:r w:rsidRPr="00C3391A">
        <w:rPr>
          <w:rFonts w:ascii="Arial Narrow" w:hAnsi="Arial Narrow"/>
          <w:sz w:val="18"/>
          <w:szCs w:val="18"/>
          <w:vertAlign w:val="superscript"/>
        </w:rPr>
        <w:t>Ψ</w:t>
      </w:r>
      <w:r w:rsidRPr="00C3391A">
        <w:rPr>
          <w:rFonts w:ascii="Arial Narrow" w:hAnsi="Arial Narrow"/>
          <w:sz w:val="18"/>
          <w:szCs w:val="18"/>
        </w:rPr>
        <w:t xml:space="preserve"> </w:t>
      </w:r>
      <w:r w:rsidR="003D2C65" w:rsidRPr="00C3391A">
        <w:rPr>
          <w:rFonts w:ascii="Arial Narrow" w:hAnsi="Arial Narrow"/>
          <w:sz w:val="18"/>
          <w:szCs w:val="18"/>
        </w:rPr>
        <w:t>The</w:t>
      </w:r>
      <w:r w:rsidRPr="00C3391A">
        <w:rPr>
          <w:rFonts w:ascii="Arial Narrow" w:hAnsi="Arial Narrow"/>
          <w:sz w:val="18"/>
          <w:szCs w:val="18"/>
        </w:rPr>
        <w:t xml:space="preserve"> per protocol (PP) completers</w:t>
      </w:r>
      <w:r w:rsidR="003D2C65" w:rsidRPr="00C3391A">
        <w:rPr>
          <w:rFonts w:ascii="Arial Narrow" w:hAnsi="Arial Narrow"/>
          <w:sz w:val="18"/>
          <w:szCs w:val="18"/>
        </w:rPr>
        <w:t xml:space="preserve"> analysis set was defined as</w:t>
      </w:r>
      <w:r w:rsidRPr="00C3391A">
        <w:rPr>
          <w:rFonts w:ascii="Arial Narrow" w:hAnsi="Arial Narrow"/>
          <w:sz w:val="18"/>
          <w:szCs w:val="18"/>
        </w:rPr>
        <w:t xml:space="preserve"> all FAS patients who </w:t>
      </w:r>
      <w:r w:rsidR="003D2C65" w:rsidRPr="00C3391A">
        <w:rPr>
          <w:rFonts w:ascii="Arial Narrow" w:hAnsi="Arial Narrow"/>
          <w:sz w:val="18"/>
          <w:szCs w:val="18"/>
        </w:rPr>
        <w:t xml:space="preserve">completed the study and who </w:t>
      </w:r>
      <w:r w:rsidRPr="00C3391A">
        <w:rPr>
          <w:rFonts w:ascii="Arial Narrow" w:hAnsi="Arial Narrow"/>
          <w:sz w:val="18"/>
          <w:szCs w:val="18"/>
        </w:rPr>
        <w:t xml:space="preserve">did not have major protocol deviations that could </w:t>
      </w:r>
      <w:r w:rsidR="003B14FA" w:rsidRPr="00C3391A">
        <w:rPr>
          <w:rFonts w:ascii="Arial Narrow" w:hAnsi="Arial Narrow"/>
          <w:sz w:val="18"/>
          <w:szCs w:val="18"/>
        </w:rPr>
        <w:t>affect the pharmacokinetic data</w:t>
      </w:r>
      <w:r w:rsidRPr="00C3391A">
        <w:rPr>
          <w:rFonts w:ascii="Arial Narrow" w:hAnsi="Arial Narrow"/>
          <w:sz w:val="18"/>
          <w:szCs w:val="18"/>
        </w:rPr>
        <w:t>.</w:t>
      </w:r>
    </w:p>
    <w:p w:rsidR="00120FC2" w:rsidRPr="00C3391A" w:rsidRDefault="00120FC2" w:rsidP="00120FC2">
      <w:pPr>
        <w:rPr>
          <w:rFonts w:ascii="Arial Narrow" w:hAnsi="Arial Narrow"/>
          <w:sz w:val="18"/>
          <w:szCs w:val="18"/>
        </w:rPr>
      </w:pPr>
      <w:r w:rsidRPr="00C3391A">
        <w:rPr>
          <w:rFonts w:ascii="Arial Narrow" w:hAnsi="Arial Narrow"/>
          <w:sz w:val="18"/>
          <w:szCs w:val="18"/>
          <w:vertAlign w:val="superscript"/>
        </w:rPr>
        <w:t>^</w:t>
      </w:r>
      <w:r w:rsidRPr="00C3391A">
        <w:rPr>
          <w:rFonts w:ascii="Arial Narrow" w:hAnsi="Arial Narrow"/>
          <w:sz w:val="18"/>
          <w:szCs w:val="18"/>
        </w:rPr>
        <w:t xml:space="preserve"> Patients in the FAS or PP </w:t>
      </w:r>
      <w:r w:rsidR="004D4F36" w:rsidRPr="00C3391A">
        <w:rPr>
          <w:rFonts w:ascii="Arial Narrow" w:hAnsi="Arial Narrow"/>
          <w:sz w:val="18"/>
          <w:szCs w:val="18"/>
        </w:rPr>
        <w:t>population</w:t>
      </w:r>
      <w:r w:rsidRPr="00C3391A">
        <w:rPr>
          <w:rFonts w:ascii="Arial Narrow" w:hAnsi="Arial Narrow"/>
          <w:sz w:val="18"/>
          <w:szCs w:val="18"/>
        </w:rPr>
        <w:t xml:space="preserve"> who completed the study without LOCF imputation</w:t>
      </w:r>
    </w:p>
    <w:p w:rsidR="004B1DFD" w:rsidRPr="00C3391A" w:rsidRDefault="004B1DFD" w:rsidP="001B094D">
      <w:pPr>
        <w:rPr>
          <w:rFonts w:ascii="Arial Narrow" w:hAnsi="Arial Narrow"/>
          <w:sz w:val="18"/>
          <w:szCs w:val="18"/>
        </w:rPr>
      </w:pPr>
      <w:r w:rsidRPr="00C3391A">
        <w:rPr>
          <w:rFonts w:ascii="Arial Narrow" w:hAnsi="Arial Narrow"/>
          <w:sz w:val="18"/>
          <w:szCs w:val="18"/>
        </w:rPr>
        <w:t>*</w:t>
      </w:r>
      <w:r w:rsidR="003D2C65" w:rsidRPr="00C3391A">
        <w:rPr>
          <w:rFonts w:ascii="Arial Narrow" w:hAnsi="Arial Narrow"/>
          <w:sz w:val="18"/>
          <w:szCs w:val="18"/>
        </w:rPr>
        <w:t xml:space="preserve"> </w:t>
      </w:r>
      <w:r w:rsidR="005E0377" w:rsidRPr="00C3391A">
        <w:rPr>
          <w:rFonts w:ascii="Arial Narrow" w:hAnsi="Arial Narrow"/>
          <w:sz w:val="18"/>
          <w:szCs w:val="18"/>
        </w:rPr>
        <w:t>The analysis set used for</w:t>
      </w:r>
      <w:r w:rsidR="003D2C65" w:rsidRPr="00C3391A">
        <w:rPr>
          <w:rFonts w:ascii="Arial Narrow" w:hAnsi="Arial Narrow"/>
          <w:sz w:val="18"/>
          <w:szCs w:val="18"/>
        </w:rPr>
        <w:t xml:space="preserve"> the response rate </w:t>
      </w:r>
      <w:r w:rsidR="005E0377" w:rsidRPr="00C3391A">
        <w:rPr>
          <w:rFonts w:ascii="Arial Narrow" w:hAnsi="Arial Narrow"/>
          <w:sz w:val="18"/>
          <w:szCs w:val="18"/>
        </w:rPr>
        <w:t xml:space="preserve">reported for </w:t>
      </w:r>
      <w:proofErr w:type="spellStart"/>
      <w:r w:rsidR="003D2C65" w:rsidRPr="00C3391A">
        <w:rPr>
          <w:rFonts w:ascii="Arial Narrow" w:hAnsi="Arial Narrow"/>
          <w:sz w:val="18"/>
          <w:szCs w:val="18"/>
        </w:rPr>
        <w:t>Swerdloff</w:t>
      </w:r>
      <w:proofErr w:type="spellEnd"/>
      <w:r w:rsidR="003D2C65" w:rsidRPr="00C3391A">
        <w:rPr>
          <w:rFonts w:ascii="Arial Narrow" w:hAnsi="Arial Narrow"/>
          <w:sz w:val="18"/>
          <w:szCs w:val="18"/>
        </w:rPr>
        <w:t xml:space="preserve"> 2000 </w:t>
      </w:r>
      <w:r w:rsidR="005E0377" w:rsidRPr="00C3391A">
        <w:rPr>
          <w:rFonts w:ascii="Arial Narrow" w:hAnsi="Arial Narrow"/>
          <w:sz w:val="18"/>
          <w:szCs w:val="18"/>
        </w:rPr>
        <w:t>included patients who received testosterone 1% gel from day 90-</w:t>
      </w:r>
      <w:r w:rsidR="005E0377" w:rsidRPr="00C3391A">
        <w:rPr>
          <w:rFonts w:ascii="Arial Narrow" w:hAnsi="Arial Narrow"/>
          <w:sz w:val="18"/>
          <w:szCs w:val="18"/>
        </w:rPr>
        <w:lastRenderedPageBreak/>
        <w:t xml:space="preserve">180 </w:t>
      </w:r>
      <w:r w:rsidR="003D2C65" w:rsidRPr="00C3391A">
        <w:rPr>
          <w:rFonts w:ascii="Arial Narrow" w:hAnsi="Arial Narrow"/>
          <w:sz w:val="18"/>
          <w:szCs w:val="18"/>
        </w:rPr>
        <w:t xml:space="preserve">and who had sufficient data </w:t>
      </w:r>
      <w:r w:rsidR="00A94B3F" w:rsidRPr="00C3391A">
        <w:rPr>
          <w:rFonts w:ascii="Arial Narrow" w:hAnsi="Arial Narrow"/>
          <w:sz w:val="18"/>
          <w:szCs w:val="18"/>
        </w:rPr>
        <w:t xml:space="preserve">for </w:t>
      </w:r>
      <w:r w:rsidR="007620A9" w:rsidRPr="00C3391A">
        <w:rPr>
          <w:rFonts w:ascii="Arial Narrow" w:hAnsi="Arial Narrow"/>
          <w:sz w:val="18"/>
          <w:szCs w:val="18"/>
        </w:rPr>
        <w:t>analysis</w:t>
      </w:r>
      <w:r w:rsidR="003D2C65" w:rsidRPr="00C3391A">
        <w:rPr>
          <w:rFonts w:ascii="Arial Narrow" w:hAnsi="Arial Narrow"/>
          <w:sz w:val="18"/>
          <w:szCs w:val="18"/>
        </w:rPr>
        <w:t xml:space="preserve"> at day 180 (i.e. completed the study)</w:t>
      </w:r>
      <w:r w:rsidR="004A0815" w:rsidRPr="00C3391A">
        <w:rPr>
          <w:rFonts w:ascii="Arial Narrow" w:hAnsi="Arial Narrow"/>
          <w:sz w:val="18"/>
          <w:szCs w:val="18"/>
        </w:rPr>
        <w:t>.</w:t>
      </w:r>
    </w:p>
    <w:p w:rsidR="004A0815" w:rsidRPr="00C3391A" w:rsidRDefault="001B094D" w:rsidP="001B094D">
      <w:pPr>
        <w:rPr>
          <w:rFonts w:ascii="Arial Narrow" w:hAnsi="Arial Narrow"/>
          <w:sz w:val="18"/>
          <w:szCs w:val="18"/>
        </w:rPr>
      </w:pPr>
      <w:r w:rsidRPr="00C3391A">
        <w:rPr>
          <w:rFonts w:ascii="Arial Narrow" w:hAnsi="Arial Narrow"/>
          <w:sz w:val="18"/>
          <w:szCs w:val="18"/>
          <w:vertAlign w:val="superscript"/>
        </w:rPr>
        <w:t>†</w:t>
      </w:r>
      <w:r w:rsidRPr="00C3391A">
        <w:rPr>
          <w:rFonts w:ascii="Arial Narrow" w:hAnsi="Arial Narrow"/>
          <w:sz w:val="18"/>
          <w:szCs w:val="18"/>
        </w:rPr>
        <w:t xml:space="preserve"> </w:t>
      </w:r>
      <w:r w:rsidR="004A0815" w:rsidRPr="00C3391A">
        <w:rPr>
          <w:rFonts w:ascii="Arial Narrow" w:hAnsi="Arial Narrow"/>
          <w:sz w:val="18"/>
          <w:szCs w:val="18"/>
        </w:rPr>
        <w:t>Calculated from the proportion of patients in each dose group at day 180. 140/151 (92.7%) of patients randomised to testosterone 1% gel continued into the day 91-180 phase of the study, and 3 patients initially assigned to the testosterone patch switched to 1% gel at day 91. 129/143 (90.2%) of patients receiving testosterone 1% gel from day 91-180 had sufficient data at day 180 (50 mg: n = 44, 75 mg: n = 37; 100 mg: n = 48</w:t>
      </w:r>
    </w:p>
    <w:p w:rsidR="001B094D" w:rsidRPr="00C3391A" w:rsidRDefault="001B094D" w:rsidP="001B094D">
      <w:pPr>
        <w:rPr>
          <w:rFonts w:ascii="Arial Narrow" w:hAnsi="Arial Narrow"/>
          <w:sz w:val="18"/>
          <w:szCs w:val="18"/>
        </w:rPr>
      </w:pPr>
      <w:r w:rsidRPr="00C3391A">
        <w:rPr>
          <w:rFonts w:ascii="Arial Narrow" w:hAnsi="Arial Narrow"/>
          <w:sz w:val="18"/>
          <w:szCs w:val="18"/>
          <w:vertAlign w:val="superscript"/>
        </w:rPr>
        <w:t>∆</w:t>
      </w:r>
      <w:r w:rsidRPr="00C3391A">
        <w:rPr>
          <w:rFonts w:ascii="Arial Narrow" w:hAnsi="Arial Narrow"/>
          <w:sz w:val="18"/>
          <w:szCs w:val="18"/>
        </w:rPr>
        <w:t xml:space="preserve"> Calculated from PP completer population. This included 134/160 (83.8%) of randomised patients (23 mg n = 5; 46 mg n = 45; 69 mg n = 89).</w:t>
      </w:r>
    </w:p>
    <w:p w:rsidR="001B094D" w:rsidRPr="00C3391A" w:rsidRDefault="001B094D" w:rsidP="001B094D">
      <w:pPr>
        <w:rPr>
          <w:rFonts w:ascii="Arial Narrow" w:hAnsi="Arial Narrow"/>
          <w:sz w:val="18"/>
          <w:szCs w:val="18"/>
        </w:rPr>
      </w:pPr>
      <w:r w:rsidRPr="00C3391A">
        <w:rPr>
          <w:rFonts w:ascii="Arial Narrow" w:hAnsi="Arial Narrow"/>
          <w:sz w:val="18"/>
          <w:szCs w:val="18"/>
          <w:vertAlign w:val="superscript"/>
        </w:rPr>
        <w:t>♦</w:t>
      </w:r>
      <w:r w:rsidRPr="00C3391A">
        <w:rPr>
          <w:rFonts w:ascii="Arial Narrow" w:hAnsi="Arial Narrow"/>
          <w:sz w:val="18"/>
          <w:szCs w:val="18"/>
        </w:rPr>
        <w:t xml:space="preserve">The definition </w:t>
      </w:r>
      <w:r w:rsidR="004B1DFD" w:rsidRPr="00C3391A">
        <w:rPr>
          <w:rFonts w:ascii="Arial Narrow" w:hAnsi="Arial Narrow"/>
          <w:sz w:val="18"/>
          <w:szCs w:val="18"/>
        </w:rPr>
        <w:t xml:space="preserve">of </w:t>
      </w:r>
      <w:r w:rsidRPr="00C3391A">
        <w:rPr>
          <w:rFonts w:ascii="Arial Narrow" w:hAnsi="Arial Narrow"/>
          <w:sz w:val="18"/>
          <w:szCs w:val="18"/>
        </w:rPr>
        <w:t xml:space="preserve">response rate was the proportion of responders in the target </w:t>
      </w:r>
      <w:proofErr w:type="spellStart"/>
      <w:r w:rsidRPr="00C3391A">
        <w:rPr>
          <w:rFonts w:ascii="Arial Narrow" w:hAnsi="Arial Narrow"/>
          <w:sz w:val="18"/>
          <w:szCs w:val="18"/>
        </w:rPr>
        <w:t>eugonadal</w:t>
      </w:r>
      <w:proofErr w:type="spellEnd"/>
      <w:r w:rsidRPr="00C3391A">
        <w:rPr>
          <w:rFonts w:ascii="Arial Narrow" w:hAnsi="Arial Narrow"/>
          <w:sz w:val="18"/>
          <w:szCs w:val="18"/>
        </w:rPr>
        <w:t xml:space="preserve"> testosterone range: Study 127 (17.3 – 36.4 </w:t>
      </w:r>
      <w:proofErr w:type="spellStart"/>
      <w:r w:rsidRPr="00C3391A">
        <w:rPr>
          <w:rFonts w:ascii="Arial Narrow" w:hAnsi="Arial Narrow"/>
          <w:sz w:val="18"/>
          <w:szCs w:val="18"/>
        </w:rPr>
        <w:t>nmol</w:t>
      </w:r>
      <w:proofErr w:type="spellEnd"/>
      <w:r w:rsidRPr="00C3391A">
        <w:rPr>
          <w:rFonts w:ascii="Arial Narrow" w:hAnsi="Arial Narrow"/>
          <w:sz w:val="18"/>
          <w:szCs w:val="18"/>
        </w:rPr>
        <w:t>/</w:t>
      </w:r>
      <w:proofErr w:type="gramStart"/>
      <w:r w:rsidRPr="00C3391A">
        <w:rPr>
          <w:rFonts w:ascii="Arial Narrow" w:hAnsi="Arial Narrow"/>
          <w:sz w:val="18"/>
          <w:szCs w:val="18"/>
        </w:rPr>
        <w:t>L;</w:t>
      </w:r>
      <w:proofErr w:type="gramEnd"/>
      <w:r w:rsidRPr="00C3391A">
        <w:rPr>
          <w:rFonts w:ascii="Arial Narrow" w:hAnsi="Arial Narrow"/>
          <w:sz w:val="18"/>
          <w:szCs w:val="18"/>
        </w:rPr>
        <w:t xml:space="preserve">) and </w:t>
      </w:r>
      <w:proofErr w:type="spellStart"/>
      <w:r w:rsidRPr="00C3391A">
        <w:rPr>
          <w:rFonts w:ascii="Arial Narrow" w:hAnsi="Arial Narrow"/>
          <w:sz w:val="18"/>
          <w:szCs w:val="18"/>
        </w:rPr>
        <w:t>Swerdloff</w:t>
      </w:r>
      <w:proofErr w:type="spellEnd"/>
      <w:r w:rsidRPr="00C3391A">
        <w:rPr>
          <w:rFonts w:ascii="Arial Narrow" w:hAnsi="Arial Narrow"/>
          <w:sz w:val="18"/>
          <w:szCs w:val="18"/>
        </w:rPr>
        <w:t xml:space="preserve"> 2000 (10.4 – 34.7 </w:t>
      </w:r>
      <w:proofErr w:type="spellStart"/>
      <w:r w:rsidRPr="00C3391A">
        <w:rPr>
          <w:rFonts w:ascii="Arial Narrow" w:hAnsi="Arial Narrow"/>
          <w:sz w:val="18"/>
          <w:szCs w:val="18"/>
        </w:rPr>
        <w:t>nmol</w:t>
      </w:r>
      <w:proofErr w:type="spellEnd"/>
      <w:r w:rsidRPr="00C3391A">
        <w:rPr>
          <w:rFonts w:ascii="Arial Narrow" w:hAnsi="Arial Narrow"/>
          <w:sz w:val="18"/>
          <w:szCs w:val="18"/>
        </w:rPr>
        <w:t>/L).</w:t>
      </w:r>
    </w:p>
    <w:p w:rsidR="001B094D" w:rsidRPr="00C3391A" w:rsidRDefault="001B094D" w:rsidP="001B094D">
      <w:pPr>
        <w:rPr>
          <w:rFonts w:ascii="Arial Narrow" w:hAnsi="Arial Narrow"/>
          <w:sz w:val="18"/>
          <w:szCs w:val="18"/>
        </w:rPr>
      </w:pPr>
      <w:r w:rsidRPr="00C3391A">
        <w:rPr>
          <w:rFonts w:ascii="Arial Narrow" w:hAnsi="Arial Narrow"/>
          <w:sz w:val="18"/>
          <w:szCs w:val="18"/>
        </w:rPr>
        <w:t>Figures in italics calculated during the evaluation using STATA (Wald confidence interval).</w:t>
      </w:r>
    </w:p>
    <w:p w:rsidR="00120FC2" w:rsidRPr="00C3391A" w:rsidRDefault="00120FC2" w:rsidP="001B094D">
      <w:pPr>
        <w:rPr>
          <w:rFonts w:ascii="Arial Narrow" w:hAnsi="Arial Narrow"/>
          <w:b/>
          <w:sz w:val="18"/>
          <w:szCs w:val="18"/>
        </w:rPr>
      </w:pPr>
      <w:r w:rsidRPr="00C3391A">
        <w:rPr>
          <w:rFonts w:ascii="Arial Narrow" w:hAnsi="Arial Narrow"/>
          <w:b/>
          <w:sz w:val="18"/>
          <w:szCs w:val="18"/>
        </w:rPr>
        <w:t>Bolded figures indicate the results used in the indirect comparison presented in the submission.</w:t>
      </w:r>
    </w:p>
    <w:p w:rsidR="001B094D" w:rsidRPr="00C3391A" w:rsidRDefault="001B094D" w:rsidP="001B094D">
      <w:pPr>
        <w:widowControl/>
        <w:rPr>
          <w:rFonts w:ascii="Arial Narrow" w:hAnsi="Arial Narrow"/>
          <w:sz w:val="18"/>
          <w:szCs w:val="18"/>
        </w:rPr>
      </w:pPr>
      <w:r w:rsidRPr="00C3391A">
        <w:rPr>
          <w:rFonts w:ascii="Arial Narrow" w:hAnsi="Arial Narrow"/>
          <w:sz w:val="18"/>
          <w:szCs w:val="18"/>
        </w:rPr>
        <w:t>Source: Table 2.6-1, p67, and Table 2.5-3, p54 of the submission, and CSR of Study 127 p63.</w:t>
      </w:r>
    </w:p>
    <w:p w:rsidR="001B094D" w:rsidRDefault="001B094D" w:rsidP="00270C97">
      <w:pPr>
        <w:pStyle w:val="TableFooter"/>
      </w:pPr>
    </w:p>
    <w:p w:rsidR="001B094D" w:rsidRPr="00C42DDA" w:rsidRDefault="001B094D" w:rsidP="00B068D3">
      <w:pPr>
        <w:pStyle w:val="ListParagraph"/>
        <w:widowControl/>
        <w:numPr>
          <w:ilvl w:val="1"/>
          <w:numId w:val="1"/>
        </w:numPr>
      </w:pPr>
      <w:r w:rsidRPr="00C42DDA">
        <w:rPr>
          <w:szCs w:val="24"/>
        </w:rPr>
        <w:t xml:space="preserve">The submission concluded that the naïve indirect comparison showed that testosterone 2% EP gel was non-inferior to testosterone 1% gel for the outcome of response, defined as the proportion of patients with </w:t>
      </w:r>
      <w:r w:rsidR="00A87BEA" w:rsidRPr="00C42DDA">
        <w:rPr>
          <w:szCs w:val="24"/>
        </w:rPr>
        <w:t xml:space="preserve">total testosterone average </w:t>
      </w:r>
      <w:r w:rsidR="00854640" w:rsidRPr="00C42DDA">
        <w:rPr>
          <w:szCs w:val="24"/>
        </w:rPr>
        <w:t>concentration over 24 hours (</w:t>
      </w:r>
      <w:proofErr w:type="spellStart"/>
      <w:r w:rsidRPr="00C42DDA">
        <w:rPr>
          <w:szCs w:val="24"/>
        </w:rPr>
        <w:t>C</w:t>
      </w:r>
      <w:r w:rsidRPr="00C42DDA">
        <w:rPr>
          <w:szCs w:val="24"/>
          <w:vertAlign w:val="subscript"/>
        </w:rPr>
        <w:t>avg</w:t>
      </w:r>
      <w:proofErr w:type="spellEnd"/>
      <w:r w:rsidR="00854640" w:rsidRPr="00C42DDA">
        <w:rPr>
          <w:szCs w:val="24"/>
          <w:vertAlign w:val="subscript"/>
        </w:rPr>
        <w:t>(0-24)</w:t>
      </w:r>
      <w:r w:rsidR="00854640" w:rsidRPr="00C42DDA">
        <w:rPr>
          <w:szCs w:val="24"/>
        </w:rPr>
        <w:t>)</w:t>
      </w:r>
      <w:r w:rsidRPr="00C42DDA">
        <w:rPr>
          <w:szCs w:val="24"/>
        </w:rPr>
        <w:t xml:space="preserve"> within the </w:t>
      </w:r>
      <w:r w:rsidR="00854640" w:rsidRPr="00C42DDA">
        <w:rPr>
          <w:szCs w:val="24"/>
        </w:rPr>
        <w:t>normal physiological range</w:t>
      </w:r>
      <w:r w:rsidRPr="00C42DDA">
        <w:rPr>
          <w:szCs w:val="24"/>
        </w:rPr>
        <w:t xml:space="preserve">. </w:t>
      </w:r>
      <w:r w:rsidR="00C6451B" w:rsidRPr="00C42DDA">
        <w:rPr>
          <w:szCs w:val="24"/>
        </w:rPr>
        <w:t xml:space="preserve">The </w:t>
      </w:r>
      <w:r w:rsidR="00FB3BFC" w:rsidRPr="00C42DDA">
        <w:rPr>
          <w:szCs w:val="24"/>
        </w:rPr>
        <w:t>ESC agreed that t</w:t>
      </w:r>
      <w:r w:rsidRPr="00C42DDA">
        <w:rPr>
          <w:szCs w:val="24"/>
        </w:rPr>
        <w:t xml:space="preserve">his claim is subject to </w:t>
      </w:r>
      <w:r w:rsidR="00425B8D" w:rsidRPr="00C42DDA">
        <w:rPr>
          <w:szCs w:val="24"/>
        </w:rPr>
        <w:t xml:space="preserve">some </w:t>
      </w:r>
      <w:r w:rsidRPr="00C42DDA">
        <w:rPr>
          <w:szCs w:val="24"/>
        </w:rPr>
        <w:t xml:space="preserve">uncertainty, due to the nature of the naïve indirect </w:t>
      </w:r>
      <w:r w:rsidR="00CC0764" w:rsidRPr="00C42DDA">
        <w:rPr>
          <w:szCs w:val="24"/>
        </w:rPr>
        <w:t xml:space="preserve">comparison (no common reference arm used) and </w:t>
      </w:r>
      <w:r w:rsidRPr="00C42DDA">
        <w:rPr>
          <w:szCs w:val="24"/>
        </w:rPr>
        <w:t xml:space="preserve">transitivity concerns between Study 127 and </w:t>
      </w:r>
      <w:proofErr w:type="spellStart"/>
      <w:r w:rsidRPr="00C42DDA">
        <w:rPr>
          <w:szCs w:val="24"/>
        </w:rPr>
        <w:t>Swerdloff</w:t>
      </w:r>
      <w:proofErr w:type="spellEnd"/>
      <w:r w:rsidRPr="00C42DDA">
        <w:rPr>
          <w:szCs w:val="24"/>
        </w:rPr>
        <w:t xml:space="preserve"> 2000</w:t>
      </w:r>
      <w:r w:rsidR="00425B8D" w:rsidRPr="00C42DDA">
        <w:rPr>
          <w:szCs w:val="24"/>
        </w:rPr>
        <w:t xml:space="preserve">, but considered that overall </w:t>
      </w:r>
      <w:r w:rsidR="00425B8D" w:rsidRPr="00C42DDA">
        <w:t>the claim of non-inferiority of testosterone 2% EP gel to testosterone 1% gel was reasonable</w:t>
      </w:r>
      <w:r w:rsidRPr="00C42DDA">
        <w:rPr>
          <w:szCs w:val="24"/>
        </w:rPr>
        <w:t xml:space="preserve">. </w:t>
      </w:r>
    </w:p>
    <w:p w:rsidR="001B094D" w:rsidRPr="00C3391A" w:rsidRDefault="001B094D" w:rsidP="00B068D3">
      <w:pPr>
        <w:pStyle w:val="ListParagraph"/>
        <w:widowControl/>
        <w:numPr>
          <w:ilvl w:val="1"/>
          <w:numId w:val="1"/>
        </w:numPr>
      </w:pPr>
      <w:r w:rsidRPr="00C3391A">
        <w:t xml:space="preserve">The results observed from Study 127 and </w:t>
      </w:r>
      <w:proofErr w:type="spellStart"/>
      <w:r w:rsidRPr="00C3391A">
        <w:t>Swerdloff</w:t>
      </w:r>
      <w:proofErr w:type="spellEnd"/>
      <w:r w:rsidRPr="00C3391A">
        <w:t xml:space="preserve"> 2000 may be of limited ap</w:t>
      </w:r>
      <w:r w:rsidR="001205C9" w:rsidRPr="00C3391A">
        <w:t>p</w:t>
      </w:r>
      <w:r w:rsidRPr="00C3391A">
        <w:t>licability to the proposed PBS population:</w:t>
      </w:r>
    </w:p>
    <w:p w:rsidR="001B094D" w:rsidRPr="00C3391A" w:rsidRDefault="001B094D" w:rsidP="004D4F36">
      <w:pPr>
        <w:pStyle w:val="ListParagraph"/>
        <w:widowControl/>
        <w:numPr>
          <w:ilvl w:val="0"/>
          <w:numId w:val="4"/>
        </w:numPr>
        <w:ind w:left="1077" w:hanging="357"/>
      </w:pPr>
      <w:r w:rsidRPr="00C3391A">
        <w:t xml:space="preserve">As noted above, it was not clear how many of the patients in the key clinical studies would have met the criteria for PBS-subsidised treatment under the requested restrictions; </w:t>
      </w:r>
    </w:p>
    <w:p w:rsidR="001B094D" w:rsidRPr="00C3391A" w:rsidRDefault="001B094D" w:rsidP="004D4F36">
      <w:pPr>
        <w:pStyle w:val="ListParagraph"/>
        <w:widowControl/>
        <w:numPr>
          <w:ilvl w:val="0"/>
          <w:numId w:val="4"/>
        </w:numPr>
        <w:ind w:left="1077" w:hanging="357"/>
      </w:pPr>
      <w:r w:rsidRPr="00C3391A">
        <w:t xml:space="preserve">The doses and titration of testosterone 1% gel </w:t>
      </w:r>
      <w:r w:rsidR="00904A99" w:rsidRPr="00C3391A">
        <w:t xml:space="preserve">in </w:t>
      </w:r>
      <w:proofErr w:type="spellStart"/>
      <w:r w:rsidR="00904A99" w:rsidRPr="00C3391A">
        <w:t>Swerdloff</w:t>
      </w:r>
      <w:proofErr w:type="spellEnd"/>
      <w:r w:rsidR="00904A99" w:rsidRPr="00C3391A">
        <w:t xml:space="preserve"> 2000 </w:t>
      </w:r>
      <w:r w:rsidRPr="00C3391A">
        <w:t xml:space="preserve">were not consistent with the approved product information (PI) of testosterone 1% gel. The PI recommends initiating treatment at 50 mg/day, with dose adjustment by 25 mg steps, to a maximum of 100 mg/day. In </w:t>
      </w:r>
      <w:proofErr w:type="spellStart"/>
      <w:r w:rsidRPr="00C3391A">
        <w:t>Swerdloff</w:t>
      </w:r>
      <w:proofErr w:type="spellEnd"/>
      <w:r w:rsidRPr="00C3391A">
        <w:t xml:space="preserve">, patients were initiated at either 50 mg/day or 100 mg/day and only one dose adjustment at 90 days was allowed; patients receiving 50 mg/day were titrated to a maximum dose of 75 mg/day, while patients receiving 100 mg/day could only have their dose decreased to 75 mg/day. </w:t>
      </w:r>
      <w:r w:rsidR="00B45B6A" w:rsidRPr="00C3391A">
        <w:t xml:space="preserve">Therefore, patients receiving either 75 mg/day or 100 mg/day over days 91-180 (92/143, 64%) may still not have been adequately titrated. </w:t>
      </w:r>
      <w:r w:rsidRPr="00C3391A">
        <w:t xml:space="preserve">In addition, three patients initially randomised to </w:t>
      </w:r>
      <w:r w:rsidR="00904A99" w:rsidRPr="00C3391A">
        <w:t xml:space="preserve">the </w:t>
      </w:r>
      <w:r w:rsidRPr="00C3391A">
        <w:t>testosterone patch were switched to testosterone 1% gel 50 mg/day and did not undergo any dose titration</w:t>
      </w:r>
      <w:r w:rsidR="00D2338D" w:rsidRPr="00C3391A">
        <w:t xml:space="preserve">. </w:t>
      </w:r>
      <w:r w:rsidR="00B45B6A" w:rsidRPr="00C3391A">
        <w:t>It is possible that a considerable proportion of patients may not have been receiving an optimally titrated dose of testosterone 1% gel.</w:t>
      </w:r>
    </w:p>
    <w:p w:rsidR="001B094D" w:rsidRPr="00C3391A" w:rsidRDefault="001B094D" w:rsidP="004D4F36">
      <w:pPr>
        <w:pStyle w:val="ListParagraph"/>
        <w:widowControl/>
        <w:numPr>
          <w:ilvl w:val="0"/>
          <w:numId w:val="4"/>
        </w:numPr>
        <w:ind w:left="1077" w:hanging="357"/>
      </w:pPr>
      <w:r w:rsidRPr="00C3391A">
        <w:t>The median body mass index (BMI) in Study 127 was 31.0 kg/m</w:t>
      </w:r>
      <w:r w:rsidRPr="00C3391A">
        <w:rPr>
          <w:vertAlign w:val="superscript"/>
        </w:rPr>
        <w:t>2</w:t>
      </w:r>
      <w:r w:rsidRPr="00C3391A">
        <w:t>, indicating that over 50% of patients in the study were obese</w:t>
      </w:r>
      <w:r w:rsidRPr="00C3391A">
        <w:rPr>
          <w:rStyle w:val="FootnoteReference"/>
        </w:rPr>
        <w:footnoteReference w:id="7"/>
      </w:r>
      <w:r w:rsidRPr="00C3391A">
        <w:t xml:space="preserve">. Patient with </w:t>
      </w:r>
      <w:r w:rsidR="0043137A" w:rsidRPr="00C3391A">
        <w:t xml:space="preserve">androgen </w:t>
      </w:r>
      <w:r w:rsidRPr="00C3391A">
        <w:t xml:space="preserve">deficiency </w:t>
      </w:r>
      <w:r w:rsidRPr="00C3391A">
        <w:lastRenderedPageBreak/>
        <w:t xml:space="preserve">due to obesity are not eligible for testosterone treatment under the proposed </w:t>
      </w:r>
      <w:r w:rsidR="00904A99" w:rsidRPr="00C3391A">
        <w:t xml:space="preserve">restriction </w:t>
      </w:r>
      <w:r w:rsidRPr="00C3391A">
        <w:t>for adult patients without established pituitary or testicular disorders.</w:t>
      </w:r>
    </w:p>
    <w:p w:rsidR="001B094D" w:rsidRPr="00C9624D" w:rsidRDefault="001B094D" w:rsidP="00F77C40">
      <w:pPr>
        <w:pStyle w:val="Heading2"/>
        <w:spacing w:after="120"/>
      </w:pPr>
      <w:bookmarkStart w:id="18" w:name="_Toc520285940"/>
      <w:bookmarkStart w:id="19" w:name="_Toc523307109"/>
      <w:r w:rsidRPr="00C9624D">
        <w:t>Comparative harms</w:t>
      </w:r>
      <w:bookmarkEnd w:id="18"/>
      <w:bookmarkEnd w:id="19"/>
    </w:p>
    <w:p w:rsidR="001B094D" w:rsidRDefault="001B094D" w:rsidP="00B068D3">
      <w:pPr>
        <w:pStyle w:val="ListParagraph"/>
        <w:widowControl/>
        <w:numPr>
          <w:ilvl w:val="1"/>
          <w:numId w:val="1"/>
        </w:numPr>
      </w:pPr>
      <w:r>
        <w:t>Adverse events (AEs) over 120 days for the intention to treat (ITT) population in Study 127 are summarised below.</w:t>
      </w:r>
    </w:p>
    <w:p w:rsidR="001B094D" w:rsidRPr="00B871F6" w:rsidRDefault="001B094D" w:rsidP="001B094D">
      <w:pPr>
        <w:pStyle w:val="Caption"/>
        <w:rPr>
          <w:rStyle w:val="CommentReference"/>
          <w:b/>
        </w:rPr>
      </w:pPr>
      <w:r w:rsidRPr="00B871F6">
        <w:rPr>
          <w:rStyle w:val="CommentReference"/>
          <w:b/>
        </w:rPr>
        <w:t xml:space="preserve">Table </w:t>
      </w:r>
      <w:r w:rsidR="00AB4F41">
        <w:rPr>
          <w:rStyle w:val="CommentReference"/>
          <w:b/>
          <w:noProof/>
        </w:rPr>
        <w:t>5</w:t>
      </w:r>
      <w:r w:rsidRPr="00B871F6">
        <w:rPr>
          <w:rStyle w:val="CommentReference"/>
          <w:b/>
        </w:rPr>
        <w:t>: Adverse events reported by Study 127 over 120 days</w:t>
      </w:r>
    </w:p>
    <w:tbl>
      <w:tblPr>
        <w:tblStyle w:val="Summarybox7"/>
        <w:tblW w:w="4907" w:type="pct"/>
        <w:tblInd w:w="108" w:type="dxa"/>
        <w:tblLayout w:type="fixed"/>
        <w:tblLook w:val="04A0" w:firstRow="1" w:lastRow="0" w:firstColumn="1" w:lastColumn="0" w:noHBand="0" w:noVBand="1"/>
        <w:tblCaption w:val="Adverse events reported by Study 127 over 120 days"/>
      </w:tblPr>
      <w:tblGrid>
        <w:gridCol w:w="3010"/>
        <w:gridCol w:w="2952"/>
        <w:gridCol w:w="2887"/>
      </w:tblGrid>
      <w:tr w:rsidR="001B094D" w:rsidRPr="009721FD" w:rsidTr="004D4F36">
        <w:trPr>
          <w:trHeight w:val="244"/>
        </w:trPr>
        <w:tc>
          <w:tcPr>
            <w:tcW w:w="1701" w:type="pct"/>
            <w:tcBorders>
              <w:bottom w:val="nil"/>
            </w:tcBorders>
            <w:shd w:val="clear" w:color="auto" w:fill="FFFFFF" w:themeFill="background1"/>
          </w:tcPr>
          <w:p w:rsidR="001B094D" w:rsidRPr="009721FD" w:rsidRDefault="001B094D" w:rsidP="00A7369A">
            <w:pPr>
              <w:widowControl/>
              <w:jc w:val="left"/>
              <w:rPr>
                <w:rFonts w:cstheme="minorHAnsi"/>
                <w:sz w:val="20"/>
                <w:szCs w:val="20"/>
              </w:rPr>
            </w:pPr>
          </w:p>
        </w:tc>
        <w:tc>
          <w:tcPr>
            <w:tcW w:w="1668" w:type="pct"/>
            <w:tcBorders>
              <w:bottom w:val="nil"/>
            </w:tcBorders>
            <w:shd w:val="clear" w:color="auto" w:fill="FFFFFF" w:themeFill="background1"/>
          </w:tcPr>
          <w:p w:rsidR="001B094D" w:rsidRPr="00FB5C59" w:rsidRDefault="001B094D" w:rsidP="00A7369A">
            <w:pPr>
              <w:widowControl/>
              <w:jc w:val="center"/>
              <w:rPr>
                <w:rFonts w:ascii="Arial Narrow" w:hAnsi="Arial Narrow" w:cstheme="minorHAnsi"/>
                <w:b/>
                <w:sz w:val="20"/>
                <w:szCs w:val="20"/>
              </w:rPr>
            </w:pPr>
            <w:r w:rsidRPr="00FB5C59">
              <w:rPr>
                <w:rFonts w:ascii="Arial Narrow" w:hAnsi="Arial Narrow" w:cstheme="minorHAnsi"/>
                <w:b/>
                <w:sz w:val="20"/>
                <w:szCs w:val="20"/>
              </w:rPr>
              <w:t>Patients, n (%)</w:t>
            </w:r>
          </w:p>
          <w:p w:rsidR="001B094D" w:rsidRPr="009721FD" w:rsidRDefault="001B094D" w:rsidP="00A7369A">
            <w:pPr>
              <w:widowControl/>
              <w:jc w:val="center"/>
              <w:rPr>
                <w:rFonts w:cstheme="minorHAnsi"/>
                <w:b/>
                <w:sz w:val="20"/>
                <w:szCs w:val="20"/>
              </w:rPr>
            </w:pPr>
            <w:r w:rsidRPr="00FB5C59">
              <w:rPr>
                <w:rFonts w:ascii="Arial Narrow" w:hAnsi="Arial Narrow" w:cstheme="minorHAnsi"/>
                <w:b/>
                <w:sz w:val="20"/>
                <w:szCs w:val="20"/>
              </w:rPr>
              <w:t>N = 159</w:t>
            </w:r>
            <w:r w:rsidRPr="00FB5C59">
              <w:rPr>
                <w:rFonts w:ascii="Arial Narrow" w:hAnsi="Arial Narrow" w:cstheme="minorHAnsi"/>
                <w:b/>
                <w:sz w:val="20"/>
                <w:szCs w:val="20"/>
                <w:vertAlign w:val="superscript"/>
              </w:rPr>
              <w:t>§</w:t>
            </w:r>
          </w:p>
        </w:tc>
        <w:tc>
          <w:tcPr>
            <w:tcW w:w="1631" w:type="pct"/>
            <w:tcBorders>
              <w:bottom w:val="nil"/>
            </w:tcBorders>
            <w:shd w:val="clear" w:color="auto" w:fill="FFFFFF" w:themeFill="background1"/>
          </w:tcPr>
          <w:p w:rsidR="001B094D" w:rsidRPr="00FB5C59" w:rsidRDefault="001B094D" w:rsidP="00A7369A">
            <w:pPr>
              <w:widowControl/>
              <w:jc w:val="center"/>
              <w:rPr>
                <w:rFonts w:ascii="Arial Narrow" w:hAnsi="Arial Narrow" w:cstheme="minorHAnsi"/>
                <w:b/>
                <w:sz w:val="20"/>
                <w:szCs w:val="20"/>
              </w:rPr>
            </w:pPr>
            <w:r w:rsidRPr="00FB5C59">
              <w:rPr>
                <w:rFonts w:ascii="Arial Narrow" w:hAnsi="Arial Narrow" w:cstheme="minorHAnsi"/>
                <w:b/>
                <w:sz w:val="20"/>
                <w:szCs w:val="20"/>
              </w:rPr>
              <w:t>Events, n</w:t>
            </w:r>
          </w:p>
        </w:tc>
      </w:tr>
      <w:tr w:rsidR="001B094D" w:rsidRPr="009721FD" w:rsidTr="004D4F36">
        <w:trPr>
          <w:trHeight w:val="244"/>
        </w:trPr>
        <w:tc>
          <w:tcPr>
            <w:tcW w:w="1701" w:type="pct"/>
          </w:tcPr>
          <w:p w:rsidR="001B094D" w:rsidRPr="00F7379A" w:rsidRDefault="001B094D" w:rsidP="00A7369A">
            <w:pPr>
              <w:widowControl/>
              <w:jc w:val="left"/>
              <w:rPr>
                <w:rFonts w:ascii="Arial Narrow" w:hAnsi="Arial Narrow" w:cstheme="minorHAnsi"/>
                <w:sz w:val="20"/>
                <w:szCs w:val="20"/>
              </w:rPr>
            </w:pPr>
            <w:r w:rsidRPr="00F7379A">
              <w:rPr>
                <w:rFonts w:ascii="Arial Narrow" w:hAnsi="Arial Narrow" w:cstheme="minorHAnsi"/>
                <w:sz w:val="20"/>
                <w:szCs w:val="20"/>
              </w:rPr>
              <w:t>All TEAEs</w:t>
            </w:r>
          </w:p>
        </w:tc>
        <w:tc>
          <w:tcPr>
            <w:tcW w:w="1668"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 xml:space="preserve">59 (37.1) </w:t>
            </w:r>
          </w:p>
        </w:tc>
        <w:tc>
          <w:tcPr>
            <w:tcW w:w="1631"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119</w:t>
            </w:r>
          </w:p>
        </w:tc>
      </w:tr>
      <w:tr w:rsidR="001B094D" w:rsidRPr="009721FD" w:rsidTr="004D4F36">
        <w:trPr>
          <w:trHeight w:val="244"/>
        </w:trPr>
        <w:tc>
          <w:tcPr>
            <w:tcW w:w="1701" w:type="pct"/>
          </w:tcPr>
          <w:p w:rsidR="001B094D" w:rsidRPr="00F7379A" w:rsidRDefault="001B094D" w:rsidP="00A7369A">
            <w:pPr>
              <w:widowControl/>
              <w:ind w:left="313"/>
              <w:jc w:val="left"/>
              <w:rPr>
                <w:rFonts w:ascii="Arial Narrow" w:hAnsi="Arial Narrow" w:cstheme="minorHAnsi"/>
                <w:sz w:val="20"/>
                <w:szCs w:val="20"/>
              </w:rPr>
            </w:pPr>
            <w:r w:rsidRPr="00F7379A">
              <w:rPr>
                <w:rFonts w:ascii="Arial Narrow" w:hAnsi="Arial Narrow" w:cstheme="minorHAnsi"/>
                <w:sz w:val="20"/>
                <w:szCs w:val="20"/>
              </w:rPr>
              <w:t>Mild/ moderate AEs</w:t>
            </w:r>
          </w:p>
        </w:tc>
        <w:tc>
          <w:tcPr>
            <w:tcW w:w="1668"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 xml:space="preserve">59 (37.1) </w:t>
            </w:r>
          </w:p>
        </w:tc>
        <w:tc>
          <w:tcPr>
            <w:tcW w:w="1631"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114</w:t>
            </w:r>
          </w:p>
        </w:tc>
      </w:tr>
      <w:tr w:rsidR="001B094D" w:rsidRPr="009721FD" w:rsidTr="004D4F36">
        <w:trPr>
          <w:trHeight w:val="244"/>
        </w:trPr>
        <w:tc>
          <w:tcPr>
            <w:tcW w:w="1701" w:type="pct"/>
          </w:tcPr>
          <w:p w:rsidR="001B094D" w:rsidRPr="00F7379A" w:rsidRDefault="001B094D" w:rsidP="00A7369A">
            <w:pPr>
              <w:widowControl/>
              <w:ind w:left="313"/>
              <w:jc w:val="left"/>
              <w:rPr>
                <w:rFonts w:ascii="Arial Narrow" w:hAnsi="Arial Narrow" w:cstheme="minorHAnsi"/>
                <w:sz w:val="20"/>
                <w:szCs w:val="20"/>
              </w:rPr>
            </w:pPr>
            <w:r w:rsidRPr="00F7379A">
              <w:rPr>
                <w:rFonts w:ascii="Arial Narrow" w:hAnsi="Arial Narrow" w:cstheme="minorHAnsi"/>
                <w:sz w:val="20"/>
                <w:szCs w:val="20"/>
              </w:rPr>
              <w:t>Severe AEs</w:t>
            </w:r>
          </w:p>
        </w:tc>
        <w:tc>
          <w:tcPr>
            <w:tcW w:w="1668"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 xml:space="preserve">4 (2.5) </w:t>
            </w:r>
          </w:p>
        </w:tc>
        <w:tc>
          <w:tcPr>
            <w:tcW w:w="1631"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5</w:t>
            </w:r>
          </w:p>
        </w:tc>
      </w:tr>
      <w:tr w:rsidR="001B094D" w:rsidRPr="009721FD" w:rsidTr="004D4F36">
        <w:trPr>
          <w:trHeight w:val="244"/>
        </w:trPr>
        <w:tc>
          <w:tcPr>
            <w:tcW w:w="1701" w:type="pct"/>
          </w:tcPr>
          <w:p w:rsidR="001B094D" w:rsidRPr="00F7379A" w:rsidRDefault="001B094D" w:rsidP="00A7369A">
            <w:pPr>
              <w:widowControl/>
              <w:jc w:val="left"/>
              <w:rPr>
                <w:rFonts w:ascii="Arial Narrow" w:hAnsi="Arial Narrow" w:cstheme="minorHAnsi"/>
                <w:sz w:val="20"/>
                <w:szCs w:val="20"/>
              </w:rPr>
            </w:pPr>
            <w:r w:rsidRPr="00F7379A">
              <w:rPr>
                <w:rFonts w:ascii="Arial Narrow" w:hAnsi="Arial Narrow" w:cstheme="minorHAnsi"/>
                <w:sz w:val="20"/>
                <w:szCs w:val="20"/>
              </w:rPr>
              <w:t>Serious AEs</w:t>
            </w:r>
          </w:p>
        </w:tc>
        <w:tc>
          <w:tcPr>
            <w:tcW w:w="1668"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 xml:space="preserve">5 (3.1) </w:t>
            </w:r>
          </w:p>
        </w:tc>
        <w:tc>
          <w:tcPr>
            <w:tcW w:w="1631"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5</w:t>
            </w:r>
          </w:p>
        </w:tc>
      </w:tr>
      <w:tr w:rsidR="001B094D" w:rsidRPr="009721FD" w:rsidTr="004D4F36">
        <w:trPr>
          <w:trHeight w:val="244"/>
        </w:trPr>
        <w:tc>
          <w:tcPr>
            <w:tcW w:w="1701" w:type="pct"/>
          </w:tcPr>
          <w:p w:rsidR="001B094D" w:rsidRPr="00F7379A" w:rsidRDefault="001B094D" w:rsidP="00A7369A">
            <w:pPr>
              <w:widowControl/>
              <w:jc w:val="left"/>
              <w:rPr>
                <w:rFonts w:ascii="Arial Narrow" w:hAnsi="Arial Narrow" w:cstheme="minorHAnsi"/>
                <w:sz w:val="20"/>
                <w:szCs w:val="20"/>
              </w:rPr>
            </w:pPr>
            <w:r w:rsidRPr="00F7379A">
              <w:rPr>
                <w:rFonts w:ascii="Arial Narrow" w:hAnsi="Arial Narrow" w:cstheme="minorHAnsi"/>
                <w:sz w:val="20"/>
                <w:szCs w:val="20"/>
              </w:rPr>
              <w:t>AE*</w:t>
            </w:r>
          </w:p>
        </w:tc>
        <w:tc>
          <w:tcPr>
            <w:tcW w:w="1668"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 xml:space="preserve">24 (15.1) </w:t>
            </w:r>
          </w:p>
        </w:tc>
        <w:tc>
          <w:tcPr>
            <w:tcW w:w="1631"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35</w:t>
            </w:r>
          </w:p>
        </w:tc>
      </w:tr>
      <w:tr w:rsidR="001B094D" w:rsidRPr="009721FD" w:rsidTr="004D4F36">
        <w:trPr>
          <w:trHeight w:val="244"/>
        </w:trPr>
        <w:tc>
          <w:tcPr>
            <w:tcW w:w="1701" w:type="pct"/>
          </w:tcPr>
          <w:p w:rsidR="001B094D" w:rsidRPr="00F7379A" w:rsidRDefault="001B094D" w:rsidP="00A7369A">
            <w:pPr>
              <w:widowControl/>
              <w:jc w:val="left"/>
              <w:rPr>
                <w:rFonts w:ascii="Arial Narrow" w:hAnsi="Arial Narrow" w:cstheme="minorHAnsi"/>
                <w:sz w:val="20"/>
                <w:szCs w:val="20"/>
              </w:rPr>
            </w:pPr>
            <w:r w:rsidRPr="00F7379A">
              <w:rPr>
                <w:rFonts w:ascii="Arial Narrow" w:hAnsi="Arial Narrow" w:cstheme="minorHAnsi"/>
                <w:sz w:val="20"/>
                <w:szCs w:val="20"/>
              </w:rPr>
              <w:t xml:space="preserve">Withdrawal from study due to </w:t>
            </w:r>
            <w:r w:rsidRPr="00F7379A">
              <w:rPr>
                <w:rFonts w:ascii="Arial Narrow" w:hAnsi="Arial Narrow" w:cstheme="minorHAnsi"/>
                <w:caps/>
                <w:sz w:val="20"/>
                <w:szCs w:val="20"/>
              </w:rPr>
              <w:t>AE</w:t>
            </w:r>
            <w:r w:rsidRPr="00F7379A">
              <w:rPr>
                <w:rFonts w:ascii="Arial Narrow" w:hAnsi="Arial Narrow" w:cstheme="minorHAnsi"/>
                <w:sz w:val="20"/>
                <w:szCs w:val="20"/>
              </w:rPr>
              <w:t xml:space="preserve">s, </w:t>
            </w:r>
          </w:p>
        </w:tc>
        <w:tc>
          <w:tcPr>
            <w:tcW w:w="1668"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7 (4.4)</w:t>
            </w:r>
          </w:p>
        </w:tc>
        <w:tc>
          <w:tcPr>
            <w:tcW w:w="1631" w:type="pct"/>
          </w:tcPr>
          <w:p w:rsidR="001B094D" w:rsidRPr="00F7379A" w:rsidRDefault="001B094D" w:rsidP="00A7369A">
            <w:pPr>
              <w:widowControl/>
              <w:jc w:val="center"/>
              <w:rPr>
                <w:rFonts w:ascii="Arial Narrow" w:hAnsi="Arial Narrow" w:cstheme="minorHAnsi"/>
                <w:sz w:val="20"/>
                <w:szCs w:val="20"/>
              </w:rPr>
            </w:pPr>
            <w:r w:rsidRPr="00F7379A">
              <w:rPr>
                <w:rFonts w:ascii="Arial Narrow" w:hAnsi="Arial Narrow" w:cstheme="minorHAnsi"/>
                <w:sz w:val="20"/>
                <w:szCs w:val="20"/>
              </w:rPr>
              <w:t>-</w:t>
            </w:r>
          </w:p>
        </w:tc>
      </w:tr>
    </w:tbl>
    <w:p w:rsidR="001B094D" w:rsidRDefault="009753F2" w:rsidP="001B094D">
      <w:pPr>
        <w:rPr>
          <w:rFonts w:ascii="Arial Narrow" w:hAnsi="Arial Narrow"/>
          <w:sz w:val="18"/>
          <w:szCs w:val="18"/>
        </w:rPr>
      </w:pPr>
      <w:r w:rsidRPr="009753F2">
        <w:rPr>
          <w:rStyle w:val="TableFooterChar"/>
        </w:rPr>
        <w:t>Abbreviations</w:t>
      </w:r>
      <w:r>
        <w:rPr>
          <w:rStyle w:val="TableFooterChar"/>
        </w:rPr>
        <w:t xml:space="preserve">: </w:t>
      </w:r>
      <w:r w:rsidR="001B094D">
        <w:rPr>
          <w:rFonts w:ascii="Arial Narrow" w:hAnsi="Arial Narrow"/>
          <w:sz w:val="18"/>
          <w:szCs w:val="18"/>
        </w:rPr>
        <w:t>AEs = adverse events; n = number of patients experiencing an event; N = total patients in the group; TEAEs = treatment emergent adverse events.</w:t>
      </w:r>
    </w:p>
    <w:p w:rsidR="001B094D" w:rsidRPr="00AE1EA6" w:rsidRDefault="001B094D" w:rsidP="001B094D">
      <w:pPr>
        <w:rPr>
          <w:rFonts w:ascii="Arial Narrow" w:hAnsi="Arial Narrow"/>
          <w:sz w:val="18"/>
          <w:szCs w:val="18"/>
        </w:rPr>
      </w:pPr>
      <w:r w:rsidRPr="00AE1EA6">
        <w:rPr>
          <w:rFonts w:ascii="Arial Narrow" w:hAnsi="Arial Narrow"/>
          <w:sz w:val="18"/>
          <w:szCs w:val="18"/>
          <w:vertAlign w:val="superscript"/>
        </w:rPr>
        <w:t>§</w:t>
      </w:r>
      <w:r w:rsidRPr="00AE1EA6">
        <w:rPr>
          <w:rFonts w:ascii="Arial Narrow" w:hAnsi="Arial Narrow"/>
          <w:sz w:val="18"/>
          <w:szCs w:val="18"/>
        </w:rPr>
        <w:t xml:space="preserve"> Intent to treat</w:t>
      </w:r>
      <w:r>
        <w:rPr>
          <w:rFonts w:ascii="Arial Narrow" w:hAnsi="Arial Narrow"/>
          <w:sz w:val="18"/>
          <w:szCs w:val="18"/>
        </w:rPr>
        <w:t xml:space="preserve"> (ITT) population with last observation carried forward (LOCF).</w:t>
      </w:r>
    </w:p>
    <w:p w:rsidR="001B094D" w:rsidRDefault="001B094D" w:rsidP="001B094D">
      <w:pPr>
        <w:rPr>
          <w:rFonts w:ascii="Arial Narrow" w:hAnsi="Arial Narrow"/>
          <w:sz w:val="18"/>
          <w:szCs w:val="18"/>
        </w:rPr>
      </w:pPr>
      <w:r>
        <w:rPr>
          <w:rFonts w:ascii="Arial Narrow" w:hAnsi="Arial Narrow"/>
          <w:sz w:val="18"/>
          <w:szCs w:val="18"/>
        </w:rPr>
        <w:t>*Possibly or probably related to treatment.</w:t>
      </w:r>
    </w:p>
    <w:p w:rsidR="001B094D" w:rsidRDefault="001B094D" w:rsidP="001B094D">
      <w:pPr>
        <w:widowControl/>
        <w:rPr>
          <w:rFonts w:ascii="Arial Narrow" w:hAnsi="Arial Narrow"/>
          <w:sz w:val="18"/>
          <w:szCs w:val="18"/>
        </w:rPr>
      </w:pPr>
      <w:r w:rsidRPr="00B871F6">
        <w:rPr>
          <w:rFonts w:ascii="Arial Narrow" w:hAnsi="Arial Narrow"/>
          <w:sz w:val="18"/>
          <w:szCs w:val="18"/>
        </w:rPr>
        <w:t>Source: Table 2.5-12, p62 of the submission</w:t>
      </w:r>
      <w:r>
        <w:rPr>
          <w:rFonts w:ascii="Arial Narrow" w:hAnsi="Arial Narrow"/>
          <w:sz w:val="18"/>
          <w:szCs w:val="18"/>
        </w:rPr>
        <w:t>.</w:t>
      </w:r>
    </w:p>
    <w:p w:rsidR="001B094D" w:rsidRPr="00F77C40" w:rsidRDefault="001B094D" w:rsidP="001B094D">
      <w:pPr>
        <w:widowControl/>
        <w:rPr>
          <w:rFonts w:ascii="Arial Narrow" w:hAnsi="Arial Narrow"/>
          <w:sz w:val="18"/>
          <w:szCs w:val="18"/>
        </w:rPr>
      </w:pPr>
    </w:p>
    <w:p w:rsidR="001B094D" w:rsidRDefault="001B094D" w:rsidP="00B068D3">
      <w:pPr>
        <w:pStyle w:val="ListParagraph"/>
        <w:widowControl/>
        <w:numPr>
          <w:ilvl w:val="1"/>
          <w:numId w:val="1"/>
        </w:numPr>
      </w:pPr>
      <w:r>
        <w:t>There was one serious adverse event (SAE) considered possibly related to testosterone 2% EP gel –</w:t>
      </w:r>
      <w:r w:rsidR="00904A99">
        <w:t xml:space="preserve"> </w:t>
      </w:r>
      <w:r>
        <w:t>myocardial infarction with stent placement. Twenty four patients experienced 35 AEs that were considered treatment related; the most commonly occurring AEs w</w:t>
      </w:r>
      <w:r w:rsidR="00904A99">
        <w:t xml:space="preserve">ere erythema in four (2.5%), and </w:t>
      </w:r>
      <w:r>
        <w:t xml:space="preserve">blood triglycerides and </w:t>
      </w:r>
      <w:r w:rsidRPr="00661517">
        <w:t>prostate-specific antigen</w:t>
      </w:r>
      <w:r>
        <w:t xml:space="preserve"> (PSA) </w:t>
      </w:r>
      <w:r w:rsidR="00904A99">
        <w:t xml:space="preserve">each </w:t>
      </w:r>
      <w:r>
        <w:t>increased in two (1.3%) patients.</w:t>
      </w:r>
    </w:p>
    <w:p w:rsidR="001B094D" w:rsidRPr="00C3391A" w:rsidRDefault="001B094D" w:rsidP="00B068D3">
      <w:pPr>
        <w:pStyle w:val="ListParagraph"/>
        <w:widowControl/>
        <w:numPr>
          <w:ilvl w:val="1"/>
          <w:numId w:val="1"/>
        </w:numPr>
      </w:pPr>
      <w:r>
        <w:t>The PI f</w:t>
      </w:r>
      <w:r w:rsidR="00904A99">
        <w:t>or testosterone 2% EP gel states</w:t>
      </w:r>
      <w:r>
        <w:t xml:space="preserve"> that androgens may accelerate the progression of prostate cancer and benign prostatic hyperplasia (BPH). </w:t>
      </w:r>
      <w:r w:rsidRPr="00C3391A">
        <w:t xml:space="preserve">Patients with an elevated or history of elevated PSA, </w:t>
      </w:r>
      <w:r w:rsidR="00904A99" w:rsidRPr="00C3391A">
        <w:t xml:space="preserve">a </w:t>
      </w:r>
      <w:r w:rsidRPr="00C3391A">
        <w:t xml:space="preserve">prostate exam suspicious for a malignancy or </w:t>
      </w:r>
      <w:r w:rsidR="00904A99" w:rsidRPr="00C3391A">
        <w:t xml:space="preserve">with </w:t>
      </w:r>
      <w:r w:rsidRPr="00C3391A">
        <w:t>prostate cancer were excluded from Study 127.</w:t>
      </w:r>
    </w:p>
    <w:p w:rsidR="001B094D" w:rsidRPr="00924ACC" w:rsidRDefault="00B909E8" w:rsidP="00B068D3">
      <w:pPr>
        <w:pStyle w:val="ListParagraph"/>
        <w:widowControl/>
        <w:numPr>
          <w:ilvl w:val="1"/>
          <w:numId w:val="1"/>
        </w:numPr>
      </w:pPr>
      <w:r>
        <w:t xml:space="preserve">The </w:t>
      </w:r>
      <w:r w:rsidR="001B094D">
        <w:t xml:space="preserve">TGA Clinical Evaluation Report for testosterone 2% EP gel (April 2017), </w:t>
      </w:r>
      <w:r>
        <w:t xml:space="preserve">reported that, </w:t>
      </w:r>
      <w:r w:rsidR="001B094D">
        <w:t>while the safety analysis was consistent with the known profile of testosterone, the risk assessment was based on a small number of studies of short duration, with the inability to identify uncommon AEs, as well as long term known side effects such as gynaecomastia.</w:t>
      </w:r>
      <w:r w:rsidR="001B094D">
        <w:rPr>
          <w:i/>
        </w:rPr>
        <w:t xml:space="preserve"> </w:t>
      </w:r>
    </w:p>
    <w:p w:rsidR="001B094D" w:rsidRPr="00C3391A" w:rsidRDefault="001B094D" w:rsidP="00B068D3">
      <w:pPr>
        <w:pStyle w:val="ListParagraph"/>
        <w:widowControl/>
        <w:numPr>
          <w:ilvl w:val="1"/>
          <w:numId w:val="1"/>
        </w:numPr>
      </w:pPr>
      <w:r>
        <w:t xml:space="preserve">The submission stated that the discontinuations due to AEs was </w:t>
      </w:r>
      <w:r w:rsidR="00904A99">
        <w:t xml:space="preserve">the only safety outcome that could be compared between testosterone 2% EP gel and 1% gel. </w:t>
      </w:r>
      <w:r>
        <w:t xml:space="preserve">In Study 127, 7/159 (4.4%) patients discontinued testosterone 2% EP gel due to an AE, of which 4 were considered to have a reasonable possibility of being related to study treatment (p87 Study 127 CSR). The submission reported that 11/151 (7.3%) patients discontinued testosterone 1% gel due to an AE by day 90 in </w:t>
      </w:r>
      <w:proofErr w:type="spellStart"/>
      <w:r>
        <w:t>Swerdloff</w:t>
      </w:r>
      <w:proofErr w:type="spellEnd"/>
      <w:r>
        <w:t xml:space="preserve"> 2000. </w:t>
      </w:r>
      <w:r w:rsidRPr="00C3391A">
        <w:t xml:space="preserve">This result could not be located in </w:t>
      </w:r>
      <w:proofErr w:type="spellStart"/>
      <w:r w:rsidRPr="00C3391A">
        <w:t>Swerdloff</w:t>
      </w:r>
      <w:proofErr w:type="spellEnd"/>
      <w:r w:rsidRPr="00C3391A">
        <w:t xml:space="preserve"> 2000. The US Food and Drug Administration (FDA) Medical Review for testosterone 1% gel reported that only six patients receiving testosterone 1% gel in </w:t>
      </w:r>
      <w:proofErr w:type="spellStart"/>
      <w:r w:rsidRPr="00C3391A">
        <w:t>Swerdloff</w:t>
      </w:r>
      <w:proofErr w:type="spellEnd"/>
      <w:r w:rsidRPr="00C3391A">
        <w:t xml:space="preserve"> 2000 experienced AEs associated with premature </w:t>
      </w:r>
      <w:r w:rsidRPr="00C3391A">
        <w:lastRenderedPageBreak/>
        <w:t>discontinuation, with four considered possibly related to study drug (p23, FDA Medical Review, NDA 21-015)</w:t>
      </w:r>
      <w:r w:rsidRPr="00C3391A">
        <w:rPr>
          <w:rStyle w:val="FootnoteReference"/>
        </w:rPr>
        <w:footnoteReference w:id="8"/>
      </w:r>
      <w:r w:rsidRPr="00C3391A">
        <w:t>.</w:t>
      </w:r>
      <w:r w:rsidR="002D3173">
        <w:t xml:space="preserve"> </w:t>
      </w:r>
    </w:p>
    <w:p w:rsidR="00E34007" w:rsidRPr="00C42DDA" w:rsidRDefault="001B094D" w:rsidP="00E34007">
      <w:pPr>
        <w:pStyle w:val="ListParagraph"/>
        <w:widowControl/>
        <w:numPr>
          <w:ilvl w:val="1"/>
          <w:numId w:val="1"/>
        </w:numPr>
      </w:pPr>
      <w:r w:rsidRPr="00C3391A">
        <w:t>Given the lack of comparable data, and the transitivity concerns outlined above, no conclusion could be made in terms of the comparative safety of testosterone 2% EP gel versus testosterone 1% gel.</w:t>
      </w:r>
      <w:r w:rsidR="00680D99">
        <w:t xml:space="preserve"> </w:t>
      </w:r>
      <w:r w:rsidR="005F50D5" w:rsidRPr="00C42DDA">
        <w:t xml:space="preserve">The PSCR </w:t>
      </w:r>
      <w:r w:rsidR="00680D99" w:rsidRPr="00C42DDA">
        <w:t>argued that “although testosterone 2% EP gel is formulated to promote enhanced permeation, the active drug remains unchanged” and that “the safety profile of testosterone is well-characterised as TRT have been used for the treatment of androgen deficiency for over 60 years</w:t>
      </w:r>
      <w:r w:rsidR="004924C6">
        <w:t>”</w:t>
      </w:r>
      <w:r w:rsidR="00680D99" w:rsidRPr="00C42DDA">
        <w:t xml:space="preserve"> (Conway et al., 2000). </w:t>
      </w:r>
      <w:r w:rsidR="005F50D5" w:rsidRPr="00C42DDA">
        <w:t xml:space="preserve">The ESC </w:t>
      </w:r>
      <w:r w:rsidR="004924C6">
        <w:t>noted</w:t>
      </w:r>
      <w:r w:rsidR="004924C6" w:rsidRPr="00C42DDA">
        <w:t xml:space="preserve"> </w:t>
      </w:r>
      <w:r w:rsidR="005F50D5" w:rsidRPr="00C42DDA">
        <w:t xml:space="preserve">that as the two formulations contain the same drug, </w:t>
      </w:r>
      <w:r w:rsidR="00E34007" w:rsidRPr="00C42DDA">
        <w:t>any difference in comparative harms is likely to be dose dependent.</w:t>
      </w:r>
      <w:r w:rsidR="002D3173" w:rsidRPr="00C42DDA">
        <w:t xml:space="preserve"> </w:t>
      </w:r>
    </w:p>
    <w:p w:rsidR="00D26334" w:rsidRPr="00C3391A" w:rsidRDefault="004924C6" w:rsidP="00B068D3">
      <w:pPr>
        <w:pStyle w:val="ListParagraph"/>
        <w:widowControl/>
        <w:numPr>
          <w:ilvl w:val="1"/>
          <w:numId w:val="1"/>
        </w:numPr>
      </w:pPr>
      <w:r>
        <w:t>During the evaluation</w:t>
      </w:r>
      <w:r w:rsidR="00D26334" w:rsidRPr="00C3391A">
        <w:t xml:space="preserve"> the absence of any data assessing the safety of testosterone 2% EP gel in patients under the age of 18 years</w:t>
      </w:r>
      <w:r>
        <w:t xml:space="preserve"> was noted</w:t>
      </w:r>
      <w:r w:rsidR="00D26334" w:rsidRPr="00C3391A">
        <w:t>, despite three proposed PBS listings for patients in this population subgroup.</w:t>
      </w:r>
    </w:p>
    <w:p w:rsidR="001B094D" w:rsidRDefault="001B094D" w:rsidP="00F77C40">
      <w:pPr>
        <w:pStyle w:val="Heading2"/>
        <w:keepNext/>
        <w:spacing w:after="120"/>
      </w:pPr>
      <w:bookmarkStart w:id="21" w:name="_Toc520285942"/>
      <w:bookmarkStart w:id="22" w:name="_Toc523307110"/>
      <w:r w:rsidRPr="00C9624D">
        <w:t>Clinical claim</w:t>
      </w:r>
      <w:bookmarkEnd w:id="21"/>
      <w:bookmarkEnd w:id="22"/>
    </w:p>
    <w:p w:rsidR="001B094D" w:rsidRDefault="001B094D" w:rsidP="004D4F36">
      <w:pPr>
        <w:pStyle w:val="ListParagraph"/>
        <w:keepNext/>
        <w:widowControl/>
        <w:numPr>
          <w:ilvl w:val="1"/>
          <w:numId w:val="1"/>
        </w:numPr>
      </w:pPr>
      <w:r>
        <w:t>The submission described testosterone 2% EP gel as non-inferior to testosterone 1% gel in terms of effectiveness and safety.</w:t>
      </w:r>
    </w:p>
    <w:p w:rsidR="0000005B" w:rsidRPr="00C42DDA" w:rsidRDefault="001B094D" w:rsidP="00B068D3">
      <w:pPr>
        <w:pStyle w:val="ListParagraph"/>
        <w:widowControl/>
        <w:numPr>
          <w:ilvl w:val="1"/>
          <w:numId w:val="1"/>
        </w:numPr>
      </w:pPr>
      <w:r w:rsidRPr="00C42DDA">
        <w:t xml:space="preserve">The </w:t>
      </w:r>
      <w:r w:rsidR="009C44A5" w:rsidRPr="00C42DDA">
        <w:t xml:space="preserve">ESC </w:t>
      </w:r>
      <w:r w:rsidR="00263EEC">
        <w:t xml:space="preserve">and PBAC </w:t>
      </w:r>
      <w:r w:rsidR="00CA6FEA" w:rsidRPr="00C42DDA">
        <w:t xml:space="preserve">acknowledged the concerns raised in the evaluation (outlined below) regarding the </w:t>
      </w:r>
      <w:r w:rsidRPr="00C42DDA">
        <w:t>claim of non-inferiority of testosterone 2% EP gel to testosterone 1% gel</w:t>
      </w:r>
      <w:r w:rsidR="00CA6FEA" w:rsidRPr="00C42DDA">
        <w:t xml:space="preserve">, but considered that that the effectiveness of testosterone products is </w:t>
      </w:r>
      <w:r w:rsidR="004D4F36" w:rsidRPr="00C42DDA">
        <w:t>dependent</w:t>
      </w:r>
      <w:r w:rsidR="00CA6FEA" w:rsidRPr="00C42DDA">
        <w:t xml:space="preserve"> on </w:t>
      </w:r>
      <w:r w:rsidR="00E34007" w:rsidRPr="00C42DDA">
        <w:t xml:space="preserve">level and timing of drug absorption, </w:t>
      </w:r>
      <w:r w:rsidR="00CA6FEA" w:rsidRPr="00C42DDA">
        <w:t xml:space="preserve">and that the efficacy and safety issues raised in the evaluation are likely related to dose. As such, the ESC </w:t>
      </w:r>
      <w:r w:rsidR="00263EEC">
        <w:t xml:space="preserve">and PBAC </w:t>
      </w:r>
      <w:r w:rsidR="00CA6FEA" w:rsidRPr="00C42DDA">
        <w:t>considered that the claim of non-inferiority of testosterone 2% EP gel to testosterone 1% gel was reasonable.</w:t>
      </w:r>
      <w:r w:rsidR="002D3173" w:rsidRPr="00C42DDA">
        <w:t xml:space="preserve"> </w:t>
      </w:r>
    </w:p>
    <w:p w:rsidR="001B094D" w:rsidRPr="00C42DDA" w:rsidRDefault="0000005B" w:rsidP="00B068D3">
      <w:pPr>
        <w:pStyle w:val="ListParagraph"/>
        <w:widowControl/>
        <w:numPr>
          <w:ilvl w:val="1"/>
          <w:numId w:val="1"/>
        </w:numPr>
      </w:pPr>
      <w:r w:rsidRPr="00C42DDA">
        <w:t xml:space="preserve">Concerns raised in the </w:t>
      </w:r>
      <w:r w:rsidR="00CA6FEA" w:rsidRPr="00C42DDA">
        <w:t xml:space="preserve">evaluation </w:t>
      </w:r>
      <w:r w:rsidRPr="00C42DDA">
        <w:t xml:space="preserve">regarding the </w:t>
      </w:r>
      <w:r w:rsidR="00CA6FEA" w:rsidRPr="00C42DDA">
        <w:t>claim of non-inferiority</w:t>
      </w:r>
      <w:r w:rsidR="001B094D" w:rsidRPr="00C42DDA">
        <w:t>:</w:t>
      </w:r>
    </w:p>
    <w:p w:rsidR="001B094D" w:rsidRPr="00C3391A" w:rsidRDefault="001B094D" w:rsidP="004D4F36">
      <w:pPr>
        <w:pStyle w:val="ListParagraph"/>
        <w:widowControl/>
        <w:numPr>
          <w:ilvl w:val="0"/>
          <w:numId w:val="6"/>
        </w:numPr>
        <w:ind w:left="1077" w:hanging="357"/>
      </w:pPr>
      <w:r w:rsidRPr="00C3391A">
        <w:t xml:space="preserve">The claim was based on a </w:t>
      </w:r>
      <w:r w:rsidR="001205C9" w:rsidRPr="00C3391A">
        <w:t>na</w:t>
      </w:r>
      <w:r w:rsidRPr="00C3391A">
        <w:t>ive indirect comparison;</w:t>
      </w:r>
    </w:p>
    <w:p w:rsidR="001B094D" w:rsidRPr="00C3391A" w:rsidRDefault="001B094D" w:rsidP="004D4F36">
      <w:pPr>
        <w:pStyle w:val="ListParagraph"/>
        <w:widowControl/>
        <w:numPr>
          <w:ilvl w:val="0"/>
          <w:numId w:val="4"/>
        </w:numPr>
        <w:ind w:left="1077" w:hanging="357"/>
      </w:pPr>
      <w:r w:rsidRPr="00C3391A">
        <w:t xml:space="preserve">The claim of non-inferiority compared to testosterone 1% gel </w:t>
      </w:r>
      <w:r w:rsidR="005C4925" w:rsidRPr="00C3391A">
        <w:t xml:space="preserve">in terms of effectiveness </w:t>
      </w:r>
      <w:r w:rsidRPr="00C3391A">
        <w:t>was based entirely on pharmacokinetic outcomes;</w:t>
      </w:r>
    </w:p>
    <w:p w:rsidR="001B094D" w:rsidRPr="00C3391A" w:rsidRDefault="001B094D" w:rsidP="004D4F36">
      <w:pPr>
        <w:pStyle w:val="ListParagraph"/>
        <w:widowControl/>
        <w:numPr>
          <w:ilvl w:val="1"/>
          <w:numId w:val="4"/>
        </w:numPr>
        <w:ind w:left="1434" w:hanging="357"/>
      </w:pPr>
      <w:r w:rsidRPr="00C3391A">
        <w:t xml:space="preserve">The submission did not present a comparison of the most relevant clinical outcomes </w:t>
      </w:r>
      <w:r w:rsidR="00904A99" w:rsidRPr="00C3391A">
        <w:t>such as</w:t>
      </w:r>
      <w:r w:rsidRPr="00C3391A">
        <w:t xml:space="preserve"> resolution of symptoms, signs and complications of androgen deficiency;</w:t>
      </w:r>
    </w:p>
    <w:p w:rsidR="001B094D" w:rsidRPr="00C3391A" w:rsidRDefault="001B094D" w:rsidP="004D4F36">
      <w:pPr>
        <w:pStyle w:val="ListParagraph"/>
        <w:widowControl/>
        <w:numPr>
          <w:ilvl w:val="1"/>
          <w:numId w:val="4"/>
        </w:numPr>
        <w:ind w:left="1434" w:hanging="357"/>
      </w:pPr>
      <w:r w:rsidRPr="00C3391A">
        <w:t xml:space="preserve">Given the difference in the pharmacokinetics of the two preparations, it was not clear whether a comparison of the average testosterone concentration over 24-hours adequately captured the differences between the two </w:t>
      </w:r>
      <w:r w:rsidRPr="00C3391A">
        <w:lastRenderedPageBreak/>
        <w:t>preparations, or whether this measure is a valid surrogate for clinically relevant outcomes;</w:t>
      </w:r>
    </w:p>
    <w:p w:rsidR="001B094D" w:rsidRPr="00C3391A" w:rsidRDefault="001B094D" w:rsidP="004D4F36">
      <w:pPr>
        <w:pStyle w:val="ListParagraph"/>
        <w:widowControl/>
        <w:numPr>
          <w:ilvl w:val="0"/>
          <w:numId w:val="4"/>
        </w:numPr>
        <w:ind w:left="1077" w:hanging="357"/>
      </w:pPr>
      <w:r w:rsidRPr="00C3391A">
        <w:t xml:space="preserve">There were considerable transitivity issues between the two studies used in the naïve indirect comparison, especially in terms of the underlying causes of androgen deficiency, serum testosterone levels at screening, analytical methods used to measure serum testosterone concentrations, and the definition of the outcomes (serum testosterone </w:t>
      </w:r>
      <w:proofErr w:type="spellStart"/>
      <w:r w:rsidRPr="00C3391A">
        <w:t>eugonadal</w:t>
      </w:r>
      <w:proofErr w:type="spellEnd"/>
      <w:r w:rsidRPr="00C3391A">
        <w:t xml:space="preserve"> range and the </w:t>
      </w:r>
      <w:r w:rsidR="00737C8E" w:rsidRPr="00C3391A">
        <w:t>time point</w:t>
      </w:r>
      <w:r w:rsidRPr="00C3391A">
        <w:t xml:space="preserve"> for assessment of response);</w:t>
      </w:r>
    </w:p>
    <w:p w:rsidR="001B094D" w:rsidRPr="00C3391A" w:rsidRDefault="001B094D" w:rsidP="004D4F36">
      <w:pPr>
        <w:pStyle w:val="ListParagraph"/>
        <w:widowControl/>
        <w:numPr>
          <w:ilvl w:val="0"/>
          <w:numId w:val="4"/>
        </w:numPr>
        <w:ind w:left="1077" w:hanging="357"/>
      </w:pPr>
      <w:r w:rsidRPr="00C3391A">
        <w:t xml:space="preserve">Due to the limited dose titration allowed in the key testosterone 1% gel study, </w:t>
      </w:r>
      <w:proofErr w:type="spellStart"/>
      <w:r w:rsidRPr="00C3391A">
        <w:t>Swerdloff</w:t>
      </w:r>
      <w:proofErr w:type="spellEnd"/>
      <w:r w:rsidRPr="00C3391A">
        <w:t xml:space="preserve"> 2000, </w:t>
      </w:r>
      <w:r w:rsidR="00982A57" w:rsidRPr="00C3391A">
        <w:t>it is possible that a considerable proportion of</w:t>
      </w:r>
      <w:r w:rsidRPr="00C3391A">
        <w:t xml:space="preserve"> patients may not have been receiving the appropriate dose</w:t>
      </w:r>
      <w:r w:rsidR="00D2338D" w:rsidRPr="00C3391A">
        <w:t xml:space="preserve">. </w:t>
      </w:r>
      <w:r w:rsidR="00255D35" w:rsidRPr="00C3391A">
        <w:t>This may have underestimated the response rate that would have been observed if all patients had been optimally titrated</w:t>
      </w:r>
      <w:r w:rsidRPr="00C3391A">
        <w:t>;</w:t>
      </w:r>
    </w:p>
    <w:p w:rsidR="001B094D" w:rsidRPr="00C3391A" w:rsidRDefault="001B094D" w:rsidP="00B068D3">
      <w:pPr>
        <w:pStyle w:val="ListParagraph"/>
        <w:widowControl/>
        <w:numPr>
          <w:ilvl w:val="1"/>
          <w:numId w:val="1"/>
        </w:numPr>
      </w:pPr>
      <w:r w:rsidRPr="00C3391A">
        <w:t xml:space="preserve">There was a lack of longer term efficacy and safety data (particularly around prostate dysfunction and cardiovascular health) for testosterone 2% EP gel. This is particularly relevant given that the treatment is indicated for chronic use. </w:t>
      </w:r>
    </w:p>
    <w:p w:rsidR="001B094D" w:rsidRPr="00C9624D" w:rsidRDefault="001B094D" w:rsidP="00F77C40">
      <w:pPr>
        <w:pStyle w:val="Heading2"/>
        <w:spacing w:after="120"/>
      </w:pPr>
      <w:bookmarkStart w:id="23" w:name="_Toc520285943"/>
      <w:bookmarkStart w:id="24" w:name="_Toc523307111"/>
      <w:r w:rsidRPr="00C9624D">
        <w:t>Economic analysis</w:t>
      </w:r>
      <w:bookmarkEnd w:id="23"/>
      <w:bookmarkEnd w:id="24"/>
      <w:r w:rsidRPr="00C9624D">
        <w:t xml:space="preserve"> </w:t>
      </w:r>
    </w:p>
    <w:p w:rsidR="001B094D" w:rsidRDefault="001B094D" w:rsidP="00B068D3">
      <w:pPr>
        <w:pStyle w:val="ListParagraph"/>
        <w:widowControl/>
        <w:numPr>
          <w:ilvl w:val="1"/>
          <w:numId w:val="1"/>
        </w:numPr>
      </w:pPr>
      <w:r w:rsidRPr="00A71F09">
        <w:t>The submission presented a cost-minimisation analysis of testosterone 2% EP gel compared with testosterone 1% gel, based on the non-inferiority claim of these two medicines.</w:t>
      </w:r>
      <w:r>
        <w:rPr>
          <w:i/>
        </w:rPr>
        <w:t xml:space="preserve"> </w:t>
      </w:r>
      <w:r w:rsidRPr="001222FC">
        <w:t xml:space="preserve">The equi-effective doses are estimated as </w:t>
      </w:r>
      <w:r>
        <w:t xml:space="preserve">testosterone 2% EP gel 60.07 mg testosterone/day and testosterone 1% </w:t>
      </w:r>
      <w:r w:rsidRPr="004060FF">
        <w:t>gel 75.78</w:t>
      </w:r>
      <w:r>
        <w:t> </w:t>
      </w:r>
      <w:r w:rsidRPr="004060FF">
        <w:t>mg</w:t>
      </w:r>
      <w:r>
        <w:t xml:space="preserve"> testosterone</w:t>
      </w:r>
      <w:r w:rsidRPr="004060FF">
        <w:t>/day</w:t>
      </w:r>
      <w:r>
        <w:t>, based on the naïve indirect comparison presented above.</w:t>
      </w:r>
      <w:r w:rsidR="002D3173">
        <w:t xml:space="preserve"> </w:t>
      </w:r>
      <w:r w:rsidR="00AC4A88" w:rsidRPr="00C42DDA">
        <w:t xml:space="preserve">The ESC </w:t>
      </w:r>
      <w:r w:rsidR="0048550D" w:rsidRPr="00C42DDA">
        <w:t xml:space="preserve">noted </w:t>
      </w:r>
      <w:r w:rsidR="00AC4A88" w:rsidRPr="00C42DDA">
        <w:t xml:space="preserve">that there was some </w:t>
      </w:r>
      <w:r w:rsidRPr="00C42DDA">
        <w:t>uncertainty</w:t>
      </w:r>
      <w:r w:rsidR="00AC4A88" w:rsidRPr="00C42DDA">
        <w:t xml:space="preserve"> in the estimated equi-effective doses of testosterone 2% EP gel and testosterone 1% gel</w:t>
      </w:r>
      <w:r w:rsidR="0031625C" w:rsidRPr="00C42DDA">
        <w:t xml:space="preserve"> versus the trials</w:t>
      </w:r>
      <w:r w:rsidRPr="00C42DDA">
        <w:t xml:space="preserve">, </w:t>
      </w:r>
      <w:r w:rsidRPr="00C3391A">
        <w:t xml:space="preserve">given the nature of </w:t>
      </w:r>
      <w:r w:rsidR="00622043" w:rsidRPr="00C3391A">
        <w:t xml:space="preserve">the </w:t>
      </w:r>
      <w:r w:rsidRPr="00C3391A">
        <w:t>naïve indirect comparison, the key transitivity concerns across the studies, and the uncertain applicability to the proposed PBS population.</w:t>
      </w:r>
    </w:p>
    <w:p w:rsidR="001B094D" w:rsidRPr="00C3391A" w:rsidRDefault="001B094D" w:rsidP="00B068D3">
      <w:pPr>
        <w:pStyle w:val="ListParagraph"/>
        <w:widowControl/>
        <w:numPr>
          <w:ilvl w:val="1"/>
          <w:numId w:val="1"/>
        </w:numPr>
        <w:rPr>
          <w:szCs w:val="24"/>
        </w:rPr>
      </w:pPr>
      <w:r w:rsidRPr="00C3391A">
        <w:rPr>
          <w:szCs w:val="24"/>
        </w:rPr>
        <w:t xml:space="preserve">There was some uncertainty regarding the dose of testosterone delivered by each actuation of the pump in the </w:t>
      </w:r>
      <w:proofErr w:type="spellStart"/>
      <w:r w:rsidRPr="00C3391A">
        <w:rPr>
          <w:szCs w:val="24"/>
        </w:rPr>
        <w:t>multidose</w:t>
      </w:r>
      <w:proofErr w:type="spellEnd"/>
      <w:r w:rsidRPr="00C3391A">
        <w:rPr>
          <w:szCs w:val="24"/>
        </w:rPr>
        <w:t xml:space="preserve"> bottles use in </w:t>
      </w:r>
      <w:proofErr w:type="spellStart"/>
      <w:r w:rsidRPr="00C3391A">
        <w:rPr>
          <w:szCs w:val="24"/>
        </w:rPr>
        <w:t>Swerdloff</w:t>
      </w:r>
      <w:proofErr w:type="spellEnd"/>
      <w:r w:rsidRPr="00C3391A">
        <w:rPr>
          <w:szCs w:val="24"/>
        </w:rPr>
        <w:t xml:space="preserve"> 2000. The publication</w:t>
      </w:r>
      <w:r w:rsidRPr="00895CE1">
        <w:rPr>
          <w:i/>
          <w:szCs w:val="24"/>
        </w:rPr>
        <w:t xml:space="preserve"> </w:t>
      </w:r>
      <w:r w:rsidRPr="00C3391A">
        <w:rPr>
          <w:szCs w:val="24"/>
        </w:rPr>
        <w:t xml:space="preserve">stated that each actuation delivered 2.27 g of 1% gel (22.7 mg of testosterone per actuation), with patients in the 50 mg/day, 75 mg/day and 100 mg/day groups receiving 2, 3 or 4 actuations of active gel per day. This would mean that patients were actually receiving 45.4 mg, 68.1 mg or 90.8 mg of testosterone per day, respectively (p4501 ‘T gel and patch’, </w:t>
      </w:r>
      <w:proofErr w:type="spellStart"/>
      <w:r w:rsidRPr="00C3391A">
        <w:rPr>
          <w:szCs w:val="24"/>
        </w:rPr>
        <w:t>Swerdloff</w:t>
      </w:r>
      <w:proofErr w:type="spellEnd"/>
      <w:r w:rsidRPr="00C3391A">
        <w:rPr>
          <w:szCs w:val="24"/>
        </w:rPr>
        <w:t xml:space="preserve"> 2000). </w:t>
      </w:r>
      <w:r w:rsidRPr="00C3391A">
        <w:t xml:space="preserve">The revised estimation </w:t>
      </w:r>
      <w:r w:rsidR="001205C9" w:rsidRPr="00C3391A">
        <w:t>of the average daily dose of te</w:t>
      </w:r>
      <w:r w:rsidRPr="00C3391A">
        <w:t xml:space="preserve">stosterone 1% gel, and the results of the cost-minimisation based on this re-estimate have been presented in </w:t>
      </w:r>
      <w:r w:rsidR="00AB4F41" w:rsidRPr="00C3391A">
        <w:t>Table 6</w:t>
      </w:r>
      <w:r w:rsidRPr="00C3391A">
        <w:t xml:space="preserve"> and </w:t>
      </w:r>
      <w:r w:rsidR="00AB4F41" w:rsidRPr="00C3391A">
        <w:t>Table 7</w:t>
      </w:r>
      <w:r w:rsidRPr="00C3391A">
        <w:t>, respectively.</w:t>
      </w:r>
      <w:r w:rsidR="00211C96">
        <w:t xml:space="preserve"> The P</w:t>
      </w:r>
      <w:r w:rsidR="00F30C20">
        <w:t xml:space="preserve">re-PBAC </w:t>
      </w:r>
      <w:r w:rsidR="00211C96">
        <w:t>R</w:t>
      </w:r>
      <w:r w:rsidR="00F30C20">
        <w:t xml:space="preserve">esponse noted that the 22.7 mg testosterone per actuation is greater than 90% of the labelled dose (25 mg) which is within the specifications required for gel products per the ‘Uniformity of Dosage Units’. </w:t>
      </w:r>
    </w:p>
    <w:p w:rsidR="002F1B5F" w:rsidRPr="009C664F" w:rsidRDefault="001B094D" w:rsidP="001B094D">
      <w:pPr>
        <w:pStyle w:val="ListParagraph"/>
        <w:widowControl/>
        <w:numPr>
          <w:ilvl w:val="1"/>
          <w:numId w:val="1"/>
        </w:numPr>
        <w:rPr>
          <w:rStyle w:val="CommentReference"/>
          <w:rFonts w:ascii="Calibri" w:hAnsi="Calibri"/>
          <w:b w:val="0"/>
          <w:sz w:val="24"/>
          <w:szCs w:val="24"/>
        </w:rPr>
      </w:pPr>
      <w:r w:rsidRPr="00C3391A">
        <w:rPr>
          <w:szCs w:val="24"/>
        </w:rPr>
        <w:t xml:space="preserve">The study populations differed considerably in regard to the distribution of underlying causes of androgen deficiency. The submission did not present any evidence assessing </w:t>
      </w:r>
      <w:r w:rsidRPr="00C3391A">
        <w:rPr>
          <w:szCs w:val="24"/>
        </w:rPr>
        <w:lastRenderedPageBreak/>
        <w:t>whether the comparative effectiveness and equi-effective doses were similar across these subgroups, or whether they were applicable to the proposed patient populations that were not included in the studies.</w:t>
      </w:r>
      <w:bookmarkStart w:id="25" w:name="_Ref523227948"/>
    </w:p>
    <w:p w:rsidR="001B094D" w:rsidRPr="00157245" w:rsidRDefault="001B094D" w:rsidP="001B094D">
      <w:pPr>
        <w:pStyle w:val="Caption"/>
        <w:rPr>
          <w:rStyle w:val="CommentReference"/>
          <w:b/>
        </w:rPr>
      </w:pPr>
      <w:r w:rsidRPr="00157245">
        <w:rPr>
          <w:rStyle w:val="CommentReference"/>
          <w:b/>
        </w:rPr>
        <w:t xml:space="preserve">Table </w:t>
      </w:r>
      <w:r w:rsidR="00AB4F41">
        <w:rPr>
          <w:rStyle w:val="CommentReference"/>
          <w:b/>
          <w:noProof/>
        </w:rPr>
        <w:t>6</w:t>
      </w:r>
      <w:bookmarkEnd w:id="25"/>
      <w:r w:rsidRPr="00157245">
        <w:rPr>
          <w:rStyle w:val="CommentReference"/>
          <w:b/>
        </w:rPr>
        <w:t xml:space="preserve">: </w:t>
      </w:r>
      <w:r>
        <w:rPr>
          <w:rStyle w:val="CommentReference"/>
          <w:b/>
        </w:rPr>
        <w:t>Eq</w:t>
      </w:r>
      <w:r w:rsidRPr="00157245">
        <w:rPr>
          <w:rStyle w:val="CommentReference"/>
          <w:b/>
        </w:rPr>
        <w:t>ui-effective doses of testosterone 2% EP gel and testosterone 1% gel.</w:t>
      </w:r>
    </w:p>
    <w:tbl>
      <w:tblPr>
        <w:tblStyle w:val="Summarybox12"/>
        <w:tblW w:w="0" w:type="auto"/>
        <w:tblInd w:w="108" w:type="dxa"/>
        <w:tblLook w:val="04A0" w:firstRow="1" w:lastRow="0" w:firstColumn="1" w:lastColumn="0" w:noHBand="0" w:noVBand="1"/>
        <w:tblCaption w:val="Equi-effective doses of testosterone 2% EP gel and testosterone 1% gel"/>
      </w:tblPr>
      <w:tblGrid>
        <w:gridCol w:w="1399"/>
        <w:gridCol w:w="1217"/>
        <w:gridCol w:w="1607"/>
        <w:gridCol w:w="1107"/>
        <w:gridCol w:w="22"/>
        <w:gridCol w:w="1087"/>
        <w:gridCol w:w="43"/>
        <w:gridCol w:w="1066"/>
        <w:gridCol w:w="1361"/>
      </w:tblGrid>
      <w:tr w:rsidR="001B094D" w:rsidRPr="00281EA3" w:rsidTr="004D4F36">
        <w:trPr>
          <w:tblHeader/>
        </w:trPr>
        <w:tc>
          <w:tcPr>
            <w:tcW w:w="1418" w:type="dxa"/>
            <w:vMerge w:val="restart"/>
            <w:shd w:val="clear" w:color="auto" w:fill="FFFFFF" w:themeFill="background1"/>
            <w:vAlign w:val="center"/>
          </w:tcPr>
          <w:p w:rsidR="001B094D" w:rsidRPr="0029613D" w:rsidRDefault="00737C8E" w:rsidP="00A7369A">
            <w:pPr>
              <w:widowControl/>
              <w:jc w:val="left"/>
              <w:rPr>
                <w:rFonts w:ascii="Arial Narrow" w:hAnsi="Arial Narrow" w:cstheme="minorBidi"/>
                <w:b/>
                <w:sz w:val="20"/>
                <w:szCs w:val="20"/>
              </w:rPr>
            </w:pPr>
            <w:r w:rsidRPr="0029613D">
              <w:rPr>
                <w:rFonts w:ascii="Arial Narrow" w:hAnsi="Arial Narrow" w:cstheme="minorBidi"/>
                <w:b/>
                <w:sz w:val="20"/>
                <w:szCs w:val="20"/>
              </w:rPr>
              <w:t>Time point</w:t>
            </w:r>
          </w:p>
        </w:tc>
        <w:tc>
          <w:tcPr>
            <w:tcW w:w="1226" w:type="dxa"/>
            <w:vMerge w:val="restart"/>
            <w:shd w:val="clear" w:color="auto" w:fill="FFFFFF" w:themeFill="background1"/>
            <w:vAlign w:val="center"/>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Response, n</w:t>
            </w:r>
          </w:p>
        </w:tc>
        <w:tc>
          <w:tcPr>
            <w:tcW w:w="1638" w:type="dxa"/>
            <w:vMerge w:val="restart"/>
            <w:shd w:val="clear" w:color="auto" w:fill="FFFFFF" w:themeFill="background1"/>
            <w:vAlign w:val="center"/>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 xml:space="preserve">Response, </w:t>
            </w:r>
          </w:p>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 (95% CI)</w:t>
            </w:r>
          </w:p>
        </w:tc>
        <w:tc>
          <w:tcPr>
            <w:tcW w:w="3402" w:type="dxa"/>
            <w:gridSpan w:val="5"/>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Patients on each dose, n (%)</w:t>
            </w:r>
          </w:p>
        </w:tc>
        <w:tc>
          <w:tcPr>
            <w:tcW w:w="1388" w:type="dxa"/>
            <w:vMerge w:val="restart"/>
            <w:shd w:val="clear" w:color="auto" w:fill="FFFFFF" w:themeFill="background1"/>
            <w:vAlign w:val="center"/>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Average dose (mg)</w:t>
            </w:r>
          </w:p>
        </w:tc>
      </w:tr>
      <w:tr w:rsidR="001B094D" w:rsidRPr="00281EA3" w:rsidTr="004D4F36">
        <w:trPr>
          <w:tblHeader/>
        </w:trPr>
        <w:tc>
          <w:tcPr>
            <w:tcW w:w="1418" w:type="dxa"/>
            <w:vMerge/>
          </w:tcPr>
          <w:p w:rsidR="001B094D" w:rsidRPr="0029613D" w:rsidRDefault="001B094D" w:rsidP="00A7369A">
            <w:pPr>
              <w:widowControl/>
              <w:rPr>
                <w:rFonts w:ascii="Arial Narrow" w:hAnsi="Arial Narrow" w:cstheme="minorBidi"/>
                <w:sz w:val="20"/>
                <w:szCs w:val="20"/>
              </w:rPr>
            </w:pPr>
          </w:p>
        </w:tc>
        <w:tc>
          <w:tcPr>
            <w:tcW w:w="1226" w:type="dxa"/>
            <w:vMerge/>
          </w:tcPr>
          <w:p w:rsidR="001B094D" w:rsidRPr="0029613D" w:rsidRDefault="001B094D" w:rsidP="00A7369A">
            <w:pPr>
              <w:widowControl/>
              <w:jc w:val="center"/>
              <w:rPr>
                <w:rFonts w:ascii="Arial Narrow" w:hAnsi="Arial Narrow" w:cstheme="minorBidi"/>
                <w:sz w:val="20"/>
                <w:szCs w:val="20"/>
              </w:rPr>
            </w:pPr>
          </w:p>
        </w:tc>
        <w:tc>
          <w:tcPr>
            <w:tcW w:w="1638" w:type="dxa"/>
            <w:vMerge/>
            <w:shd w:val="clear" w:color="auto" w:fill="F2F2F2" w:themeFill="background1" w:themeFillShade="F2"/>
          </w:tcPr>
          <w:p w:rsidR="001B094D" w:rsidRPr="0029613D" w:rsidRDefault="001B094D" w:rsidP="00A7369A">
            <w:pPr>
              <w:widowControl/>
              <w:jc w:val="center"/>
              <w:rPr>
                <w:rFonts w:ascii="Arial Narrow" w:hAnsi="Arial Narrow" w:cstheme="minorBidi"/>
                <w:b/>
                <w:sz w:val="20"/>
                <w:szCs w:val="20"/>
              </w:rPr>
            </w:pPr>
          </w:p>
        </w:tc>
        <w:tc>
          <w:tcPr>
            <w:tcW w:w="1134" w:type="dxa"/>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23 mg</w:t>
            </w:r>
          </w:p>
        </w:tc>
        <w:tc>
          <w:tcPr>
            <w:tcW w:w="1134" w:type="dxa"/>
            <w:gridSpan w:val="2"/>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46 mg</w:t>
            </w:r>
          </w:p>
        </w:tc>
        <w:tc>
          <w:tcPr>
            <w:tcW w:w="1134" w:type="dxa"/>
            <w:gridSpan w:val="2"/>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69 mg</w:t>
            </w:r>
          </w:p>
        </w:tc>
        <w:tc>
          <w:tcPr>
            <w:tcW w:w="1388" w:type="dxa"/>
            <w:vMerge/>
          </w:tcPr>
          <w:p w:rsidR="001B094D" w:rsidRPr="0029613D" w:rsidRDefault="001B094D" w:rsidP="00A7369A">
            <w:pPr>
              <w:widowControl/>
              <w:jc w:val="center"/>
              <w:rPr>
                <w:rFonts w:ascii="Arial Narrow" w:hAnsi="Arial Narrow" w:cstheme="minorBidi"/>
                <w:sz w:val="20"/>
                <w:szCs w:val="20"/>
              </w:rPr>
            </w:pPr>
          </w:p>
        </w:tc>
      </w:tr>
      <w:tr w:rsidR="001B094D" w:rsidRPr="00281EA3" w:rsidTr="004D4F36">
        <w:tc>
          <w:tcPr>
            <w:tcW w:w="9072" w:type="dxa"/>
            <w:gridSpan w:val="9"/>
          </w:tcPr>
          <w:p w:rsidR="001B094D" w:rsidRPr="0029613D" w:rsidRDefault="001B094D" w:rsidP="00A7369A">
            <w:pPr>
              <w:widowControl/>
              <w:jc w:val="left"/>
              <w:rPr>
                <w:rFonts w:ascii="Arial Narrow" w:hAnsi="Arial Narrow" w:cstheme="minorBidi"/>
                <w:b/>
                <w:sz w:val="20"/>
                <w:szCs w:val="20"/>
              </w:rPr>
            </w:pPr>
            <w:r w:rsidRPr="0029613D">
              <w:rPr>
                <w:rFonts w:ascii="Arial Narrow" w:hAnsi="Arial Narrow" w:cstheme="minorBidi"/>
                <w:b/>
                <w:sz w:val="20"/>
                <w:szCs w:val="20"/>
              </w:rPr>
              <w:t>Study 127</w:t>
            </w:r>
          </w:p>
        </w:tc>
      </w:tr>
      <w:tr w:rsidR="001B094D" w:rsidRPr="00281EA3" w:rsidTr="004D4F36">
        <w:tc>
          <w:tcPr>
            <w:tcW w:w="1418" w:type="dxa"/>
            <w:vAlign w:val="center"/>
          </w:tcPr>
          <w:p w:rsidR="001B094D" w:rsidRPr="0029613D" w:rsidRDefault="001B094D" w:rsidP="004D4F36">
            <w:pPr>
              <w:widowControl/>
              <w:jc w:val="left"/>
              <w:rPr>
                <w:rFonts w:ascii="Arial Narrow" w:hAnsi="Arial Narrow" w:cstheme="minorBidi"/>
                <w:b/>
                <w:sz w:val="20"/>
                <w:szCs w:val="20"/>
              </w:rPr>
            </w:pPr>
            <w:r w:rsidRPr="0029613D">
              <w:rPr>
                <w:rFonts w:ascii="Arial Narrow" w:hAnsi="Arial Narrow" w:cstheme="minorBidi"/>
                <w:b/>
                <w:sz w:val="20"/>
                <w:szCs w:val="20"/>
              </w:rPr>
              <w:t>PP-</w:t>
            </w:r>
            <w:r w:rsidR="004D4F36">
              <w:rPr>
                <w:rFonts w:ascii="Arial Narrow" w:hAnsi="Arial Narrow" w:cstheme="minorBidi"/>
                <w:b/>
                <w:sz w:val="20"/>
                <w:szCs w:val="20"/>
              </w:rPr>
              <w:t xml:space="preserve"> c</w:t>
            </w:r>
            <w:r w:rsidRPr="0029613D">
              <w:rPr>
                <w:rFonts w:ascii="Arial Narrow" w:hAnsi="Arial Narrow" w:cstheme="minorBidi"/>
                <w:b/>
                <w:sz w:val="20"/>
                <w:szCs w:val="20"/>
              </w:rPr>
              <w:t>ompleter</w:t>
            </w:r>
            <w:r w:rsidRPr="0082037A">
              <w:rPr>
                <w:rFonts w:ascii="Arial Narrow" w:hAnsi="Arial Narrow" w:cstheme="minorBidi"/>
                <w:b/>
                <w:sz w:val="20"/>
                <w:szCs w:val="20"/>
                <w:vertAlign w:val="superscript"/>
              </w:rPr>
              <w:t>§</w:t>
            </w:r>
          </w:p>
        </w:tc>
        <w:tc>
          <w:tcPr>
            <w:tcW w:w="1226" w:type="dxa"/>
          </w:tcPr>
          <w:p w:rsidR="001B094D" w:rsidRPr="0029613D" w:rsidRDefault="001B094D" w:rsidP="00A7369A">
            <w:pPr>
              <w:widowControl/>
              <w:jc w:val="center"/>
              <w:rPr>
                <w:rFonts w:ascii="Arial Narrow" w:hAnsi="Arial Narrow" w:cstheme="minorBidi"/>
                <w:sz w:val="20"/>
                <w:szCs w:val="20"/>
              </w:rPr>
            </w:pPr>
          </w:p>
        </w:tc>
        <w:tc>
          <w:tcPr>
            <w:tcW w:w="1638" w:type="dxa"/>
          </w:tcPr>
          <w:p w:rsidR="001B094D" w:rsidRPr="0029613D" w:rsidRDefault="001B094D" w:rsidP="00A7369A">
            <w:pPr>
              <w:widowControl/>
              <w:jc w:val="center"/>
              <w:rPr>
                <w:rFonts w:ascii="Arial Narrow" w:hAnsi="Arial Narrow" w:cstheme="minorBidi"/>
                <w:sz w:val="20"/>
                <w:szCs w:val="20"/>
              </w:rPr>
            </w:pPr>
          </w:p>
        </w:tc>
        <w:tc>
          <w:tcPr>
            <w:tcW w:w="1156" w:type="dxa"/>
            <w:gridSpan w:val="2"/>
            <w:vAlign w:val="center"/>
          </w:tcPr>
          <w:p w:rsidR="001B094D" w:rsidRPr="0029613D" w:rsidRDefault="001B094D" w:rsidP="00A7369A">
            <w:pPr>
              <w:widowControl/>
              <w:jc w:val="center"/>
              <w:rPr>
                <w:rFonts w:ascii="Arial Narrow" w:hAnsi="Arial Narrow" w:cstheme="minorBidi"/>
                <w:sz w:val="20"/>
                <w:szCs w:val="20"/>
              </w:rPr>
            </w:pPr>
          </w:p>
        </w:tc>
        <w:tc>
          <w:tcPr>
            <w:tcW w:w="1157" w:type="dxa"/>
            <w:gridSpan w:val="2"/>
            <w:vAlign w:val="center"/>
          </w:tcPr>
          <w:p w:rsidR="001B094D" w:rsidRPr="0029613D" w:rsidRDefault="001B094D" w:rsidP="00A7369A">
            <w:pPr>
              <w:widowControl/>
              <w:jc w:val="center"/>
              <w:rPr>
                <w:rFonts w:ascii="Arial Narrow" w:hAnsi="Arial Narrow" w:cstheme="minorBidi"/>
                <w:sz w:val="20"/>
                <w:szCs w:val="20"/>
              </w:rPr>
            </w:pPr>
          </w:p>
        </w:tc>
        <w:tc>
          <w:tcPr>
            <w:tcW w:w="1089" w:type="dxa"/>
            <w:vAlign w:val="center"/>
          </w:tcPr>
          <w:p w:rsidR="001B094D" w:rsidRPr="0029613D" w:rsidRDefault="001B094D" w:rsidP="00A7369A">
            <w:pPr>
              <w:widowControl/>
              <w:jc w:val="center"/>
              <w:rPr>
                <w:rFonts w:ascii="Arial Narrow" w:hAnsi="Arial Narrow" w:cstheme="minorBidi"/>
                <w:sz w:val="20"/>
                <w:szCs w:val="20"/>
              </w:rPr>
            </w:pPr>
          </w:p>
        </w:tc>
        <w:tc>
          <w:tcPr>
            <w:tcW w:w="1388" w:type="dxa"/>
            <w:vAlign w:val="center"/>
          </w:tcPr>
          <w:p w:rsidR="001B094D" w:rsidRPr="0029613D" w:rsidRDefault="001B094D" w:rsidP="00A7369A">
            <w:pPr>
              <w:widowControl/>
              <w:jc w:val="center"/>
              <w:rPr>
                <w:rFonts w:ascii="Arial Narrow" w:hAnsi="Arial Narrow" w:cstheme="minorBidi"/>
                <w:sz w:val="20"/>
                <w:szCs w:val="20"/>
              </w:rPr>
            </w:pPr>
          </w:p>
        </w:tc>
      </w:tr>
      <w:tr w:rsidR="001B094D" w:rsidRPr="00281EA3" w:rsidTr="004D4F36">
        <w:tc>
          <w:tcPr>
            <w:tcW w:w="1418" w:type="dxa"/>
          </w:tcPr>
          <w:p w:rsidR="001B094D" w:rsidRPr="0029613D" w:rsidRDefault="001B094D" w:rsidP="00A7369A">
            <w:pPr>
              <w:widowControl/>
              <w:jc w:val="left"/>
              <w:rPr>
                <w:rFonts w:ascii="Arial Narrow" w:hAnsi="Arial Narrow" w:cstheme="minorBidi"/>
                <w:sz w:val="20"/>
                <w:szCs w:val="20"/>
              </w:rPr>
            </w:pPr>
            <w:r w:rsidRPr="0029613D">
              <w:rPr>
                <w:rFonts w:ascii="Arial Narrow" w:hAnsi="Arial Narrow" w:cstheme="minorBidi"/>
                <w:sz w:val="20"/>
                <w:szCs w:val="20"/>
              </w:rPr>
              <w:t>Day 90</w:t>
            </w:r>
          </w:p>
        </w:tc>
        <w:tc>
          <w:tcPr>
            <w:tcW w:w="1226" w:type="dxa"/>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N = 134</w:t>
            </w:r>
          </w:p>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111</w:t>
            </w:r>
          </w:p>
        </w:tc>
        <w:tc>
          <w:tcPr>
            <w:tcW w:w="1638" w:type="dxa"/>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82.8</w:t>
            </w:r>
          </w:p>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 xml:space="preserve"> (76.5, 89.2)</w:t>
            </w:r>
          </w:p>
        </w:tc>
        <w:tc>
          <w:tcPr>
            <w:tcW w:w="1156" w:type="dxa"/>
            <w:gridSpan w:val="2"/>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5 (3.7)</w:t>
            </w:r>
          </w:p>
        </w:tc>
        <w:tc>
          <w:tcPr>
            <w:tcW w:w="1157" w:type="dxa"/>
            <w:gridSpan w:val="2"/>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42 (31.3)</w:t>
            </w:r>
          </w:p>
        </w:tc>
        <w:tc>
          <w:tcPr>
            <w:tcW w:w="1089" w:type="dxa"/>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87 (64.9)</w:t>
            </w:r>
          </w:p>
        </w:tc>
        <w:tc>
          <w:tcPr>
            <w:tcW w:w="1388" w:type="dxa"/>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60.07</w:t>
            </w:r>
          </w:p>
        </w:tc>
      </w:tr>
      <w:tr w:rsidR="001B094D" w:rsidRPr="00281EA3" w:rsidTr="004D4F36">
        <w:tc>
          <w:tcPr>
            <w:tcW w:w="9072" w:type="dxa"/>
            <w:gridSpan w:val="9"/>
          </w:tcPr>
          <w:p w:rsidR="001B094D" w:rsidRPr="0029613D" w:rsidRDefault="001B094D" w:rsidP="00A7369A">
            <w:pPr>
              <w:widowControl/>
              <w:jc w:val="left"/>
              <w:rPr>
                <w:rFonts w:ascii="Arial Narrow" w:hAnsi="Arial Narrow" w:cstheme="minorBidi"/>
                <w:b/>
                <w:sz w:val="20"/>
                <w:szCs w:val="20"/>
              </w:rPr>
            </w:pPr>
            <w:proofErr w:type="spellStart"/>
            <w:r w:rsidRPr="0029613D">
              <w:rPr>
                <w:rFonts w:ascii="Arial Narrow" w:hAnsi="Arial Narrow" w:cstheme="minorBidi"/>
                <w:b/>
                <w:sz w:val="20"/>
                <w:szCs w:val="20"/>
              </w:rPr>
              <w:t>Swerdloff</w:t>
            </w:r>
            <w:proofErr w:type="spellEnd"/>
            <w:r w:rsidRPr="0029613D">
              <w:rPr>
                <w:rFonts w:ascii="Arial Narrow" w:hAnsi="Arial Narrow" w:cstheme="minorBidi"/>
                <w:b/>
                <w:sz w:val="20"/>
                <w:szCs w:val="20"/>
              </w:rPr>
              <w:t xml:space="preserve"> 2000 </w:t>
            </w:r>
            <w:r w:rsidRPr="00945068">
              <w:rPr>
                <w:rFonts w:ascii="Arial Narrow" w:hAnsi="Arial Narrow" w:cstheme="minorBidi"/>
                <w:b/>
                <w:noProof/>
                <w:sz w:val="20"/>
                <w:szCs w:val="20"/>
                <w:vertAlign w:val="superscript"/>
              </w:rPr>
              <w:t>5</w:t>
            </w:r>
            <w:r w:rsidRPr="0029613D">
              <w:rPr>
                <w:rFonts w:ascii="Arial Narrow" w:hAnsi="Arial Narrow" w:cstheme="minorBidi"/>
                <w:b/>
                <w:sz w:val="20"/>
                <w:szCs w:val="20"/>
              </w:rPr>
              <w:t xml:space="preserve"> as provided in the submission</w:t>
            </w:r>
          </w:p>
        </w:tc>
      </w:tr>
      <w:tr w:rsidR="001B094D" w:rsidRPr="00281EA3" w:rsidTr="004D4F36">
        <w:trPr>
          <w:trHeight w:val="178"/>
        </w:trPr>
        <w:tc>
          <w:tcPr>
            <w:tcW w:w="1418" w:type="dxa"/>
            <w:vMerge w:val="restart"/>
          </w:tcPr>
          <w:p w:rsidR="001B094D" w:rsidRPr="0029613D" w:rsidRDefault="001B094D" w:rsidP="00A7369A">
            <w:pPr>
              <w:widowControl/>
              <w:jc w:val="left"/>
              <w:rPr>
                <w:rFonts w:ascii="Arial Narrow" w:hAnsi="Arial Narrow" w:cstheme="minorBidi"/>
                <w:sz w:val="20"/>
                <w:szCs w:val="20"/>
              </w:rPr>
            </w:pPr>
            <w:r w:rsidRPr="0029613D">
              <w:rPr>
                <w:rFonts w:ascii="Arial Narrow" w:hAnsi="Arial Narrow" w:cstheme="minorBidi"/>
                <w:sz w:val="20"/>
                <w:szCs w:val="20"/>
              </w:rPr>
              <w:t>Day 180</w:t>
            </w:r>
          </w:p>
        </w:tc>
        <w:tc>
          <w:tcPr>
            <w:tcW w:w="1226" w:type="dxa"/>
            <w:vMerge w:val="restart"/>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 xml:space="preserve">N = 129 </w:t>
            </w:r>
          </w:p>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112</w:t>
            </w:r>
          </w:p>
        </w:tc>
        <w:tc>
          <w:tcPr>
            <w:tcW w:w="1638" w:type="dxa"/>
            <w:vMerge w:val="restart"/>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 xml:space="preserve">87 </w:t>
            </w:r>
          </w:p>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(NR, NR)</w:t>
            </w:r>
          </w:p>
        </w:tc>
        <w:tc>
          <w:tcPr>
            <w:tcW w:w="1156" w:type="dxa"/>
            <w:gridSpan w:val="2"/>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50 mg</w:t>
            </w:r>
          </w:p>
        </w:tc>
        <w:tc>
          <w:tcPr>
            <w:tcW w:w="1157" w:type="dxa"/>
            <w:gridSpan w:val="2"/>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75 mg</w:t>
            </w:r>
          </w:p>
        </w:tc>
        <w:tc>
          <w:tcPr>
            <w:tcW w:w="1089" w:type="dxa"/>
            <w:shd w:val="clear" w:color="auto" w:fill="FFFFFF" w:themeFill="background1"/>
          </w:tcPr>
          <w:p w:rsidR="001B094D" w:rsidRPr="0029613D" w:rsidRDefault="001B094D" w:rsidP="00A7369A">
            <w:pPr>
              <w:widowControl/>
              <w:jc w:val="center"/>
              <w:rPr>
                <w:rFonts w:ascii="Arial Narrow" w:hAnsi="Arial Narrow" w:cstheme="minorBidi"/>
                <w:b/>
                <w:sz w:val="20"/>
                <w:szCs w:val="20"/>
              </w:rPr>
            </w:pPr>
            <w:r w:rsidRPr="0029613D">
              <w:rPr>
                <w:rFonts w:ascii="Arial Narrow" w:hAnsi="Arial Narrow" w:cstheme="minorBidi"/>
                <w:b/>
                <w:sz w:val="20"/>
                <w:szCs w:val="20"/>
              </w:rPr>
              <w:t>100 mg</w:t>
            </w:r>
          </w:p>
        </w:tc>
        <w:tc>
          <w:tcPr>
            <w:tcW w:w="1388" w:type="dxa"/>
            <w:vMerge w:val="restart"/>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75.78</w:t>
            </w:r>
          </w:p>
        </w:tc>
      </w:tr>
      <w:tr w:rsidR="001B094D" w:rsidRPr="00281EA3" w:rsidTr="004D4F36">
        <w:trPr>
          <w:trHeight w:val="177"/>
        </w:trPr>
        <w:tc>
          <w:tcPr>
            <w:tcW w:w="1418" w:type="dxa"/>
            <w:vMerge/>
          </w:tcPr>
          <w:p w:rsidR="001B094D" w:rsidRPr="0029613D" w:rsidRDefault="001B094D" w:rsidP="00A7369A">
            <w:pPr>
              <w:widowControl/>
              <w:jc w:val="left"/>
              <w:rPr>
                <w:rFonts w:ascii="Arial Narrow" w:hAnsi="Arial Narrow" w:cstheme="minorBidi"/>
                <w:sz w:val="20"/>
                <w:szCs w:val="20"/>
              </w:rPr>
            </w:pPr>
          </w:p>
        </w:tc>
        <w:tc>
          <w:tcPr>
            <w:tcW w:w="1226" w:type="dxa"/>
            <w:vMerge/>
          </w:tcPr>
          <w:p w:rsidR="001B094D" w:rsidRPr="0029613D" w:rsidRDefault="001B094D" w:rsidP="00A7369A">
            <w:pPr>
              <w:widowControl/>
              <w:jc w:val="center"/>
              <w:rPr>
                <w:rFonts w:ascii="Arial Narrow" w:hAnsi="Arial Narrow" w:cstheme="minorBidi"/>
                <w:sz w:val="20"/>
                <w:szCs w:val="20"/>
              </w:rPr>
            </w:pPr>
          </w:p>
        </w:tc>
        <w:tc>
          <w:tcPr>
            <w:tcW w:w="1638" w:type="dxa"/>
            <w:vMerge/>
          </w:tcPr>
          <w:p w:rsidR="001B094D" w:rsidRPr="0029613D" w:rsidRDefault="001B094D" w:rsidP="00A7369A">
            <w:pPr>
              <w:widowControl/>
              <w:jc w:val="center"/>
              <w:rPr>
                <w:rFonts w:ascii="Arial Narrow" w:hAnsi="Arial Narrow" w:cstheme="minorBidi"/>
                <w:sz w:val="20"/>
                <w:szCs w:val="20"/>
              </w:rPr>
            </w:pPr>
          </w:p>
        </w:tc>
        <w:tc>
          <w:tcPr>
            <w:tcW w:w="1156" w:type="dxa"/>
            <w:gridSpan w:val="2"/>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44 (34)</w:t>
            </w:r>
          </w:p>
        </w:tc>
        <w:tc>
          <w:tcPr>
            <w:tcW w:w="1157" w:type="dxa"/>
            <w:gridSpan w:val="2"/>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37 (29)</w:t>
            </w:r>
          </w:p>
        </w:tc>
        <w:tc>
          <w:tcPr>
            <w:tcW w:w="1089" w:type="dxa"/>
          </w:tcPr>
          <w:p w:rsidR="001B094D" w:rsidRPr="0029613D" w:rsidRDefault="001B094D" w:rsidP="00A7369A">
            <w:pPr>
              <w:widowControl/>
              <w:jc w:val="center"/>
              <w:rPr>
                <w:rFonts w:ascii="Arial Narrow" w:hAnsi="Arial Narrow" w:cstheme="minorBidi"/>
                <w:sz w:val="20"/>
                <w:szCs w:val="20"/>
              </w:rPr>
            </w:pPr>
            <w:r w:rsidRPr="0029613D">
              <w:rPr>
                <w:rFonts w:ascii="Arial Narrow" w:hAnsi="Arial Narrow" w:cstheme="minorBidi"/>
                <w:sz w:val="20"/>
                <w:szCs w:val="20"/>
              </w:rPr>
              <w:t>48 (37)</w:t>
            </w:r>
          </w:p>
        </w:tc>
        <w:tc>
          <w:tcPr>
            <w:tcW w:w="1388" w:type="dxa"/>
            <w:vMerge/>
          </w:tcPr>
          <w:p w:rsidR="001B094D" w:rsidRPr="0029613D" w:rsidRDefault="001B094D" w:rsidP="00A7369A">
            <w:pPr>
              <w:widowControl/>
              <w:jc w:val="center"/>
              <w:rPr>
                <w:rFonts w:ascii="Arial Narrow" w:hAnsi="Arial Narrow" w:cstheme="minorBidi"/>
                <w:sz w:val="20"/>
                <w:szCs w:val="20"/>
              </w:rPr>
            </w:pPr>
          </w:p>
        </w:tc>
      </w:tr>
      <w:tr w:rsidR="001B094D" w:rsidRPr="00FE747C" w:rsidTr="004D4F36">
        <w:trPr>
          <w:trHeight w:val="177"/>
        </w:trPr>
        <w:tc>
          <w:tcPr>
            <w:tcW w:w="9072" w:type="dxa"/>
            <w:gridSpan w:val="9"/>
            <w:shd w:val="clear" w:color="auto" w:fill="auto"/>
          </w:tcPr>
          <w:p w:rsidR="001B094D" w:rsidRPr="00940072" w:rsidRDefault="001B094D" w:rsidP="00A7369A">
            <w:pPr>
              <w:widowControl/>
              <w:jc w:val="left"/>
              <w:rPr>
                <w:rFonts w:ascii="Arial Narrow" w:hAnsi="Arial Narrow" w:cstheme="minorBidi"/>
                <w:sz w:val="20"/>
                <w:szCs w:val="20"/>
              </w:rPr>
            </w:pPr>
            <w:proofErr w:type="spellStart"/>
            <w:r w:rsidRPr="00940072">
              <w:rPr>
                <w:rFonts w:ascii="Arial Narrow" w:hAnsi="Arial Narrow" w:cstheme="minorBidi"/>
                <w:b/>
                <w:sz w:val="20"/>
                <w:szCs w:val="20"/>
              </w:rPr>
              <w:t>Swerdloff</w:t>
            </w:r>
            <w:proofErr w:type="spellEnd"/>
            <w:r w:rsidRPr="00940072">
              <w:rPr>
                <w:rFonts w:ascii="Arial Narrow" w:hAnsi="Arial Narrow" w:cstheme="minorBidi"/>
                <w:b/>
                <w:sz w:val="20"/>
                <w:szCs w:val="20"/>
              </w:rPr>
              <w:t xml:space="preserve"> 2000 </w:t>
            </w:r>
            <w:r w:rsidRPr="00940072">
              <w:rPr>
                <w:rFonts w:ascii="Arial Narrow" w:hAnsi="Arial Narrow" w:cstheme="minorBidi"/>
                <w:b/>
                <w:noProof/>
                <w:sz w:val="20"/>
                <w:szCs w:val="20"/>
                <w:vertAlign w:val="superscript"/>
              </w:rPr>
              <w:t>5</w:t>
            </w:r>
            <w:r w:rsidRPr="00940072">
              <w:rPr>
                <w:rFonts w:ascii="Arial Narrow" w:hAnsi="Arial Narrow" w:cstheme="minorBidi"/>
                <w:b/>
                <w:sz w:val="20"/>
                <w:szCs w:val="20"/>
              </w:rPr>
              <w:t xml:space="preserve"> Revised^</w:t>
            </w:r>
          </w:p>
        </w:tc>
      </w:tr>
      <w:tr w:rsidR="001B094D" w:rsidRPr="00FE747C" w:rsidTr="004D4F36">
        <w:trPr>
          <w:trHeight w:val="177"/>
        </w:trPr>
        <w:tc>
          <w:tcPr>
            <w:tcW w:w="1418" w:type="dxa"/>
            <w:vMerge w:val="restart"/>
            <w:shd w:val="clear" w:color="auto" w:fill="auto"/>
          </w:tcPr>
          <w:p w:rsidR="001B094D" w:rsidRPr="00940072" w:rsidRDefault="001B094D" w:rsidP="00A7369A">
            <w:pPr>
              <w:widowControl/>
              <w:jc w:val="left"/>
              <w:rPr>
                <w:rFonts w:ascii="Arial Narrow" w:hAnsi="Arial Narrow" w:cstheme="minorBidi"/>
                <w:sz w:val="20"/>
                <w:szCs w:val="20"/>
              </w:rPr>
            </w:pPr>
            <w:r w:rsidRPr="00940072">
              <w:rPr>
                <w:rFonts w:ascii="Arial Narrow" w:hAnsi="Arial Narrow" w:cstheme="minorBidi"/>
                <w:sz w:val="20"/>
                <w:szCs w:val="20"/>
              </w:rPr>
              <w:t>Day 180</w:t>
            </w:r>
          </w:p>
        </w:tc>
        <w:tc>
          <w:tcPr>
            <w:tcW w:w="1226" w:type="dxa"/>
            <w:vMerge w:val="restart"/>
            <w:shd w:val="clear" w:color="auto" w:fill="auto"/>
          </w:tcPr>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sz w:val="20"/>
                <w:szCs w:val="20"/>
              </w:rPr>
              <w:t xml:space="preserve">N = 129 </w:t>
            </w:r>
          </w:p>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sz w:val="20"/>
                <w:szCs w:val="20"/>
              </w:rPr>
              <w:t>112</w:t>
            </w:r>
          </w:p>
        </w:tc>
        <w:tc>
          <w:tcPr>
            <w:tcW w:w="1638" w:type="dxa"/>
            <w:vMerge w:val="restart"/>
            <w:shd w:val="clear" w:color="auto" w:fill="auto"/>
          </w:tcPr>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sz w:val="20"/>
                <w:szCs w:val="20"/>
              </w:rPr>
              <w:t xml:space="preserve">87 </w:t>
            </w:r>
          </w:p>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sz w:val="20"/>
                <w:szCs w:val="20"/>
              </w:rPr>
              <w:t>(NR, NR)</w:t>
            </w:r>
          </w:p>
        </w:tc>
        <w:tc>
          <w:tcPr>
            <w:tcW w:w="1156" w:type="dxa"/>
            <w:gridSpan w:val="2"/>
            <w:shd w:val="clear" w:color="auto" w:fill="auto"/>
          </w:tcPr>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b/>
                <w:sz w:val="20"/>
                <w:szCs w:val="20"/>
              </w:rPr>
              <w:t>45.40 mg</w:t>
            </w:r>
          </w:p>
        </w:tc>
        <w:tc>
          <w:tcPr>
            <w:tcW w:w="1157" w:type="dxa"/>
            <w:gridSpan w:val="2"/>
            <w:shd w:val="clear" w:color="auto" w:fill="auto"/>
          </w:tcPr>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b/>
                <w:sz w:val="20"/>
                <w:szCs w:val="20"/>
              </w:rPr>
              <w:t>68.10 mg</w:t>
            </w:r>
          </w:p>
        </w:tc>
        <w:tc>
          <w:tcPr>
            <w:tcW w:w="1089" w:type="dxa"/>
            <w:shd w:val="clear" w:color="auto" w:fill="auto"/>
          </w:tcPr>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b/>
                <w:sz w:val="20"/>
                <w:szCs w:val="20"/>
              </w:rPr>
              <w:t>90.80 mg</w:t>
            </w:r>
          </w:p>
        </w:tc>
        <w:tc>
          <w:tcPr>
            <w:tcW w:w="1388" w:type="dxa"/>
            <w:vMerge w:val="restart"/>
            <w:shd w:val="clear" w:color="auto" w:fill="auto"/>
          </w:tcPr>
          <w:p w:rsidR="001B094D" w:rsidRPr="00940072" w:rsidRDefault="001B094D" w:rsidP="00A7369A">
            <w:pPr>
              <w:widowControl/>
              <w:jc w:val="center"/>
              <w:rPr>
                <w:rFonts w:ascii="Arial Narrow" w:hAnsi="Arial Narrow" w:cstheme="minorBidi"/>
                <w:sz w:val="20"/>
                <w:szCs w:val="20"/>
              </w:rPr>
            </w:pPr>
            <w:r w:rsidRPr="00940072">
              <w:rPr>
                <w:rFonts w:ascii="Arial Narrow" w:hAnsi="Arial Narrow" w:cstheme="minorBidi"/>
                <w:sz w:val="20"/>
                <w:szCs w:val="20"/>
              </w:rPr>
              <w:t xml:space="preserve">68.80 </w:t>
            </w:r>
          </w:p>
        </w:tc>
      </w:tr>
      <w:tr w:rsidR="001B094D" w:rsidRPr="00FE747C" w:rsidTr="004D4F36">
        <w:trPr>
          <w:trHeight w:val="177"/>
        </w:trPr>
        <w:tc>
          <w:tcPr>
            <w:tcW w:w="1418" w:type="dxa"/>
            <w:vMerge/>
          </w:tcPr>
          <w:p w:rsidR="001B094D" w:rsidRPr="00FE747C" w:rsidRDefault="001B094D" w:rsidP="00A7369A">
            <w:pPr>
              <w:widowControl/>
              <w:jc w:val="left"/>
              <w:rPr>
                <w:rFonts w:cstheme="minorBidi"/>
                <w:sz w:val="20"/>
                <w:szCs w:val="20"/>
              </w:rPr>
            </w:pPr>
          </w:p>
        </w:tc>
        <w:tc>
          <w:tcPr>
            <w:tcW w:w="1226" w:type="dxa"/>
            <w:vMerge/>
          </w:tcPr>
          <w:p w:rsidR="001B094D" w:rsidRPr="00FE747C" w:rsidRDefault="001B094D" w:rsidP="00A7369A">
            <w:pPr>
              <w:widowControl/>
              <w:jc w:val="center"/>
              <w:rPr>
                <w:rFonts w:cstheme="minorBidi"/>
                <w:sz w:val="20"/>
                <w:szCs w:val="20"/>
              </w:rPr>
            </w:pPr>
          </w:p>
        </w:tc>
        <w:tc>
          <w:tcPr>
            <w:tcW w:w="1638" w:type="dxa"/>
            <w:vMerge/>
          </w:tcPr>
          <w:p w:rsidR="001B094D" w:rsidRPr="00FE747C" w:rsidRDefault="001B094D" w:rsidP="00A7369A">
            <w:pPr>
              <w:widowControl/>
              <w:jc w:val="center"/>
              <w:rPr>
                <w:rFonts w:cstheme="minorBidi"/>
                <w:sz w:val="20"/>
                <w:szCs w:val="20"/>
              </w:rPr>
            </w:pPr>
          </w:p>
        </w:tc>
        <w:tc>
          <w:tcPr>
            <w:tcW w:w="1156" w:type="dxa"/>
            <w:gridSpan w:val="2"/>
          </w:tcPr>
          <w:p w:rsidR="001B094D" w:rsidRPr="00940072" w:rsidRDefault="001B094D" w:rsidP="00A7369A">
            <w:pPr>
              <w:widowControl/>
              <w:jc w:val="center"/>
              <w:rPr>
                <w:rFonts w:cstheme="minorBidi"/>
                <w:sz w:val="20"/>
                <w:szCs w:val="20"/>
              </w:rPr>
            </w:pPr>
            <w:r w:rsidRPr="00940072">
              <w:rPr>
                <w:rFonts w:cstheme="minorBidi"/>
                <w:sz w:val="20"/>
                <w:szCs w:val="20"/>
              </w:rPr>
              <w:t>44 (34)</w:t>
            </w:r>
          </w:p>
        </w:tc>
        <w:tc>
          <w:tcPr>
            <w:tcW w:w="1157" w:type="dxa"/>
            <w:gridSpan w:val="2"/>
          </w:tcPr>
          <w:p w:rsidR="001B094D" w:rsidRPr="00940072" w:rsidRDefault="001B094D" w:rsidP="00A7369A">
            <w:pPr>
              <w:widowControl/>
              <w:jc w:val="center"/>
              <w:rPr>
                <w:rFonts w:cstheme="minorBidi"/>
                <w:sz w:val="20"/>
                <w:szCs w:val="20"/>
              </w:rPr>
            </w:pPr>
            <w:r w:rsidRPr="00940072">
              <w:rPr>
                <w:rFonts w:cstheme="minorBidi"/>
                <w:sz w:val="20"/>
                <w:szCs w:val="20"/>
              </w:rPr>
              <w:t>37 (29)</w:t>
            </w:r>
          </w:p>
        </w:tc>
        <w:tc>
          <w:tcPr>
            <w:tcW w:w="1089" w:type="dxa"/>
          </w:tcPr>
          <w:p w:rsidR="001B094D" w:rsidRPr="00940072" w:rsidRDefault="001B094D" w:rsidP="00A7369A">
            <w:pPr>
              <w:widowControl/>
              <w:jc w:val="center"/>
              <w:rPr>
                <w:rFonts w:cstheme="minorBidi"/>
                <w:sz w:val="20"/>
                <w:szCs w:val="20"/>
              </w:rPr>
            </w:pPr>
            <w:r w:rsidRPr="00940072">
              <w:rPr>
                <w:rFonts w:cstheme="minorBidi"/>
                <w:sz w:val="20"/>
                <w:szCs w:val="20"/>
              </w:rPr>
              <w:t>48 (37)</w:t>
            </w:r>
          </w:p>
        </w:tc>
        <w:tc>
          <w:tcPr>
            <w:tcW w:w="1388" w:type="dxa"/>
            <w:vMerge/>
          </w:tcPr>
          <w:p w:rsidR="001B094D" w:rsidRPr="00FE747C" w:rsidRDefault="001B094D" w:rsidP="00A7369A">
            <w:pPr>
              <w:widowControl/>
              <w:jc w:val="center"/>
              <w:rPr>
                <w:rFonts w:cstheme="minorBidi"/>
                <w:sz w:val="20"/>
                <w:szCs w:val="20"/>
              </w:rPr>
            </w:pPr>
          </w:p>
        </w:tc>
      </w:tr>
    </w:tbl>
    <w:p w:rsidR="001B094D" w:rsidRDefault="009753F2" w:rsidP="001B094D">
      <w:pPr>
        <w:rPr>
          <w:rFonts w:ascii="Arial Narrow" w:hAnsi="Arial Narrow"/>
          <w:sz w:val="18"/>
          <w:szCs w:val="18"/>
        </w:rPr>
      </w:pPr>
      <w:r w:rsidRPr="009753F2">
        <w:rPr>
          <w:rStyle w:val="TableFooterChar"/>
        </w:rPr>
        <w:t>Abbreviations</w:t>
      </w:r>
      <w:r>
        <w:rPr>
          <w:rStyle w:val="TableFooterChar"/>
        </w:rPr>
        <w:t xml:space="preserve">: </w:t>
      </w:r>
      <w:r w:rsidR="001B094D">
        <w:rPr>
          <w:rFonts w:ascii="Arial Narrow" w:hAnsi="Arial Narrow"/>
          <w:sz w:val="18"/>
          <w:szCs w:val="18"/>
        </w:rPr>
        <w:t>CI = confidence interval; n = number of patients who responded; N = total number of patients; NR = not reported; PP = per protocol</w:t>
      </w:r>
    </w:p>
    <w:p w:rsidR="001B094D" w:rsidRDefault="001B094D" w:rsidP="001B094D">
      <w:pPr>
        <w:rPr>
          <w:rFonts w:ascii="Arial Narrow" w:hAnsi="Arial Narrow"/>
          <w:sz w:val="18"/>
          <w:szCs w:val="18"/>
        </w:rPr>
      </w:pPr>
      <w:r w:rsidRPr="00CC513C">
        <w:rPr>
          <w:rFonts w:ascii="Arial Narrow" w:hAnsi="Arial Narrow"/>
          <w:sz w:val="18"/>
          <w:szCs w:val="18"/>
          <w:vertAlign w:val="superscript"/>
        </w:rPr>
        <w:t xml:space="preserve">§ </w:t>
      </w:r>
      <w:r>
        <w:rPr>
          <w:rFonts w:ascii="Arial Narrow" w:hAnsi="Arial Narrow"/>
          <w:sz w:val="18"/>
          <w:szCs w:val="18"/>
        </w:rPr>
        <w:t xml:space="preserve">PP completer = patients who completed the study without major protocol deviation </w:t>
      </w:r>
    </w:p>
    <w:p w:rsidR="001B094D" w:rsidRDefault="001B094D" w:rsidP="001B094D">
      <w:pPr>
        <w:rPr>
          <w:rFonts w:ascii="Arial Narrow" w:hAnsi="Arial Narrow"/>
          <w:sz w:val="18"/>
          <w:szCs w:val="18"/>
        </w:rPr>
      </w:pPr>
      <w:r>
        <w:rPr>
          <w:rFonts w:ascii="Arial Narrow" w:hAnsi="Arial Narrow"/>
          <w:sz w:val="18"/>
          <w:szCs w:val="18"/>
        </w:rPr>
        <w:t>^ Revised data based on patients receiving 45.4 mg and 90.8 mg instead of 50 mg and 100 mg testosterone 1% gel daily.</w:t>
      </w:r>
    </w:p>
    <w:p w:rsidR="001B094D" w:rsidRDefault="001B094D" w:rsidP="001B094D">
      <w:pPr>
        <w:rPr>
          <w:rFonts w:ascii="Arial Narrow" w:hAnsi="Arial Narrow"/>
          <w:sz w:val="18"/>
          <w:szCs w:val="18"/>
        </w:rPr>
      </w:pPr>
      <w:r>
        <w:rPr>
          <w:rFonts w:ascii="Arial Narrow" w:hAnsi="Arial Narrow"/>
          <w:sz w:val="18"/>
          <w:szCs w:val="18"/>
        </w:rPr>
        <w:t>Source: Table 3.2-1, p79 &amp; Table 3.2-2, p80 of the submission.</w:t>
      </w:r>
    </w:p>
    <w:p w:rsidR="001B094D" w:rsidRPr="00F77C40" w:rsidRDefault="001B094D" w:rsidP="001B094D">
      <w:pPr>
        <w:rPr>
          <w:rFonts w:ascii="Arial Narrow" w:hAnsi="Arial Narrow"/>
          <w:sz w:val="18"/>
          <w:szCs w:val="18"/>
        </w:rPr>
      </w:pPr>
    </w:p>
    <w:p w:rsidR="00F5621A" w:rsidRPr="00C42DDA" w:rsidRDefault="00F5621A" w:rsidP="00F5621A">
      <w:pPr>
        <w:pStyle w:val="ListParagraph"/>
        <w:widowControl/>
        <w:numPr>
          <w:ilvl w:val="1"/>
          <w:numId w:val="1"/>
        </w:numPr>
      </w:pPr>
      <w:r w:rsidRPr="00C42DDA">
        <w:t>The ESC noted that there was some uncertainty in the estimated equi-effective doses of testosterone 2% EP gel and testosterone 1% gel. Based on the evidence presented in the submission, there are a number of alternatives for the equi-effective dose as outlined below:</w:t>
      </w:r>
    </w:p>
    <w:p w:rsidR="00F5621A" w:rsidRPr="00C42DDA" w:rsidRDefault="00F5621A" w:rsidP="004D4F36">
      <w:pPr>
        <w:pStyle w:val="Bulletpoints"/>
        <w:numPr>
          <w:ilvl w:val="1"/>
          <w:numId w:val="2"/>
        </w:numPr>
        <w:ind w:left="1434" w:hanging="357"/>
      </w:pPr>
      <w:r w:rsidRPr="00C42DDA">
        <w:t>60.07</w:t>
      </w:r>
      <w:r w:rsidR="004924C6">
        <w:t xml:space="preserve"> </w:t>
      </w:r>
      <w:r w:rsidRPr="00C42DDA">
        <w:t xml:space="preserve">mg 2% </w:t>
      </w:r>
      <w:r w:rsidR="00FE747C">
        <w:t xml:space="preserve">EP gel </w:t>
      </w:r>
      <w:r w:rsidRPr="00C42DDA">
        <w:t>= 84</w:t>
      </w:r>
      <w:r w:rsidR="004924C6">
        <w:t xml:space="preserve"> </w:t>
      </w:r>
      <w:r w:rsidRPr="00C42DDA">
        <w:t xml:space="preserve">mg 1% </w:t>
      </w:r>
      <w:r w:rsidR="00FE747C">
        <w:t xml:space="preserve">gel </w:t>
      </w:r>
      <w:r w:rsidRPr="00C42DDA">
        <w:t>based on bioavailability (equivalent to 1: 1.40);</w:t>
      </w:r>
    </w:p>
    <w:p w:rsidR="00F5621A" w:rsidRPr="00C42DDA" w:rsidRDefault="00F5621A" w:rsidP="004D4F36">
      <w:pPr>
        <w:pStyle w:val="Bulletpoints"/>
        <w:numPr>
          <w:ilvl w:val="1"/>
          <w:numId w:val="2"/>
        </w:numPr>
        <w:ind w:left="1434" w:hanging="357"/>
      </w:pPr>
      <w:r w:rsidRPr="00C42DDA">
        <w:t>60.07</w:t>
      </w:r>
      <w:r w:rsidR="004924C6">
        <w:t xml:space="preserve"> </w:t>
      </w:r>
      <w:r w:rsidRPr="00C42DDA">
        <w:t>mg 2%</w:t>
      </w:r>
      <w:r w:rsidR="00FE747C">
        <w:t xml:space="preserve"> EP gel</w:t>
      </w:r>
      <w:r w:rsidRPr="00C42DDA">
        <w:t xml:space="preserve"> = 7</w:t>
      </w:r>
      <w:r w:rsidR="00173D92" w:rsidRPr="00C42DDA">
        <w:t>5</w:t>
      </w:r>
      <w:r w:rsidRPr="00C42DDA">
        <w:t>.7</w:t>
      </w:r>
      <w:r w:rsidR="00173D92" w:rsidRPr="00C42DDA">
        <w:t xml:space="preserve">8 </w:t>
      </w:r>
      <w:r w:rsidRPr="00C42DDA">
        <w:t xml:space="preserve">mg 1% </w:t>
      </w:r>
      <w:r w:rsidR="00FE747C">
        <w:t xml:space="preserve">gel </w:t>
      </w:r>
      <w:r w:rsidRPr="00C42DDA">
        <w:t>based on indirect trial comparison (1:1.26);</w:t>
      </w:r>
    </w:p>
    <w:p w:rsidR="00F5621A" w:rsidRPr="00C42DDA" w:rsidRDefault="00F5621A" w:rsidP="004D4F36">
      <w:pPr>
        <w:pStyle w:val="Bulletpoints"/>
        <w:numPr>
          <w:ilvl w:val="1"/>
          <w:numId w:val="2"/>
        </w:numPr>
        <w:ind w:left="1434" w:hanging="357"/>
      </w:pPr>
      <w:r w:rsidRPr="00C42DDA">
        <w:t>60.07</w:t>
      </w:r>
      <w:r w:rsidR="004924C6">
        <w:t xml:space="preserve"> </w:t>
      </w:r>
      <w:r w:rsidRPr="00C42DDA">
        <w:t>mg 2%</w:t>
      </w:r>
      <w:r w:rsidR="00C41C53">
        <w:t xml:space="preserve"> EP gel</w:t>
      </w:r>
      <w:r w:rsidRPr="00C42DDA">
        <w:t xml:space="preserve"> = 68.80</w:t>
      </w:r>
      <w:r w:rsidR="004924C6">
        <w:t xml:space="preserve"> </w:t>
      </w:r>
      <w:r w:rsidRPr="00C42DDA">
        <w:t xml:space="preserve">mg 1% </w:t>
      </w:r>
      <w:r w:rsidR="00C41C53">
        <w:t xml:space="preserve">gel </w:t>
      </w:r>
      <w:r w:rsidRPr="00C42DDA">
        <w:t xml:space="preserve">based on indirect trial comparison with 1% dose </w:t>
      </w:r>
      <w:r w:rsidR="00C41C53">
        <w:t>based on dose delivered per actuation</w:t>
      </w:r>
      <w:r w:rsidRPr="00C42DDA">
        <w:t xml:space="preserve"> (1:1.15); and</w:t>
      </w:r>
    </w:p>
    <w:p w:rsidR="00F5621A" w:rsidRPr="00C42DDA" w:rsidRDefault="00F5621A" w:rsidP="004D4F36">
      <w:pPr>
        <w:pStyle w:val="Bulletpoints"/>
        <w:numPr>
          <w:ilvl w:val="1"/>
          <w:numId w:val="2"/>
        </w:numPr>
        <w:ind w:left="1434" w:hanging="357"/>
      </w:pPr>
      <w:r w:rsidRPr="00C42DDA">
        <w:t>23</w:t>
      </w:r>
      <w:r w:rsidR="004924C6">
        <w:t xml:space="preserve"> </w:t>
      </w:r>
      <w:r w:rsidRPr="00C42DDA">
        <w:t>mg 2% = 25</w:t>
      </w:r>
      <w:r w:rsidR="004924C6">
        <w:t xml:space="preserve"> </w:t>
      </w:r>
      <w:r w:rsidRPr="00C42DDA">
        <w:t>mg (2 x 12.5 mg) 1%</w:t>
      </w:r>
      <w:r w:rsidR="002D3173" w:rsidRPr="00C42DDA">
        <w:t xml:space="preserve"> </w:t>
      </w:r>
      <w:r w:rsidRPr="00C42DDA">
        <w:t xml:space="preserve">based on doses delivered </w:t>
      </w:r>
      <w:r w:rsidRPr="00C42DDA">
        <w:rPr>
          <w:rFonts w:asciiTheme="minorHAnsi" w:hAnsiTheme="minorHAnsi" w:cstheme="minorHAnsi"/>
        </w:rPr>
        <w:t>per pump actuation</w:t>
      </w:r>
      <w:r w:rsidRPr="00C42DDA">
        <w:t xml:space="preserve"> (1:1.09).</w:t>
      </w:r>
    </w:p>
    <w:p w:rsidR="002F1B5F" w:rsidRPr="002F1B5F" w:rsidRDefault="002F1B5F" w:rsidP="002F1B5F">
      <w:pPr>
        <w:pStyle w:val="Bulletpoints"/>
        <w:numPr>
          <w:ilvl w:val="0"/>
          <w:numId w:val="0"/>
        </w:numPr>
        <w:ind w:left="1440"/>
        <w:rPr>
          <w:i/>
        </w:rPr>
      </w:pPr>
    </w:p>
    <w:p w:rsidR="003C368F" w:rsidRPr="00C42DDA" w:rsidRDefault="003C368F" w:rsidP="003C368F">
      <w:pPr>
        <w:pStyle w:val="ListParagraph"/>
        <w:widowControl/>
        <w:numPr>
          <w:ilvl w:val="1"/>
          <w:numId w:val="1"/>
        </w:numPr>
      </w:pPr>
      <w:r w:rsidRPr="00C42DDA">
        <w:t xml:space="preserve">The PSCR acknowledged there are </w:t>
      </w:r>
      <w:r w:rsidR="004D4F36" w:rsidRPr="00C42DDA">
        <w:t>limitations</w:t>
      </w:r>
      <w:r w:rsidRPr="00C42DDA">
        <w:t xml:space="preserve"> in using a naïve comparison to derive the equi-effective doses, but argued that the equi-effective doses presented in the submission were supported by the head-to-head pharmacokinetic study (Study CS02), which showed that “the </w:t>
      </w:r>
      <w:r w:rsidR="004D4F36" w:rsidRPr="00C42DDA">
        <w:t>bioavailability</w:t>
      </w:r>
      <w:r w:rsidRPr="00C42DDA">
        <w:t xml:space="preserve"> of testosterone from testosterone 2% EP gel was 1.4-fold higher than that from testosterone 1% gel when the same dose (50 mg/day) was applied to for seven days.” The PSCR stated that when the bioavailability ratio of 1.4</w:t>
      </w:r>
      <w:r w:rsidR="002D3173" w:rsidRPr="00C42DDA">
        <w:t xml:space="preserve"> </w:t>
      </w:r>
      <w:r w:rsidRPr="00C42DDA">
        <w:t>was applied to the average dose at the end of Study 127 (60.07 mg), this corresponded to 84 mg testosterone from testosterone 1% gel, which is similar to the 75.78 mg from the equi-effective dose derived from the naïve comparison.</w:t>
      </w:r>
    </w:p>
    <w:p w:rsidR="00C41C53" w:rsidRDefault="00F5621A" w:rsidP="00201D5C">
      <w:pPr>
        <w:pStyle w:val="ListParagraph"/>
        <w:widowControl/>
        <w:numPr>
          <w:ilvl w:val="1"/>
          <w:numId w:val="1"/>
        </w:numPr>
      </w:pPr>
      <w:r w:rsidRPr="00C42DDA">
        <w:t>The ESC considered that equi-effective dose</w:t>
      </w:r>
      <w:r w:rsidR="009C664F">
        <w:t>s</w:t>
      </w:r>
      <w:r w:rsidRPr="00C42DDA">
        <w:t xml:space="preserve"> of</w:t>
      </w:r>
      <w:r w:rsidR="002D3173" w:rsidRPr="00C42DDA">
        <w:t xml:space="preserve"> </w:t>
      </w:r>
      <w:r w:rsidRPr="00C42DDA">
        <w:t>23</w:t>
      </w:r>
      <w:r w:rsidR="004924C6">
        <w:t xml:space="preserve"> </w:t>
      </w:r>
      <w:r w:rsidRPr="00C42DDA">
        <w:t>mg 2%</w:t>
      </w:r>
      <w:r w:rsidR="003A05E0">
        <w:t xml:space="preserve"> EP gel and</w:t>
      </w:r>
      <w:r w:rsidRPr="00C42DDA">
        <w:t xml:space="preserve"> 25</w:t>
      </w:r>
      <w:r w:rsidR="004924C6">
        <w:t xml:space="preserve"> </w:t>
      </w:r>
      <w:r w:rsidRPr="00C42DDA">
        <w:t>mg (2 x 12.5 mg) 1%</w:t>
      </w:r>
      <w:r w:rsidR="003A05E0">
        <w:t xml:space="preserve"> gel</w:t>
      </w:r>
      <w:r w:rsidRPr="00C42DDA">
        <w:t xml:space="preserve"> </w:t>
      </w:r>
      <w:r w:rsidR="00C41C53">
        <w:t>may be appropriate</w:t>
      </w:r>
      <w:r w:rsidRPr="00C42DDA">
        <w:t xml:space="preserve"> noting that there is not always a</w:t>
      </w:r>
      <w:r w:rsidR="002D3173" w:rsidRPr="00C42DDA">
        <w:t xml:space="preserve"> </w:t>
      </w:r>
      <w:r w:rsidRPr="00C42DDA">
        <w:t xml:space="preserve">direct relationship </w:t>
      </w:r>
      <w:r w:rsidRPr="00C42DDA">
        <w:lastRenderedPageBreak/>
        <w:t xml:space="preserve">between serum testosterone level and physiological response. The ESC also noted that higher doses may be used in practice versus trials. </w:t>
      </w:r>
    </w:p>
    <w:p w:rsidR="00C41C53" w:rsidRDefault="00C41C53" w:rsidP="00C41C53">
      <w:pPr>
        <w:pStyle w:val="ListParagraph"/>
        <w:widowControl/>
        <w:numPr>
          <w:ilvl w:val="1"/>
          <w:numId w:val="1"/>
        </w:numPr>
      </w:pPr>
      <w:r>
        <w:t xml:space="preserve">The </w:t>
      </w:r>
      <w:r w:rsidR="00211C96">
        <w:t>Pre-PBAC R</w:t>
      </w:r>
      <w:r>
        <w:t>esponse noted the equi-effective doses of currently listed TRT</w:t>
      </w:r>
      <w:r w:rsidR="00263EEC">
        <w:t>s</w:t>
      </w:r>
      <w:r>
        <w:t xml:space="preserve"> have been based on clinical evidence demonstrating similar increases in testosterone levels. It was further noted in the </w:t>
      </w:r>
      <w:r w:rsidR="00211C96">
        <w:t>Pre-PBAC R</w:t>
      </w:r>
      <w:r>
        <w:t xml:space="preserve">esponse </w:t>
      </w:r>
      <w:r w:rsidR="003A05E0">
        <w:t xml:space="preserve">that </w:t>
      </w:r>
      <w:r>
        <w:t xml:space="preserve">the goal of treatment is to restore </w:t>
      </w:r>
      <w:proofErr w:type="spellStart"/>
      <w:r>
        <w:t>eugonadal</w:t>
      </w:r>
      <w:proofErr w:type="spellEnd"/>
      <w:r>
        <w:t xml:space="preserve"> testosterone levels</w:t>
      </w:r>
      <w:r w:rsidR="003A05E0">
        <w:t xml:space="preserve"> and</w:t>
      </w:r>
      <w:r>
        <w:t xml:space="preserve"> the claim of non-inferior efficacy was based on similar proportions of patients in Study 127 and </w:t>
      </w:r>
      <w:proofErr w:type="spellStart"/>
      <w:r>
        <w:t>Swerdloff</w:t>
      </w:r>
      <w:proofErr w:type="spellEnd"/>
      <w:r>
        <w:t xml:space="preserve"> </w:t>
      </w:r>
      <w:r w:rsidR="003A05E0">
        <w:t>2000</w:t>
      </w:r>
      <w:r>
        <w:t xml:space="preserve"> achieving testosterone levels within the </w:t>
      </w:r>
      <w:proofErr w:type="spellStart"/>
      <w:r>
        <w:t>eugonadal</w:t>
      </w:r>
      <w:proofErr w:type="spellEnd"/>
      <w:r>
        <w:t xml:space="preserve"> range</w:t>
      </w:r>
      <w:r w:rsidR="003A05E0">
        <w:t>.</w:t>
      </w:r>
    </w:p>
    <w:p w:rsidR="00F5621A" w:rsidRPr="00C42DDA" w:rsidRDefault="00F30C20" w:rsidP="00201D5C">
      <w:pPr>
        <w:pStyle w:val="ListParagraph"/>
        <w:widowControl/>
        <w:numPr>
          <w:ilvl w:val="1"/>
          <w:numId w:val="1"/>
        </w:numPr>
      </w:pPr>
      <w:r>
        <w:t>The PBAC considered that the equi-effective dose</w:t>
      </w:r>
      <w:r w:rsidR="003A05E0">
        <w:t>s</w:t>
      </w:r>
      <w:r>
        <w:t xml:space="preserve"> of 60.07 mg 2%</w:t>
      </w:r>
      <w:r w:rsidR="003A05E0">
        <w:t xml:space="preserve"> EP </w:t>
      </w:r>
      <w:proofErr w:type="spellStart"/>
      <w:r w:rsidR="003A05E0">
        <w:t>geland</w:t>
      </w:r>
      <w:proofErr w:type="spellEnd"/>
      <w:r w:rsidR="003A05E0">
        <w:t xml:space="preserve"> </w:t>
      </w:r>
      <w:r w:rsidR="00B964C9">
        <w:t>75.78 mg 1%</w:t>
      </w:r>
      <w:r w:rsidR="003A05E0">
        <w:t xml:space="preserve"> gel</w:t>
      </w:r>
      <w:r w:rsidR="00B964C9">
        <w:t xml:space="preserve"> </w:t>
      </w:r>
      <w:r w:rsidR="003A05E0">
        <w:t>were consistent with the trial data and approach used previously to determine equi-effective doses</w:t>
      </w:r>
      <w:r w:rsidR="00572735">
        <w:t>.</w:t>
      </w:r>
      <w:r w:rsidR="002220CD">
        <w:t xml:space="preserve"> </w:t>
      </w:r>
    </w:p>
    <w:p w:rsidR="001B094D" w:rsidRPr="00157245" w:rsidRDefault="001B094D" w:rsidP="00B068D3">
      <w:pPr>
        <w:pStyle w:val="ListParagraph"/>
        <w:widowControl/>
        <w:numPr>
          <w:ilvl w:val="1"/>
          <w:numId w:val="1"/>
        </w:numPr>
      </w:pPr>
      <w:r>
        <w:t xml:space="preserve">No additional costs or cost offsets were considered relevant for inclusion in the cost-minimisation analysis. </w:t>
      </w:r>
      <w:r w:rsidRPr="00C3391A">
        <w:t>This is reasonable.</w:t>
      </w:r>
      <w:r>
        <w:rPr>
          <w:i/>
        </w:rPr>
        <w:t xml:space="preserve"> </w:t>
      </w:r>
    </w:p>
    <w:p w:rsidR="001B094D" w:rsidRDefault="001B094D" w:rsidP="00B068D3">
      <w:pPr>
        <w:pStyle w:val="ListParagraph"/>
        <w:widowControl/>
        <w:numPr>
          <w:ilvl w:val="1"/>
          <w:numId w:val="1"/>
        </w:numPr>
      </w:pPr>
      <w:r>
        <w:t>The results of the cost-minimisation analysis are summarised below.</w:t>
      </w:r>
    </w:p>
    <w:p w:rsidR="001B094D" w:rsidRPr="00157245" w:rsidRDefault="001B094D" w:rsidP="004D4F36">
      <w:pPr>
        <w:pStyle w:val="Caption"/>
        <w:rPr>
          <w:rStyle w:val="CommentReference"/>
          <w:b/>
        </w:rPr>
      </w:pPr>
      <w:bookmarkStart w:id="26" w:name="_Ref523227950"/>
      <w:bookmarkStart w:id="27" w:name="_Toc520285945"/>
      <w:r w:rsidRPr="00157245">
        <w:rPr>
          <w:rStyle w:val="CommentReference"/>
          <w:b/>
        </w:rPr>
        <w:t xml:space="preserve">Table </w:t>
      </w:r>
      <w:r w:rsidR="00AB4F41">
        <w:rPr>
          <w:rStyle w:val="CommentReference"/>
          <w:b/>
          <w:noProof/>
        </w:rPr>
        <w:t>7</w:t>
      </w:r>
      <w:bookmarkEnd w:id="26"/>
      <w:r w:rsidRPr="00157245">
        <w:rPr>
          <w:rStyle w:val="CommentReference"/>
          <w:b/>
        </w:rPr>
        <w:t xml:space="preserve">: </w:t>
      </w:r>
      <w:r>
        <w:rPr>
          <w:rStyle w:val="CommentReference"/>
          <w:b/>
        </w:rPr>
        <w:t xml:space="preserve">Results of cost-minimisation analysis of </w:t>
      </w:r>
      <w:r w:rsidRPr="00157245">
        <w:rPr>
          <w:rStyle w:val="CommentReference"/>
          <w:b/>
        </w:rPr>
        <w:t xml:space="preserve">testosterone 2% EP gel </w:t>
      </w:r>
      <w:r>
        <w:rPr>
          <w:rStyle w:val="CommentReference"/>
          <w:b/>
        </w:rPr>
        <w:t>compared with</w:t>
      </w:r>
      <w:r w:rsidRPr="00157245">
        <w:rPr>
          <w:rStyle w:val="CommentReference"/>
          <w:b/>
        </w:rPr>
        <w:t xml:space="preserve"> testosterone 1% gel.</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2924"/>
        <w:gridCol w:w="2862"/>
      </w:tblGrid>
      <w:tr w:rsidR="001B094D" w:rsidRPr="00383B78" w:rsidTr="004D4F36">
        <w:tc>
          <w:tcPr>
            <w:tcW w:w="1731" w:type="pct"/>
          </w:tcPr>
          <w:p w:rsidR="001B094D" w:rsidRPr="00383B78" w:rsidRDefault="001B094D" w:rsidP="004D4F36">
            <w:pPr>
              <w:pStyle w:val="Tabletext"/>
              <w:keepNext/>
              <w:rPr>
                <w:b/>
              </w:rPr>
            </w:pPr>
            <w:bookmarkStart w:id="28" w:name="_Toc520285944"/>
            <w:r>
              <w:rPr>
                <w:b/>
              </w:rPr>
              <w:t>Component</w:t>
            </w:r>
          </w:p>
        </w:tc>
        <w:tc>
          <w:tcPr>
            <w:tcW w:w="1652" w:type="pct"/>
          </w:tcPr>
          <w:p w:rsidR="001B094D" w:rsidRPr="00383B78" w:rsidRDefault="001B094D" w:rsidP="004D4F36">
            <w:pPr>
              <w:pStyle w:val="Tabletext"/>
              <w:keepNext/>
              <w:jc w:val="center"/>
              <w:rPr>
                <w:b/>
              </w:rPr>
            </w:pPr>
            <w:r>
              <w:rPr>
                <w:b/>
              </w:rPr>
              <w:t>Testosterone 2% EP gel</w:t>
            </w:r>
          </w:p>
        </w:tc>
        <w:tc>
          <w:tcPr>
            <w:tcW w:w="1617" w:type="pct"/>
          </w:tcPr>
          <w:p w:rsidR="001B094D" w:rsidRPr="00383B78" w:rsidRDefault="001B094D" w:rsidP="004D4F36">
            <w:pPr>
              <w:pStyle w:val="Tabletext"/>
              <w:keepNext/>
              <w:jc w:val="center"/>
              <w:rPr>
                <w:b/>
              </w:rPr>
            </w:pPr>
            <w:r>
              <w:rPr>
                <w:b/>
              </w:rPr>
              <w:t>Testosterone 1% gel</w:t>
            </w:r>
          </w:p>
        </w:tc>
      </w:tr>
      <w:tr w:rsidR="001B094D" w:rsidRPr="0044384C" w:rsidTr="004D4F36">
        <w:tc>
          <w:tcPr>
            <w:tcW w:w="1731" w:type="pct"/>
          </w:tcPr>
          <w:p w:rsidR="001B094D" w:rsidRPr="0044384C" w:rsidRDefault="001B094D" w:rsidP="004D4F36">
            <w:pPr>
              <w:pStyle w:val="Tabletext"/>
              <w:keepNext/>
            </w:pPr>
            <w:r w:rsidRPr="0044384C">
              <w:t>Maximum quantity</w:t>
            </w:r>
          </w:p>
        </w:tc>
        <w:tc>
          <w:tcPr>
            <w:tcW w:w="1652" w:type="pct"/>
          </w:tcPr>
          <w:p w:rsidR="001B094D" w:rsidRPr="0044384C" w:rsidRDefault="001B094D" w:rsidP="004D4F36">
            <w:pPr>
              <w:pStyle w:val="Tabletext"/>
              <w:keepNext/>
              <w:jc w:val="center"/>
            </w:pPr>
            <w:r>
              <w:t>1,288 mg</w:t>
            </w:r>
          </w:p>
        </w:tc>
        <w:tc>
          <w:tcPr>
            <w:tcW w:w="1617" w:type="pct"/>
          </w:tcPr>
          <w:p w:rsidR="001B094D" w:rsidRPr="0044384C" w:rsidRDefault="001B094D" w:rsidP="004D4F36">
            <w:pPr>
              <w:pStyle w:val="Tabletext"/>
              <w:keepNext/>
              <w:jc w:val="center"/>
            </w:pPr>
            <w:r w:rsidRPr="0044384C">
              <w:t xml:space="preserve">1,500 mg </w:t>
            </w:r>
          </w:p>
        </w:tc>
      </w:tr>
      <w:tr w:rsidR="001B094D" w:rsidRPr="00FE747C" w:rsidTr="004D4F36">
        <w:tc>
          <w:tcPr>
            <w:tcW w:w="1731" w:type="pct"/>
          </w:tcPr>
          <w:p w:rsidR="001B094D" w:rsidRPr="00DB5754" w:rsidRDefault="001B094D" w:rsidP="004D4F36">
            <w:pPr>
              <w:pStyle w:val="Tabletext"/>
              <w:keepNext/>
            </w:pPr>
            <w:r w:rsidRPr="00DB5754">
              <w:t>Weighted daily average dose</w:t>
            </w:r>
          </w:p>
          <w:p w:rsidR="001B094D" w:rsidRPr="00940072" w:rsidRDefault="001B094D" w:rsidP="004D4F36">
            <w:pPr>
              <w:pStyle w:val="Tabletext"/>
              <w:keepNext/>
            </w:pPr>
            <w:r w:rsidRPr="00940072">
              <w:t>Revised*</w:t>
            </w:r>
          </w:p>
        </w:tc>
        <w:tc>
          <w:tcPr>
            <w:tcW w:w="1652" w:type="pct"/>
          </w:tcPr>
          <w:p w:rsidR="001B094D" w:rsidRPr="00DB5754" w:rsidRDefault="001B094D" w:rsidP="004D4F36">
            <w:pPr>
              <w:pStyle w:val="Tabletext"/>
              <w:keepNext/>
              <w:jc w:val="center"/>
            </w:pPr>
            <w:r w:rsidRPr="00DB5754">
              <w:t>60.07 mg</w:t>
            </w:r>
          </w:p>
        </w:tc>
        <w:tc>
          <w:tcPr>
            <w:tcW w:w="1617" w:type="pct"/>
          </w:tcPr>
          <w:p w:rsidR="001B094D" w:rsidRPr="00C41C53" w:rsidRDefault="001B094D" w:rsidP="004D4F36">
            <w:pPr>
              <w:pStyle w:val="Tabletext"/>
              <w:keepNext/>
              <w:jc w:val="center"/>
            </w:pPr>
            <w:r w:rsidRPr="00C41C53">
              <w:t>75.78 mg</w:t>
            </w:r>
          </w:p>
          <w:p w:rsidR="001B094D" w:rsidRPr="00940072" w:rsidRDefault="001B094D" w:rsidP="004D4F36">
            <w:pPr>
              <w:pStyle w:val="Tabletext"/>
              <w:keepNext/>
              <w:jc w:val="center"/>
            </w:pPr>
            <w:r w:rsidRPr="00940072">
              <w:t>68.80 mg</w:t>
            </w:r>
          </w:p>
        </w:tc>
      </w:tr>
      <w:tr w:rsidR="001B094D" w:rsidRPr="00FE747C" w:rsidTr="004D4F36">
        <w:tc>
          <w:tcPr>
            <w:tcW w:w="1731" w:type="pct"/>
          </w:tcPr>
          <w:p w:rsidR="001B094D" w:rsidRPr="00FE747C" w:rsidRDefault="001B094D" w:rsidP="004D4F36">
            <w:pPr>
              <w:pStyle w:val="Tabletext"/>
              <w:keepNext/>
            </w:pPr>
            <w:r w:rsidRPr="00FE747C">
              <w:t>Doses per pack</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21.44</w:t>
            </w:r>
          </w:p>
        </w:tc>
        <w:tc>
          <w:tcPr>
            <w:tcW w:w="1617" w:type="pct"/>
          </w:tcPr>
          <w:p w:rsidR="001B094D" w:rsidRPr="00FE747C" w:rsidRDefault="001B094D" w:rsidP="004D4F36">
            <w:pPr>
              <w:pStyle w:val="Tabletext"/>
              <w:keepNext/>
              <w:jc w:val="center"/>
            </w:pPr>
            <w:r w:rsidRPr="00FE747C">
              <w:t>19.79</w:t>
            </w:r>
          </w:p>
          <w:p w:rsidR="001B094D" w:rsidRPr="00940072" w:rsidRDefault="001B094D" w:rsidP="004D4F36">
            <w:pPr>
              <w:pStyle w:val="Tabletext"/>
              <w:keepNext/>
              <w:jc w:val="center"/>
            </w:pPr>
            <w:r w:rsidRPr="00940072">
              <w:t>21.80</w:t>
            </w:r>
          </w:p>
        </w:tc>
      </w:tr>
      <w:tr w:rsidR="001B094D" w:rsidRPr="00FE747C" w:rsidTr="004D4F36">
        <w:tc>
          <w:tcPr>
            <w:tcW w:w="5000" w:type="pct"/>
            <w:gridSpan w:val="3"/>
          </w:tcPr>
          <w:p w:rsidR="001B094D" w:rsidRPr="00FE747C" w:rsidRDefault="001B094D" w:rsidP="004D4F36">
            <w:pPr>
              <w:pStyle w:val="Tabletext"/>
              <w:keepNext/>
              <w:rPr>
                <w:b/>
              </w:rPr>
            </w:pPr>
            <w:r w:rsidRPr="00FE747C">
              <w:rPr>
                <w:b/>
              </w:rPr>
              <w:t>Costs based on EMP</w:t>
            </w:r>
          </w:p>
        </w:tc>
      </w:tr>
      <w:tr w:rsidR="001B094D" w:rsidRPr="00FE747C" w:rsidTr="004D4F36">
        <w:tc>
          <w:tcPr>
            <w:tcW w:w="1731" w:type="pct"/>
          </w:tcPr>
          <w:p w:rsidR="001B094D" w:rsidRPr="00FE747C" w:rsidRDefault="001B094D" w:rsidP="004D4F36">
            <w:pPr>
              <w:pStyle w:val="Tabletext"/>
              <w:keepNext/>
            </w:pPr>
            <w:r w:rsidRPr="00FE747C">
              <w:t>EMP</w:t>
            </w:r>
          </w:p>
        </w:tc>
        <w:tc>
          <w:tcPr>
            <w:tcW w:w="1652" w:type="pct"/>
          </w:tcPr>
          <w:p w:rsidR="001B094D" w:rsidRPr="005A7DC0" w:rsidRDefault="001B094D" w:rsidP="004D4F36">
            <w:pPr>
              <w:pStyle w:val="Tabletext"/>
              <w:keepNext/>
              <w:jc w:val="center"/>
            </w:pPr>
            <w:r w:rsidRPr="00FE747C">
              <w:t>$</w:t>
            </w:r>
            <w:r w:rsidR="00A662CC">
              <w:rPr>
                <w:noProof/>
                <w:color w:val="000000"/>
                <w:highlight w:val="black"/>
              </w:rPr>
              <w:t>''''''''''''</w:t>
            </w:r>
          </w:p>
          <w:p w:rsidR="001B094D" w:rsidRPr="00940072" w:rsidRDefault="001B094D" w:rsidP="004D4F36">
            <w:pPr>
              <w:pStyle w:val="Tabletext"/>
              <w:keepNext/>
              <w:jc w:val="center"/>
            </w:pPr>
            <w:r w:rsidRPr="005A7DC0">
              <w:t>$</w:t>
            </w:r>
            <w:r w:rsidR="00A662CC">
              <w:rPr>
                <w:noProof/>
                <w:color w:val="000000"/>
                <w:highlight w:val="black"/>
              </w:rPr>
              <w:t>''''''''''''''</w:t>
            </w:r>
          </w:p>
        </w:tc>
        <w:tc>
          <w:tcPr>
            <w:tcW w:w="1617" w:type="pct"/>
          </w:tcPr>
          <w:p w:rsidR="001B094D" w:rsidRPr="00DB5754" w:rsidRDefault="001B094D" w:rsidP="004D4F36">
            <w:pPr>
              <w:pStyle w:val="Tabletext"/>
              <w:keepNext/>
              <w:jc w:val="center"/>
            </w:pPr>
            <w:r w:rsidRPr="00DB5754">
              <w:t>$60.92</w:t>
            </w:r>
          </w:p>
        </w:tc>
      </w:tr>
      <w:tr w:rsidR="001B094D" w:rsidRPr="00FE747C" w:rsidTr="004D4F36">
        <w:tc>
          <w:tcPr>
            <w:tcW w:w="1731" w:type="pct"/>
          </w:tcPr>
          <w:p w:rsidR="001B094D" w:rsidRPr="00FE747C" w:rsidRDefault="001B094D" w:rsidP="004D4F36">
            <w:pPr>
              <w:pStyle w:val="Tabletext"/>
              <w:keepNext/>
            </w:pPr>
            <w:r w:rsidRPr="00FE747C">
              <w:t>Cost per dose</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w:t>
            </w:r>
            <w:r w:rsidRPr="005A7DC0">
              <w:t>3.08</w:t>
            </w:r>
          </w:p>
          <w:p w:rsidR="001B094D" w:rsidRPr="00940072" w:rsidRDefault="001B094D" w:rsidP="004D4F36">
            <w:pPr>
              <w:pStyle w:val="Tabletext"/>
              <w:keepNext/>
              <w:jc w:val="center"/>
            </w:pPr>
            <w:r w:rsidRPr="00940072">
              <w:t>$</w:t>
            </w:r>
            <w:r w:rsidRPr="005A7DC0">
              <w:t>2.79</w:t>
            </w:r>
          </w:p>
        </w:tc>
        <w:tc>
          <w:tcPr>
            <w:tcW w:w="1617" w:type="pct"/>
          </w:tcPr>
          <w:p w:rsidR="001B094D" w:rsidRPr="00DB5754" w:rsidRDefault="001B094D" w:rsidP="004D4F36">
            <w:pPr>
              <w:pStyle w:val="Tabletext"/>
              <w:keepNext/>
              <w:jc w:val="center"/>
            </w:pPr>
            <w:r w:rsidRPr="00DB5754">
              <w:t>$3.08</w:t>
            </w:r>
          </w:p>
          <w:p w:rsidR="001B094D" w:rsidRPr="00940072" w:rsidRDefault="001B094D" w:rsidP="004D4F36">
            <w:pPr>
              <w:pStyle w:val="Tabletext"/>
              <w:keepNext/>
              <w:jc w:val="center"/>
            </w:pPr>
            <w:r w:rsidRPr="00940072">
              <w:t>$2.79</w:t>
            </w:r>
          </w:p>
        </w:tc>
      </w:tr>
      <w:tr w:rsidR="001B094D" w:rsidRPr="00FE747C" w:rsidTr="004D4F36">
        <w:tc>
          <w:tcPr>
            <w:tcW w:w="1731" w:type="pct"/>
          </w:tcPr>
          <w:p w:rsidR="001B094D" w:rsidRPr="00FE747C" w:rsidRDefault="001B094D" w:rsidP="004D4F36">
            <w:pPr>
              <w:pStyle w:val="Tabletext"/>
              <w:keepNext/>
            </w:pPr>
            <w:r w:rsidRPr="00FE747C">
              <w:t xml:space="preserve">Total medicine cost per week </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w:t>
            </w:r>
            <w:r w:rsidRPr="005A7DC0">
              <w:t>21.54</w:t>
            </w:r>
          </w:p>
          <w:p w:rsidR="001B094D" w:rsidRPr="00DB5754" w:rsidRDefault="001B094D" w:rsidP="004D4F36">
            <w:pPr>
              <w:pStyle w:val="Tabletext"/>
              <w:keepNext/>
              <w:jc w:val="center"/>
            </w:pPr>
            <w:r w:rsidRPr="00940072">
              <w:t>$</w:t>
            </w:r>
            <w:r w:rsidRPr="005A7DC0">
              <w:t>19.56</w:t>
            </w:r>
          </w:p>
        </w:tc>
        <w:tc>
          <w:tcPr>
            <w:tcW w:w="1617" w:type="pct"/>
          </w:tcPr>
          <w:p w:rsidR="001B094D" w:rsidRPr="00C41C53" w:rsidRDefault="001B094D" w:rsidP="004D4F36">
            <w:pPr>
              <w:pStyle w:val="Tabletext"/>
              <w:keepNext/>
              <w:jc w:val="center"/>
            </w:pPr>
            <w:r w:rsidRPr="00C41C53">
              <w:t>$21.54</w:t>
            </w:r>
          </w:p>
          <w:p w:rsidR="001B094D" w:rsidRPr="00940072" w:rsidRDefault="001B094D" w:rsidP="004D4F36">
            <w:pPr>
              <w:pStyle w:val="Tabletext"/>
              <w:keepNext/>
              <w:jc w:val="center"/>
            </w:pPr>
            <w:r w:rsidRPr="00940072">
              <w:t>$19.56</w:t>
            </w:r>
          </w:p>
        </w:tc>
      </w:tr>
      <w:tr w:rsidR="001B094D" w:rsidRPr="00FE747C" w:rsidTr="004D4F36">
        <w:tc>
          <w:tcPr>
            <w:tcW w:w="1731" w:type="pct"/>
          </w:tcPr>
          <w:p w:rsidR="001B094D" w:rsidRPr="00FE747C" w:rsidRDefault="001B094D" w:rsidP="004D4F36">
            <w:pPr>
              <w:pStyle w:val="Tabletext"/>
              <w:keepNext/>
            </w:pPr>
            <w:r w:rsidRPr="00FE747C">
              <w:t>Difference in cost per week</w:t>
            </w:r>
          </w:p>
        </w:tc>
        <w:tc>
          <w:tcPr>
            <w:tcW w:w="1652" w:type="pct"/>
          </w:tcPr>
          <w:p w:rsidR="001B094D" w:rsidRPr="00FE747C" w:rsidRDefault="001B094D" w:rsidP="004D4F36">
            <w:pPr>
              <w:pStyle w:val="Tabletext"/>
              <w:keepNext/>
              <w:jc w:val="center"/>
            </w:pPr>
            <w:r w:rsidRPr="00FE747C">
              <w:t>$0</w:t>
            </w:r>
          </w:p>
        </w:tc>
        <w:tc>
          <w:tcPr>
            <w:tcW w:w="1617" w:type="pct"/>
          </w:tcPr>
          <w:p w:rsidR="001B094D" w:rsidRPr="00FE747C" w:rsidRDefault="001B094D" w:rsidP="004D4F36">
            <w:pPr>
              <w:pStyle w:val="Tabletext"/>
              <w:keepNext/>
              <w:jc w:val="center"/>
            </w:pPr>
            <w:r w:rsidRPr="00FE747C">
              <w:t>$0</w:t>
            </w:r>
          </w:p>
        </w:tc>
      </w:tr>
      <w:tr w:rsidR="001B094D" w:rsidRPr="00FE747C" w:rsidTr="004D4F36">
        <w:tc>
          <w:tcPr>
            <w:tcW w:w="1731" w:type="pct"/>
          </w:tcPr>
          <w:p w:rsidR="001B094D" w:rsidRPr="00FE747C" w:rsidRDefault="001B094D" w:rsidP="004D4F36">
            <w:pPr>
              <w:pStyle w:val="Tabletext"/>
              <w:keepNext/>
            </w:pPr>
            <w:r w:rsidRPr="00FE747C">
              <w:t>Cost per year</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$1,123.35</w:t>
            </w:r>
          </w:p>
          <w:p w:rsidR="001B094D" w:rsidRPr="00DB5754" w:rsidRDefault="001B094D" w:rsidP="004D4F36">
            <w:pPr>
              <w:pStyle w:val="Tabletext"/>
              <w:keepNext/>
              <w:jc w:val="center"/>
            </w:pPr>
            <w:r w:rsidRPr="00940072">
              <w:t>$1,019.88</w:t>
            </w:r>
          </w:p>
        </w:tc>
        <w:tc>
          <w:tcPr>
            <w:tcW w:w="1617" w:type="pct"/>
          </w:tcPr>
          <w:p w:rsidR="001B094D" w:rsidRPr="00C41C53" w:rsidRDefault="001B094D" w:rsidP="004D4F36">
            <w:pPr>
              <w:pStyle w:val="Tabletext"/>
              <w:keepNext/>
              <w:jc w:val="center"/>
            </w:pPr>
            <w:r w:rsidRPr="00C41C53">
              <w:t>$1,123.35</w:t>
            </w:r>
          </w:p>
          <w:p w:rsidR="001B094D" w:rsidRPr="00940072" w:rsidRDefault="001B094D" w:rsidP="004D4F36">
            <w:pPr>
              <w:pStyle w:val="Tabletext"/>
              <w:keepNext/>
              <w:jc w:val="center"/>
            </w:pPr>
            <w:r w:rsidRPr="00940072">
              <w:t>$1,019.88</w:t>
            </w:r>
          </w:p>
        </w:tc>
      </w:tr>
      <w:tr w:rsidR="001B094D" w:rsidRPr="00FE747C" w:rsidTr="004D4F36">
        <w:tc>
          <w:tcPr>
            <w:tcW w:w="5000" w:type="pct"/>
            <w:gridSpan w:val="3"/>
          </w:tcPr>
          <w:p w:rsidR="001B094D" w:rsidRPr="00FE747C" w:rsidRDefault="001B094D" w:rsidP="004D4F36">
            <w:pPr>
              <w:pStyle w:val="Tabletext"/>
              <w:keepNext/>
              <w:rPr>
                <w:b/>
              </w:rPr>
            </w:pPr>
            <w:r w:rsidRPr="00FE747C">
              <w:rPr>
                <w:b/>
              </w:rPr>
              <w:t>Costs based on DPMQ</w:t>
            </w:r>
          </w:p>
        </w:tc>
      </w:tr>
      <w:tr w:rsidR="001B094D" w:rsidRPr="00FE747C" w:rsidTr="004D4F36">
        <w:tc>
          <w:tcPr>
            <w:tcW w:w="1731" w:type="pct"/>
          </w:tcPr>
          <w:p w:rsidR="001B094D" w:rsidRPr="00FE747C" w:rsidRDefault="001B094D" w:rsidP="004D4F36">
            <w:pPr>
              <w:pStyle w:val="Tabletext"/>
              <w:keepNext/>
            </w:pPr>
            <w:r w:rsidRPr="00FE747C">
              <w:t>DPMQ</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w:t>
            </w:r>
            <w:r w:rsidR="00A662CC">
              <w:rPr>
                <w:noProof/>
                <w:color w:val="000000"/>
                <w:highlight w:val="black"/>
              </w:rPr>
              <w:t>''''''''''''</w:t>
            </w:r>
          </w:p>
          <w:p w:rsidR="001B094D" w:rsidRPr="00940072" w:rsidRDefault="001B094D" w:rsidP="004D4F36">
            <w:pPr>
              <w:pStyle w:val="Tabletext"/>
              <w:keepNext/>
              <w:jc w:val="center"/>
            </w:pPr>
            <w:r w:rsidRPr="00940072">
              <w:t>$</w:t>
            </w:r>
            <w:r w:rsidR="00A662CC">
              <w:rPr>
                <w:noProof/>
                <w:color w:val="000000"/>
                <w:highlight w:val="black"/>
              </w:rPr>
              <w:t>''''''''''''''</w:t>
            </w:r>
          </w:p>
        </w:tc>
        <w:tc>
          <w:tcPr>
            <w:tcW w:w="1617" w:type="pct"/>
          </w:tcPr>
          <w:p w:rsidR="001B094D" w:rsidRPr="00DB5754" w:rsidRDefault="001B094D" w:rsidP="004D4F36">
            <w:pPr>
              <w:pStyle w:val="Tabletext"/>
              <w:keepNext/>
              <w:jc w:val="center"/>
            </w:pPr>
            <w:r w:rsidRPr="00DB5754">
              <w:t>$76.59</w:t>
            </w:r>
          </w:p>
        </w:tc>
      </w:tr>
      <w:tr w:rsidR="001B094D" w:rsidRPr="00FE747C" w:rsidTr="004D4F36">
        <w:tc>
          <w:tcPr>
            <w:tcW w:w="1731" w:type="pct"/>
          </w:tcPr>
          <w:p w:rsidR="001B094D" w:rsidRPr="00FE747C" w:rsidRDefault="001B094D" w:rsidP="004D4F36">
            <w:pPr>
              <w:pStyle w:val="Tabletext"/>
              <w:keepNext/>
            </w:pPr>
            <w:r w:rsidRPr="00FE747C">
              <w:t>Total medicine cost per week</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w:t>
            </w:r>
            <w:r w:rsidR="00A662CC">
              <w:rPr>
                <w:noProof/>
                <w:color w:val="000000"/>
                <w:highlight w:val="black"/>
              </w:rPr>
              <w:t>''''''''''''''</w:t>
            </w:r>
          </w:p>
          <w:p w:rsidR="001B094D" w:rsidRPr="00DB5754" w:rsidRDefault="001B094D" w:rsidP="004D4F36">
            <w:pPr>
              <w:pStyle w:val="Tabletext"/>
              <w:keepNext/>
              <w:jc w:val="center"/>
            </w:pPr>
            <w:r w:rsidRPr="00940072">
              <w:t>$</w:t>
            </w:r>
            <w:r w:rsidR="00A662CC">
              <w:rPr>
                <w:noProof/>
                <w:color w:val="000000"/>
                <w:highlight w:val="black"/>
              </w:rPr>
              <w:t>'''''''''''''</w:t>
            </w:r>
          </w:p>
        </w:tc>
        <w:tc>
          <w:tcPr>
            <w:tcW w:w="1617" w:type="pct"/>
          </w:tcPr>
          <w:p w:rsidR="001B094D" w:rsidRPr="00C41C53" w:rsidRDefault="001B094D" w:rsidP="004D4F36">
            <w:pPr>
              <w:pStyle w:val="Tabletext"/>
              <w:keepNext/>
              <w:jc w:val="center"/>
            </w:pPr>
            <w:r w:rsidRPr="00C41C53">
              <w:t>$27.09</w:t>
            </w:r>
          </w:p>
          <w:p w:rsidR="001B094D" w:rsidRPr="00940072" w:rsidRDefault="001B094D" w:rsidP="004D4F36">
            <w:pPr>
              <w:pStyle w:val="Tabletext"/>
              <w:keepNext/>
              <w:jc w:val="center"/>
            </w:pPr>
            <w:r w:rsidRPr="00940072">
              <w:t>$24.59</w:t>
            </w:r>
          </w:p>
        </w:tc>
      </w:tr>
      <w:tr w:rsidR="001B094D" w:rsidRPr="00FE747C" w:rsidTr="004D4F36">
        <w:tc>
          <w:tcPr>
            <w:tcW w:w="1731" w:type="pct"/>
          </w:tcPr>
          <w:p w:rsidR="001B094D" w:rsidRPr="00FE747C" w:rsidRDefault="001B094D" w:rsidP="004D4F36">
            <w:pPr>
              <w:pStyle w:val="Tabletext"/>
              <w:keepNext/>
            </w:pPr>
            <w:r w:rsidRPr="00FE747C">
              <w:t xml:space="preserve">Cost per year </w:t>
            </w:r>
          </w:p>
          <w:p w:rsidR="001B094D" w:rsidRPr="00DB5754" w:rsidRDefault="001B094D" w:rsidP="004D4F36">
            <w:pPr>
              <w:pStyle w:val="Tabletext"/>
              <w:keepNext/>
            </w:pPr>
            <w:r w:rsidRPr="00940072">
              <w:t>Revised*</w:t>
            </w:r>
          </w:p>
        </w:tc>
        <w:tc>
          <w:tcPr>
            <w:tcW w:w="1652" w:type="pct"/>
          </w:tcPr>
          <w:p w:rsidR="001B094D" w:rsidRPr="00C41C53" w:rsidRDefault="001B094D" w:rsidP="004D4F36">
            <w:pPr>
              <w:pStyle w:val="Tabletext"/>
              <w:keepNext/>
              <w:jc w:val="center"/>
            </w:pPr>
            <w:r w:rsidRPr="00C41C53">
              <w:t>$</w:t>
            </w:r>
            <w:r w:rsidR="00A662CC">
              <w:rPr>
                <w:noProof/>
                <w:color w:val="000000"/>
                <w:highlight w:val="black"/>
              </w:rPr>
              <w:t>''''''''''''''''''''''</w:t>
            </w:r>
          </w:p>
          <w:p w:rsidR="001B094D" w:rsidRPr="00940072" w:rsidRDefault="001B094D" w:rsidP="004D4F36">
            <w:pPr>
              <w:pStyle w:val="Tabletext"/>
              <w:keepNext/>
              <w:jc w:val="center"/>
            </w:pPr>
            <w:r w:rsidRPr="00940072">
              <w:t>$</w:t>
            </w:r>
            <w:r w:rsidR="00A662CC">
              <w:rPr>
                <w:noProof/>
                <w:color w:val="000000"/>
                <w:highlight w:val="black"/>
              </w:rPr>
              <w:t>''''''''''''''''''''</w:t>
            </w:r>
          </w:p>
        </w:tc>
        <w:tc>
          <w:tcPr>
            <w:tcW w:w="1617" w:type="pct"/>
          </w:tcPr>
          <w:p w:rsidR="001B094D" w:rsidRPr="00DB5754" w:rsidRDefault="001B094D" w:rsidP="004D4F36">
            <w:pPr>
              <w:pStyle w:val="Tabletext"/>
              <w:keepNext/>
              <w:jc w:val="center"/>
            </w:pPr>
            <w:r w:rsidRPr="00DB5754">
              <w:t>$1,412.33</w:t>
            </w:r>
          </w:p>
          <w:p w:rsidR="001B094D" w:rsidRPr="00940072" w:rsidRDefault="001B094D" w:rsidP="004D4F36">
            <w:pPr>
              <w:pStyle w:val="Tabletext"/>
              <w:keepNext/>
              <w:jc w:val="center"/>
            </w:pPr>
            <w:r w:rsidRPr="00940072">
              <w:t>$1,282.24</w:t>
            </w:r>
          </w:p>
        </w:tc>
      </w:tr>
    </w:tbl>
    <w:p w:rsidR="001B094D" w:rsidRDefault="0059211C" w:rsidP="001B094D">
      <w:pPr>
        <w:pStyle w:val="TableFooter"/>
      </w:pPr>
      <w:r w:rsidRPr="009753F2">
        <w:rPr>
          <w:rStyle w:val="TableFooterChar"/>
        </w:rPr>
        <w:t>Abbreviations</w:t>
      </w:r>
      <w:r>
        <w:rPr>
          <w:rStyle w:val="TableFooterChar"/>
        </w:rPr>
        <w:t xml:space="preserve">: </w:t>
      </w:r>
      <w:r w:rsidR="001B094D">
        <w:rPr>
          <w:szCs w:val="18"/>
        </w:rPr>
        <w:t xml:space="preserve">DPMQ = dispensed price for maximum quantity; </w:t>
      </w:r>
      <w:r w:rsidR="001B094D">
        <w:t>EMP = ex-manufacturer price; EP = enhanced permeation</w:t>
      </w:r>
    </w:p>
    <w:p w:rsidR="001B094D" w:rsidRPr="00C3391A" w:rsidRDefault="001B094D" w:rsidP="001B094D">
      <w:pPr>
        <w:pStyle w:val="TableFooter"/>
      </w:pPr>
      <w:r w:rsidRPr="00C3391A">
        <w:t xml:space="preserve">* Figures in italics were calculated using the average dose for testosterone 1% gel calculated in </w:t>
      </w:r>
      <w:r w:rsidR="00AB4F41" w:rsidRPr="00C3391A">
        <w:t>Table 6</w:t>
      </w:r>
      <w:r w:rsidRPr="00C3391A">
        <w:t xml:space="preserve"> assuming that the pump in the multi-dose bottles used in </w:t>
      </w:r>
      <w:proofErr w:type="spellStart"/>
      <w:r w:rsidRPr="00C3391A">
        <w:t>Swerdloff</w:t>
      </w:r>
      <w:proofErr w:type="spellEnd"/>
      <w:r w:rsidRPr="00C3391A">
        <w:t xml:space="preserve"> 2000 dispensed 22.7 mg of testosterone per actuation.</w:t>
      </w:r>
    </w:p>
    <w:p w:rsidR="001B094D" w:rsidRDefault="001B094D" w:rsidP="001B094D">
      <w:pPr>
        <w:pStyle w:val="TableFooter"/>
      </w:pPr>
      <w:r>
        <w:t>Source: Table 3.4-2, p84 of the submission; Excel workbook ‘TESTAVAN (testosterone) Section 3.xlsx.’</w:t>
      </w:r>
    </w:p>
    <w:p w:rsidR="001B094D" w:rsidRPr="00F77C40" w:rsidRDefault="001B094D" w:rsidP="001B094D">
      <w:pPr>
        <w:rPr>
          <w:rFonts w:ascii="Arial Narrow" w:hAnsi="Arial Narrow"/>
          <w:sz w:val="18"/>
          <w:szCs w:val="18"/>
        </w:rPr>
      </w:pPr>
    </w:p>
    <w:p w:rsidR="001B094D" w:rsidRPr="00A662CC" w:rsidRDefault="001B094D" w:rsidP="00270C97">
      <w:pPr>
        <w:pStyle w:val="Heading2"/>
        <w:keepNext/>
        <w:spacing w:after="120"/>
      </w:pPr>
      <w:bookmarkStart w:id="29" w:name="_Toc523307112"/>
      <w:r w:rsidRPr="002C2775">
        <w:t>Drug cost/patient/</w:t>
      </w:r>
      <w:bookmarkEnd w:id="28"/>
      <w:r>
        <w:t>year: $</w:t>
      </w:r>
      <w:bookmarkEnd w:id="29"/>
      <w:r w:rsidR="00A662CC">
        <w:rPr>
          <w:noProof/>
          <w:color w:val="000000"/>
          <w:highlight w:val="black"/>
        </w:rPr>
        <w:t xml:space="preserve">'''''''''''''''' </w:t>
      </w:r>
    </w:p>
    <w:p w:rsidR="001B094D" w:rsidRPr="00B6309C" w:rsidRDefault="001B094D" w:rsidP="00B068D3">
      <w:pPr>
        <w:pStyle w:val="ListParagraph"/>
        <w:widowControl/>
        <w:numPr>
          <w:ilvl w:val="1"/>
          <w:numId w:val="1"/>
        </w:numPr>
      </w:pPr>
      <w:r>
        <w:t>This was based on the estimated dispensed price for maximum quantity (DPMQ) of $</w:t>
      </w:r>
      <w:r w:rsidR="00A662CC">
        <w:rPr>
          <w:noProof/>
          <w:color w:val="000000"/>
          <w:highlight w:val="black"/>
        </w:rPr>
        <w:t>'''''''''''</w:t>
      </w:r>
      <w:r>
        <w:t xml:space="preserve"> for a pump pack dispensing 1,288 mg of testosterone (56 metered doses, each containing 23 mg of testosterone), which is sufficient for, on average, 21.4 days of </w:t>
      </w:r>
      <w:r>
        <w:lastRenderedPageBreak/>
        <w:t>therapy. This compared to a cost of $1,412.33/patient/year for testosterone 1% gel, based on the DPMQ of $76.59 for 1 pump pack dispensing 1,500 mg testosterone (12.5 mg testosterone per pump actuation, 2 x 60 actuations), which is sufficient, on average for 19.8 days of therapy</w:t>
      </w:r>
      <w:r w:rsidRPr="00CF7269">
        <w:rPr>
          <w:i/>
        </w:rPr>
        <w:t>.</w:t>
      </w:r>
      <w:r>
        <w:rPr>
          <w:i/>
        </w:rPr>
        <w:t xml:space="preserve"> </w:t>
      </w:r>
    </w:p>
    <w:p w:rsidR="001B094D" w:rsidRPr="00C9624D" w:rsidRDefault="001B094D" w:rsidP="00F77C40">
      <w:pPr>
        <w:pStyle w:val="Heading2"/>
        <w:spacing w:after="120"/>
      </w:pPr>
      <w:bookmarkStart w:id="30" w:name="_Toc523307113"/>
      <w:r w:rsidRPr="00C9624D">
        <w:t>Estimated PBS usage &amp; financial implications</w:t>
      </w:r>
      <w:bookmarkEnd w:id="27"/>
      <w:bookmarkEnd w:id="30"/>
    </w:p>
    <w:p w:rsidR="001B094D" w:rsidRPr="00C3391A" w:rsidRDefault="001B094D" w:rsidP="00B068D3">
      <w:pPr>
        <w:pStyle w:val="ListParagraph"/>
        <w:widowControl/>
        <w:numPr>
          <w:ilvl w:val="1"/>
          <w:numId w:val="1"/>
        </w:numPr>
      </w:pPr>
      <w:r w:rsidRPr="00C3391A">
        <w:t>This submission was not considered by DUSC.</w:t>
      </w:r>
    </w:p>
    <w:p w:rsidR="001B094D" w:rsidRPr="00C3391A" w:rsidRDefault="001B094D" w:rsidP="00B068D3">
      <w:pPr>
        <w:pStyle w:val="ListParagraph"/>
        <w:widowControl/>
        <w:numPr>
          <w:ilvl w:val="1"/>
          <w:numId w:val="1"/>
        </w:numPr>
      </w:pPr>
      <w:r w:rsidRPr="00C3391A">
        <w:t xml:space="preserve">The submission took a market share approach to estimate the use of testosterone 2% EP gel, should it be listed on the PBS. </w:t>
      </w:r>
    </w:p>
    <w:p w:rsidR="001B094D" w:rsidRPr="00C3391A" w:rsidRDefault="001B094D" w:rsidP="00B068D3">
      <w:pPr>
        <w:pStyle w:val="ListParagraph"/>
        <w:widowControl/>
        <w:numPr>
          <w:ilvl w:val="1"/>
          <w:numId w:val="1"/>
        </w:numPr>
      </w:pPr>
      <w:r w:rsidRPr="00C3391A">
        <w:t>The submission used an ex-manufacturer price (EMP) of $</w:t>
      </w:r>
      <w:r w:rsidR="00A662CC">
        <w:rPr>
          <w:noProof/>
          <w:color w:val="000000"/>
          <w:highlight w:val="black"/>
        </w:rPr>
        <w:t>'''''''''''</w:t>
      </w:r>
      <w:r w:rsidRPr="00C3391A">
        <w:t xml:space="preserve"> for testosterone 2% EP gel (DPMQ $</w:t>
      </w:r>
      <w:r w:rsidR="00A662CC">
        <w:rPr>
          <w:noProof/>
          <w:color w:val="000000"/>
          <w:highlight w:val="black"/>
        </w:rPr>
        <w:t>'''''''''''</w:t>
      </w:r>
      <w:r w:rsidRPr="00C3391A">
        <w:t>), rather than the EMP of $</w:t>
      </w:r>
      <w:r w:rsidR="00A662CC">
        <w:rPr>
          <w:noProof/>
          <w:color w:val="000000"/>
          <w:highlight w:val="black"/>
        </w:rPr>
        <w:t>'''''''''''</w:t>
      </w:r>
      <w:r w:rsidRPr="00C3391A">
        <w:t xml:space="preserve"> (DPMQ $</w:t>
      </w:r>
      <w:r w:rsidR="00A662CC">
        <w:rPr>
          <w:noProof/>
          <w:color w:val="000000"/>
          <w:highlight w:val="black"/>
        </w:rPr>
        <w:t>'''''''''''</w:t>
      </w:r>
      <w:r w:rsidRPr="00C3391A">
        <w:t xml:space="preserve">) derived in the cost-minimisation analysis presented </w:t>
      </w:r>
      <w:r w:rsidR="00116DD4" w:rsidRPr="00C3391A">
        <w:t>in the submission</w:t>
      </w:r>
      <w:r w:rsidRPr="00C3391A">
        <w:t>. The financial implications were recalculated during the evaluation, using an EMP of $</w:t>
      </w:r>
      <w:r w:rsidR="00A662CC">
        <w:rPr>
          <w:noProof/>
          <w:color w:val="000000"/>
          <w:highlight w:val="black"/>
        </w:rPr>
        <w:t>''''''''''</w:t>
      </w:r>
      <w:r w:rsidRPr="00C3391A">
        <w:t xml:space="preserve"> for testosterone 2% EP gel, and the results are presented in </w:t>
      </w:r>
      <w:r w:rsidR="00AB4F41" w:rsidRPr="00C3391A">
        <w:t>Table 8</w:t>
      </w:r>
      <w:r w:rsidRPr="00C3391A">
        <w:t>.</w:t>
      </w:r>
    </w:p>
    <w:p w:rsidR="001B094D" w:rsidRPr="00B201A4" w:rsidRDefault="001B094D" w:rsidP="00B068D3">
      <w:pPr>
        <w:pStyle w:val="ListParagraph"/>
        <w:widowControl/>
        <w:numPr>
          <w:ilvl w:val="1"/>
          <w:numId w:val="1"/>
        </w:numPr>
      </w:pPr>
      <w:r>
        <w:t>The estimated use and financial implications of listing testosterone 2% EP gel are summarised below.</w:t>
      </w:r>
    </w:p>
    <w:p w:rsidR="001B094D" w:rsidRPr="00B04B65" w:rsidRDefault="001B094D" w:rsidP="001B094D">
      <w:pPr>
        <w:pStyle w:val="Caption"/>
        <w:rPr>
          <w:rStyle w:val="CommentReference"/>
          <w:b/>
        </w:rPr>
      </w:pPr>
      <w:bookmarkStart w:id="31" w:name="_Ref523296152"/>
      <w:r w:rsidRPr="00B04B65">
        <w:rPr>
          <w:rStyle w:val="CommentReference"/>
          <w:b/>
        </w:rPr>
        <w:t xml:space="preserve">Table </w:t>
      </w:r>
      <w:r w:rsidR="00AB4F41">
        <w:rPr>
          <w:rStyle w:val="CommentReference"/>
          <w:b/>
          <w:noProof/>
        </w:rPr>
        <w:t>8</w:t>
      </w:r>
      <w:bookmarkEnd w:id="31"/>
      <w:r w:rsidRPr="00B04B65">
        <w:rPr>
          <w:rStyle w:val="CommentReference"/>
          <w:b/>
        </w:rPr>
        <w:t>: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00"/>
        <w:gridCol w:w="1156"/>
        <w:gridCol w:w="1157"/>
        <w:gridCol w:w="1157"/>
        <w:gridCol w:w="1157"/>
        <w:gridCol w:w="1157"/>
        <w:gridCol w:w="1155"/>
      </w:tblGrid>
      <w:tr w:rsidR="001B094D" w:rsidRPr="00FE747C" w:rsidTr="00A7369A">
        <w:trPr>
          <w:tblHeader/>
        </w:trPr>
        <w:tc>
          <w:tcPr>
            <w:tcW w:w="1119" w:type="pct"/>
            <w:shd w:val="clear" w:color="auto" w:fill="auto"/>
            <w:vAlign w:val="center"/>
          </w:tcPr>
          <w:p w:rsidR="001B094D" w:rsidRPr="00DB5754" w:rsidRDefault="001B094D" w:rsidP="00A7369A">
            <w:pPr>
              <w:pStyle w:val="Tabletext"/>
            </w:pPr>
          </w:p>
        </w:tc>
        <w:tc>
          <w:tcPr>
            <w:tcW w:w="647" w:type="pct"/>
            <w:shd w:val="clear" w:color="auto" w:fill="auto"/>
            <w:vAlign w:val="center"/>
          </w:tcPr>
          <w:p w:rsidR="001B094D" w:rsidRPr="00C41C53" w:rsidRDefault="001B094D" w:rsidP="00A7369A">
            <w:pPr>
              <w:pStyle w:val="Tabletext"/>
              <w:jc w:val="center"/>
              <w:rPr>
                <w:b/>
              </w:rPr>
            </w:pPr>
            <w:r w:rsidRPr="00C41C53">
              <w:rPr>
                <w:b/>
              </w:rPr>
              <w:t>Year 1</w:t>
            </w:r>
          </w:p>
        </w:tc>
        <w:tc>
          <w:tcPr>
            <w:tcW w:w="647" w:type="pct"/>
            <w:shd w:val="clear" w:color="auto" w:fill="auto"/>
            <w:vAlign w:val="center"/>
          </w:tcPr>
          <w:p w:rsidR="001B094D" w:rsidRPr="00FE747C" w:rsidRDefault="001B094D" w:rsidP="00A7369A">
            <w:pPr>
              <w:pStyle w:val="Tabletext"/>
              <w:jc w:val="center"/>
              <w:rPr>
                <w:b/>
              </w:rPr>
            </w:pPr>
            <w:r w:rsidRPr="00FE747C">
              <w:rPr>
                <w:b/>
              </w:rPr>
              <w:t>Year 2</w:t>
            </w:r>
          </w:p>
        </w:tc>
        <w:tc>
          <w:tcPr>
            <w:tcW w:w="647" w:type="pct"/>
            <w:shd w:val="clear" w:color="auto" w:fill="auto"/>
            <w:vAlign w:val="center"/>
          </w:tcPr>
          <w:p w:rsidR="001B094D" w:rsidRPr="00FE747C" w:rsidRDefault="001B094D" w:rsidP="00A7369A">
            <w:pPr>
              <w:pStyle w:val="Tabletext"/>
              <w:jc w:val="center"/>
              <w:rPr>
                <w:b/>
              </w:rPr>
            </w:pPr>
            <w:r w:rsidRPr="00FE747C">
              <w:rPr>
                <w:b/>
              </w:rPr>
              <w:t>Year 3</w:t>
            </w:r>
          </w:p>
        </w:tc>
        <w:tc>
          <w:tcPr>
            <w:tcW w:w="647" w:type="pct"/>
            <w:shd w:val="clear" w:color="auto" w:fill="auto"/>
            <w:vAlign w:val="center"/>
          </w:tcPr>
          <w:p w:rsidR="001B094D" w:rsidRPr="00FE747C" w:rsidRDefault="001B094D" w:rsidP="00A7369A">
            <w:pPr>
              <w:pStyle w:val="Tabletext"/>
              <w:jc w:val="center"/>
              <w:rPr>
                <w:b/>
              </w:rPr>
            </w:pPr>
            <w:r w:rsidRPr="00FE747C">
              <w:rPr>
                <w:b/>
              </w:rPr>
              <w:t>Year 4</w:t>
            </w:r>
          </w:p>
        </w:tc>
        <w:tc>
          <w:tcPr>
            <w:tcW w:w="647" w:type="pct"/>
            <w:shd w:val="clear" w:color="auto" w:fill="auto"/>
            <w:vAlign w:val="center"/>
          </w:tcPr>
          <w:p w:rsidR="001B094D" w:rsidRPr="00FE747C" w:rsidRDefault="001B094D" w:rsidP="00A7369A">
            <w:pPr>
              <w:pStyle w:val="Tabletext"/>
              <w:jc w:val="center"/>
              <w:rPr>
                <w:b/>
              </w:rPr>
            </w:pPr>
            <w:r w:rsidRPr="00FE747C">
              <w:rPr>
                <w:b/>
              </w:rPr>
              <w:t>Year 5</w:t>
            </w:r>
          </w:p>
        </w:tc>
        <w:tc>
          <w:tcPr>
            <w:tcW w:w="646" w:type="pct"/>
          </w:tcPr>
          <w:p w:rsidR="001B094D" w:rsidRPr="00FE747C" w:rsidRDefault="001B094D" w:rsidP="00A7369A">
            <w:pPr>
              <w:pStyle w:val="Tabletext"/>
              <w:jc w:val="center"/>
              <w:rPr>
                <w:b/>
              </w:rPr>
            </w:pPr>
            <w:r w:rsidRPr="00FE747C">
              <w:rPr>
                <w:b/>
              </w:rPr>
              <w:t>Year 6</w:t>
            </w:r>
          </w:p>
        </w:tc>
      </w:tr>
      <w:tr w:rsidR="001B094D" w:rsidRPr="00FE747C" w:rsidTr="00A7369A">
        <w:tc>
          <w:tcPr>
            <w:tcW w:w="5000" w:type="pct"/>
            <w:gridSpan w:val="7"/>
            <w:shd w:val="clear" w:color="auto" w:fill="auto"/>
            <w:vAlign w:val="center"/>
          </w:tcPr>
          <w:p w:rsidR="001B094D" w:rsidRPr="00FE747C" w:rsidRDefault="001B094D" w:rsidP="00A7369A">
            <w:pPr>
              <w:pStyle w:val="Tabletext"/>
              <w:rPr>
                <w:b/>
                <w:bCs/>
                <w:color w:val="000000"/>
              </w:rPr>
            </w:pPr>
            <w:r w:rsidRPr="00FE747C">
              <w:rPr>
                <w:b/>
                <w:bCs/>
                <w:color w:val="000000"/>
              </w:rPr>
              <w:t>Estimated extent of use</w:t>
            </w:r>
          </w:p>
        </w:tc>
      </w:tr>
      <w:tr w:rsidR="001B094D" w:rsidRPr="00FE747C" w:rsidTr="00A7369A">
        <w:tc>
          <w:tcPr>
            <w:tcW w:w="1119" w:type="pct"/>
            <w:shd w:val="clear" w:color="auto" w:fill="auto"/>
            <w:vAlign w:val="center"/>
          </w:tcPr>
          <w:p w:rsidR="001B094D" w:rsidRPr="00FE747C" w:rsidRDefault="001B094D" w:rsidP="00A7369A">
            <w:pPr>
              <w:pStyle w:val="Tabletext"/>
              <w:rPr>
                <w:rFonts w:ascii="Times" w:hAnsi="Times"/>
              </w:rPr>
            </w:pPr>
            <w:r w:rsidRPr="00FE747C">
              <w:t>Number of prescriptions</w:t>
            </w:r>
          </w:p>
        </w:tc>
        <w:tc>
          <w:tcPr>
            <w:tcW w:w="647" w:type="pct"/>
          </w:tcPr>
          <w:p w:rsidR="001B094D" w:rsidRPr="00A662CC" w:rsidRDefault="00A662CC" w:rsidP="00A7369A">
            <w:pPr>
              <w:pStyle w:val="Tabletext"/>
              <w:jc w:val="center"/>
              <w:rPr>
                <w:bCs/>
                <w:color w:val="000000"/>
                <w:highlight w:val="black"/>
              </w:rPr>
            </w:pPr>
            <w:r>
              <w:rPr>
                <w:rFonts w:eastAsia="Calibri"/>
                <w:noProof/>
                <w:color w:val="000000"/>
                <w:highlight w:val="black"/>
                <w:lang w:eastAsia="en-AU"/>
              </w:rPr>
              <w:t>''''''''''''''</w:t>
            </w:r>
          </w:p>
        </w:tc>
        <w:tc>
          <w:tcPr>
            <w:tcW w:w="647" w:type="pct"/>
          </w:tcPr>
          <w:p w:rsidR="001B094D" w:rsidRPr="00A662CC" w:rsidRDefault="00A662CC" w:rsidP="00A7369A">
            <w:pPr>
              <w:pStyle w:val="Tabletext"/>
              <w:jc w:val="center"/>
              <w:rPr>
                <w:bCs/>
                <w:color w:val="000000"/>
                <w:highlight w:val="black"/>
              </w:rPr>
            </w:pPr>
            <w:r>
              <w:rPr>
                <w:rFonts w:eastAsia="Calibri"/>
                <w:noProof/>
                <w:color w:val="000000"/>
                <w:highlight w:val="black"/>
                <w:lang w:eastAsia="en-AU"/>
              </w:rPr>
              <w:t>'''''''''''''''</w:t>
            </w:r>
          </w:p>
        </w:tc>
        <w:tc>
          <w:tcPr>
            <w:tcW w:w="647" w:type="pct"/>
          </w:tcPr>
          <w:p w:rsidR="001B094D" w:rsidRPr="00A662CC" w:rsidRDefault="00A662CC" w:rsidP="00A7369A">
            <w:pPr>
              <w:pStyle w:val="Tabletext"/>
              <w:jc w:val="center"/>
              <w:rPr>
                <w:bCs/>
                <w:color w:val="000000"/>
                <w:highlight w:val="black"/>
              </w:rPr>
            </w:pPr>
            <w:r>
              <w:rPr>
                <w:rFonts w:eastAsia="Calibri"/>
                <w:noProof/>
                <w:color w:val="000000"/>
                <w:highlight w:val="black"/>
                <w:lang w:eastAsia="en-AU"/>
              </w:rPr>
              <w:t>''''''''''''''''</w:t>
            </w:r>
          </w:p>
        </w:tc>
        <w:tc>
          <w:tcPr>
            <w:tcW w:w="647" w:type="pct"/>
          </w:tcPr>
          <w:p w:rsidR="001B094D" w:rsidRPr="00A662CC" w:rsidRDefault="00A662CC" w:rsidP="00A7369A">
            <w:pPr>
              <w:pStyle w:val="Tabletext"/>
              <w:jc w:val="center"/>
              <w:rPr>
                <w:bCs/>
                <w:color w:val="000000"/>
                <w:highlight w:val="black"/>
              </w:rPr>
            </w:pPr>
            <w:r>
              <w:rPr>
                <w:rFonts w:eastAsia="Calibri"/>
                <w:noProof/>
                <w:color w:val="000000"/>
                <w:highlight w:val="black"/>
                <w:lang w:eastAsia="en-AU"/>
              </w:rPr>
              <w:t>''''''''''''''''</w:t>
            </w:r>
          </w:p>
        </w:tc>
        <w:tc>
          <w:tcPr>
            <w:tcW w:w="647" w:type="pct"/>
          </w:tcPr>
          <w:p w:rsidR="001B094D" w:rsidRPr="00A662CC" w:rsidRDefault="00A662CC" w:rsidP="00A7369A">
            <w:pPr>
              <w:pStyle w:val="Tabletext"/>
              <w:jc w:val="center"/>
              <w:rPr>
                <w:bCs/>
                <w:color w:val="000000"/>
                <w:highlight w:val="black"/>
              </w:rPr>
            </w:pPr>
            <w:r>
              <w:rPr>
                <w:rFonts w:eastAsia="Calibri"/>
                <w:noProof/>
                <w:color w:val="000000"/>
                <w:highlight w:val="black"/>
                <w:lang w:eastAsia="en-AU"/>
              </w:rPr>
              <w:t>'''''''''''''''''</w:t>
            </w:r>
          </w:p>
        </w:tc>
        <w:tc>
          <w:tcPr>
            <w:tcW w:w="646" w:type="pct"/>
          </w:tcPr>
          <w:p w:rsidR="001B094D" w:rsidRPr="00A662CC" w:rsidRDefault="00A662CC" w:rsidP="00A7369A">
            <w:pPr>
              <w:pStyle w:val="Tabletext"/>
              <w:jc w:val="center"/>
              <w:rPr>
                <w:bCs/>
                <w:color w:val="000000"/>
                <w:highlight w:val="black"/>
              </w:rPr>
            </w:pPr>
            <w:r>
              <w:rPr>
                <w:rFonts w:eastAsia="Calibri"/>
                <w:noProof/>
                <w:color w:val="000000"/>
                <w:highlight w:val="black"/>
                <w:lang w:eastAsia="en-AU"/>
              </w:rPr>
              <w:t>''''''''''''''''</w:t>
            </w:r>
          </w:p>
        </w:tc>
      </w:tr>
      <w:tr w:rsidR="001B094D" w:rsidRPr="00FE747C" w:rsidTr="00A7369A">
        <w:tc>
          <w:tcPr>
            <w:tcW w:w="5000" w:type="pct"/>
            <w:gridSpan w:val="7"/>
            <w:tcBorders>
              <w:bottom w:val="single" w:sz="4" w:space="0" w:color="auto"/>
            </w:tcBorders>
            <w:shd w:val="clear" w:color="auto" w:fill="auto"/>
            <w:vAlign w:val="center"/>
          </w:tcPr>
          <w:p w:rsidR="001B094D" w:rsidRPr="00FE747C" w:rsidRDefault="001B094D" w:rsidP="00A7369A">
            <w:pPr>
              <w:pStyle w:val="Tabletext"/>
              <w:rPr>
                <w:b/>
                <w:bCs/>
                <w:color w:val="000000"/>
              </w:rPr>
            </w:pPr>
            <w:r w:rsidRPr="00FE747C">
              <w:rPr>
                <w:b/>
                <w:bCs/>
                <w:color w:val="000000"/>
              </w:rPr>
              <w:t>Estimated financial implications of testosterone 2% EP gel</w:t>
            </w:r>
          </w:p>
        </w:tc>
      </w:tr>
      <w:tr w:rsidR="001B094D" w:rsidRPr="00FE747C" w:rsidTr="00A7369A">
        <w:tc>
          <w:tcPr>
            <w:tcW w:w="1119" w:type="pct"/>
            <w:tcBorders>
              <w:bottom w:val="nil"/>
            </w:tcBorders>
            <w:shd w:val="clear" w:color="auto" w:fill="auto"/>
            <w:vAlign w:val="center"/>
          </w:tcPr>
          <w:p w:rsidR="001B094D" w:rsidRPr="00FE747C" w:rsidRDefault="001B094D" w:rsidP="00A7369A">
            <w:pPr>
              <w:pStyle w:val="Tabletext"/>
              <w:rPr>
                <w:rFonts w:ascii="Times" w:hAnsi="Times"/>
              </w:rPr>
            </w:pPr>
            <w:r w:rsidRPr="00FE747C">
              <w:rPr>
                <w:sz w:val="19"/>
                <w:szCs w:val="19"/>
              </w:rPr>
              <w:t>Cost to PBS/RPBS</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rFonts w:eastAsia="Calibri"/>
                <w:lang w:eastAsia="en-AU"/>
              </w:rPr>
              <w:t>$</w:t>
            </w:r>
            <w:r w:rsidR="00A662CC">
              <w:rPr>
                <w:rFonts w:eastAsia="Calibri"/>
                <w:noProof/>
                <w:color w:val="000000"/>
                <w:highlight w:val="black"/>
                <w:lang w:eastAsia="en-AU"/>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rFonts w:eastAsia="Calibri"/>
                <w:lang w:eastAsia="en-AU"/>
              </w:rPr>
              <w:t>$</w:t>
            </w:r>
            <w:r w:rsidR="00A662CC">
              <w:rPr>
                <w:rFonts w:eastAsia="Calibri"/>
                <w:noProof/>
                <w:color w:val="000000"/>
                <w:highlight w:val="black"/>
                <w:lang w:eastAsia="en-AU"/>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rFonts w:eastAsia="Calibri"/>
                <w:lang w:eastAsia="en-AU"/>
              </w:rPr>
              <w:t>$</w:t>
            </w:r>
            <w:r w:rsidR="00A662CC">
              <w:rPr>
                <w:rFonts w:eastAsia="Calibri"/>
                <w:noProof/>
                <w:color w:val="000000"/>
                <w:highlight w:val="black"/>
                <w:lang w:eastAsia="en-AU"/>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rFonts w:eastAsia="Calibri"/>
                <w:lang w:eastAsia="en-AU"/>
              </w:rPr>
              <w:t>$</w:t>
            </w:r>
            <w:r w:rsidR="00A662CC">
              <w:rPr>
                <w:rFonts w:eastAsia="Calibri"/>
                <w:noProof/>
                <w:color w:val="000000"/>
                <w:highlight w:val="black"/>
                <w:lang w:eastAsia="en-AU"/>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rFonts w:eastAsia="Calibri"/>
                <w:lang w:eastAsia="en-AU"/>
              </w:rPr>
              <w:t>$</w:t>
            </w:r>
            <w:r w:rsidR="00A662CC">
              <w:rPr>
                <w:rFonts w:eastAsia="Calibri"/>
                <w:noProof/>
                <w:color w:val="000000"/>
                <w:highlight w:val="black"/>
                <w:lang w:eastAsia="en-AU"/>
              </w:rPr>
              <w:t>''''''''''''''''''''''''''</w:t>
            </w:r>
          </w:p>
        </w:tc>
        <w:tc>
          <w:tcPr>
            <w:tcW w:w="646" w:type="pct"/>
            <w:tcBorders>
              <w:bottom w:val="nil"/>
            </w:tcBorders>
            <w:vAlign w:val="center"/>
          </w:tcPr>
          <w:p w:rsidR="001B094D" w:rsidRPr="00FE747C" w:rsidRDefault="001B094D" w:rsidP="00A7369A">
            <w:pPr>
              <w:pStyle w:val="Tabletext"/>
              <w:ind w:right="156"/>
              <w:jc w:val="right"/>
              <w:rPr>
                <w:bCs/>
                <w:color w:val="000000"/>
              </w:rPr>
            </w:pPr>
            <w:r w:rsidRPr="00FE747C">
              <w:rPr>
                <w:rFonts w:eastAsia="Calibri"/>
                <w:lang w:eastAsia="en-AU"/>
              </w:rPr>
              <w:t>$</w:t>
            </w:r>
            <w:r w:rsidR="00A662CC">
              <w:rPr>
                <w:rFonts w:eastAsia="Calibri"/>
                <w:noProof/>
                <w:color w:val="000000"/>
                <w:highlight w:val="black"/>
                <w:lang w:eastAsia="en-AU"/>
              </w:rPr>
              <w:t>'''''''''''''''''''''''''</w:t>
            </w:r>
          </w:p>
        </w:tc>
      </w:tr>
      <w:tr w:rsidR="001B094D" w:rsidRPr="00FE747C" w:rsidTr="00A7369A">
        <w:tc>
          <w:tcPr>
            <w:tcW w:w="1119" w:type="pct"/>
            <w:tcBorders>
              <w:top w:val="nil"/>
            </w:tcBorders>
            <w:shd w:val="clear" w:color="auto" w:fill="auto"/>
            <w:vAlign w:val="center"/>
          </w:tcPr>
          <w:p w:rsidR="001B094D" w:rsidRPr="00940072" w:rsidRDefault="001B094D" w:rsidP="00A7369A">
            <w:pPr>
              <w:pStyle w:val="Tabletext"/>
              <w:rPr>
                <w:sz w:val="19"/>
                <w:szCs w:val="19"/>
              </w:rPr>
            </w:pPr>
            <w:r w:rsidRPr="00940072">
              <w:rPr>
                <w:sz w:val="19"/>
                <w:szCs w:val="19"/>
              </w:rPr>
              <w:t>* Revised</w:t>
            </w:r>
          </w:p>
        </w:tc>
        <w:tc>
          <w:tcPr>
            <w:tcW w:w="647" w:type="pct"/>
            <w:tcBorders>
              <w:top w:val="nil"/>
            </w:tcBorders>
            <w:vAlign w:val="center"/>
          </w:tcPr>
          <w:p w:rsidR="001B094D" w:rsidRPr="00DB5754" w:rsidRDefault="001B094D" w:rsidP="00A7369A">
            <w:pPr>
              <w:pStyle w:val="Tabletext"/>
              <w:ind w:right="156"/>
              <w:jc w:val="right"/>
              <w:rPr>
                <w:rFonts w:eastAsia="Calibri"/>
                <w:lang w:eastAsia="en-AU"/>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rFonts w:eastAsia="Calibri"/>
                <w:lang w:eastAsia="en-AU"/>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rFonts w:eastAsia="Calibri"/>
                <w:lang w:eastAsia="en-AU"/>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rFonts w:eastAsia="Calibri"/>
                <w:lang w:eastAsia="en-AU"/>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rFonts w:eastAsia="Calibri"/>
                <w:lang w:eastAsia="en-AU"/>
              </w:rPr>
            </w:pPr>
            <w:r w:rsidRPr="00940072">
              <w:rPr>
                <w:rFonts w:eastAsia="Calibri"/>
                <w:lang w:eastAsia="en-AU"/>
              </w:rPr>
              <w:t>$</w:t>
            </w:r>
            <w:r w:rsidR="00A662CC">
              <w:rPr>
                <w:rFonts w:eastAsia="Calibri"/>
                <w:noProof/>
                <w:color w:val="000000"/>
                <w:highlight w:val="black"/>
                <w:lang w:eastAsia="en-AU"/>
              </w:rPr>
              <w:t>''''''''''''''''''''''''</w:t>
            </w:r>
          </w:p>
        </w:tc>
        <w:tc>
          <w:tcPr>
            <w:tcW w:w="646" w:type="pct"/>
            <w:tcBorders>
              <w:top w:val="nil"/>
            </w:tcBorders>
            <w:vAlign w:val="center"/>
          </w:tcPr>
          <w:p w:rsidR="001B094D" w:rsidRPr="00DB5754" w:rsidRDefault="001B094D" w:rsidP="00A7369A">
            <w:pPr>
              <w:pStyle w:val="Tabletext"/>
              <w:ind w:right="156"/>
              <w:jc w:val="right"/>
              <w:rPr>
                <w:rFonts w:eastAsia="Calibri"/>
                <w:lang w:eastAsia="en-AU"/>
              </w:rPr>
            </w:pPr>
            <w:r w:rsidRPr="00940072">
              <w:rPr>
                <w:rFonts w:eastAsia="Calibri"/>
                <w:lang w:eastAsia="en-AU"/>
              </w:rPr>
              <w:t>$</w:t>
            </w:r>
            <w:r w:rsidR="00A662CC">
              <w:rPr>
                <w:rFonts w:eastAsia="Calibri"/>
                <w:noProof/>
                <w:color w:val="000000"/>
                <w:highlight w:val="black"/>
                <w:lang w:eastAsia="en-AU"/>
              </w:rPr>
              <w:t>'''''''''''''''''''''''</w:t>
            </w:r>
          </w:p>
        </w:tc>
      </w:tr>
      <w:tr w:rsidR="001B094D" w:rsidRPr="00FE747C" w:rsidTr="00A7369A">
        <w:tc>
          <w:tcPr>
            <w:tcW w:w="1119" w:type="pct"/>
            <w:tcBorders>
              <w:bottom w:val="single" w:sz="4" w:space="0" w:color="auto"/>
            </w:tcBorders>
            <w:shd w:val="clear" w:color="auto" w:fill="auto"/>
            <w:vAlign w:val="center"/>
          </w:tcPr>
          <w:p w:rsidR="001B094D" w:rsidRPr="00FE747C" w:rsidRDefault="003D1716" w:rsidP="00A7369A">
            <w:pPr>
              <w:pStyle w:val="Tabletext"/>
              <w:rPr>
                <w:sz w:val="19"/>
                <w:szCs w:val="19"/>
              </w:rPr>
            </w:pPr>
            <w:r>
              <w:rPr>
                <w:sz w:val="19"/>
                <w:szCs w:val="19"/>
              </w:rPr>
              <w:t>Co</w:t>
            </w:r>
            <w:r w:rsidR="00737C8E" w:rsidRPr="00FE747C">
              <w:rPr>
                <w:sz w:val="19"/>
                <w:szCs w:val="19"/>
              </w:rPr>
              <w:t>payments</w:t>
            </w:r>
          </w:p>
        </w:tc>
        <w:tc>
          <w:tcPr>
            <w:tcW w:w="647" w:type="pct"/>
            <w:tcBorders>
              <w:bottom w:val="single" w:sz="4" w:space="0" w:color="auto"/>
            </w:tcBorders>
            <w:vAlign w:val="center"/>
          </w:tcPr>
          <w:p w:rsidR="001B094D" w:rsidRPr="00FE747C" w:rsidRDefault="001B094D" w:rsidP="00A7369A">
            <w:pPr>
              <w:pStyle w:val="Tabletext"/>
              <w:ind w:right="156"/>
              <w:jc w:val="right"/>
              <w:rPr>
                <w:bCs/>
                <w:color w:val="000000"/>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bottom w:val="single" w:sz="4" w:space="0" w:color="auto"/>
            </w:tcBorders>
            <w:vAlign w:val="center"/>
          </w:tcPr>
          <w:p w:rsidR="001B094D" w:rsidRPr="00FE747C" w:rsidRDefault="001B094D" w:rsidP="00A7369A">
            <w:pPr>
              <w:pStyle w:val="Tabletext"/>
              <w:ind w:right="156"/>
              <w:jc w:val="right"/>
              <w:rPr>
                <w:bCs/>
                <w:color w:val="000000"/>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bottom w:val="single" w:sz="4" w:space="0" w:color="auto"/>
            </w:tcBorders>
            <w:vAlign w:val="center"/>
          </w:tcPr>
          <w:p w:rsidR="001B094D" w:rsidRPr="00FE747C" w:rsidRDefault="001B094D" w:rsidP="00A7369A">
            <w:pPr>
              <w:pStyle w:val="Tabletext"/>
              <w:ind w:right="156"/>
              <w:jc w:val="right"/>
              <w:rPr>
                <w:bCs/>
                <w:color w:val="000000"/>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bottom w:val="single" w:sz="4" w:space="0" w:color="auto"/>
            </w:tcBorders>
            <w:vAlign w:val="center"/>
          </w:tcPr>
          <w:p w:rsidR="001B094D" w:rsidRPr="00FE747C" w:rsidRDefault="001B094D" w:rsidP="00A7369A">
            <w:pPr>
              <w:pStyle w:val="Tabletext"/>
              <w:ind w:right="156"/>
              <w:jc w:val="right"/>
              <w:rPr>
                <w:bCs/>
                <w:color w:val="000000"/>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bottom w:val="single" w:sz="4" w:space="0" w:color="auto"/>
            </w:tcBorders>
            <w:vAlign w:val="center"/>
          </w:tcPr>
          <w:p w:rsidR="001B094D" w:rsidRPr="00FE747C" w:rsidRDefault="001B094D" w:rsidP="00A7369A">
            <w:pPr>
              <w:pStyle w:val="Tabletext"/>
              <w:ind w:right="156"/>
              <w:jc w:val="right"/>
              <w:rPr>
                <w:bCs/>
                <w:color w:val="000000"/>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6" w:type="pct"/>
            <w:tcBorders>
              <w:bottom w:val="single" w:sz="4" w:space="0" w:color="auto"/>
            </w:tcBorders>
            <w:vAlign w:val="center"/>
          </w:tcPr>
          <w:p w:rsidR="001B094D" w:rsidRPr="00FE747C" w:rsidRDefault="001B094D" w:rsidP="00A7369A">
            <w:pPr>
              <w:pStyle w:val="Tabletext"/>
              <w:ind w:right="156"/>
              <w:jc w:val="right"/>
              <w:rPr>
                <w:bCs/>
                <w:color w:val="000000"/>
              </w:rPr>
            </w:pPr>
            <w:r w:rsidRPr="00FE747C">
              <w:rPr>
                <w:rFonts w:eastAsia="Calibri"/>
                <w:snapToGrid w:val="0"/>
                <w:lang w:eastAsia="en-AU"/>
              </w:rPr>
              <w:t>$</w:t>
            </w:r>
            <w:r w:rsidR="00A662CC">
              <w:rPr>
                <w:rFonts w:eastAsia="Calibri"/>
                <w:noProof/>
                <w:snapToGrid w:val="0"/>
                <w:color w:val="000000"/>
                <w:highlight w:val="black"/>
                <w:lang w:eastAsia="en-AU"/>
              </w:rPr>
              <w:t>'''''''''''''''''''</w:t>
            </w:r>
          </w:p>
        </w:tc>
      </w:tr>
      <w:tr w:rsidR="001B094D" w:rsidRPr="00FE747C" w:rsidTr="00A7369A">
        <w:tc>
          <w:tcPr>
            <w:tcW w:w="1119" w:type="pct"/>
            <w:tcBorders>
              <w:bottom w:val="nil"/>
            </w:tcBorders>
            <w:shd w:val="clear" w:color="auto" w:fill="auto"/>
            <w:vAlign w:val="center"/>
          </w:tcPr>
          <w:p w:rsidR="001B094D" w:rsidRPr="00FE747C" w:rsidRDefault="001B094D" w:rsidP="00A7369A">
            <w:pPr>
              <w:pStyle w:val="Tabletext"/>
              <w:rPr>
                <w:sz w:val="19"/>
                <w:szCs w:val="19"/>
              </w:rPr>
            </w:pPr>
            <w:r w:rsidRPr="00FE747C">
              <w:rPr>
                <w:sz w:val="19"/>
                <w:szCs w:val="19"/>
              </w:rPr>
              <w:t xml:space="preserve">Cost to PBS/RPBS less </w:t>
            </w:r>
            <w:r w:rsidR="003D1716">
              <w:rPr>
                <w:sz w:val="19"/>
                <w:szCs w:val="19"/>
              </w:rPr>
              <w:t>co</w:t>
            </w:r>
            <w:r w:rsidR="00737C8E" w:rsidRPr="00FE747C">
              <w:rPr>
                <w:sz w:val="19"/>
                <w:szCs w:val="19"/>
              </w:rPr>
              <w:t>payments</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bCs/>
              </w:rPr>
              <w:t>$</w:t>
            </w:r>
            <w:r w:rsidR="00A662CC">
              <w:rPr>
                <w:bCs/>
                <w:noProof/>
                <w:color w:val="000000"/>
                <w:highlight w:val="black"/>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bCs/>
              </w:rPr>
              <w:t>$</w:t>
            </w:r>
            <w:r w:rsidR="00A662CC">
              <w:rPr>
                <w:bCs/>
                <w:noProof/>
                <w:color w:val="000000"/>
                <w:highlight w:val="black"/>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bCs/>
              </w:rPr>
              <w:t>$</w:t>
            </w:r>
            <w:r w:rsidR="00A662CC">
              <w:rPr>
                <w:bCs/>
                <w:noProof/>
                <w:color w:val="000000"/>
                <w:highlight w:val="black"/>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bCs/>
              </w:rPr>
              <w:t>$</w:t>
            </w:r>
            <w:r w:rsidR="00A662CC">
              <w:rPr>
                <w:bCs/>
                <w:noProof/>
                <w:color w:val="000000"/>
                <w:highlight w:val="black"/>
              </w:rPr>
              <w:t>''''''''''''''''''''''''</w:t>
            </w:r>
          </w:p>
        </w:tc>
        <w:tc>
          <w:tcPr>
            <w:tcW w:w="647" w:type="pct"/>
            <w:tcBorders>
              <w:bottom w:val="nil"/>
            </w:tcBorders>
            <w:vAlign w:val="center"/>
          </w:tcPr>
          <w:p w:rsidR="001B094D" w:rsidRPr="00FE747C" w:rsidRDefault="001B094D" w:rsidP="00A7369A">
            <w:pPr>
              <w:pStyle w:val="Tabletext"/>
              <w:ind w:right="156"/>
              <w:jc w:val="right"/>
              <w:rPr>
                <w:bCs/>
                <w:color w:val="000000"/>
              </w:rPr>
            </w:pPr>
            <w:r w:rsidRPr="00FE747C">
              <w:rPr>
                <w:bCs/>
              </w:rPr>
              <w:t>$</w:t>
            </w:r>
            <w:r w:rsidR="00A662CC">
              <w:rPr>
                <w:bCs/>
                <w:noProof/>
                <w:color w:val="000000"/>
                <w:highlight w:val="black"/>
              </w:rPr>
              <w:t>'''''''''''''''''''''''</w:t>
            </w:r>
          </w:p>
        </w:tc>
        <w:tc>
          <w:tcPr>
            <w:tcW w:w="646" w:type="pct"/>
            <w:tcBorders>
              <w:bottom w:val="nil"/>
            </w:tcBorders>
            <w:vAlign w:val="center"/>
          </w:tcPr>
          <w:p w:rsidR="001B094D" w:rsidRPr="00FE747C" w:rsidRDefault="001B094D" w:rsidP="00A7369A">
            <w:pPr>
              <w:pStyle w:val="Tabletext"/>
              <w:ind w:right="156"/>
              <w:jc w:val="right"/>
              <w:rPr>
                <w:bCs/>
                <w:color w:val="000000"/>
              </w:rPr>
            </w:pPr>
            <w:r w:rsidRPr="00FE747C">
              <w:rPr>
                <w:bCs/>
              </w:rPr>
              <w:t>$</w:t>
            </w:r>
            <w:r w:rsidR="00A662CC">
              <w:rPr>
                <w:bCs/>
                <w:noProof/>
                <w:color w:val="000000"/>
                <w:highlight w:val="black"/>
              </w:rPr>
              <w:t>'''''''''''''''''''''''''</w:t>
            </w:r>
          </w:p>
        </w:tc>
      </w:tr>
      <w:tr w:rsidR="001B094D" w:rsidRPr="00FE747C" w:rsidTr="00A7369A">
        <w:tc>
          <w:tcPr>
            <w:tcW w:w="1119" w:type="pct"/>
            <w:tcBorders>
              <w:top w:val="nil"/>
            </w:tcBorders>
            <w:shd w:val="clear" w:color="auto" w:fill="auto"/>
            <w:vAlign w:val="center"/>
          </w:tcPr>
          <w:p w:rsidR="001B094D" w:rsidRPr="00940072" w:rsidRDefault="001B094D" w:rsidP="00A7369A">
            <w:pPr>
              <w:pStyle w:val="Tabletext"/>
              <w:rPr>
                <w:sz w:val="19"/>
                <w:szCs w:val="19"/>
              </w:rPr>
            </w:pPr>
            <w:r w:rsidRPr="00940072">
              <w:rPr>
                <w:sz w:val="19"/>
                <w:szCs w:val="19"/>
              </w:rPr>
              <w:t>* Revised</w:t>
            </w:r>
          </w:p>
        </w:tc>
        <w:tc>
          <w:tcPr>
            <w:tcW w:w="647" w:type="pct"/>
            <w:tcBorders>
              <w:top w:val="nil"/>
            </w:tcBorders>
            <w:vAlign w:val="center"/>
          </w:tcPr>
          <w:p w:rsidR="001B094D" w:rsidRPr="00DB5754" w:rsidRDefault="001B094D" w:rsidP="00A7369A">
            <w:pPr>
              <w:pStyle w:val="Tabletext"/>
              <w:ind w:right="156"/>
              <w:jc w:val="right"/>
              <w:rPr>
                <w:bCs/>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bCs/>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bCs/>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bCs/>
              </w:rPr>
            </w:pPr>
            <w:r w:rsidRPr="00940072">
              <w:rPr>
                <w:rFonts w:eastAsia="Calibri"/>
                <w:lang w:eastAsia="en-AU"/>
              </w:rPr>
              <w:t>$</w:t>
            </w:r>
            <w:r w:rsidR="00A662CC">
              <w:rPr>
                <w:rFonts w:eastAsia="Calibri"/>
                <w:noProof/>
                <w:color w:val="000000"/>
                <w:highlight w:val="black"/>
                <w:lang w:eastAsia="en-AU"/>
              </w:rPr>
              <w:t>'''''''''''''''''''''''''</w:t>
            </w:r>
          </w:p>
        </w:tc>
        <w:tc>
          <w:tcPr>
            <w:tcW w:w="647" w:type="pct"/>
            <w:tcBorders>
              <w:top w:val="nil"/>
            </w:tcBorders>
            <w:vAlign w:val="center"/>
          </w:tcPr>
          <w:p w:rsidR="001B094D" w:rsidRPr="00DB5754" w:rsidRDefault="001B094D" w:rsidP="00A7369A">
            <w:pPr>
              <w:pStyle w:val="Tabletext"/>
              <w:ind w:right="156"/>
              <w:jc w:val="right"/>
              <w:rPr>
                <w:bCs/>
              </w:rPr>
            </w:pPr>
            <w:r w:rsidRPr="00940072">
              <w:rPr>
                <w:rFonts w:eastAsia="Calibri"/>
                <w:lang w:eastAsia="en-AU"/>
              </w:rPr>
              <w:t>$</w:t>
            </w:r>
            <w:r w:rsidR="00A662CC">
              <w:rPr>
                <w:rFonts w:eastAsia="Calibri"/>
                <w:noProof/>
                <w:color w:val="000000"/>
                <w:highlight w:val="black"/>
                <w:lang w:eastAsia="en-AU"/>
              </w:rPr>
              <w:t>'''''''''''''''''''''</w:t>
            </w:r>
          </w:p>
        </w:tc>
        <w:tc>
          <w:tcPr>
            <w:tcW w:w="646" w:type="pct"/>
            <w:tcBorders>
              <w:top w:val="nil"/>
            </w:tcBorders>
            <w:vAlign w:val="center"/>
          </w:tcPr>
          <w:p w:rsidR="001B094D" w:rsidRPr="00DB5754" w:rsidRDefault="001B094D" w:rsidP="00A7369A">
            <w:pPr>
              <w:pStyle w:val="Tabletext"/>
              <w:ind w:right="156"/>
              <w:jc w:val="right"/>
              <w:rPr>
                <w:bCs/>
              </w:rPr>
            </w:pPr>
            <w:r w:rsidRPr="00940072">
              <w:rPr>
                <w:rFonts w:eastAsia="Calibri"/>
                <w:lang w:eastAsia="en-AU"/>
              </w:rPr>
              <w:t>$</w:t>
            </w:r>
            <w:r w:rsidR="00A662CC">
              <w:rPr>
                <w:rFonts w:eastAsia="Calibri"/>
                <w:noProof/>
                <w:color w:val="000000"/>
                <w:highlight w:val="black"/>
                <w:lang w:eastAsia="en-AU"/>
              </w:rPr>
              <w:t>'''''''''''''''''''''''''</w:t>
            </w:r>
          </w:p>
        </w:tc>
      </w:tr>
      <w:tr w:rsidR="001B094D" w:rsidRPr="00FE747C" w:rsidTr="00A7369A">
        <w:tc>
          <w:tcPr>
            <w:tcW w:w="5000" w:type="pct"/>
            <w:gridSpan w:val="7"/>
            <w:shd w:val="clear" w:color="auto" w:fill="auto"/>
            <w:vAlign w:val="center"/>
          </w:tcPr>
          <w:p w:rsidR="001B094D" w:rsidRPr="00FE747C" w:rsidRDefault="001B094D" w:rsidP="00A7369A">
            <w:pPr>
              <w:pStyle w:val="Tabletext"/>
              <w:rPr>
                <w:bCs/>
                <w:color w:val="000000"/>
              </w:rPr>
            </w:pPr>
            <w:r w:rsidRPr="00FE747C">
              <w:rPr>
                <w:b/>
                <w:bCs/>
                <w:color w:val="000000"/>
              </w:rPr>
              <w:t>Estimated financial implications for testosterone 1% gel and 5% cream</w:t>
            </w:r>
          </w:p>
        </w:tc>
      </w:tr>
      <w:tr w:rsidR="001B094D" w:rsidRPr="00FE747C" w:rsidTr="00A7369A">
        <w:tc>
          <w:tcPr>
            <w:tcW w:w="1119" w:type="pct"/>
            <w:shd w:val="clear" w:color="auto" w:fill="auto"/>
            <w:vAlign w:val="center"/>
          </w:tcPr>
          <w:p w:rsidR="001B094D" w:rsidRPr="00FE747C" w:rsidRDefault="001B094D" w:rsidP="00A7369A">
            <w:pPr>
              <w:pStyle w:val="Tabletext"/>
              <w:rPr>
                <w:sz w:val="19"/>
                <w:szCs w:val="19"/>
              </w:rPr>
            </w:pPr>
            <w:r w:rsidRPr="00FE747C">
              <w:rPr>
                <w:sz w:val="19"/>
                <w:szCs w:val="19"/>
              </w:rPr>
              <w:t>Saving to PBS/RPBS</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6"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r>
      <w:tr w:rsidR="001B094D" w:rsidRPr="00FE747C" w:rsidTr="00A7369A">
        <w:tc>
          <w:tcPr>
            <w:tcW w:w="1119" w:type="pct"/>
            <w:shd w:val="clear" w:color="auto" w:fill="auto"/>
            <w:vAlign w:val="center"/>
          </w:tcPr>
          <w:p w:rsidR="001B094D" w:rsidRPr="00FE747C" w:rsidRDefault="003D1716" w:rsidP="00A7369A">
            <w:pPr>
              <w:pStyle w:val="Tabletext"/>
              <w:rPr>
                <w:sz w:val="19"/>
                <w:szCs w:val="19"/>
              </w:rPr>
            </w:pPr>
            <w:r>
              <w:rPr>
                <w:sz w:val="19"/>
                <w:szCs w:val="19"/>
              </w:rPr>
              <w:t>Co</w:t>
            </w:r>
            <w:r w:rsidR="00737C8E" w:rsidRPr="00FE747C">
              <w:rPr>
                <w:sz w:val="19"/>
                <w:szCs w:val="19"/>
              </w:rPr>
              <w:t>payments</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6"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r>
      <w:tr w:rsidR="001B094D" w:rsidRPr="00FE747C" w:rsidTr="00A7369A">
        <w:tc>
          <w:tcPr>
            <w:tcW w:w="1119" w:type="pct"/>
            <w:shd w:val="clear" w:color="auto" w:fill="auto"/>
            <w:vAlign w:val="center"/>
          </w:tcPr>
          <w:p w:rsidR="001B094D" w:rsidRPr="00FE747C" w:rsidRDefault="001B094D" w:rsidP="00A7369A">
            <w:pPr>
              <w:pStyle w:val="Tabletext"/>
              <w:rPr>
                <w:sz w:val="19"/>
                <w:szCs w:val="19"/>
              </w:rPr>
            </w:pPr>
            <w:r w:rsidRPr="00FE747C">
              <w:rPr>
                <w:sz w:val="19"/>
                <w:szCs w:val="19"/>
              </w:rPr>
              <w:t xml:space="preserve">Saving to PBS/RPBS less </w:t>
            </w:r>
            <w:r w:rsidR="003D1716">
              <w:rPr>
                <w:sz w:val="19"/>
                <w:szCs w:val="19"/>
              </w:rPr>
              <w:t>co</w:t>
            </w:r>
            <w:r w:rsidR="00737C8E" w:rsidRPr="00FE747C">
              <w:rPr>
                <w:sz w:val="19"/>
                <w:szCs w:val="19"/>
              </w:rPr>
              <w:t>payments</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6" w:type="pct"/>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r>
      <w:tr w:rsidR="001B094D" w:rsidRPr="00FE747C" w:rsidTr="00A7369A">
        <w:tc>
          <w:tcPr>
            <w:tcW w:w="5000" w:type="pct"/>
            <w:gridSpan w:val="7"/>
            <w:tcBorders>
              <w:bottom w:val="single" w:sz="4" w:space="0" w:color="auto"/>
            </w:tcBorders>
            <w:shd w:val="clear" w:color="auto" w:fill="auto"/>
            <w:vAlign w:val="center"/>
          </w:tcPr>
          <w:p w:rsidR="001B094D" w:rsidRPr="00FE747C" w:rsidRDefault="001B094D" w:rsidP="00A7369A">
            <w:pPr>
              <w:pStyle w:val="Tabletext"/>
              <w:rPr>
                <w:b/>
                <w:bCs/>
                <w:color w:val="000000"/>
              </w:rPr>
            </w:pPr>
            <w:r w:rsidRPr="00FE747C">
              <w:rPr>
                <w:b/>
                <w:bCs/>
                <w:color w:val="000000"/>
              </w:rPr>
              <w:t>Net financial implications</w:t>
            </w:r>
            <w:r w:rsidRPr="00FE747C">
              <w:rPr>
                <w:b/>
                <w:bCs/>
                <w:color w:val="4BACC6" w:themeColor="accent5"/>
              </w:rPr>
              <w:t xml:space="preserve"> </w:t>
            </w:r>
          </w:p>
        </w:tc>
      </w:tr>
      <w:tr w:rsidR="001B094D" w:rsidRPr="00FE747C" w:rsidTr="00A7369A">
        <w:tc>
          <w:tcPr>
            <w:tcW w:w="1119" w:type="pct"/>
            <w:tcBorders>
              <w:bottom w:val="nil"/>
            </w:tcBorders>
            <w:shd w:val="clear" w:color="auto" w:fill="auto"/>
            <w:vAlign w:val="center"/>
          </w:tcPr>
          <w:p w:rsidR="001B094D" w:rsidRPr="00FE747C" w:rsidRDefault="001B094D" w:rsidP="00A7369A">
            <w:pPr>
              <w:pStyle w:val="Tabletext"/>
              <w:rPr>
                <w:sz w:val="19"/>
                <w:szCs w:val="19"/>
              </w:rPr>
            </w:pPr>
            <w:r w:rsidRPr="00FE747C">
              <w:rPr>
                <w:sz w:val="19"/>
                <w:szCs w:val="19"/>
              </w:rPr>
              <w:t>Net cost to PBS/RPBS</w:t>
            </w:r>
          </w:p>
        </w:tc>
        <w:tc>
          <w:tcPr>
            <w:tcW w:w="647" w:type="pct"/>
            <w:tcBorders>
              <w:top w:val="single" w:sz="4" w:space="0" w:color="auto"/>
              <w:left w:val="nil"/>
              <w:bottom w:val="nil"/>
              <w:right w:val="single" w:sz="4" w:space="0" w:color="auto"/>
            </w:tcBorders>
            <w:shd w:val="clear" w:color="auto" w:fill="auto"/>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single" w:sz="4" w:space="0" w:color="auto"/>
              <w:left w:val="single" w:sz="4" w:space="0" w:color="auto"/>
              <w:bottom w:val="nil"/>
              <w:right w:val="single" w:sz="4" w:space="0" w:color="auto"/>
            </w:tcBorders>
            <w:shd w:val="clear" w:color="auto" w:fill="auto"/>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single" w:sz="4" w:space="0" w:color="auto"/>
              <w:left w:val="single" w:sz="4" w:space="0" w:color="auto"/>
              <w:bottom w:val="nil"/>
              <w:right w:val="single" w:sz="4" w:space="0" w:color="auto"/>
            </w:tcBorders>
            <w:shd w:val="clear" w:color="auto" w:fill="auto"/>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single" w:sz="4" w:space="0" w:color="auto"/>
              <w:left w:val="single" w:sz="4" w:space="0" w:color="auto"/>
              <w:bottom w:val="nil"/>
              <w:right w:val="single" w:sz="4" w:space="0" w:color="auto"/>
            </w:tcBorders>
            <w:shd w:val="clear" w:color="auto" w:fill="auto"/>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single" w:sz="4" w:space="0" w:color="auto"/>
              <w:left w:val="single" w:sz="4" w:space="0" w:color="auto"/>
              <w:bottom w:val="nil"/>
              <w:right w:val="single" w:sz="4" w:space="0" w:color="auto"/>
            </w:tcBorders>
            <w:shd w:val="clear" w:color="auto" w:fill="auto"/>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c>
          <w:tcPr>
            <w:tcW w:w="646" w:type="pct"/>
            <w:tcBorders>
              <w:top w:val="single" w:sz="4" w:space="0" w:color="auto"/>
              <w:left w:val="single" w:sz="4" w:space="0" w:color="auto"/>
              <w:bottom w:val="nil"/>
              <w:right w:val="single" w:sz="4" w:space="0" w:color="auto"/>
            </w:tcBorders>
            <w:shd w:val="clear" w:color="auto" w:fill="auto"/>
            <w:vAlign w:val="center"/>
          </w:tcPr>
          <w:p w:rsidR="001B094D" w:rsidRPr="00FE747C" w:rsidRDefault="001B094D" w:rsidP="00A7369A">
            <w:pPr>
              <w:pStyle w:val="Tabletext"/>
              <w:ind w:right="156"/>
              <w:jc w:val="right"/>
              <w:rPr>
                <w:rFonts w:eastAsia="Calibri"/>
                <w:snapToGrid w:val="0"/>
                <w:lang w:eastAsia="en-AU"/>
              </w:rPr>
            </w:pPr>
            <w:r w:rsidRPr="00FE747C">
              <w:rPr>
                <w:rFonts w:eastAsia="Calibri"/>
                <w:snapToGrid w:val="0"/>
                <w:lang w:eastAsia="en-AU"/>
              </w:rPr>
              <w:t>$</w:t>
            </w:r>
            <w:r w:rsidR="00A662CC">
              <w:rPr>
                <w:rFonts w:eastAsia="Calibri"/>
                <w:noProof/>
                <w:snapToGrid w:val="0"/>
                <w:color w:val="000000"/>
                <w:highlight w:val="black"/>
                <w:lang w:eastAsia="en-AU"/>
              </w:rPr>
              <w:t>''''''''''''''''</w:t>
            </w:r>
          </w:p>
        </w:tc>
      </w:tr>
      <w:tr w:rsidR="001B094D" w:rsidRPr="00FE747C" w:rsidTr="00A7369A">
        <w:tc>
          <w:tcPr>
            <w:tcW w:w="1119" w:type="pct"/>
            <w:tcBorders>
              <w:top w:val="nil"/>
            </w:tcBorders>
            <w:shd w:val="clear" w:color="auto" w:fill="auto"/>
            <w:vAlign w:val="center"/>
          </w:tcPr>
          <w:p w:rsidR="001B094D" w:rsidRPr="00DB5754" w:rsidRDefault="001B094D" w:rsidP="00A7369A">
            <w:pPr>
              <w:pStyle w:val="Tabletext"/>
              <w:rPr>
                <w:sz w:val="19"/>
                <w:szCs w:val="19"/>
              </w:rPr>
            </w:pPr>
            <w:r w:rsidRPr="00940072">
              <w:rPr>
                <w:sz w:val="19"/>
                <w:szCs w:val="19"/>
              </w:rPr>
              <w:t>* Revised</w:t>
            </w:r>
          </w:p>
        </w:tc>
        <w:tc>
          <w:tcPr>
            <w:tcW w:w="647" w:type="pct"/>
            <w:tcBorders>
              <w:top w:val="nil"/>
              <w:left w:val="nil"/>
              <w:bottom w:val="single" w:sz="4" w:space="0" w:color="auto"/>
              <w:right w:val="single" w:sz="4" w:space="0" w:color="auto"/>
            </w:tcBorders>
            <w:shd w:val="clear" w:color="auto" w:fill="auto"/>
            <w:vAlign w:val="center"/>
          </w:tcPr>
          <w:p w:rsidR="001B094D" w:rsidRPr="00940072" w:rsidRDefault="001B094D" w:rsidP="00A7369A">
            <w:pPr>
              <w:pStyle w:val="Tabletext"/>
              <w:ind w:right="156"/>
              <w:jc w:val="right"/>
              <w:rPr>
                <w:rFonts w:eastAsia="Calibri"/>
                <w:snapToGrid w:val="0"/>
                <w:lang w:eastAsia="en-AU"/>
              </w:rPr>
            </w:pPr>
            <w:r w:rsidRPr="00940072">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1B094D" w:rsidRPr="00940072" w:rsidRDefault="001B094D" w:rsidP="00A7369A">
            <w:pPr>
              <w:pStyle w:val="Tabletext"/>
              <w:ind w:right="156"/>
              <w:jc w:val="right"/>
              <w:rPr>
                <w:rFonts w:eastAsia="Calibri"/>
                <w:snapToGrid w:val="0"/>
                <w:lang w:eastAsia="en-AU"/>
              </w:rPr>
            </w:pPr>
            <w:r w:rsidRPr="00940072">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1B094D" w:rsidRPr="00940072" w:rsidRDefault="001B094D" w:rsidP="00A7369A">
            <w:pPr>
              <w:pStyle w:val="Tabletext"/>
              <w:ind w:right="156"/>
              <w:jc w:val="right"/>
              <w:rPr>
                <w:rFonts w:eastAsia="Calibri"/>
                <w:snapToGrid w:val="0"/>
                <w:lang w:eastAsia="en-AU"/>
              </w:rPr>
            </w:pPr>
            <w:r w:rsidRPr="00940072">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1B094D" w:rsidRPr="00940072" w:rsidRDefault="001B094D" w:rsidP="00A7369A">
            <w:pPr>
              <w:pStyle w:val="Tabletext"/>
              <w:ind w:right="156"/>
              <w:jc w:val="right"/>
              <w:rPr>
                <w:rFonts w:eastAsia="Calibri"/>
                <w:snapToGrid w:val="0"/>
                <w:lang w:eastAsia="en-AU"/>
              </w:rPr>
            </w:pPr>
            <w:r w:rsidRPr="00940072">
              <w:rPr>
                <w:rFonts w:eastAsia="Calibri"/>
                <w:snapToGrid w:val="0"/>
                <w:lang w:eastAsia="en-AU"/>
              </w:rPr>
              <w:t>$</w:t>
            </w:r>
            <w:r w:rsidR="00A662CC">
              <w:rPr>
                <w:rFonts w:eastAsia="Calibri"/>
                <w:noProof/>
                <w:snapToGrid w:val="0"/>
                <w:color w:val="000000"/>
                <w:highlight w:val="black"/>
                <w:lang w:eastAsia="en-AU"/>
              </w:rPr>
              <w:t>'''''''''''''''''</w:t>
            </w:r>
          </w:p>
        </w:tc>
        <w:tc>
          <w:tcPr>
            <w:tcW w:w="647" w:type="pct"/>
            <w:tcBorders>
              <w:top w:val="nil"/>
              <w:left w:val="single" w:sz="4" w:space="0" w:color="auto"/>
              <w:bottom w:val="single" w:sz="4" w:space="0" w:color="auto"/>
              <w:right w:val="single" w:sz="4" w:space="0" w:color="auto"/>
            </w:tcBorders>
            <w:shd w:val="clear" w:color="auto" w:fill="auto"/>
            <w:vAlign w:val="center"/>
          </w:tcPr>
          <w:p w:rsidR="001B094D" w:rsidRPr="00940072" w:rsidRDefault="001B094D" w:rsidP="00A7369A">
            <w:pPr>
              <w:pStyle w:val="Tabletext"/>
              <w:ind w:right="156"/>
              <w:jc w:val="right"/>
              <w:rPr>
                <w:rFonts w:eastAsia="Calibri"/>
                <w:snapToGrid w:val="0"/>
                <w:lang w:eastAsia="en-AU"/>
              </w:rPr>
            </w:pPr>
            <w:r w:rsidRPr="00940072">
              <w:rPr>
                <w:rFonts w:eastAsia="Calibri"/>
                <w:snapToGrid w:val="0"/>
                <w:lang w:eastAsia="en-AU"/>
              </w:rPr>
              <w:t>$</w:t>
            </w:r>
            <w:r w:rsidR="00A662CC">
              <w:rPr>
                <w:rFonts w:eastAsia="Calibri"/>
                <w:noProof/>
                <w:snapToGrid w:val="0"/>
                <w:color w:val="000000"/>
                <w:highlight w:val="black"/>
                <w:lang w:eastAsia="en-AU"/>
              </w:rPr>
              <w:t>'''''''''''''''''</w:t>
            </w:r>
          </w:p>
        </w:tc>
        <w:tc>
          <w:tcPr>
            <w:tcW w:w="646" w:type="pct"/>
            <w:tcBorders>
              <w:top w:val="nil"/>
              <w:left w:val="single" w:sz="4" w:space="0" w:color="auto"/>
              <w:bottom w:val="single" w:sz="4" w:space="0" w:color="auto"/>
              <w:right w:val="single" w:sz="4" w:space="0" w:color="auto"/>
            </w:tcBorders>
            <w:shd w:val="clear" w:color="auto" w:fill="auto"/>
            <w:vAlign w:val="center"/>
          </w:tcPr>
          <w:p w:rsidR="001B094D" w:rsidRPr="00940072" w:rsidRDefault="001B094D" w:rsidP="00A7369A">
            <w:pPr>
              <w:pStyle w:val="Tabletext"/>
              <w:ind w:right="156"/>
              <w:jc w:val="right"/>
              <w:rPr>
                <w:rFonts w:eastAsia="Calibri"/>
                <w:snapToGrid w:val="0"/>
                <w:lang w:eastAsia="en-AU"/>
              </w:rPr>
            </w:pPr>
            <w:r w:rsidRPr="00940072">
              <w:rPr>
                <w:rFonts w:eastAsia="Calibri"/>
                <w:snapToGrid w:val="0"/>
                <w:lang w:eastAsia="en-AU"/>
              </w:rPr>
              <w:t>$</w:t>
            </w:r>
            <w:r w:rsidR="00A662CC">
              <w:rPr>
                <w:rFonts w:eastAsia="Calibri"/>
                <w:noProof/>
                <w:snapToGrid w:val="0"/>
                <w:color w:val="000000"/>
                <w:highlight w:val="black"/>
                <w:lang w:eastAsia="en-AU"/>
              </w:rPr>
              <w:t>''''''''''''''''</w:t>
            </w:r>
          </w:p>
        </w:tc>
      </w:tr>
    </w:tbl>
    <w:p w:rsidR="0059211C" w:rsidRDefault="0059211C" w:rsidP="001B094D">
      <w:pPr>
        <w:rPr>
          <w:rFonts w:ascii="Arial Narrow" w:hAnsi="Arial Narrow"/>
          <w:sz w:val="18"/>
          <w:szCs w:val="18"/>
        </w:rPr>
      </w:pPr>
      <w:r w:rsidRPr="009753F2">
        <w:rPr>
          <w:rStyle w:val="TableFooterChar"/>
        </w:rPr>
        <w:t>Abbreviations</w:t>
      </w:r>
      <w:r>
        <w:rPr>
          <w:rStyle w:val="TableFooterChar"/>
        </w:rPr>
        <w:t>: EP = enhanced permeation</w:t>
      </w:r>
    </w:p>
    <w:p w:rsidR="001B094D" w:rsidRPr="00C3391A" w:rsidRDefault="001B094D" w:rsidP="001B094D">
      <w:pPr>
        <w:rPr>
          <w:rFonts w:ascii="Arial Narrow" w:hAnsi="Arial Narrow"/>
          <w:sz w:val="18"/>
          <w:szCs w:val="18"/>
        </w:rPr>
      </w:pPr>
      <w:r w:rsidRPr="00C3391A">
        <w:rPr>
          <w:rFonts w:ascii="Arial Narrow" w:hAnsi="Arial Narrow"/>
          <w:sz w:val="18"/>
          <w:szCs w:val="18"/>
        </w:rPr>
        <w:t>* Revised assuming a DPMQ of $</w:t>
      </w:r>
      <w:r w:rsidR="00A662CC">
        <w:rPr>
          <w:rFonts w:ascii="Arial Narrow" w:hAnsi="Arial Narrow"/>
          <w:noProof/>
          <w:color w:val="000000"/>
          <w:sz w:val="18"/>
          <w:szCs w:val="18"/>
          <w:highlight w:val="black"/>
        </w:rPr>
        <w:t>'''''''''''''</w:t>
      </w:r>
      <w:r w:rsidRPr="00C3391A">
        <w:rPr>
          <w:rFonts w:ascii="Arial Narrow" w:hAnsi="Arial Narrow"/>
          <w:sz w:val="18"/>
          <w:szCs w:val="18"/>
        </w:rPr>
        <w:t xml:space="preserve"> for testosterone 2% EP gel, as derived in the cost-minimisation analysis.</w:t>
      </w:r>
    </w:p>
    <w:p w:rsidR="001B094D" w:rsidRPr="00C3391A" w:rsidRDefault="001B094D" w:rsidP="001B094D">
      <w:pPr>
        <w:pStyle w:val="TableFooter"/>
        <w:rPr>
          <w:rStyle w:val="CommentReference"/>
        </w:rPr>
      </w:pPr>
      <w:r w:rsidRPr="00C3391A">
        <w:t xml:space="preserve">Source: </w:t>
      </w:r>
      <w:r w:rsidRPr="00C3391A">
        <w:rPr>
          <w:rFonts w:eastAsiaTheme="minorHAnsi" w:cstheme="minorBidi"/>
          <w:snapToGrid/>
        </w:rPr>
        <w:t>Table 4.4-1, p95 of the submission</w:t>
      </w:r>
    </w:p>
    <w:p w:rsidR="005D315A" w:rsidRDefault="005D315A" w:rsidP="005D315A">
      <w:pPr>
        <w:widowControl/>
        <w:rPr>
          <w:rFonts w:asciiTheme="minorHAnsi" w:hAnsiTheme="minorHAnsi" w:cstheme="minorHAnsi"/>
          <w:i/>
          <w:sz w:val="22"/>
        </w:rPr>
      </w:pPr>
    </w:p>
    <w:p w:rsidR="005D315A" w:rsidRPr="005D315A" w:rsidRDefault="005D315A" w:rsidP="005D315A">
      <w:pPr>
        <w:widowControl/>
        <w:rPr>
          <w:rFonts w:asciiTheme="minorHAnsi" w:hAnsiTheme="minorHAnsi" w:cstheme="minorHAnsi"/>
          <w:b/>
          <w:i/>
          <w:sz w:val="22"/>
          <w:szCs w:val="16"/>
        </w:rPr>
      </w:pPr>
      <w:r w:rsidRPr="005D315A">
        <w:rPr>
          <w:rFonts w:asciiTheme="minorHAnsi" w:hAnsiTheme="minorHAnsi" w:cstheme="minorHAnsi"/>
          <w:i/>
          <w:sz w:val="22"/>
        </w:rPr>
        <w:t xml:space="preserve">The redacted table shows that at Year 6, the estimated number of </w:t>
      </w:r>
      <w:r>
        <w:rPr>
          <w:rFonts w:asciiTheme="minorHAnsi" w:hAnsiTheme="minorHAnsi" w:cstheme="minorHAnsi"/>
          <w:i/>
          <w:sz w:val="22"/>
        </w:rPr>
        <w:t>scripts</w:t>
      </w:r>
      <w:r w:rsidRPr="005D315A">
        <w:rPr>
          <w:rFonts w:asciiTheme="minorHAnsi" w:hAnsiTheme="minorHAnsi" w:cstheme="minorHAnsi"/>
          <w:i/>
          <w:sz w:val="22"/>
        </w:rPr>
        <w:t xml:space="preserve"> was </w:t>
      </w:r>
      <w:r>
        <w:rPr>
          <w:rFonts w:asciiTheme="minorHAnsi" w:hAnsiTheme="minorHAnsi" w:cstheme="minorHAnsi"/>
          <w:i/>
          <w:sz w:val="22"/>
        </w:rPr>
        <w:t>10,000-50,000</w:t>
      </w:r>
      <w:r w:rsidRPr="005D315A">
        <w:rPr>
          <w:rFonts w:asciiTheme="minorHAnsi" w:hAnsiTheme="minorHAnsi" w:cstheme="minorHAnsi"/>
          <w:i/>
          <w:sz w:val="22"/>
        </w:rPr>
        <w:t xml:space="preserve"> per year and the</w:t>
      </w:r>
      <w:r>
        <w:rPr>
          <w:rFonts w:asciiTheme="minorHAnsi" w:hAnsiTheme="minorHAnsi" w:cstheme="minorHAnsi"/>
          <w:i/>
          <w:sz w:val="22"/>
        </w:rPr>
        <w:t xml:space="preserve"> net cost to the PBS</w:t>
      </w:r>
      <w:r w:rsidR="00D06DDE">
        <w:rPr>
          <w:rFonts w:asciiTheme="minorHAnsi" w:hAnsiTheme="minorHAnsi" w:cstheme="minorHAnsi"/>
          <w:i/>
          <w:sz w:val="22"/>
        </w:rPr>
        <w:t>/RPBS</w:t>
      </w:r>
      <w:r>
        <w:rPr>
          <w:rFonts w:asciiTheme="minorHAnsi" w:hAnsiTheme="minorHAnsi" w:cstheme="minorHAnsi"/>
          <w:i/>
          <w:sz w:val="22"/>
        </w:rPr>
        <w:t xml:space="preserve"> would be $10 – $2</w:t>
      </w:r>
      <w:r w:rsidRPr="005D315A">
        <w:rPr>
          <w:rFonts w:asciiTheme="minorHAnsi" w:hAnsiTheme="minorHAnsi" w:cstheme="minorHAnsi"/>
          <w:i/>
          <w:sz w:val="22"/>
        </w:rPr>
        <w:t>0 million</w:t>
      </w:r>
      <w:r>
        <w:rPr>
          <w:rFonts w:asciiTheme="minorHAnsi" w:hAnsiTheme="minorHAnsi" w:cstheme="minorHAnsi"/>
          <w:i/>
          <w:sz w:val="22"/>
        </w:rPr>
        <w:t xml:space="preserve"> in year 6</w:t>
      </w:r>
      <w:r w:rsidRPr="005D315A">
        <w:rPr>
          <w:rFonts w:asciiTheme="minorHAnsi" w:hAnsiTheme="minorHAnsi" w:cstheme="minorHAnsi"/>
          <w:i/>
          <w:sz w:val="22"/>
        </w:rPr>
        <w:t>.</w:t>
      </w:r>
    </w:p>
    <w:p w:rsidR="001B094D" w:rsidRPr="00F77C40" w:rsidRDefault="001B094D" w:rsidP="001B094D">
      <w:pPr>
        <w:widowControl/>
        <w:rPr>
          <w:rFonts w:ascii="Arial Narrow" w:hAnsi="Arial Narrow"/>
          <w:sz w:val="18"/>
          <w:szCs w:val="18"/>
        </w:rPr>
      </w:pPr>
    </w:p>
    <w:p w:rsidR="001B094D" w:rsidRPr="00C3391A" w:rsidRDefault="001B094D" w:rsidP="00B068D3">
      <w:pPr>
        <w:pStyle w:val="ListParagraph"/>
        <w:widowControl/>
        <w:numPr>
          <w:ilvl w:val="1"/>
          <w:numId w:val="1"/>
        </w:numPr>
      </w:pPr>
      <w:r>
        <w:t>The submission estimated a net cost to the PBS/RPBS of $</w:t>
      </w:r>
      <w:r w:rsidR="00A662CC">
        <w:rPr>
          <w:noProof/>
          <w:color w:val="000000"/>
          <w:highlight w:val="black"/>
        </w:rPr>
        <w:t>'''''''''''</w:t>
      </w:r>
      <w:r w:rsidRPr="00622043">
        <w:t xml:space="preserve"> </w:t>
      </w:r>
      <w:r w:rsidR="00622043" w:rsidRPr="00940072">
        <w:t>(</w:t>
      </w:r>
      <w:r w:rsidR="00DB5754">
        <w:t xml:space="preserve">revised: </w:t>
      </w:r>
      <w:r w:rsidR="00622043" w:rsidRPr="00940072">
        <w:t>$</w:t>
      </w:r>
      <w:r w:rsidR="00A662CC">
        <w:rPr>
          <w:noProof/>
          <w:color w:val="000000"/>
          <w:highlight w:val="black"/>
        </w:rPr>
        <w:t>'''''''''''</w:t>
      </w:r>
      <w:r w:rsidR="00622043" w:rsidRPr="00940072">
        <w:t>)</w:t>
      </w:r>
      <w:r w:rsidR="00622043">
        <w:t xml:space="preserve"> </w:t>
      </w:r>
      <w:r>
        <w:t>in year 1, increasing to $</w:t>
      </w:r>
      <w:r w:rsidR="00A662CC">
        <w:rPr>
          <w:noProof/>
          <w:color w:val="000000"/>
          <w:highlight w:val="black"/>
        </w:rPr>
        <w:t>''''''''''''</w:t>
      </w:r>
      <w:r w:rsidRPr="00BC37F4">
        <w:t xml:space="preserve"> </w:t>
      </w:r>
      <w:r w:rsidR="00622043" w:rsidRPr="00940072">
        <w:t>($</w:t>
      </w:r>
      <w:r w:rsidR="00A662CC">
        <w:rPr>
          <w:noProof/>
          <w:color w:val="000000"/>
          <w:highlight w:val="black"/>
        </w:rPr>
        <w:t>''''''''''''</w:t>
      </w:r>
      <w:r w:rsidR="00622043" w:rsidRPr="00940072">
        <w:t>)</w:t>
      </w:r>
      <w:r w:rsidR="00622043">
        <w:rPr>
          <w:i/>
        </w:rPr>
        <w:t xml:space="preserve"> </w:t>
      </w:r>
      <w:r w:rsidRPr="00BC37F4">
        <w:t>in year six</w:t>
      </w:r>
      <w:r>
        <w:t>, due to the difference in pack size and the cons</w:t>
      </w:r>
      <w:r w:rsidR="003D1716">
        <w:t>equent difference in patient co</w:t>
      </w:r>
      <w:r>
        <w:t xml:space="preserve">payments. </w:t>
      </w:r>
      <w:r w:rsidR="00A1378B" w:rsidRPr="00C3391A">
        <w:t xml:space="preserve">Testosterone 2% EP gel, due to its double strength formulation, and hands free applicator may increase compliance </w:t>
      </w:r>
      <w:r w:rsidR="00A1378B" w:rsidRPr="00C3391A">
        <w:lastRenderedPageBreak/>
        <w:t>compared to testosterone 1% gel, resulting in more prescriptions per patients per year.</w:t>
      </w:r>
    </w:p>
    <w:p w:rsidR="001B094D" w:rsidRPr="00C3391A" w:rsidRDefault="001B094D" w:rsidP="00B068D3">
      <w:pPr>
        <w:pStyle w:val="ListParagraph"/>
        <w:widowControl/>
        <w:numPr>
          <w:ilvl w:val="1"/>
          <w:numId w:val="1"/>
        </w:numPr>
      </w:pPr>
      <w:r w:rsidRPr="00C3391A">
        <w:rPr>
          <w:szCs w:val="24"/>
        </w:rPr>
        <w:t xml:space="preserve">The submission stated that a listing for testosterone 2% EP gel on the PBS was not expected to result in additional resource use such as tests, procedures or visits to healthcare professionals, and therefore no change in the cost to the Medicare Benefits Scheme (MBS) was expected. </w:t>
      </w:r>
    </w:p>
    <w:p w:rsidR="001B094D" w:rsidRPr="00C9624D" w:rsidRDefault="001B094D" w:rsidP="00F77C40">
      <w:pPr>
        <w:pStyle w:val="Heading2"/>
        <w:spacing w:after="120"/>
      </w:pPr>
      <w:bookmarkStart w:id="32" w:name="_Toc523307114"/>
      <w:r w:rsidRPr="00C9624D">
        <w:t>Quality Use of Medicines</w:t>
      </w:r>
      <w:bookmarkEnd w:id="32"/>
    </w:p>
    <w:p w:rsidR="001B094D" w:rsidRDefault="001B094D" w:rsidP="00B068D3">
      <w:pPr>
        <w:pStyle w:val="ListParagraph"/>
        <w:widowControl/>
        <w:numPr>
          <w:ilvl w:val="1"/>
          <w:numId w:val="1"/>
        </w:numPr>
      </w:pPr>
      <w:r w:rsidRPr="00C3391A">
        <w:t xml:space="preserve">In July 2014, PBAC amended PBS restrictions for testosterone products to minimise their use beyond the PBS restriction, based on outcomes of a DUSC review (Item 4.1 testosterone PSD, July 2014 PBAC Meeting). </w:t>
      </w:r>
    </w:p>
    <w:p w:rsidR="00F05088" w:rsidRDefault="00B11971" w:rsidP="009C2E0A">
      <w:pPr>
        <w:pStyle w:val="ListParagraph"/>
        <w:widowControl/>
        <w:numPr>
          <w:ilvl w:val="1"/>
          <w:numId w:val="1"/>
        </w:numPr>
      </w:pPr>
      <w:r w:rsidRPr="0038079C">
        <w:t xml:space="preserve">While not quantified, ESC considered that there may be a quality use of medicines advantage of a </w:t>
      </w:r>
      <w:r w:rsidR="004D4F36" w:rsidRPr="0038079C">
        <w:t>topical</w:t>
      </w:r>
      <w:r w:rsidRPr="0038079C">
        <w:t xml:space="preserve"> testosterone product that is absorbed faster, as this could reduce the potential for inadvertent drug transfer to non-patients. </w:t>
      </w:r>
    </w:p>
    <w:p w:rsidR="00A53131" w:rsidRDefault="00737C8E" w:rsidP="00737C8E">
      <w:pPr>
        <w:pStyle w:val="ListParagraph"/>
        <w:rPr>
          <w:i/>
        </w:rPr>
      </w:pPr>
      <w:r w:rsidRPr="00737C8E">
        <w:rPr>
          <w:i/>
        </w:rPr>
        <w:t>For more detail on PBAC’s view, see section 7 PBAC outcome.</w:t>
      </w:r>
    </w:p>
    <w:p w:rsidR="009C2E0A" w:rsidRPr="00407F2D" w:rsidRDefault="009C2E0A" w:rsidP="009C2E0A">
      <w:pPr>
        <w:pStyle w:val="PBACHeading1"/>
        <w:spacing w:before="240" w:after="120"/>
      </w:pPr>
      <w:r>
        <w:t xml:space="preserve">PBAC Outcome </w:t>
      </w:r>
    </w:p>
    <w:p w:rsidR="002461E8" w:rsidRDefault="00173D92" w:rsidP="005E41FE">
      <w:pPr>
        <w:pStyle w:val="ListParagraph"/>
        <w:widowControl/>
        <w:numPr>
          <w:ilvl w:val="1"/>
          <w:numId w:val="1"/>
        </w:numPr>
      </w:pPr>
      <w:r>
        <w:t xml:space="preserve">The PBAC recommended the </w:t>
      </w:r>
      <w:r w:rsidR="003710B9">
        <w:t xml:space="preserve">Authority </w:t>
      </w:r>
      <w:proofErr w:type="gramStart"/>
      <w:r w:rsidR="003710B9">
        <w:t>Required</w:t>
      </w:r>
      <w:proofErr w:type="gramEnd"/>
      <w:r w:rsidR="003710B9">
        <w:t xml:space="preserve"> (telephone) </w:t>
      </w:r>
      <w:r>
        <w:t xml:space="preserve">listing of testosterone 2% enhanced permeation (EP) gel </w:t>
      </w:r>
      <w:r w:rsidR="00170760">
        <w:t>for the treatment of androgen deficiency</w:t>
      </w:r>
      <w:r w:rsidR="00F1134F">
        <w:t xml:space="preserve">. The PBAC’s recommendation for listing was based on, among other matters, its assessment, that the cost effectiveness of </w:t>
      </w:r>
      <w:r w:rsidR="00DB5754">
        <w:t>t</w:t>
      </w:r>
      <w:r w:rsidR="00F1134F">
        <w:t>estosterone 2% EP gel would be acceptable if it were</w:t>
      </w:r>
      <w:r w:rsidR="00170760">
        <w:t xml:space="preserve"> cost-minimis</w:t>
      </w:r>
      <w:r w:rsidR="00AF5230">
        <w:t xml:space="preserve">ed </w:t>
      </w:r>
      <w:r w:rsidR="00263EEC">
        <w:t>against</w:t>
      </w:r>
      <w:r w:rsidR="00AF5230">
        <w:t xml:space="preserve"> the </w:t>
      </w:r>
      <w:r w:rsidR="00170760">
        <w:t>currently listed testoste</w:t>
      </w:r>
      <w:r w:rsidR="00263EEC">
        <w:t>r</w:t>
      </w:r>
      <w:r w:rsidR="00170760">
        <w:t xml:space="preserve">one 1% gel. </w:t>
      </w:r>
    </w:p>
    <w:p w:rsidR="00B72C94" w:rsidRDefault="002D163C" w:rsidP="005E41FE">
      <w:pPr>
        <w:pStyle w:val="ListParagraph"/>
        <w:widowControl/>
        <w:numPr>
          <w:ilvl w:val="1"/>
          <w:numId w:val="1"/>
        </w:numPr>
      </w:pPr>
      <w:r>
        <w:t>The PBAC noted that the submission was based on a naïve indirect comparison between two studies:</w:t>
      </w:r>
      <w:r w:rsidR="00DB5754">
        <w:t xml:space="preserve"> </w:t>
      </w:r>
      <w:r>
        <w:t xml:space="preserve">(1) Study 127 (N=159), an open-label single arm study evaluating the efficacy and safety of </w:t>
      </w:r>
      <w:r w:rsidR="00CB13F7">
        <w:t>testosterone</w:t>
      </w:r>
      <w:r>
        <w:t xml:space="preserve"> 2% EP gel in adult men with androgen deficiency; (2) </w:t>
      </w:r>
      <w:proofErr w:type="spellStart"/>
      <w:r>
        <w:t>Swerdloff</w:t>
      </w:r>
      <w:proofErr w:type="spellEnd"/>
      <w:r>
        <w:t xml:space="preserve"> 2000 (N=227) a three arm randomised trial in </w:t>
      </w:r>
      <w:proofErr w:type="spellStart"/>
      <w:r>
        <w:t>hypogonadal</w:t>
      </w:r>
      <w:proofErr w:type="spellEnd"/>
      <w:r>
        <w:t xml:space="preserve"> men where patients were randomised to receive either</w:t>
      </w:r>
      <w:r w:rsidR="0073150F">
        <w:t xml:space="preserve"> one of two doses (50 mg or 100 mg testosterone/day) of testosterone 1% gel or</w:t>
      </w:r>
      <w:r>
        <w:t xml:space="preserve"> </w:t>
      </w:r>
      <w:r w:rsidR="0073150F">
        <w:t>a testosterone patch.</w:t>
      </w:r>
    </w:p>
    <w:p w:rsidR="00A528FD" w:rsidRDefault="00FC6626" w:rsidP="00C14D30">
      <w:pPr>
        <w:pStyle w:val="ListParagraph"/>
        <w:widowControl/>
        <w:numPr>
          <w:ilvl w:val="1"/>
          <w:numId w:val="1"/>
        </w:numPr>
        <w:spacing w:after="120"/>
      </w:pPr>
      <w:r>
        <w:t xml:space="preserve">While the PBAC </w:t>
      </w:r>
      <w:r w:rsidR="00731773">
        <w:t>acknowledged</w:t>
      </w:r>
      <w:r>
        <w:t xml:space="preserve"> the uncertainty of</w:t>
      </w:r>
      <w:r w:rsidR="00CE2908">
        <w:t xml:space="preserve"> the</w:t>
      </w:r>
      <w:r>
        <w:t xml:space="preserve"> naïve indirect comparison </w:t>
      </w:r>
      <w:r w:rsidR="00804026">
        <w:t>and</w:t>
      </w:r>
      <w:r>
        <w:t xml:space="preserve"> transitivity issues between the two studies, the PBAC considered that overall</w:t>
      </w:r>
      <w:r w:rsidR="00804026">
        <w:t>, the claim of non-inferior efficacy compared with testosterone 1% gel was reasonable.</w:t>
      </w:r>
      <w:r w:rsidR="00321269">
        <w:t xml:space="preserve"> The PBAC noted that the</w:t>
      </w:r>
      <w:r w:rsidR="00AF3CE6">
        <w:t xml:space="preserve"> issues in regards to</w:t>
      </w:r>
      <w:r w:rsidR="00652DCA">
        <w:t xml:space="preserve"> the</w:t>
      </w:r>
      <w:r w:rsidR="00AF3CE6">
        <w:t xml:space="preserve"> </w:t>
      </w:r>
      <w:r w:rsidR="00DB5754">
        <w:t xml:space="preserve">relative </w:t>
      </w:r>
      <w:r w:rsidR="00AF3CE6">
        <w:t xml:space="preserve">safety and efficacy raised by the evaluation are likely related to dose as the efficacy of testosterone products </w:t>
      </w:r>
      <w:r w:rsidR="00656ED6">
        <w:t>are</w:t>
      </w:r>
      <w:r w:rsidR="00CD14C7">
        <w:t xml:space="preserve"> </w:t>
      </w:r>
      <w:r w:rsidR="00AF3CE6">
        <w:t xml:space="preserve">dependent on the level and timing of testosterone </w:t>
      </w:r>
      <w:r w:rsidR="00263EEC">
        <w:t>absorption</w:t>
      </w:r>
      <w:r w:rsidR="00AF3CE6">
        <w:t xml:space="preserve">. </w:t>
      </w:r>
    </w:p>
    <w:p w:rsidR="00D5778A" w:rsidRDefault="00C14D30" w:rsidP="000D472B">
      <w:pPr>
        <w:pStyle w:val="ListParagraph"/>
        <w:widowControl/>
        <w:numPr>
          <w:ilvl w:val="1"/>
          <w:numId w:val="1"/>
        </w:numPr>
      </w:pPr>
      <w:r>
        <w:t xml:space="preserve">The PBAC noted that there was uncertainty regarding the equi-effective doses for </w:t>
      </w:r>
      <w:r w:rsidR="008C56EE">
        <w:t xml:space="preserve">the </w:t>
      </w:r>
      <w:r>
        <w:t xml:space="preserve">2% EP gel and 1% gel. The PBAC considered the dose of the 1% gel </w:t>
      </w:r>
      <w:r w:rsidR="008C56EE">
        <w:t xml:space="preserve">as reported in </w:t>
      </w:r>
      <w:proofErr w:type="spellStart"/>
      <w:r w:rsidR="008C56EE">
        <w:t>Swerdloff</w:t>
      </w:r>
      <w:proofErr w:type="spellEnd"/>
      <w:r w:rsidR="008C56EE">
        <w:t xml:space="preserve"> 2000 was within the requirements as per the ‘Uniformity of Dosage Units’ specification</w:t>
      </w:r>
      <w:r w:rsidR="005C6A86">
        <w:t>,</w:t>
      </w:r>
      <w:r w:rsidR="008C56EE">
        <w:t xml:space="preserve"> </w:t>
      </w:r>
      <w:r w:rsidR="005C6A86">
        <w:t>t</w:t>
      </w:r>
      <w:r>
        <w:t>he</w:t>
      </w:r>
      <w:r w:rsidR="005C6A86">
        <w:t>refore the</w:t>
      </w:r>
      <w:r>
        <w:t xml:space="preserve"> PBAC considered </w:t>
      </w:r>
      <w:r w:rsidR="008C56EE">
        <w:t xml:space="preserve">it appropriate for the equi-effective doses to be based on the trial data as it was consistent with the approach generally </w:t>
      </w:r>
      <w:r w:rsidR="008C56EE">
        <w:lastRenderedPageBreak/>
        <w:t>used</w:t>
      </w:r>
      <w:r w:rsidR="00CB13F7">
        <w:t>,</w:t>
      </w:r>
      <w:r w:rsidR="00263EEC">
        <w:t xml:space="preserve"> including for previous</w:t>
      </w:r>
      <w:r w:rsidR="00CB13F7">
        <w:t xml:space="preserve"> </w:t>
      </w:r>
      <w:r w:rsidR="008C56EE">
        <w:t>TRT</w:t>
      </w:r>
      <w:r w:rsidR="00CB13F7">
        <w:t>s</w:t>
      </w:r>
      <w:r w:rsidR="008C56EE">
        <w:t xml:space="preserve">. </w:t>
      </w:r>
      <w:r>
        <w:t xml:space="preserve"> </w:t>
      </w:r>
      <w:r w:rsidR="00B66D6C">
        <w:t>As such,</w:t>
      </w:r>
      <w:r w:rsidR="00AC0E30">
        <w:t xml:space="preserve"> </w:t>
      </w:r>
      <w:r w:rsidR="000D472B" w:rsidRPr="000D472B">
        <w:t xml:space="preserve"> </w:t>
      </w:r>
      <w:r w:rsidR="00B66D6C">
        <w:t>t</w:t>
      </w:r>
      <w:r w:rsidR="00FC326A">
        <w:t xml:space="preserve">he PBAC </w:t>
      </w:r>
      <w:r w:rsidR="00D5778A">
        <w:t xml:space="preserve">considered </w:t>
      </w:r>
      <w:r w:rsidR="0015684C">
        <w:t xml:space="preserve">that </w:t>
      </w:r>
      <w:r w:rsidR="00D5778A">
        <w:t>the equi</w:t>
      </w:r>
      <w:r w:rsidR="00E0244D">
        <w:t>-</w:t>
      </w:r>
      <w:r w:rsidR="00D5778A">
        <w:t>effective</w:t>
      </w:r>
      <w:r w:rsidR="00572735">
        <w:t xml:space="preserve"> doses</w:t>
      </w:r>
      <w:r w:rsidR="00D5778A">
        <w:t xml:space="preserve"> </w:t>
      </w:r>
      <w:r w:rsidR="0015684C">
        <w:t>are</w:t>
      </w:r>
      <w:r w:rsidR="00D5778A">
        <w:t>:</w:t>
      </w:r>
    </w:p>
    <w:p w:rsidR="00E85F18" w:rsidRDefault="00D5778A" w:rsidP="00096FCC">
      <w:pPr>
        <w:pStyle w:val="ListParagraph"/>
        <w:widowControl/>
        <w:numPr>
          <w:ilvl w:val="0"/>
          <w:numId w:val="14"/>
        </w:numPr>
        <w:spacing w:after="120"/>
        <w:ind w:left="1066" w:hanging="357"/>
      </w:pPr>
      <w:r>
        <w:t>60.07 mg</w:t>
      </w:r>
      <w:r w:rsidR="00E0244D">
        <w:t xml:space="preserve"> testosterone</w:t>
      </w:r>
      <w:r>
        <w:t xml:space="preserve"> </w:t>
      </w:r>
      <w:r w:rsidR="00CB13F7">
        <w:t xml:space="preserve">of the </w:t>
      </w:r>
      <w:r>
        <w:t>2%</w:t>
      </w:r>
      <w:r w:rsidR="00E0244D">
        <w:t xml:space="preserve"> EP gel </w:t>
      </w:r>
      <w:r w:rsidR="008C56EE">
        <w:t>and</w:t>
      </w:r>
      <w:r w:rsidR="00E0244D">
        <w:t xml:space="preserve"> 75.78</w:t>
      </w:r>
      <w:r w:rsidR="00572735">
        <w:t xml:space="preserve"> mg</w:t>
      </w:r>
      <w:r w:rsidR="00E0244D">
        <w:t xml:space="preserve"> testosterone</w:t>
      </w:r>
      <w:r w:rsidR="00CB13F7">
        <w:t xml:space="preserve"> of the</w:t>
      </w:r>
      <w:r w:rsidR="00E0244D">
        <w:t xml:space="preserve"> 1% gel</w:t>
      </w:r>
      <w:r w:rsidR="00C1518A">
        <w:t>.</w:t>
      </w:r>
      <w:r w:rsidR="00E0244D">
        <w:t xml:space="preserve"> </w:t>
      </w:r>
    </w:p>
    <w:p w:rsidR="0073150F" w:rsidRDefault="00E916B5" w:rsidP="005E41FE">
      <w:pPr>
        <w:pStyle w:val="ListParagraph"/>
        <w:widowControl/>
        <w:numPr>
          <w:ilvl w:val="1"/>
          <w:numId w:val="1"/>
        </w:numPr>
      </w:pPr>
      <w:r>
        <w:t xml:space="preserve">The PBAC </w:t>
      </w:r>
      <w:r w:rsidR="003340B2">
        <w:t xml:space="preserve">considered that the 2% EP gel presentation of testosterone may </w:t>
      </w:r>
      <w:r w:rsidR="00857176">
        <w:t xml:space="preserve">be useful </w:t>
      </w:r>
      <w:r w:rsidR="003340B2">
        <w:t xml:space="preserve">for some patients </w:t>
      </w:r>
      <w:r w:rsidR="00857176">
        <w:t>due to the shorter</w:t>
      </w:r>
      <w:r w:rsidR="00940072">
        <w:t xml:space="preserve"> absorption</w:t>
      </w:r>
      <w:r w:rsidR="00857176">
        <w:t xml:space="preserve"> time. </w:t>
      </w:r>
      <w:r w:rsidR="003340B2">
        <w:t xml:space="preserve"> </w:t>
      </w:r>
    </w:p>
    <w:p w:rsidR="006C5E10" w:rsidRDefault="006C5E10" w:rsidP="005E41FE">
      <w:pPr>
        <w:pStyle w:val="ListParagraph"/>
        <w:widowControl/>
        <w:numPr>
          <w:ilvl w:val="1"/>
          <w:numId w:val="1"/>
        </w:numPr>
      </w:pPr>
      <w:r>
        <w:t xml:space="preserve">The PBAC recommended the listing of </w:t>
      </w:r>
      <w:r w:rsidR="00CB13F7">
        <w:t xml:space="preserve">the </w:t>
      </w:r>
      <w:r>
        <w:t>test</w:t>
      </w:r>
      <w:r w:rsidR="00CB13F7">
        <w:t>ost</w:t>
      </w:r>
      <w:r>
        <w:t xml:space="preserve">erone 2% EP gel for the same conditions as the currently listed testosterone products. </w:t>
      </w:r>
    </w:p>
    <w:p w:rsidR="005E41FE" w:rsidRDefault="0078648E" w:rsidP="005E41FE">
      <w:pPr>
        <w:pStyle w:val="ListParagraph"/>
        <w:widowControl/>
        <w:numPr>
          <w:ilvl w:val="1"/>
          <w:numId w:val="1"/>
        </w:numPr>
      </w:pPr>
      <w:r>
        <w:t>The PBAC advised that testosterone 2% EP gel is not suitable for prescribing by nurse practitioners.</w:t>
      </w:r>
    </w:p>
    <w:p w:rsidR="0078648E" w:rsidRDefault="0078648E" w:rsidP="005E41FE">
      <w:pPr>
        <w:pStyle w:val="ListParagraph"/>
        <w:widowControl/>
        <w:numPr>
          <w:ilvl w:val="1"/>
          <w:numId w:val="1"/>
        </w:numPr>
      </w:pPr>
      <w:r>
        <w:t xml:space="preserve">The PBAC </w:t>
      </w:r>
      <w:r w:rsidR="002461E8">
        <w:t>recommended that the Early Supply Rule should apply.</w:t>
      </w:r>
    </w:p>
    <w:p w:rsidR="0078648E" w:rsidRDefault="0078648E" w:rsidP="005E41FE">
      <w:pPr>
        <w:pStyle w:val="ListParagraph"/>
        <w:widowControl/>
        <w:numPr>
          <w:ilvl w:val="1"/>
          <w:numId w:val="1"/>
        </w:numPr>
      </w:pPr>
      <w:r>
        <w:t xml:space="preserve">The PBAC noted that this submission is not eligible for an Independent Review because it received a positive recommendation. </w:t>
      </w:r>
    </w:p>
    <w:p w:rsidR="005E41FE" w:rsidRPr="005E41FE" w:rsidRDefault="005E41FE" w:rsidP="005E41FE">
      <w:pPr>
        <w:widowControl/>
        <w:spacing w:before="240" w:after="120"/>
        <w:rPr>
          <w:rFonts w:asciiTheme="minorHAnsi" w:hAnsiTheme="minorHAnsi"/>
          <w:b/>
          <w:bCs/>
          <w:szCs w:val="24"/>
          <w:lang w:val="en-GB"/>
        </w:rPr>
      </w:pPr>
      <w:r w:rsidRPr="005E41FE">
        <w:rPr>
          <w:rFonts w:asciiTheme="minorHAnsi" w:hAnsiTheme="minorHAnsi"/>
          <w:b/>
          <w:bCs/>
          <w:szCs w:val="24"/>
          <w:lang w:val="en-GB"/>
        </w:rPr>
        <w:t>Outcome:</w:t>
      </w:r>
    </w:p>
    <w:p w:rsidR="005E41FE" w:rsidRDefault="005E41FE" w:rsidP="005E41FE">
      <w:pPr>
        <w:widowControl/>
        <w:spacing w:after="120"/>
        <w:rPr>
          <w:rFonts w:asciiTheme="minorHAnsi" w:hAnsiTheme="minorHAnsi"/>
          <w:bCs/>
          <w:szCs w:val="24"/>
          <w:lang w:val="en-GB"/>
        </w:rPr>
      </w:pPr>
      <w:r w:rsidRPr="005E41FE">
        <w:rPr>
          <w:rFonts w:asciiTheme="minorHAnsi" w:hAnsiTheme="minorHAnsi"/>
          <w:bCs/>
          <w:szCs w:val="24"/>
          <w:lang w:val="en-GB"/>
        </w:rPr>
        <w:t xml:space="preserve">Recommended </w:t>
      </w:r>
    </w:p>
    <w:p w:rsidR="005E41FE" w:rsidRPr="00407F2D" w:rsidRDefault="005E41FE" w:rsidP="005E41FE">
      <w:pPr>
        <w:pStyle w:val="PBACHeading1"/>
        <w:spacing w:before="240" w:after="120"/>
      </w:pPr>
      <w:r>
        <w:t xml:space="preserve">Recommended listing </w:t>
      </w:r>
    </w:p>
    <w:p w:rsidR="005E41FE" w:rsidRDefault="005E41FE" w:rsidP="005E41FE">
      <w:pPr>
        <w:pStyle w:val="ListParagraph"/>
        <w:widowControl/>
        <w:numPr>
          <w:ilvl w:val="1"/>
          <w:numId w:val="1"/>
        </w:numPr>
      </w:pPr>
      <w:r>
        <w:t>Add new item:</w:t>
      </w:r>
      <w:r w:rsidRPr="00C3391A">
        <w:t xml:space="preserve"> </w:t>
      </w:r>
    </w:p>
    <w:tbl>
      <w:tblPr>
        <w:tblW w:w="5000" w:type="pct"/>
        <w:tblCellMar>
          <w:left w:w="28" w:type="dxa"/>
          <w:right w:w="28" w:type="dxa"/>
        </w:tblCellMar>
        <w:tblLook w:val="0000" w:firstRow="0" w:lastRow="0" w:firstColumn="0" w:lastColumn="0" w:noHBand="0" w:noVBand="0"/>
      </w:tblPr>
      <w:tblGrid>
        <w:gridCol w:w="2823"/>
        <w:gridCol w:w="422"/>
        <w:gridCol w:w="534"/>
        <w:gridCol w:w="807"/>
        <w:gridCol w:w="1632"/>
        <w:gridCol w:w="935"/>
        <w:gridCol w:w="1874"/>
      </w:tblGrid>
      <w:tr w:rsidR="00B63367" w:rsidRPr="00790384" w:rsidTr="00B63367">
        <w:trPr>
          <w:cantSplit/>
          <w:trHeight w:val="471"/>
        </w:trPr>
        <w:tc>
          <w:tcPr>
            <w:tcW w:w="1797" w:type="pct"/>
            <w:gridSpan w:val="2"/>
            <w:tcBorders>
              <w:bottom w:val="single" w:sz="4" w:space="0" w:color="auto"/>
            </w:tcBorders>
          </w:tcPr>
          <w:p w:rsidR="00790384" w:rsidRPr="00790384" w:rsidRDefault="00790384" w:rsidP="00790384">
            <w:pPr>
              <w:widowControl/>
              <w:spacing w:after="120"/>
              <w:jc w:val="left"/>
              <w:rPr>
                <w:rFonts w:ascii="Arial" w:hAnsi="Arial" w:cs="Times New Roman"/>
                <w:b/>
                <w:i/>
                <w:snapToGrid/>
                <w:sz w:val="20"/>
                <w:szCs w:val="20"/>
              </w:rPr>
            </w:pPr>
            <w:r w:rsidRPr="00790384">
              <w:rPr>
                <w:rFonts w:ascii="Arial" w:hAnsi="Arial" w:cs="Times New Roman"/>
                <w:b/>
                <w:i/>
                <w:snapToGrid/>
                <w:sz w:val="20"/>
                <w:szCs w:val="20"/>
              </w:rPr>
              <w:t>Name, Restriction,</w:t>
            </w:r>
          </w:p>
          <w:p w:rsidR="00790384" w:rsidRPr="00790384" w:rsidRDefault="00790384" w:rsidP="00790384">
            <w:pPr>
              <w:widowControl/>
              <w:spacing w:after="120"/>
              <w:jc w:val="left"/>
              <w:rPr>
                <w:rFonts w:ascii="Arial" w:hAnsi="Arial" w:cs="Times New Roman"/>
                <w:b/>
                <w:i/>
                <w:snapToGrid/>
                <w:sz w:val="20"/>
                <w:szCs w:val="20"/>
              </w:rPr>
            </w:pPr>
            <w:r w:rsidRPr="00790384">
              <w:rPr>
                <w:rFonts w:ascii="Arial" w:hAnsi="Arial" w:cs="Times New Roman"/>
                <w:b/>
                <w:i/>
                <w:snapToGrid/>
                <w:sz w:val="20"/>
                <w:szCs w:val="20"/>
              </w:rPr>
              <w:t>Manner of administration and form</w:t>
            </w:r>
          </w:p>
        </w:tc>
        <w:tc>
          <w:tcPr>
            <w:tcW w:w="296" w:type="pct"/>
            <w:tcBorders>
              <w:bottom w:val="single" w:sz="4" w:space="0" w:color="auto"/>
            </w:tcBorders>
          </w:tcPr>
          <w:p w:rsidR="00790384" w:rsidRPr="00790384" w:rsidRDefault="00790384" w:rsidP="00790384">
            <w:pPr>
              <w:widowControl/>
              <w:spacing w:after="120"/>
              <w:jc w:val="left"/>
              <w:rPr>
                <w:rFonts w:ascii="Arial" w:hAnsi="Arial" w:cs="Times New Roman"/>
                <w:b/>
                <w:snapToGrid/>
                <w:sz w:val="20"/>
                <w:szCs w:val="20"/>
              </w:rPr>
            </w:pPr>
            <w:r w:rsidRPr="00790384">
              <w:rPr>
                <w:rFonts w:ascii="Arial" w:hAnsi="Arial" w:cs="Times New Roman"/>
                <w:b/>
                <w:snapToGrid/>
                <w:sz w:val="20"/>
                <w:szCs w:val="20"/>
              </w:rPr>
              <w:t>Max.</w:t>
            </w:r>
          </w:p>
          <w:p w:rsidR="00790384" w:rsidRPr="00790384" w:rsidRDefault="00790384" w:rsidP="00790384">
            <w:pPr>
              <w:widowControl/>
              <w:spacing w:after="120"/>
              <w:jc w:val="left"/>
              <w:rPr>
                <w:rFonts w:ascii="Arial" w:hAnsi="Arial" w:cs="Times New Roman"/>
                <w:b/>
                <w:snapToGrid/>
                <w:sz w:val="20"/>
                <w:szCs w:val="20"/>
              </w:rPr>
            </w:pPr>
            <w:r w:rsidRPr="00790384">
              <w:rPr>
                <w:rFonts w:ascii="Arial" w:hAnsi="Arial" w:cs="Times New Roman"/>
                <w:b/>
                <w:snapToGrid/>
                <w:sz w:val="20"/>
                <w:szCs w:val="20"/>
              </w:rPr>
              <w:t>Qty</w:t>
            </w:r>
          </w:p>
        </w:tc>
        <w:tc>
          <w:tcPr>
            <w:tcW w:w="447" w:type="pct"/>
            <w:tcBorders>
              <w:bottom w:val="single" w:sz="4" w:space="0" w:color="auto"/>
            </w:tcBorders>
          </w:tcPr>
          <w:p w:rsidR="00790384" w:rsidRPr="00790384" w:rsidRDefault="00790384" w:rsidP="00790384">
            <w:pPr>
              <w:widowControl/>
              <w:spacing w:after="120"/>
              <w:jc w:val="left"/>
              <w:rPr>
                <w:rFonts w:ascii="Arial" w:hAnsi="Arial" w:cs="Times New Roman"/>
                <w:b/>
                <w:snapToGrid/>
                <w:sz w:val="20"/>
                <w:szCs w:val="20"/>
              </w:rPr>
            </w:pPr>
            <w:r w:rsidRPr="00790384">
              <w:rPr>
                <w:rFonts w:ascii="Arial" w:hAnsi="Arial" w:cs="Times New Roman"/>
                <w:b/>
                <w:snapToGrid/>
                <w:sz w:val="20"/>
                <w:szCs w:val="20"/>
              </w:rPr>
              <w:t>№.of</w:t>
            </w:r>
          </w:p>
          <w:p w:rsidR="00790384" w:rsidRPr="00790384" w:rsidRDefault="00790384" w:rsidP="00790384">
            <w:pPr>
              <w:widowControl/>
              <w:spacing w:after="120"/>
              <w:jc w:val="left"/>
              <w:rPr>
                <w:rFonts w:ascii="Arial" w:hAnsi="Arial" w:cs="Times New Roman"/>
                <w:b/>
                <w:snapToGrid/>
                <w:sz w:val="20"/>
                <w:szCs w:val="20"/>
              </w:rPr>
            </w:pPr>
            <w:r w:rsidRPr="00790384">
              <w:rPr>
                <w:rFonts w:ascii="Arial" w:hAnsi="Arial" w:cs="Times New Roman"/>
                <w:b/>
                <w:snapToGrid/>
                <w:sz w:val="20"/>
                <w:szCs w:val="20"/>
              </w:rPr>
              <w:t>Rpts</w:t>
            </w:r>
          </w:p>
        </w:tc>
        <w:tc>
          <w:tcPr>
            <w:tcW w:w="904" w:type="pct"/>
            <w:tcBorders>
              <w:bottom w:val="single" w:sz="4" w:space="0" w:color="auto"/>
            </w:tcBorders>
          </w:tcPr>
          <w:p w:rsidR="00790384" w:rsidRPr="00790384" w:rsidRDefault="00790384" w:rsidP="00790384">
            <w:pPr>
              <w:widowControl/>
              <w:spacing w:after="120"/>
              <w:jc w:val="left"/>
              <w:rPr>
                <w:rFonts w:ascii="Arial" w:hAnsi="Arial" w:cs="Times New Roman"/>
                <w:b/>
                <w:snapToGrid/>
                <w:sz w:val="20"/>
                <w:szCs w:val="20"/>
              </w:rPr>
            </w:pPr>
          </w:p>
        </w:tc>
        <w:tc>
          <w:tcPr>
            <w:tcW w:w="1556" w:type="pct"/>
            <w:gridSpan w:val="2"/>
            <w:tcBorders>
              <w:bottom w:val="single" w:sz="4" w:space="0" w:color="auto"/>
            </w:tcBorders>
          </w:tcPr>
          <w:p w:rsidR="00790384" w:rsidRPr="00790384" w:rsidRDefault="00790384" w:rsidP="00790384">
            <w:pPr>
              <w:widowControl/>
              <w:spacing w:after="120"/>
              <w:jc w:val="left"/>
              <w:rPr>
                <w:rFonts w:ascii="Arial" w:hAnsi="Arial" w:cs="Times New Roman"/>
                <w:b/>
                <w:snapToGrid/>
                <w:sz w:val="20"/>
                <w:szCs w:val="20"/>
              </w:rPr>
            </w:pPr>
            <w:r w:rsidRPr="00790384">
              <w:rPr>
                <w:rFonts w:ascii="Arial" w:hAnsi="Arial" w:cs="Times New Roman"/>
                <w:b/>
                <w:snapToGrid/>
                <w:sz w:val="20"/>
                <w:szCs w:val="20"/>
              </w:rPr>
              <w:t>Proprietary Name and Manufacturer</w:t>
            </w:r>
          </w:p>
        </w:tc>
      </w:tr>
      <w:tr w:rsidR="00B63367" w:rsidRPr="00790384" w:rsidTr="00B63367">
        <w:trPr>
          <w:cantSplit/>
          <w:trHeight w:val="692"/>
        </w:trPr>
        <w:tc>
          <w:tcPr>
            <w:tcW w:w="1797" w:type="pct"/>
            <w:gridSpan w:val="2"/>
          </w:tcPr>
          <w:p w:rsidR="00790384" w:rsidRPr="00790384" w:rsidRDefault="00790384" w:rsidP="00790384">
            <w:pPr>
              <w:widowControl/>
              <w:spacing w:after="120"/>
              <w:jc w:val="left"/>
              <w:rPr>
                <w:rFonts w:ascii="Arial Narrow" w:hAnsi="Arial Narrow" w:cs="Times New Roman"/>
                <w:snapToGrid/>
                <w:sz w:val="20"/>
                <w:szCs w:val="20"/>
              </w:rPr>
            </w:pPr>
            <w:r w:rsidRPr="00B63367">
              <w:rPr>
                <w:rFonts w:ascii="Arial Narrow" w:hAnsi="Arial Narrow" w:cs="Times New Roman"/>
                <w:snapToGrid/>
                <w:sz w:val="20"/>
                <w:szCs w:val="20"/>
              </w:rPr>
              <w:t>TESTOSTERONE</w:t>
            </w:r>
          </w:p>
          <w:p w:rsidR="00790384" w:rsidRPr="00790384" w:rsidRDefault="00790384" w:rsidP="00790384">
            <w:pPr>
              <w:widowControl/>
              <w:spacing w:after="120"/>
              <w:jc w:val="left"/>
              <w:rPr>
                <w:rFonts w:ascii="Arial" w:hAnsi="Arial" w:cs="Times New Roman"/>
                <w:i/>
                <w:snapToGrid/>
                <w:sz w:val="20"/>
                <w:szCs w:val="20"/>
              </w:rPr>
            </w:pPr>
            <w:r w:rsidRPr="00B63367">
              <w:rPr>
                <w:rFonts w:ascii="Arial Narrow" w:hAnsi="Arial Narrow" w:cs="Times New Roman"/>
                <w:snapToGrid/>
                <w:sz w:val="20"/>
                <w:szCs w:val="20"/>
              </w:rPr>
              <w:t>2% (23 mg/actuation) gel, 56 actuations</w:t>
            </w:r>
            <w:r>
              <w:rPr>
                <w:rFonts w:ascii="Arial" w:hAnsi="Arial" w:cs="Times New Roman"/>
                <w:i/>
                <w:snapToGrid/>
                <w:sz w:val="20"/>
                <w:szCs w:val="20"/>
              </w:rPr>
              <w:t xml:space="preserve"> </w:t>
            </w:r>
          </w:p>
        </w:tc>
        <w:tc>
          <w:tcPr>
            <w:tcW w:w="296" w:type="pct"/>
          </w:tcPr>
          <w:p w:rsidR="00790384" w:rsidRPr="00790384" w:rsidRDefault="00790384" w:rsidP="00790384">
            <w:pPr>
              <w:widowControl/>
              <w:spacing w:after="120"/>
              <w:jc w:val="left"/>
              <w:rPr>
                <w:rFonts w:ascii="Arial Narrow" w:hAnsi="Arial Narrow" w:cs="Times New Roman"/>
                <w:snapToGrid/>
                <w:sz w:val="20"/>
                <w:szCs w:val="20"/>
              </w:rPr>
            </w:pPr>
          </w:p>
          <w:p w:rsidR="00790384" w:rsidRPr="00790384" w:rsidRDefault="00790384" w:rsidP="00790384">
            <w:pPr>
              <w:widowControl/>
              <w:spacing w:after="120"/>
              <w:jc w:val="left"/>
              <w:rPr>
                <w:rFonts w:ascii="Arial Narrow" w:hAnsi="Arial Narrow" w:cs="Times New Roman"/>
                <w:snapToGrid/>
                <w:sz w:val="20"/>
                <w:szCs w:val="20"/>
              </w:rPr>
            </w:pPr>
            <w:r w:rsidRPr="00790384">
              <w:rPr>
                <w:rFonts w:ascii="Arial Narrow" w:hAnsi="Arial Narrow" w:cs="Times New Roman"/>
                <w:snapToGrid/>
                <w:sz w:val="20"/>
                <w:szCs w:val="20"/>
              </w:rPr>
              <w:t>1</w:t>
            </w:r>
          </w:p>
          <w:p w:rsidR="00790384" w:rsidRPr="00790384" w:rsidRDefault="00790384" w:rsidP="00790384">
            <w:pPr>
              <w:widowControl/>
              <w:spacing w:after="120"/>
              <w:jc w:val="left"/>
              <w:rPr>
                <w:rFonts w:ascii="Arial Narrow" w:hAnsi="Arial Narrow" w:cs="Times New Roman"/>
                <w:snapToGrid/>
                <w:sz w:val="20"/>
                <w:szCs w:val="20"/>
              </w:rPr>
            </w:pPr>
          </w:p>
        </w:tc>
        <w:tc>
          <w:tcPr>
            <w:tcW w:w="447" w:type="pct"/>
          </w:tcPr>
          <w:p w:rsidR="00790384" w:rsidRPr="00790384" w:rsidRDefault="00790384" w:rsidP="00790384">
            <w:pPr>
              <w:widowControl/>
              <w:spacing w:after="120"/>
              <w:jc w:val="left"/>
              <w:rPr>
                <w:rFonts w:ascii="Arial Narrow" w:hAnsi="Arial Narrow" w:cs="Times New Roman"/>
                <w:snapToGrid/>
                <w:sz w:val="20"/>
                <w:szCs w:val="20"/>
              </w:rPr>
            </w:pPr>
          </w:p>
          <w:p w:rsidR="00790384" w:rsidRPr="00790384" w:rsidRDefault="00790384" w:rsidP="00790384">
            <w:pPr>
              <w:widowControl/>
              <w:spacing w:after="120"/>
              <w:jc w:val="left"/>
              <w:rPr>
                <w:rFonts w:ascii="Arial Narrow" w:hAnsi="Arial Narrow" w:cs="Times New Roman"/>
                <w:snapToGrid/>
                <w:sz w:val="20"/>
                <w:szCs w:val="20"/>
              </w:rPr>
            </w:pPr>
            <w:r w:rsidRPr="00B63367">
              <w:rPr>
                <w:rFonts w:ascii="Arial Narrow" w:hAnsi="Arial Narrow" w:cs="Times New Roman"/>
                <w:snapToGrid/>
                <w:sz w:val="20"/>
                <w:szCs w:val="20"/>
              </w:rPr>
              <w:t>5</w:t>
            </w:r>
          </w:p>
          <w:p w:rsidR="00790384" w:rsidRPr="00790384" w:rsidRDefault="00790384" w:rsidP="00790384">
            <w:pPr>
              <w:widowControl/>
              <w:spacing w:after="120"/>
              <w:jc w:val="left"/>
              <w:rPr>
                <w:rFonts w:ascii="Arial Narrow" w:hAnsi="Arial Narrow" w:cs="Times New Roman"/>
                <w:snapToGrid/>
                <w:sz w:val="20"/>
                <w:szCs w:val="20"/>
              </w:rPr>
            </w:pPr>
          </w:p>
        </w:tc>
        <w:tc>
          <w:tcPr>
            <w:tcW w:w="904" w:type="pct"/>
          </w:tcPr>
          <w:p w:rsidR="00790384" w:rsidRPr="00790384" w:rsidRDefault="00790384" w:rsidP="00790384">
            <w:pPr>
              <w:widowControl/>
              <w:spacing w:after="120"/>
              <w:jc w:val="left"/>
              <w:rPr>
                <w:rFonts w:ascii="Arial Narrow" w:hAnsi="Arial Narrow" w:cs="Times New Roman"/>
                <w:snapToGrid/>
                <w:sz w:val="20"/>
                <w:szCs w:val="20"/>
              </w:rPr>
            </w:pPr>
          </w:p>
          <w:p w:rsidR="00790384" w:rsidRPr="00790384" w:rsidRDefault="00790384" w:rsidP="00790384">
            <w:pPr>
              <w:widowControl/>
              <w:spacing w:after="120"/>
              <w:jc w:val="left"/>
              <w:rPr>
                <w:rFonts w:ascii="Arial Narrow" w:hAnsi="Arial Narrow" w:cs="Times New Roman"/>
                <w:snapToGrid/>
                <w:sz w:val="20"/>
                <w:szCs w:val="20"/>
              </w:rPr>
            </w:pPr>
          </w:p>
        </w:tc>
        <w:tc>
          <w:tcPr>
            <w:tcW w:w="518" w:type="pct"/>
          </w:tcPr>
          <w:p w:rsidR="00790384" w:rsidRPr="00790384" w:rsidRDefault="00790384" w:rsidP="00790384">
            <w:pPr>
              <w:widowControl/>
              <w:spacing w:after="120"/>
              <w:jc w:val="left"/>
              <w:rPr>
                <w:rFonts w:ascii="Arial Narrow" w:hAnsi="Arial Narrow" w:cs="Times New Roman"/>
                <w:snapToGrid/>
                <w:sz w:val="20"/>
                <w:szCs w:val="20"/>
              </w:rPr>
            </w:pPr>
            <w:proofErr w:type="spellStart"/>
            <w:r w:rsidRPr="00B63367">
              <w:rPr>
                <w:rFonts w:ascii="Arial Narrow" w:hAnsi="Arial Narrow" w:cs="Times New Roman"/>
                <w:snapToGrid/>
                <w:sz w:val="20"/>
                <w:szCs w:val="20"/>
              </w:rPr>
              <w:t>Testevan</w:t>
            </w:r>
            <w:proofErr w:type="spellEnd"/>
            <w:r w:rsidRPr="00790384">
              <w:rPr>
                <w:rFonts w:ascii="Arial Narrow" w:hAnsi="Arial Narrow" w:cs="Times New Roman"/>
                <w:snapToGrid/>
                <w:sz w:val="20"/>
                <w:szCs w:val="20"/>
              </w:rPr>
              <w:t>®</w:t>
            </w:r>
          </w:p>
        </w:tc>
        <w:tc>
          <w:tcPr>
            <w:tcW w:w="1038" w:type="pct"/>
          </w:tcPr>
          <w:p w:rsidR="00790384" w:rsidRPr="00790384" w:rsidRDefault="00790384" w:rsidP="00790384">
            <w:pPr>
              <w:widowControl/>
              <w:spacing w:after="120"/>
              <w:jc w:val="left"/>
              <w:rPr>
                <w:rFonts w:ascii="Arial Narrow" w:hAnsi="Arial Narrow" w:cs="Times New Roman"/>
                <w:snapToGrid/>
                <w:sz w:val="20"/>
                <w:szCs w:val="20"/>
              </w:rPr>
            </w:pPr>
            <w:proofErr w:type="spellStart"/>
            <w:r w:rsidRPr="00B63367">
              <w:rPr>
                <w:rFonts w:ascii="Arial Narrow" w:hAnsi="Arial Narrow" w:cs="Times New Roman"/>
                <w:snapToGrid/>
                <w:sz w:val="20"/>
                <w:szCs w:val="20"/>
              </w:rPr>
              <w:t>Ferring</w:t>
            </w:r>
            <w:proofErr w:type="spellEnd"/>
            <w:r w:rsidRPr="00B63367">
              <w:rPr>
                <w:rFonts w:ascii="Arial Narrow" w:hAnsi="Arial Narrow" w:cs="Times New Roman"/>
                <w:snapToGrid/>
                <w:sz w:val="20"/>
                <w:szCs w:val="20"/>
              </w:rPr>
              <w:t xml:space="preserve"> Pharmaceuticals Pty Ltd </w:t>
            </w:r>
          </w:p>
        </w:tc>
      </w:tr>
      <w:tr w:rsidR="00790384" w:rsidRPr="00790384" w:rsidTr="00B63367">
        <w:tblPrEx>
          <w:tblCellMar>
            <w:left w:w="108" w:type="dxa"/>
            <w:right w:w="108" w:type="dxa"/>
          </w:tblCellMar>
        </w:tblPrEx>
        <w:trPr>
          <w:cantSplit/>
          <w:trHeight w:val="239"/>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spacing w:after="120"/>
              <w:rPr>
                <w:rFonts w:ascii="Arial Narrow" w:hAnsi="Arial Narrow"/>
                <w:b/>
                <w:i/>
                <w:snapToGrid/>
                <w:sz w:val="20"/>
                <w:szCs w:val="20"/>
                <w:lang w:eastAsia="en-AU"/>
              </w:rPr>
            </w:pPr>
            <w:r w:rsidRPr="00790384">
              <w:rPr>
                <w:rFonts w:ascii="Arial Narrow" w:hAnsi="Arial Narrow"/>
                <w:b/>
                <w:i/>
                <w:snapToGrid/>
                <w:sz w:val="20"/>
                <w:szCs w:val="20"/>
                <w:lang w:eastAsia="en-AU"/>
              </w:rPr>
              <w:t>Category / Program</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t>GENERAL – General Schedule (Code GE)</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Prescriber type:</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spacing w:after="120"/>
              <w:jc w:val="left"/>
              <w:rPr>
                <w:rFonts w:ascii="Arial Narrow" w:hAnsi="Arial Narrow" w:cs="Times New Roman"/>
                <w:snapToGrid/>
                <w:sz w:val="20"/>
                <w:szCs w:val="20"/>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imes New Roman"/>
                <w:snapToGrid/>
                <w:sz w:val="20"/>
                <w:szCs w:val="20"/>
              </w:rPr>
              <w:t xml:space="preserve">Dental  </w:t>
            </w:r>
            <w:r w:rsidRPr="00790384">
              <w:rPr>
                <w:rFonts w:ascii="Arial Narrow" w:hAnsi="Arial Narrow" w:cs="Times New Roman"/>
                <w:snapToGrid/>
                <w:sz w:val="20"/>
                <w:szCs w:val="20"/>
              </w:rPr>
              <w:fldChar w:fldCharType="begin">
                <w:ffData>
                  <w:name w:val=""/>
                  <w:enabled/>
                  <w:calcOnExit w:val="0"/>
                  <w:checkBox>
                    <w:sizeAuto/>
                    <w:default w:val="1"/>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Medical Practitioners  </w:t>
            </w:r>
            <w:r w:rsidRPr="00790384">
              <w:rPr>
                <w:rFonts w:ascii="Arial Narrow" w:hAnsi="Arial Narrow" w:cs="Times New Roman"/>
                <w:snapToGrid/>
                <w:sz w:val="20"/>
                <w:szCs w:val="20"/>
              </w:rPr>
              <w:fldChar w:fldCharType="begin">
                <w:ffData>
                  <w:name w:val="Check3"/>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Nurse practitioners  </w:t>
            </w:r>
            <w:r w:rsidRPr="00790384">
              <w:rPr>
                <w:rFonts w:ascii="Arial Narrow" w:hAnsi="Arial Narrow" w:cs="Times New Roman"/>
                <w:snapToGrid/>
                <w:sz w:val="20"/>
                <w:szCs w:val="20"/>
              </w:rPr>
              <w:fldChar w:fldCharType="begin">
                <w:ffData>
                  <w:name w:val=""/>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Optometrists</w:t>
            </w:r>
          </w:p>
          <w:p w:rsidR="00790384" w:rsidRPr="00790384" w:rsidRDefault="00790384" w:rsidP="00790384">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fldChar w:fldCharType="begin">
                <w:ffData>
                  <w:name w:val="Check5"/>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Midwives</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Condition:</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B63367" w:rsidP="00790384">
            <w:pPr>
              <w:widowControl/>
              <w:spacing w:after="120"/>
              <w:jc w:val="left"/>
              <w:rPr>
                <w:rFonts w:ascii="Arial Narrow" w:hAnsi="Arial Narrow" w:cs="Times New Roman"/>
                <w:snapToGrid/>
                <w:sz w:val="20"/>
                <w:szCs w:val="20"/>
              </w:rPr>
            </w:pPr>
            <w:r w:rsidRPr="00B63367">
              <w:rPr>
                <w:rFonts w:ascii="Arial Narrow" w:hAnsi="Arial Narrow" w:cs="Times New Roman"/>
                <w:snapToGrid/>
                <w:sz w:val="20"/>
                <w:szCs w:val="20"/>
              </w:rPr>
              <w:t>Androgen deficiency</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PBS Indication:</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B63367" w:rsidP="00790384">
            <w:pPr>
              <w:widowControl/>
              <w:spacing w:after="120"/>
              <w:jc w:val="left"/>
              <w:rPr>
                <w:rFonts w:ascii="Arial Narrow" w:hAnsi="Arial Narrow" w:cs="Times New Roman"/>
                <w:snapToGrid/>
                <w:sz w:val="20"/>
                <w:szCs w:val="20"/>
              </w:rPr>
            </w:pPr>
            <w:r w:rsidRPr="00B63367">
              <w:rPr>
                <w:rFonts w:ascii="Arial Narrow" w:hAnsi="Arial Narrow" w:cs="Times New Roman"/>
                <w:snapToGrid/>
                <w:sz w:val="20"/>
                <w:szCs w:val="20"/>
              </w:rPr>
              <w:t>Androgen deficiency</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Restriction Level / Method:</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spacing w:after="120"/>
              <w:jc w:val="left"/>
              <w:rPr>
                <w:rFonts w:ascii="Arial Narrow" w:hAnsi="Arial Narrow" w:cstheme="minorHAnsi"/>
                <w:snapToGrid/>
                <w:sz w:val="20"/>
                <w:szCs w:val="20"/>
                <w:lang w:eastAsia="en-AU"/>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heme="minorHAnsi"/>
                <w:snapToGrid/>
                <w:sz w:val="20"/>
                <w:szCs w:val="20"/>
                <w:lang w:eastAsia="en-AU"/>
              </w:rPr>
              <w:t>Restricted benefit</w:t>
            </w:r>
          </w:p>
          <w:p w:rsidR="00790384" w:rsidRPr="00790384" w:rsidRDefault="00790384" w:rsidP="00790384">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In Writing</w:t>
            </w:r>
          </w:p>
          <w:p w:rsidR="00790384" w:rsidRPr="00790384" w:rsidRDefault="00790384" w:rsidP="00790384">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790384">
              <w:rPr>
                <w:rFonts w:ascii="Arial Narrow" w:hAnsi="Arial Narrow" w:cstheme="minorHAnsi"/>
                <w:snapToGrid/>
                <w:sz w:val="20"/>
                <w:szCs w:val="20"/>
                <w:lang w:eastAsia="en-AU"/>
              </w:rPr>
              <w:instrText xml:space="preserve"> </w:instrText>
            </w:r>
            <w:bookmarkStart w:id="33" w:name="Check3"/>
            <w:r w:rsidRPr="00790384">
              <w:rPr>
                <w:rFonts w:ascii="Arial Narrow" w:hAnsi="Arial Narrow" w:cstheme="minorHAnsi"/>
                <w:snapToGrid/>
                <w:sz w:val="20"/>
                <w:szCs w:val="20"/>
                <w:lang w:eastAsia="en-AU"/>
              </w:rPr>
              <w:instrText xml:space="preserve">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bookmarkEnd w:id="33"/>
            <w:r w:rsidRPr="00790384">
              <w:rPr>
                <w:rFonts w:ascii="Arial Narrow" w:hAnsi="Arial Narrow" w:cstheme="minorHAnsi"/>
                <w:snapToGrid/>
                <w:sz w:val="20"/>
                <w:szCs w:val="20"/>
                <w:lang w:eastAsia="en-AU"/>
              </w:rPr>
              <w:t>Authority Required - Telephone</w:t>
            </w:r>
          </w:p>
          <w:p w:rsidR="00790384" w:rsidRPr="00790384" w:rsidRDefault="00880479" w:rsidP="00790384">
            <w:pPr>
              <w:widowControl/>
              <w:spacing w:after="120"/>
              <w:jc w:val="left"/>
              <w:rPr>
                <w:rFonts w:ascii="Arial Narrow" w:hAnsi="Arial Narrow" w:cstheme="minorHAnsi"/>
                <w:snapToGrid/>
                <w:sz w:val="20"/>
                <w:szCs w:val="20"/>
                <w:lang w:eastAsia="en-AU"/>
              </w:rPr>
            </w:pPr>
            <w:r>
              <w:rPr>
                <w:rFonts w:ascii="Arial Narrow" w:hAnsi="Arial Narrow" w:cstheme="minorHAnsi"/>
                <w:snapToGrid/>
                <w:sz w:val="20"/>
                <w:szCs w:val="20"/>
                <w:lang w:eastAsia="en-AU"/>
              </w:rPr>
              <w:fldChar w:fldCharType="begin">
                <w:ffData>
                  <w:name w:val=""/>
                  <w:enabled/>
                  <w:calcOnExit w:val="0"/>
                  <w:checkBox>
                    <w:sizeAuto/>
                    <w:default w:val="1"/>
                  </w:checkBox>
                </w:ffData>
              </w:fldChar>
            </w:r>
            <w:r>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Pr>
                <w:rFonts w:ascii="Arial Narrow" w:hAnsi="Arial Narrow" w:cstheme="minorHAnsi"/>
                <w:snapToGrid/>
                <w:sz w:val="20"/>
                <w:szCs w:val="20"/>
                <w:lang w:eastAsia="en-AU"/>
              </w:rPr>
              <w:fldChar w:fldCharType="end"/>
            </w:r>
            <w:r w:rsidR="00790384" w:rsidRPr="00790384">
              <w:rPr>
                <w:rFonts w:ascii="Arial Narrow" w:hAnsi="Arial Narrow" w:cstheme="minorHAnsi"/>
                <w:snapToGrid/>
                <w:sz w:val="20"/>
                <w:szCs w:val="20"/>
                <w:lang w:eastAsia="en-AU"/>
              </w:rPr>
              <w:t>Authority Required - Emergency</w:t>
            </w:r>
          </w:p>
          <w:p w:rsidR="00790384" w:rsidRPr="00790384" w:rsidRDefault="00790384" w:rsidP="00790384">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790384">
              <w:rPr>
                <w:rFonts w:ascii="Arial Narrow" w:hAnsi="Arial Narrow" w:cstheme="minorHAnsi"/>
                <w:snapToGrid/>
                <w:sz w:val="20"/>
                <w:szCs w:val="20"/>
                <w:lang w:eastAsia="en-AU"/>
              </w:rPr>
              <w:instrText xml:space="preserve"> </w:instrText>
            </w:r>
            <w:bookmarkStart w:id="34" w:name="Check5"/>
            <w:r w:rsidRPr="00790384">
              <w:rPr>
                <w:rFonts w:ascii="Arial Narrow" w:hAnsi="Arial Narrow" w:cstheme="minorHAnsi"/>
                <w:snapToGrid/>
                <w:sz w:val="20"/>
                <w:szCs w:val="20"/>
                <w:lang w:eastAsia="en-AU"/>
              </w:rPr>
              <w:instrText xml:space="preserve">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bookmarkEnd w:id="34"/>
            <w:r w:rsidRPr="00790384">
              <w:rPr>
                <w:rFonts w:ascii="Arial Narrow" w:hAnsi="Arial Narrow" w:cstheme="minorHAnsi"/>
                <w:snapToGrid/>
                <w:sz w:val="20"/>
                <w:szCs w:val="20"/>
                <w:lang w:eastAsia="en-AU"/>
              </w:rPr>
              <w:t>Authority Required - Electronic</w:t>
            </w:r>
          </w:p>
          <w:p w:rsidR="00790384" w:rsidRPr="00790384" w:rsidRDefault="00790384" w:rsidP="00790384">
            <w:pPr>
              <w:widowControl/>
              <w:spacing w:after="120"/>
              <w:jc w:val="left"/>
              <w:rPr>
                <w:rFonts w:ascii="Arial" w:hAnsi="Arial" w:cs="Times New Roman"/>
                <w:i/>
                <w:snapToGrid/>
                <w:sz w:val="20"/>
                <w:szCs w:val="20"/>
              </w:rPr>
            </w:pPr>
            <w:r w:rsidRPr="0079038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Streamlined</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lastRenderedPageBreak/>
              <w:t>Treatment criteria:</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B63367" w:rsidP="00790384">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Clinical criteria:</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B63367" w:rsidP="00790384">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Patient must have an established pituitary or testicular disorder</w:t>
            </w:r>
          </w:p>
        </w:tc>
      </w:tr>
      <w:tr w:rsidR="00790384" w:rsidRPr="00790384" w:rsidTr="00B63367">
        <w:tblPrEx>
          <w:tblCellMar>
            <w:left w:w="108" w:type="dxa"/>
            <w:right w:w="108" w:type="dxa"/>
          </w:tblCellMar>
        </w:tblPrEx>
        <w:trPr>
          <w:cantSplit/>
          <w:trHeight w:val="360"/>
        </w:trPr>
        <w:tc>
          <w:tcPr>
            <w:tcW w:w="1563" w:type="pct"/>
            <w:tcBorders>
              <w:top w:val="single" w:sz="4" w:space="0" w:color="auto"/>
              <w:left w:val="single" w:sz="4" w:space="0" w:color="auto"/>
              <w:bottom w:val="single" w:sz="4" w:space="0" w:color="auto"/>
              <w:right w:val="single" w:sz="4" w:space="0" w:color="auto"/>
            </w:tcBorders>
          </w:tcPr>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Administrative Advice</w:t>
            </w:r>
          </w:p>
          <w:p w:rsidR="00790384" w:rsidRPr="00790384" w:rsidRDefault="00790384" w:rsidP="00790384">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(not included in LI)</w:t>
            </w:r>
          </w:p>
        </w:tc>
        <w:tc>
          <w:tcPr>
            <w:tcW w:w="3437" w:type="pct"/>
            <w:gridSpan w:val="6"/>
            <w:tcBorders>
              <w:top w:val="single" w:sz="4" w:space="0" w:color="auto"/>
              <w:left w:val="single" w:sz="4" w:space="0" w:color="auto"/>
              <w:bottom w:val="single" w:sz="4" w:space="0" w:color="auto"/>
              <w:right w:val="single" w:sz="4" w:space="0" w:color="auto"/>
            </w:tcBorders>
          </w:tcPr>
          <w:p w:rsidR="00790384" w:rsidRPr="00790384" w:rsidRDefault="00B63367" w:rsidP="00790384">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The name of the specialist must be included in the authority application</w:t>
            </w:r>
          </w:p>
        </w:tc>
      </w:tr>
    </w:tbl>
    <w:p w:rsidR="00B63367" w:rsidRDefault="00B63367" w:rsidP="000A3F6D"/>
    <w:tbl>
      <w:tblPr>
        <w:tblW w:w="4907" w:type="pct"/>
        <w:tblInd w:w="108" w:type="dxa"/>
        <w:tblLook w:val="0000" w:firstRow="0" w:lastRow="0" w:firstColumn="0" w:lastColumn="0" w:noHBand="0" w:noVBand="0"/>
      </w:tblPr>
      <w:tblGrid>
        <w:gridCol w:w="2665"/>
        <w:gridCol w:w="6184"/>
      </w:tblGrid>
      <w:tr w:rsidR="00B63367" w:rsidRPr="00790384" w:rsidTr="00601E38">
        <w:trPr>
          <w:cantSplit/>
          <w:trHeight w:val="239"/>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rPr>
                <w:rFonts w:ascii="Arial Narrow" w:hAnsi="Arial Narrow"/>
                <w:b/>
                <w:i/>
                <w:snapToGrid/>
                <w:sz w:val="20"/>
                <w:szCs w:val="20"/>
                <w:lang w:eastAsia="en-AU"/>
              </w:rPr>
            </w:pPr>
            <w:r w:rsidRPr="00790384">
              <w:rPr>
                <w:rFonts w:ascii="Arial Narrow" w:hAnsi="Arial Narrow"/>
                <w:b/>
                <w:i/>
                <w:snapToGrid/>
                <w:sz w:val="20"/>
                <w:szCs w:val="20"/>
                <w:lang w:eastAsia="en-AU"/>
              </w:rPr>
              <w:t>Category / Program</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t>GENERAL – General Schedule (Code GE)</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Prescriber type:</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imes New Roman"/>
                <w:snapToGrid/>
                <w:sz w:val="20"/>
                <w:szCs w:val="20"/>
              </w:rPr>
              <w:t xml:space="preserve">Dental  </w:t>
            </w:r>
            <w:r w:rsidRPr="00790384">
              <w:rPr>
                <w:rFonts w:ascii="Arial Narrow" w:hAnsi="Arial Narrow" w:cs="Times New Roman"/>
                <w:snapToGrid/>
                <w:sz w:val="20"/>
                <w:szCs w:val="20"/>
              </w:rPr>
              <w:fldChar w:fldCharType="begin">
                <w:ffData>
                  <w:name w:val=""/>
                  <w:enabled/>
                  <w:calcOnExit w:val="0"/>
                  <w:checkBox>
                    <w:sizeAuto/>
                    <w:default w:val="1"/>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Medical Practitioners  </w:t>
            </w:r>
            <w:r w:rsidRPr="00790384">
              <w:rPr>
                <w:rFonts w:ascii="Arial Narrow" w:hAnsi="Arial Narrow" w:cs="Times New Roman"/>
                <w:snapToGrid/>
                <w:sz w:val="20"/>
                <w:szCs w:val="20"/>
              </w:rPr>
              <w:fldChar w:fldCharType="begin">
                <w:ffData>
                  <w:name w:val="Check3"/>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Nurse practitioners  </w:t>
            </w:r>
            <w:r w:rsidRPr="00790384">
              <w:rPr>
                <w:rFonts w:ascii="Arial Narrow" w:hAnsi="Arial Narrow" w:cs="Times New Roman"/>
                <w:snapToGrid/>
                <w:sz w:val="20"/>
                <w:szCs w:val="20"/>
              </w:rPr>
              <w:fldChar w:fldCharType="begin">
                <w:ffData>
                  <w:name w:val=""/>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Optometrists</w:t>
            </w:r>
          </w:p>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fldChar w:fldCharType="begin">
                <w:ffData>
                  <w:name w:val="Check5"/>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Midwives</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Condition:</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sidRPr="00B63367">
              <w:rPr>
                <w:rFonts w:ascii="Arial Narrow" w:hAnsi="Arial Narrow" w:cs="Times New Roman"/>
                <w:snapToGrid/>
                <w:sz w:val="20"/>
                <w:szCs w:val="20"/>
              </w:rPr>
              <w:t>Androgen deficiency</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PBS Indication:</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sidRPr="00B63367">
              <w:rPr>
                <w:rFonts w:ascii="Arial Narrow" w:hAnsi="Arial Narrow" w:cs="Times New Roman"/>
                <w:snapToGrid/>
                <w:sz w:val="20"/>
                <w:szCs w:val="20"/>
              </w:rPr>
              <w:t>Androgen deficiency</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Restriction Level / Method:</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heme="minorHAnsi"/>
                <w:snapToGrid/>
                <w:sz w:val="20"/>
                <w:szCs w:val="20"/>
                <w:lang w:eastAsia="en-AU"/>
              </w:rPr>
              <w:t>Restricted benefit</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In Writing</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Telephone</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
                  <w:enabled/>
                  <w:calcOnExit w:val="0"/>
                  <w:checkBox>
                    <w:sizeAuto/>
                    <w:default w:val="0"/>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Emergency</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Electronic</w:t>
            </w:r>
          </w:p>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Streamlined</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Treatment criteria:</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Clinical criteria:</w:t>
            </w:r>
          </w:p>
        </w:tc>
        <w:tc>
          <w:tcPr>
            <w:tcW w:w="3494" w:type="pct"/>
            <w:tcBorders>
              <w:top w:val="single" w:sz="4" w:space="0" w:color="auto"/>
              <w:left w:val="single" w:sz="4" w:space="0" w:color="auto"/>
              <w:bottom w:val="single" w:sz="4" w:space="0" w:color="auto"/>
              <w:right w:val="single" w:sz="4" w:space="0" w:color="auto"/>
            </w:tcBorders>
          </w:tcPr>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Patient must not have an established pituitary or testicular disorder</w:t>
            </w:r>
          </w:p>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AND</w:t>
            </w:r>
          </w:p>
          <w:p w:rsidR="00B63367" w:rsidRPr="00790384" w:rsidRDefault="00B63367" w:rsidP="00B63367">
            <w:pPr>
              <w:widowControl/>
              <w:spacing w:after="120"/>
              <w:jc w:val="left"/>
              <w:rPr>
                <w:rFonts w:ascii="Arial" w:hAnsi="Arial" w:cs="Times New Roman"/>
                <w:i/>
                <w:snapToGrid/>
                <w:sz w:val="20"/>
                <w:szCs w:val="20"/>
              </w:rPr>
            </w:pPr>
            <w:r w:rsidRPr="00B63367">
              <w:rPr>
                <w:rFonts w:ascii="Arial Narrow" w:hAnsi="Arial Narrow" w:cstheme="minorHAnsi"/>
                <w:snapToGrid/>
                <w:sz w:val="20"/>
                <w:szCs w:val="20"/>
                <w:lang w:eastAsia="en-AU"/>
              </w:rPr>
              <w:t>The condition must not be due to age, obesity, cardiovascular diseases, infertility or drugs</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Population criteria:</w:t>
            </w:r>
          </w:p>
        </w:tc>
        <w:tc>
          <w:tcPr>
            <w:tcW w:w="3494" w:type="pct"/>
            <w:tcBorders>
              <w:top w:val="single" w:sz="4" w:space="0" w:color="auto"/>
              <w:left w:val="single" w:sz="4" w:space="0" w:color="auto"/>
              <w:bottom w:val="single" w:sz="4" w:space="0" w:color="auto"/>
              <w:right w:val="single" w:sz="4" w:space="0" w:color="auto"/>
            </w:tcBorders>
          </w:tcPr>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Patient must be aged 40 years or older</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Default="00B63367"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Prescriber Instructions:</w:t>
            </w:r>
          </w:p>
        </w:tc>
        <w:tc>
          <w:tcPr>
            <w:tcW w:w="3494" w:type="pct"/>
            <w:tcBorders>
              <w:top w:val="single" w:sz="4" w:space="0" w:color="auto"/>
              <w:left w:val="single" w:sz="4" w:space="0" w:color="auto"/>
              <w:bottom w:val="single" w:sz="4" w:space="0" w:color="auto"/>
              <w:right w:val="single" w:sz="4" w:space="0" w:color="auto"/>
            </w:tcBorders>
          </w:tcPr>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Androgen deficiency is defined as:</w:t>
            </w:r>
          </w:p>
          <w:p w:rsidR="00B63367" w:rsidRPr="00B63367" w:rsidRDefault="00B63367" w:rsidP="00B63367">
            <w:pPr>
              <w:widowControl/>
              <w:spacing w:after="120"/>
              <w:jc w:val="left"/>
              <w:rPr>
                <w:rFonts w:ascii="Arial Narrow" w:hAnsi="Arial Narrow" w:cstheme="minorHAnsi"/>
                <w:snapToGrid/>
                <w:sz w:val="20"/>
                <w:szCs w:val="20"/>
                <w:lang w:eastAsia="en-AU"/>
              </w:rPr>
            </w:pPr>
            <w:proofErr w:type="spellStart"/>
            <w:r w:rsidRPr="00B63367">
              <w:rPr>
                <w:rFonts w:ascii="Arial Narrow" w:hAnsi="Arial Narrow" w:cstheme="minorHAnsi"/>
                <w:snapToGrid/>
                <w:sz w:val="20"/>
                <w:szCs w:val="20"/>
                <w:lang w:eastAsia="en-AU"/>
              </w:rPr>
              <w:t>i</w:t>
            </w:r>
            <w:proofErr w:type="spellEnd"/>
            <w:r w:rsidRPr="00B63367">
              <w:rPr>
                <w:rFonts w:ascii="Arial Narrow" w:hAnsi="Arial Narrow" w:cstheme="minorHAnsi"/>
                <w:snapToGrid/>
                <w:sz w:val="20"/>
                <w:szCs w:val="20"/>
                <w:lang w:eastAsia="en-AU"/>
              </w:rPr>
              <w:t>)</w:t>
            </w:r>
            <w:r w:rsidRPr="00B63367">
              <w:rPr>
                <w:rFonts w:ascii="Arial Narrow" w:hAnsi="Arial Narrow" w:cstheme="minorHAnsi"/>
                <w:snapToGrid/>
                <w:sz w:val="20"/>
                <w:szCs w:val="20"/>
                <w:lang w:eastAsia="en-AU"/>
              </w:rPr>
              <w:tab/>
              <w:t xml:space="preserve">testosterone level of less than 6 </w:t>
            </w:r>
            <w:proofErr w:type="spellStart"/>
            <w:r w:rsidRPr="00B63367">
              <w:rPr>
                <w:rFonts w:ascii="Arial Narrow" w:hAnsi="Arial Narrow" w:cstheme="minorHAnsi"/>
                <w:snapToGrid/>
                <w:sz w:val="20"/>
                <w:szCs w:val="20"/>
                <w:lang w:eastAsia="en-AU"/>
              </w:rPr>
              <w:t>nmol</w:t>
            </w:r>
            <w:proofErr w:type="spellEnd"/>
            <w:r w:rsidRPr="00B63367">
              <w:rPr>
                <w:rFonts w:ascii="Arial Narrow" w:hAnsi="Arial Narrow" w:cstheme="minorHAnsi"/>
                <w:snapToGrid/>
                <w:sz w:val="20"/>
                <w:szCs w:val="20"/>
                <w:lang w:eastAsia="en-AU"/>
              </w:rPr>
              <w:t xml:space="preserve"> per litre; OR</w:t>
            </w:r>
          </w:p>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ii)</w:t>
            </w:r>
            <w:r w:rsidRPr="00B63367">
              <w:rPr>
                <w:rFonts w:ascii="Arial Narrow" w:hAnsi="Arial Narrow" w:cstheme="minorHAnsi"/>
                <w:snapToGrid/>
                <w:sz w:val="20"/>
                <w:szCs w:val="20"/>
                <w:lang w:eastAsia="en-AU"/>
              </w:rPr>
              <w:tab/>
              <w:t xml:space="preserve">testosterone level between 6 and 15 </w:t>
            </w:r>
            <w:proofErr w:type="spellStart"/>
            <w:r w:rsidRPr="00B63367">
              <w:rPr>
                <w:rFonts w:ascii="Arial Narrow" w:hAnsi="Arial Narrow" w:cstheme="minorHAnsi"/>
                <w:snapToGrid/>
                <w:sz w:val="20"/>
                <w:szCs w:val="20"/>
                <w:lang w:eastAsia="en-AU"/>
              </w:rPr>
              <w:t>nmol</w:t>
            </w:r>
            <w:proofErr w:type="spellEnd"/>
            <w:r w:rsidRPr="00B63367">
              <w:rPr>
                <w:rFonts w:ascii="Arial Narrow" w:hAnsi="Arial Narrow" w:cstheme="minorHAnsi"/>
                <w:snapToGrid/>
                <w:sz w:val="20"/>
                <w:szCs w:val="20"/>
                <w:lang w:eastAsia="en-AU"/>
              </w:rPr>
              <w:t xml:space="preserve"> per litre with high luteinising hormone (LH) (greater than 1.5 times the upper limit of the </w:t>
            </w:r>
            <w:proofErr w:type="spellStart"/>
            <w:r w:rsidRPr="00B63367">
              <w:rPr>
                <w:rFonts w:ascii="Arial Narrow" w:hAnsi="Arial Narrow" w:cstheme="minorHAnsi"/>
                <w:snapToGrid/>
                <w:sz w:val="20"/>
                <w:szCs w:val="20"/>
                <w:lang w:eastAsia="en-AU"/>
              </w:rPr>
              <w:t>eugonadal</w:t>
            </w:r>
            <w:proofErr w:type="spellEnd"/>
            <w:r w:rsidRPr="00B63367">
              <w:rPr>
                <w:rFonts w:ascii="Arial Narrow" w:hAnsi="Arial Narrow" w:cstheme="minorHAnsi"/>
                <w:snapToGrid/>
                <w:sz w:val="20"/>
                <w:szCs w:val="20"/>
                <w:lang w:eastAsia="en-AU"/>
              </w:rPr>
              <w:t xml:space="preserve"> reference range for young men, or greater than 14 IU per litre, whichever is higher)</w:t>
            </w:r>
          </w:p>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Androgen deficiency must be confirmed by at least two morning blood samples taken on different mornings.</w:t>
            </w:r>
          </w:p>
          <w:p w:rsidR="00B63367" w:rsidRPr="00B63367" w:rsidRDefault="00B63367" w:rsidP="00B63367">
            <w:pPr>
              <w:widowControl/>
              <w:spacing w:after="120"/>
              <w:jc w:val="left"/>
              <w:rPr>
                <w:rFonts w:ascii="Arial Narrow" w:hAnsi="Arial Narrow" w:cstheme="minorHAnsi"/>
                <w:snapToGrid/>
                <w:sz w:val="20"/>
                <w:szCs w:val="20"/>
                <w:lang w:eastAsia="en-AU"/>
              </w:rPr>
            </w:pPr>
            <w:r w:rsidRPr="00B63367">
              <w:rPr>
                <w:rFonts w:ascii="Arial Narrow" w:hAnsi="Arial Narrow" w:cstheme="minorHAnsi"/>
                <w:snapToGrid/>
                <w:sz w:val="20"/>
                <w:szCs w:val="20"/>
                <w:lang w:eastAsia="en-AU"/>
              </w:rPr>
              <w:t>The dates and levels of the qualifying testosterone and LH measurements must be, or must have been provided in the authority application when treatment with this drug is or was initiated</w:t>
            </w:r>
          </w:p>
        </w:tc>
      </w:tr>
      <w:tr w:rsidR="00B63367" w:rsidRPr="00790384" w:rsidTr="00601E38">
        <w:trPr>
          <w:cantSplit/>
          <w:trHeight w:val="360"/>
        </w:trPr>
        <w:tc>
          <w:tcPr>
            <w:tcW w:w="1506"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Administrative Advice</w:t>
            </w:r>
          </w:p>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(not included in LI)</w:t>
            </w:r>
          </w:p>
        </w:tc>
        <w:tc>
          <w:tcPr>
            <w:tcW w:w="3494"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The name of the specialist must be included in the authority application</w:t>
            </w:r>
          </w:p>
        </w:tc>
      </w:tr>
    </w:tbl>
    <w:p w:rsidR="00B63367" w:rsidRDefault="00B63367" w:rsidP="000A3F6D"/>
    <w:tbl>
      <w:tblPr>
        <w:tblW w:w="4907" w:type="pct"/>
        <w:tblInd w:w="108" w:type="dxa"/>
        <w:tblLook w:val="0000" w:firstRow="0" w:lastRow="0" w:firstColumn="0" w:lastColumn="0" w:noHBand="0" w:noVBand="0"/>
      </w:tblPr>
      <w:tblGrid>
        <w:gridCol w:w="2713"/>
        <w:gridCol w:w="6136"/>
      </w:tblGrid>
      <w:tr w:rsidR="00B63367" w:rsidRPr="00790384" w:rsidTr="00601E38">
        <w:trPr>
          <w:cantSplit/>
          <w:trHeight w:val="239"/>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rPr>
                <w:rFonts w:ascii="Arial Narrow" w:hAnsi="Arial Narrow"/>
                <w:b/>
                <w:i/>
                <w:snapToGrid/>
                <w:sz w:val="20"/>
                <w:szCs w:val="20"/>
                <w:lang w:eastAsia="en-AU"/>
              </w:rPr>
            </w:pPr>
            <w:r w:rsidRPr="00790384">
              <w:rPr>
                <w:rFonts w:ascii="Arial Narrow" w:hAnsi="Arial Narrow"/>
                <w:b/>
                <w:i/>
                <w:snapToGrid/>
                <w:sz w:val="20"/>
                <w:szCs w:val="20"/>
                <w:lang w:eastAsia="en-AU"/>
              </w:rPr>
              <w:lastRenderedPageBreak/>
              <w:t>Category / Program</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t>GENERAL – General Schedule (Code GE)</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Prescriber type:</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imes New Roman"/>
                <w:snapToGrid/>
                <w:sz w:val="20"/>
                <w:szCs w:val="20"/>
              </w:rPr>
              <w:t xml:space="preserve">Dental  </w:t>
            </w:r>
            <w:r w:rsidRPr="00790384">
              <w:rPr>
                <w:rFonts w:ascii="Arial Narrow" w:hAnsi="Arial Narrow" w:cs="Times New Roman"/>
                <w:snapToGrid/>
                <w:sz w:val="20"/>
                <w:szCs w:val="20"/>
              </w:rPr>
              <w:fldChar w:fldCharType="begin">
                <w:ffData>
                  <w:name w:val=""/>
                  <w:enabled/>
                  <w:calcOnExit w:val="0"/>
                  <w:checkBox>
                    <w:sizeAuto/>
                    <w:default w:val="1"/>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Medical Practitioners  </w:t>
            </w:r>
            <w:r w:rsidRPr="00790384">
              <w:rPr>
                <w:rFonts w:ascii="Arial Narrow" w:hAnsi="Arial Narrow" w:cs="Times New Roman"/>
                <w:snapToGrid/>
                <w:sz w:val="20"/>
                <w:szCs w:val="20"/>
              </w:rPr>
              <w:fldChar w:fldCharType="begin">
                <w:ffData>
                  <w:name w:val="Check3"/>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Nurse practitioners  </w:t>
            </w:r>
            <w:r w:rsidRPr="00790384">
              <w:rPr>
                <w:rFonts w:ascii="Arial Narrow" w:hAnsi="Arial Narrow" w:cs="Times New Roman"/>
                <w:snapToGrid/>
                <w:sz w:val="20"/>
                <w:szCs w:val="20"/>
              </w:rPr>
              <w:fldChar w:fldCharType="begin">
                <w:ffData>
                  <w:name w:val=""/>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Optometrists</w:t>
            </w:r>
          </w:p>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fldChar w:fldCharType="begin">
                <w:ffData>
                  <w:name w:val="Check5"/>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Midwives</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Condition:</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proofErr w:type="spellStart"/>
            <w:r>
              <w:rPr>
                <w:rFonts w:ascii="Arial Narrow" w:hAnsi="Arial Narrow" w:cs="Times New Roman"/>
                <w:snapToGrid/>
                <w:sz w:val="20"/>
                <w:szCs w:val="20"/>
              </w:rPr>
              <w:t>Micropenis</w:t>
            </w:r>
            <w:proofErr w:type="spellEnd"/>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PBS Indication:</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proofErr w:type="spellStart"/>
            <w:r>
              <w:rPr>
                <w:rFonts w:ascii="Arial Narrow" w:hAnsi="Arial Narrow" w:cs="Times New Roman"/>
                <w:snapToGrid/>
                <w:sz w:val="20"/>
                <w:szCs w:val="20"/>
              </w:rPr>
              <w:t>Micropenis</w:t>
            </w:r>
            <w:proofErr w:type="spellEnd"/>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Restriction Level / Method:</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heme="minorHAnsi"/>
                <w:snapToGrid/>
                <w:sz w:val="20"/>
                <w:szCs w:val="20"/>
                <w:lang w:eastAsia="en-AU"/>
              </w:rPr>
              <w:t>Restricted benefit</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In Writing</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Telephone</w:t>
            </w:r>
          </w:p>
          <w:p w:rsidR="00B63367" w:rsidRPr="00790384" w:rsidRDefault="00B63367" w:rsidP="0083466F">
            <w:pPr>
              <w:widowControl/>
              <w:spacing w:after="120"/>
              <w:jc w:val="left"/>
              <w:rPr>
                <w:rFonts w:ascii="Arial Narrow" w:hAnsi="Arial Narrow" w:cstheme="minorHAnsi"/>
                <w:snapToGrid/>
                <w:sz w:val="20"/>
                <w:szCs w:val="20"/>
                <w:lang w:eastAsia="en-AU"/>
              </w:rPr>
            </w:pPr>
            <w:r>
              <w:rPr>
                <w:rFonts w:ascii="Arial Narrow" w:hAnsi="Arial Narrow" w:cstheme="minorHAnsi"/>
                <w:snapToGrid/>
                <w:sz w:val="20"/>
                <w:szCs w:val="20"/>
                <w:lang w:eastAsia="en-AU"/>
              </w:rPr>
              <w:fldChar w:fldCharType="begin">
                <w:ffData>
                  <w:name w:val=""/>
                  <w:enabled/>
                  <w:calcOnExit w:val="0"/>
                  <w:checkBox>
                    <w:sizeAuto/>
                    <w:default w:val="1"/>
                  </w:checkBox>
                </w:ffData>
              </w:fldChar>
            </w:r>
            <w:r>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Emergency</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Electronic</w:t>
            </w:r>
          </w:p>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Streamlined</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Default="00880479"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Treatment criteria:</w:t>
            </w:r>
          </w:p>
        </w:tc>
        <w:tc>
          <w:tcPr>
            <w:tcW w:w="3467" w:type="pct"/>
            <w:tcBorders>
              <w:top w:val="single" w:sz="4" w:space="0" w:color="auto"/>
              <w:left w:val="single" w:sz="4" w:space="0" w:color="auto"/>
              <w:bottom w:val="single" w:sz="4" w:space="0" w:color="auto"/>
              <w:right w:val="single" w:sz="4" w:space="0" w:color="auto"/>
            </w:tcBorders>
          </w:tcPr>
          <w:p w:rsidR="00880479" w:rsidRPr="00B63367" w:rsidRDefault="00880479" w:rsidP="0083466F">
            <w:pPr>
              <w:widowControl/>
              <w:spacing w:after="120"/>
              <w:jc w:val="left"/>
              <w:rPr>
                <w:rFonts w:ascii="Arial Narrow" w:hAnsi="Arial Narrow" w:cstheme="minorHAnsi"/>
                <w:snapToGrid/>
                <w:sz w:val="20"/>
                <w:szCs w:val="20"/>
                <w:lang w:eastAsia="en-AU"/>
              </w:rPr>
            </w:pPr>
            <w:r w:rsidRPr="00880479">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Default="00B63367"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 xml:space="preserve">Population criteria: </w:t>
            </w:r>
          </w:p>
          <w:p w:rsidR="00B63367" w:rsidRPr="00B63367" w:rsidRDefault="00B63367" w:rsidP="00B63367">
            <w:pPr>
              <w:rPr>
                <w:rFonts w:ascii="Arial Narrow" w:hAnsi="Arial Narrow"/>
                <w:sz w:val="20"/>
                <w:szCs w:val="20"/>
                <w:lang w:eastAsia="en-AU"/>
              </w:rPr>
            </w:pP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B63367">
              <w:rPr>
                <w:rFonts w:ascii="Arial Narrow" w:hAnsi="Arial Narrow" w:cstheme="minorHAnsi"/>
                <w:snapToGrid/>
                <w:sz w:val="20"/>
                <w:szCs w:val="20"/>
                <w:lang w:eastAsia="en-AU"/>
              </w:rPr>
              <w:t>Patient must be under 18 years of age</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Administrative Advice</w:t>
            </w:r>
          </w:p>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(not included in LI)</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The name of the specialist must be included in the authority application</w:t>
            </w:r>
          </w:p>
        </w:tc>
      </w:tr>
    </w:tbl>
    <w:p w:rsidR="00B63367" w:rsidRDefault="00B63367" w:rsidP="000A3F6D"/>
    <w:tbl>
      <w:tblPr>
        <w:tblW w:w="4907" w:type="pct"/>
        <w:tblInd w:w="108" w:type="dxa"/>
        <w:tblLook w:val="0000" w:firstRow="0" w:lastRow="0" w:firstColumn="0" w:lastColumn="0" w:noHBand="0" w:noVBand="0"/>
      </w:tblPr>
      <w:tblGrid>
        <w:gridCol w:w="2713"/>
        <w:gridCol w:w="6136"/>
      </w:tblGrid>
      <w:tr w:rsidR="00B63367" w:rsidRPr="00790384" w:rsidTr="00601E38">
        <w:trPr>
          <w:cantSplit/>
          <w:trHeight w:val="239"/>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rPr>
                <w:rFonts w:ascii="Arial Narrow" w:hAnsi="Arial Narrow"/>
                <w:b/>
                <w:i/>
                <w:snapToGrid/>
                <w:sz w:val="20"/>
                <w:szCs w:val="20"/>
                <w:lang w:eastAsia="en-AU"/>
              </w:rPr>
            </w:pPr>
            <w:r w:rsidRPr="00790384">
              <w:rPr>
                <w:rFonts w:ascii="Arial Narrow" w:hAnsi="Arial Narrow"/>
                <w:b/>
                <w:i/>
                <w:snapToGrid/>
                <w:sz w:val="20"/>
                <w:szCs w:val="20"/>
                <w:lang w:eastAsia="en-AU"/>
              </w:rPr>
              <w:t>Category / Program</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t>GENERAL – General Schedule (Code GE)</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Prescriber type:</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imes New Roman"/>
                <w:snapToGrid/>
                <w:sz w:val="20"/>
                <w:szCs w:val="20"/>
              </w:rPr>
              <w:t xml:space="preserve">Dental  </w:t>
            </w:r>
            <w:r w:rsidRPr="00790384">
              <w:rPr>
                <w:rFonts w:ascii="Arial Narrow" w:hAnsi="Arial Narrow" w:cs="Times New Roman"/>
                <w:snapToGrid/>
                <w:sz w:val="20"/>
                <w:szCs w:val="20"/>
              </w:rPr>
              <w:fldChar w:fldCharType="begin">
                <w:ffData>
                  <w:name w:val=""/>
                  <w:enabled/>
                  <w:calcOnExit w:val="0"/>
                  <w:checkBox>
                    <w:sizeAuto/>
                    <w:default w:val="1"/>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Medical Practitioners  </w:t>
            </w:r>
            <w:r w:rsidRPr="00790384">
              <w:rPr>
                <w:rFonts w:ascii="Arial Narrow" w:hAnsi="Arial Narrow" w:cs="Times New Roman"/>
                <w:snapToGrid/>
                <w:sz w:val="20"/>
                <w:szCs w:val="20"/>
              </w:rPr>
              <w:fldChar w:fldCharType="begin">
                <w:ffData>
                  <w:name w:val="Check3"/>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Nurse practitioners  </w:t>
            </w:r>
            <w:r w:rsidRPr="00790384">
              <w:rPr>
                <w:rFonts w:ascii="Arial Narrow" w:hAnsi="Arial Narrow" w:cs="Times New Roman"/>
                <w:snapToGrid/>
                <w:sz w:val="20"/>
                <w:szCs w:val="20"/>
              </w:rPr>
              <w:fldChar w:fldCharType="begin">
                <w:ffData>
                  <w:name w:val=""/>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Optometrists</w:t>
            </w:r>
          </w:p>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fldChar w:fldCharType="begin">
                <w:ffData>
                  <w:name w:val="Check5"/>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Midwives</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Condition:</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Pr>
                <w:rFonts w:ascii="Arial Narrow" w:hAnsi="Arial Narrow" w:cs="Times New Roman"/>
                <w:snapToGrid/>
                <w:sz w:val="20"/>
                <w:szCs w:val="20"/>
              </w:rPr>
              <w:t>Pubertal induction</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PBS Indication:</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imes New Roman"/>
                <w:snapToGrid/>
                <w:sz w:val="20"/>
                <w:szCs w:val="20"/>
              </w:rPr>
            </w:pPr>
            <w:r>
              <w:rPr>
                <w:rFonts w:ascii="Arial Narrow" w:hAnsi="Arial Narrow" w:cs="Times New Roman"/>
                <w:snapToGrid/>
                <w:sz w:val="20"/>
                <w:szCs w:val="20"/>
              </w:rPr>
              <w:t>Pubertal induction</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Restriction Level / Method:</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heme="minorHAnsi"/>
                <w:snapToGrid/>
                <w:sz w:val="20"/>
                <w:szCs w:val="20"/>
                <w:lang w:eastAsia="en-AU"/>
              </w:rPr>
              <w:t>Restricted benefit</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In Writing</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Telephone</w:t>
            </w:r>
          </w:p>
          <w:p w:rsidR="00B63367" w:rsidRPr="00790384" w:rsidRDefault="00B63367" w:rsidP="0083466F">
            <w:pPr>
              <w:widowControl/>
              <w:spacing w:after="120"/>
              <w:jc w:val="left"/>
              <w:rPr>
                <w:rFonts w:ascii="Arial Narrow" w:hAnsi="Arial Narrow" w:cstheme="minorHAnsi"/>
                <w:snapToGrid/>
                <w:sz w:val="20"/>
                <w:szCs w:val="20"/>
                <w:lang w:eastAsia="en-AU"/>
              </w:rPr>
            </w:pPr>
            <w:r>
              <w:rPr>
                <w:rFonts w:ascii="Arial Narrow" w:hAnsi="Arial Narrow" w:cstheme="minorHAnsi"/>
                <w:snapToGrid/>
                <w:sz w:val="20"/>
                <w:szCs w:val="20"/>
                <w:lang w:eastAsia="en-AU"/>
              </w:rPr>
              <w:fldChar w:fldCharType="begin">
                <w:ffData>
                  <w:name w:val=""/>
                  <w:enabled/>
                  <w:calcOnExit w:val="0"/>
                  <w:checkBox>
                    <w:sizeAuto/>
                    <w:default w:val="1"/>
                  </w:checkBox>
                </w:ffData>
              </w:fldChar>
            </w:r>
            <w:r>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Emergency</w:t>
            </w:r>
          </w:p>
          <w:p w:rsidR="00B63367" w:rsidRPr="00790384" w:rsidRDefault="00B63367"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Electronic</w:t>
            </w:r>
          </w:p>
          <w:p w:rsidR="00B63367" w:rsidRPr="00790384" w:rsidRDefault="00B63367" w:rsidP="0083466F">
            <w:pPr>
              <w:widowControl/>
              <w:spacing w:after="120"/>
              <w:jc w:val="left"/>
              <w:rPr>
                <w:rFonts w:ascii="Arial" w:hAnsi="Arial" w:cs="Times New Roman"/>
                <w:i/>
                <w:snapToGrid/>
                <w:sz w:val="20"/>
                <w:szCs w:val="20"/>
              </w:rPr>
            </w:pPr>
            <w:r w:rsidRPr="0079038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Streamlined</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Default="00880479"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Treatment criteria:</w:t>
            </w:r>
          </w:p>
        </w:tc>
        <w:tc>
          <w:tcPr>
            <w:tcW w:w="3467" w:type="pct"/>
            <w:tcBorders>
              <w:top w:val="single" w:sz="4" w:space="0" w:color="auto"/>
              <w:left w:val="single" w:sz="4" w:space="0" w:color="auto"/>
              <w:bottom w:val="single" w:sz="4" w:space="0" w:color="auto"/>
              <w:right w:val="single" w:sz="4" w:space="0" w:color="auto"/>
            </w:tcBorders>
          </w:tcPr>
          <w:p w:rsidR="00880479" w:rsidRPr="00B63367" w:rsidRDefault="00880479" w:rsidP="0083466F">
            <w:pPr>
              <w:widowControl/>
              <w:spacing w:after="120"/>
              <w:jc w:val="left"/>
              <w:rPr>
                <w:rFonts w:ascii="Arial Narrow" w:hAnsi="Arial Narrow" w:cstheme="minorHAnsi"/>
                <w:snapToGrid/>
                <w:sz w:val="20"/>
                <w:szCs w:val="20"/>
                <w:lang w:eastAsia="en-AU"/>
              </w:rPr>
            </w:pPr>
            <w:r w:rsidRPr="00880479">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Default="00B63367"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 xml:space="preserve">Population criteria: </w:t>
            </w:r>
          </w:p>
          <w:p w:rsidR="00B63367" w:rsidRPr="00B63367" w:rsidRDefault="00B63367" w:rsidP="0083466F">
            <w:pPr>
              <w:rPr>
                <w:rFonts w:ascii="Arial Narrow" w:hAnsi="Arial Narrow"/>
                <w:sz w:val="20"/>
                <w:szCs w:val="20"/>
                <w:lang w:eastAsia="en-AU"/>
              </w:rPr>
            </w:pP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B63367">
              <w:rPr>
                <w:rFonts w:ascii="Arial Narrow" w:hAnsi="Arial Narrow" w:cstheme="minorHAnsi"/>
                <w:snapToGrid/>
                <w:sz w:val="20"/>
                <w:szCs w:val="20"/>
                <w:lang w:eastAsia="en-AU"/>
              </w:rPr>
              <w:t>Patient must be under 18 years of age</w:t>
            </w:r>
          </w:p>
        </w:tc>
      </w:tr>
      <w:tr w:rsidR="00B63367"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Administrative Advice</w:t>
            </w:r>
          </w:p>
          <w:p w:rsidR="00B63367" w:rsidRPr="00790384" w:rsidRDefault="00B63367"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(not included in LI)</w:t>
            </w:r>
          </w:p>
        </w:tc>
        <w:tc>
          <w:tcPr>
            <w:tcW w:w="3467" w:type="pct"/>
            <w:tcBorders>
              <w:top w:val="single" w:sz="4" w:space="0" w:color="auto"/>
              <w:left w:val="single" w:sz="4" w:space="0" w:color="auto"/>
              <w:bottom w:val="single" w:sz="4" w:space="0" w:color="auto"/>
              <w:right w:val="single" w:sz="4" w:space="0" w:color="auto"/>
            </w:tcBorders>
          </w:tcPr>
          <w:p w:rsidR="00B63367" w:rsidRPr="00790384" w:rsidRDefault="00B63367" w:rsidP="0083466F">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The name of the specialist must be included in the authority application</w:t>
            </w:r>
          </w:p>
        </w:tc>
      </w:tr>
    </w:tbl>
    <w:p w:rsidR="00880479" w:rsidRDefault="00880479" w:rsidP="000A3F6D"/>
    <w:tbl>
      <w:tblPr>
        <w:tblW w:w="4907" w:type="pct"/>
        <w:tblInd w:w="108" w:type="dxa"/>
        <w:tblLook w:val="0000" w:firstRow="0" w:lastRow="0" w:firstColumn="0" w:lastColumn="0" w:noHBand="0" w:noVBand="0"/>
      </w:tblPr>
      <w:tblGrid>
        <w:gridCol w:w="2713"/>
        <w:gridCol w:w="6136"/>
      </w:tblGrid>
      <w:tr w:rsidR="00880479" w:rsidRPr="00790384" w:rsidTr="00601E38">
        <w:trPr>
          <w:cantSplit/>
          <w:trHeight w:val="239"/>
        </w:trPr>
        <w:tc>
          <w:tcPr>
            <w:tcW w:w="1533"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rPr>
                <w:rFonts w:ascii="Arial Narrow" w:hAnsi="Arial Narrow"/>
                <w:b/>
                <w:i/>
                <w:snapToGrid/>
                <w:sz w:val="20"/>
                <w:szCs w:val="20"/>
                <w:lang w:eastAsia="en-AU"/>
              </w:rPr>
            </w:pPr>
            <w:r w:rsidRPr="00790384">
              <w:rPr>
                <w:rFonts w:ascii="Arial Narrow" w:hAnsi="Arial Narrow"/>
                <w:b/>
                <w:i/>
                <w:snapToGrid/>
                <w:sz w:val="20"/>
                <w:szCs w:val="20"/>
                <w:lang w:eastAsia="en-AU"/>
              </w:rPr>
              <w:lastRenderedPageBreak/>
              <w:t>Category / Program</w:t>
            </w: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t>GENERAL – General Schedule (Code GE)</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Prescriber type:</w:t>
            </w: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Narrow" w:hAnsi="Arial Narrow" w:cs="Times New Roman"/>
                <w:snapToGrid/>
                <w:sz w:val="20"/>
                <w:szCs w:val="20"/>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imes New Roman"/>
                <w:snapToGrid/>
                <w:sz w:val="20"/>
                <w:szCs w:val="20"/>
              </w:rPr>
              <w:t xml:space="preserve">Dental  </w:t>
            </w:r>
            <w:r w:rsidRPr="00790384">
              <w:rPr>
                <w:rFonts w:ascii="Arial Narrow" w:hAnsi="Arial Narrow" w:cs="Times New Roman"/>
                <w:snapToGrid/>
                <w:sz w:val="20"/>
                <w:szCs w:val="20"/>
              </w:rPr>
              <w:fldChar w:fldCharType="begin">
                <w:ffData>
                  <w:name w:val=""/>
                  <w:enabled/>
                  <w:calcOnExit w:val="0"/>
                  <w:checkBox>
                    <w:sizeAuto/>
                    <w:default w:val="1"/>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Medical Practitioners  </w:t>
            </w:r>
            <w:r w:rsidRPr="00790384">
              <w:rPr>
                <w:rFonts w:ascii="Arial Narrow" w:hAnsi="Arial Narrow" w:cs="Times New Roman"/>
                <w:snapToGrid/>
                <w:sz w:val="20"/>
                <w:szCs w:val="20"/>
              </w:rPr>
              <w:fldChar w:fldCharType="begin">
                <w:ffData>
                  <w:name w:val="Check3"/>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 xml:space="preserve">Nurse practitioners  </w:t>
            </w:r>
            <w:r w:rsidRPr="00790384">
              <w:rPr>
                <w:rFonts w:ascii="Arial Narrow" w:hAnsi="Arial Narrow" w:cs="Times New Roman"/>
                <w:snapToGrid/>
                <w:sz w:val="20"/>
                <w:szCs w:val="20"/>
              </w:rPr>
              <w:fldChar w:fldCharType="begin">
                <w:ffData>
                  <w:name w:val=""/>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Optometrists</w:t>
            </w:r>
          </w:p>
          <w:p w:rsidR="00880479" w:rsidRPr="00790384" w:rsidRDefault="00880479" w:rsidP="0083466F">
            <w:pPr>
              <w:widowControl/>
              <w:spacing w:after="120"/>
              <w:jc w:val="left"/>
              <w:rPr>
                <w:rFonts w:ascii="Arial" w:hAnsi="Arial" w:cs="Times New Roman"/>
                <w:i/>
                <w:snapToGrid/>
                <w:sz w:val="20"/>
                <w:szCs w:val="20"/>
              </w:rPr>
            </w:pPr>
            <w:r w:rsidRPr="00790384">
              <w:rPr>
                <w:rFonts w:ascii="Arial Narrow" w:hAnsi="Arial Narrow" w:cs="Times New Roman"/>
                <w:snapToGrid/>
                <w:sz w:val="20"/>
                <w:szCs w:val="20"/>
              </w:rPr>
              <w:fldChar w:fldCharType="begin">
                <w:ffData>
                  <w:name w:val="Check5"/>
                  <w:enabled/>
                  <w:calcOnExit w:val="0"/>
                  <w:checkBox>
                    <w:sizeAuto/>
                    <w:default w:val="0"/>
                  </w:checkBox>
                </w:ffData>
              </w:fldChar>
            </w:r>
            <w:r w:rsidRPr="00790384">
              <w:rPr>
                <w:rFonts w:ascii="Arial Narrow" w:hAnsi="Arial Narrow" w:cs="Times New Roman"/>
                <w:snapToGrid/>
                <w:sz w:val="20"/>
                <w:szCs w:val="20"/>
              </w:rPr>
              <w:instrText xml:space="preserve"> FORMCHECKBOX </w:instrText>
            </w:r>
            <w:r w:rsidR="00CB3BB5">
              <w:rPr>
                <w:rFonts w:ascii="Arial Narrow" w:hAnsi="Arial Narrow" w:cs="Times New Roman"/>
                <w:snapToGrid/>
                <w:sz w:val="20"/>
                <w:szCs w:val="20"/>
              </w:rPr>
            </w:r>
            <w:r w:rsidR="00CB3BB5">
              <w:rPr>
                <w:rFonts w:ascii="Arial Narrow" w:hAnsi="Arial Narrow" w:cs="Times New Roman"/>
                <w:snapToGrid/>
                <w:sz w:val="20"/>
                <w:szCs w:val="20"/>
              </w:rPr>
              <w:fldChar w:fldCharType="separate"/>
            </w:r>
            <w:r w:rsidRPr="00790384">
              <w:rPr>
                <w:rFonts w:ascii="Arial Narrow" w:hAnsi="Arial Narrow" w:cs="Times New Roman"/>
                <w:snapToGrid/>
                <w:sz w:val="20"/>
                <w:szCs w:val="20"/>
              </w:rPr>
              <w:fldChar w:fldCharType="end"/>
            </w:r>
            <w:r w:rsidRPr="00790384">
              <w:rPr>
                <w:rFonts w:ascii="Arial Narrow" w:hAnsi="Arial Narrow" w:cs="Times New Roman"/>
                <w:snapToGrid/>
                <w:sz w:val="20"/>
                <w:szCs w:val="20"/>
              </w:rPr>
              <w:t>Midwives</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Condition:</w:t>
            </w: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Narrow" w:hAnsi="Arial Narrow" w:cs="Times New Roman"/>
                <w:snapToGrid/>
                <w:sz w:val="20"/>
                <w:szCs w:val="20"/>
              </w:rPr>
            </w:pPr>
            <w:r w:rsidRPr="00880479">
              <w:rPr>
                <w:rFonts w:ascii="Arial Narrow" w:hAnsi="Arial Narrow" w:cs="Times New Roman"/>
                <w:snapToGrid/>
                <w:sz w:val="20"/>
                <w:szCs w:val="20"/>
              </w:rPr>
              <w:t>Constitutional delay of growth or puberty</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PBS Indication:</w:t>
            </w: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Narrow" w:hAnsi="Arial Narrow" w:cs="Times New Roman"/>
                <w:snapToGrid/>
                <w:sz w:val="20"/>
                <w:szCs w:val="20"/>
              </w:rPr>
            </w:pPr>
            <w:r w:rsidRPr="00880479">
              <w:rPr>
                <w:rFonts w:ascii="Arial Narrow" w:hAnsi="Arial Narrow" w:cs="Times New Roman"/>
                <w:snapToGrid/>
                <w:sz w:val="20"/>
                <w:szCs w:val="20"/>
              </w:rPr>
              <w:t>Constitutional delay of growth or puberty</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Restriction Level / Method:</w:t>
            </w: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Narrow" w:hAnsi="Arial Narrow" w:cstheme="minorHAnsi"/>
                <w:snapToGrid/>
                <w:sz w:val="20"/>
                <w:szCs w:val="20"/>
                <w:lang w:eastAsia="en-AU"/>
              </w:rPr>
            </w:pPr>
            <w:r w:rsidRPr="00790384">
              <w:rPr>
                <w:rFonts w:ascii="Arial" w:hAnsi="Arial" w:cs="Times New Roman"/>
                <w:i/>
                <w:snapToGrid/>
                <w:sz w:val="20"/>
                <w:szCs w:val="20"/>
              </w:rPr>
              <w:fldChar w:fldCharType="begin">
                <w:ffData>
                  <w:name w:val="Check1"/>
                  <w:enabled/>
                  <w:calcOnExit w:val="0"/>
                  <w:checkBox>
                    <w:sizeAuto/>
                    <w:default w:val="0"/>
                  </w:checkBox>
                </w:ffData>
              </w:fldChar>
            </w:r>
            <w:r w:rsidRPr="00790384">
              <w:rPr>
                <w:rFonts w:ascii="Arial" w:hAnsi="Arial" w:cs="Times New Roman"/>
                <w:i/>
                <w:snapToGrid/>
                <w:sz w:val="20"/>
                <w:szCs w:val="20"/>
              </w:rPr>
              <w:instrText xml:space="preserve"> FORMCHECKBOX </w:instrText>
            </w:r>
            <w:r w:rsidR="00CB3BB5">
              <w:rPr>
                <w:rFonts w:ascii="Arial" w:hAnsi="Arial" w:cs="Times New Roman"/>
                <w:i/>
                <w:snapToGrid/>
                <w:sz w:val="20"/>
                <w:szCs w:val="20"/>
              </w:rPr>
            </w:r>
            <w:r w:rsidR="00CB3BB5">
              <w:rPr>
                <w:rFonts w:ascii="Arial" w:hAnsi="Arial" w:cs="Times New Roman"/>
                <w:i/>
                <w:snapToGrid/>
                <w:sz w:val="20"/>
                <w:szCs w:val="20"/>
              </w:rPr>
              <w:fldChar w:fldCharType="separate"/>
            </w:r>
            <w:r w:rsidRPr="00790384">
              <w:rPr>
                <w:rFonts w:ascii="Arial" w:hAnsi="Arial" w:cs="Times New Roman"/>
                <w:i/>
                <w:snapToGrid/>
                <w:sz w:val="20"/>
                <w:szCs w:val="20"/>
              </w:rPr>
              <w:fldChar w:fldCharType="end"/>
            </w:r>
            <w:r w:rsidRPr="00790384">
              <w:rPr>
                <w:rFonts w:ascii="Arial Narrow" w:hAnsi="Arial Narrow" w:cstheme="minorHAnsi"/>
                <w:snapToGrid/>
                <w:sz w:val="20"/>
                <w:szCs w:val="20"/>
                <w:lang w:eastAsia="en-AU"/>
              </w:rPr>
              <w:t>Restricted benefit</w:t>
            </w:r>
          </w:p>
          <w:p w:rsidR="00880479" w:rsidRPr="00790384" w:rsidRDefault="00880479"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In Writing</w:t>
            </w:r>
          </w:p>
          <w:p w:rsidR="00880479" w:rsidRPr="00790384" w:rsidRDefault="00880479"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3"/>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Telephone</w:t>
            </w:r>
          </w:p>
          <w:p w:rsidR="00880479" w:rsidRPr="00790384" w:rsidRDefault="00880479" w:rsidP="0083466F">
            <w:pPr>
              <w:widowControl/>
              <w:spacing w:after="120"/>
              <w:jc w:val="left"/>
              <w:rPr>
                <w:rFonts w:ascii="Arial Narrow" w:hAnsi="Arial Narrow" w:cstheme="minorHAnsi"/>
                <w:snapToGrid/>
                <w:sz w:val="20"/>
                <w:szCs w:val="20"/>
                <w:lang w:eastAsia="en-AU"/>
              </w:rPr>
            </w:pPr>
            <w:r>
              <w:rPr>
                <w:rFonts w:ascii="Arial Narrow" w:hAnsi="Arial Narrow" w:cstheme="minorHAnsi"/>
                <w:snapToGrid/>
                <w:sz w:val="20"/>
                <w:szCs w:val="20"/>
                <w:lang w:eastAsia="en-AU"/>
              </w:rPr>
              <w:fldChar w:fldCharType="begin">
                <w:ffData>
                  <w:name w:val=""/>
                  <w:enabled/>
                  <w:calcOnExit w:val="0"/>
                  <w:checkBox>
                    <w:sizeAuto/>
                    <w:default w:val="1"/>
                  </w:checkBox>
                </w:ffData>
              </w:fldChar>
            </w:r>
            <w:r>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Emergency</w:t>
            </w:r>
          </w:p>
          <w:p w:rsidR="00880479" w:rsidRPr="00790384" w:rsidRDefault="00880479" w:rsidP="0083466F">
            <w:pPr>
              <w:widowControl/>
              <w:spacing w:after="120"/>
              <w:jc w:val="left"/>
              <w:rPr>
                <w:rFonts w:ascii="Arial Narrow" w:hAnsi="Arial Narrow" w:cstheme="minorHAnsi"/>
                <w:snapToGrid/>
                <w:sz w:val="20"/>
                <w:szCs w:val="20"/>
                <w:lang w:eastAsia="en-AU"/>
              </w:rPr>
            </w:pPr>
            <w:r w:rsidRPr="00790384">
              <w:rPr>
                <w:rFonts w:ascii="Arial Narrow" w:hAnsi="Arial Narrow" w:cstheme="minorHAnsi"/>
                <w:snapToGrid/>
                <w:sz w:val="20"/>
                <w:szCs w:val="20"/>
                <w:lang w:eastAsia="en-AU"/>
              </w:rPr>
              <w:fldChar w:fldCharType="begin">
                <w:ffData>
                  <w:name w:val="Check5"/>
                  <w:enabled/>
                  <w:calcOnExit w:val="0"/>
                  <w:checkBox>
                    <w:sizeAuto/>
                    <w:default w:val="1"/>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Authority Required - Electronic</w:t>
            </w:r>
          </w:p>
          <w:p w:rsidR="00880479" w:rsidRPr="00790384" w:rsidRDefault="00880479" w:rsidP="0083466F">
            <w:pPr>
              <w:widowControl/>
              <w:spacing w:after="120"/>
              <w:jc w:val="left"/>
              <w:rPr>
                <w:rFonts w:ascii="Arial" w:hAnsi="Arial" w:cs="Times New Roman"/>
                <w:i/>
                <w:snapToGrid/>
                <w:sz w:val="20"/>
                <w:szCs w:val="20"/>
              </w:rPr>
            </w:pPr>
            <w:r w:rsidRPr="00790384">
              <w:rPr>
                <w:rFonts w:ascii="Arial Narrow" w:hAnsi="Arial Narrow" w:cstheme="minorHAnsi"/>
                <w:snapToGrid/>
                <w:sz w:val="20"/>
                <w:szCs w:val="20"/>
                <w:lang w:eastAsia="en-AU"/>
              </w:rPr>
              <w:fldChar w:fldCharType="begin">
                <w:ffData>
                  <w:name w:val="Check5"/>
                  <w:enabled/>
                  <w:calcOnExit w:val="0"/>
                  <w:checkBox>
                    <w:sizeAuto/>
                    <w:default w:val="0"/>
                  </w:checkBox>
                </w:ffData>
              </w:fldChar>
            </w:r>
            <w:r w:rsidRPr="00790384">
              <w:rPr>
                <w:rFonts w:ascii="Arial Narrow" w:hAnsi="Arial Narrow" w:cstheme="minorHAnsi"/>
                <w:snapToGrid/>
                <w:sz w:val="20"/>
                <w:szCs w:val="20"/>
                <w:lang w:eastAsia="en-AU"/>
              </w:rPr>
              <w:instrText xml:space="preserve"> FORMCHECKBOX </w:instrText>
            </w:r>
            <w:r w:rsidR="00CB3BB5">
              <w:rPr>
                <w:rFonts w:ascii="Arial Narrow" w:hAnsi="Arial Narrow" w:cstheme="minorHAnsi"/>
                <w:snapToGrid/>
                <w:sz w:val="20"/>
                <w:szCs w:val="20"/>
                <w:lang w:eastAsia="en-AU"/>
              </w:rPr>
            </w:r>
            <w:r w:rsidR="00CB3BB5">
              <w:rPr>
                <w:rFonts w:ascii="Arial Narrow" w:hAnsi="Arial Narrow" w:cstheme="minorHAnsi"/>
                <w:snapToGrid/>
                <w:sz w:val="20"/>
                <w:szCs w:val="20"/>
                <w:lang w:eastAsia="en-AU"/>
              </w:rPr>
              <w:fldChar w:fldCharType="separate"/>
            </w:r>
            <w:r w:rsidRPr="00790384">
              <w:rPr>
                <w:rFonts w:ascii="Arial Narrow" w:hAnsi="Arial Narrow" w:cstheme="minorHAnsi"/>
                <w:snapToGrid/>
                <w:sz w:val="20"/>
                <w:szCs w:val="20"/>
                <w:lang w:eastAsia="en-AU"/>
              </w:rPr>
              <w:fldChar w:fldCharType="end"/>
            </w:r>
            <w:r w:rsidRPr="00790384">
              <w:rPr>
                <w:rFonts w:ascii="Arial Narrow" w:hAnsi="Arial Narrow" w:cstheme="minorHAnsi"/>
                <w:snapToGrid/>
                <w:sz w:val="20"/>
                <w:szCs w:val="20"/>
                <w:lang w:eastAsia="en-AU"/>
              </w:rPr>
              <w:t>Streamlined</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Default="00880479"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 xml:space="preserve">Treatment criteria: </w:t>
            </w:r>
          </w:p>
        </w:tc>
        <w:tc>
          <w:tcPr>
            <w:tcW w:w="3467" w:type="pct"/>
            <w:tcBorders>
              <w:top w:val="single" w:sz="4" w:space="0" w:color="auto"/>
              <w:left w:val="single" w:sz="4" w:space="0" w:color="auto"/>
              <w:bottom w:val="single" w:sz="4" w:space="0" w:color="auto"/>
              <w:right w:val="single" w:sz="4" w:space="0" w:color="auto"/>
            </w:tcBorders>
          </w:tcPr>
          <w:p w:rsidR="00880479" w:rsidRPr="00B63367" w:rsidRDefault="00880479" w:rsidP="0083466F">
            <w:pPr>
              <w:widowControl/>
              <w:spacing w:after="120"/>
              <w:jc w:val="left"/>
              <w:rPr>
                <w:rFonts w:ascii="Arial Narrow" w:hAnsi="Arial Narrow" w:cstheme="minorHAnsi"/>
                <w:snapToGrid/>
                <w:sz w:val="20"/>
                <w:szCs w:val="20"/>
                <w:lang w:eastAsia="en-AU"/>
              </w:rPr>
            </w:pPr>
            <w:r w:rsidRPr="00870E14">
              <w:rPr>
                <w:rFonts w:ascii="Arial Narrow" w:hAnsi="Arial Narrow" w:cstheme="minorHAnsi"/>
                <w:snapToGrid/>
                <w:sz w:val="20"/>
                <w:szCs w:val="20"/>
                <w:lang w:eastAsia="en-AU"/>
              </w:rPr>
              <w:t>Must be treated by a specialist general paediatrician, specialist paediatric endocrinologist, specialist urologist, specialist endocrinologist or a Fellow of the Australasian Chapter of Sexual Health Medicine; or in consultation with one of these specialists; or have an appointment to be assessed by one of these specialists.</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Default="00880479" w:rsidP="0083466F">
            <w:pPr>
              <w:widowControl/>
              <w:rPr>
                <w:rFonts w:ascii="Arial Narrow" w:hAnsi="Arial Narrow"/>
                <w:b/>
                <w:i/>
                <w:snapToGrid/>
                <w:sz w:val="20"/>
                <w:szCs w:val="20"/>
                <w:lang w:eastAsia="en-AU"/>
              </w:rPr>
            </w:pPr>
            <w:r>
              <w:rPr>
                <w:rFonts w:ascii="Arial Narrow" w:hAnsi="Arial Narrow"/>
                <w:b/>
                <w:i/>
                <w:snapToGrid/>
                <w:sz w:val="20"/>
                <w:szCs w:val="20"/>
                <w:lang w:eastAsia="en-AU"/>
              </w:rPr>
              <w:t xml:space="preserve">Population criteria: </w:t>
            </w:r>
          </w:p>
          <w:p w:rsidR="00880479" w:rsidRPr="00B63367" w:rsidRDefault="00880479" w:rsidP="0083466F">
            <w:pPr>
              <w:rPr>
                <w:rFonts w:ascii="Arial Narrow" w:hAnsi="Arial Narrow"/>
                <w:sz w:val="20"/>
                <w:szCs w:val="20"/>
                <w:lang w:eastAsia="en-AU"/>
              </w:rPr>
            </w:pP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w:hAnsi="Arial" w:cs="Times New Roman"/>
                <w:i/>
                <w:snapToGrid/>
                <w:sz w:val="20"/>
                <w:szCs w:val="20"/>
              </w:rPr>
            </w:pPr>
            <w:r w:rsidRPr="00B63367">
              <w:rPr>
                <w:rFonts w:ascii="Arial Narrow" w:hAnsi="Arial Narrow" w:cstheme="minorHAnsi"/>
                <w:snapToGrid/>
                <w:sz w:val="20"/>
                <w:szCs w:val="20"/>
                <w:lang w:eastAsia="en-AU"/>
              </w:rPr>
              <w:t>Patient must be under 18 years of age</w:t>
            </w:r>
          </w:p>
        </w:tc>
      </w:tr>
      <w:tr w:rsidR="00880479" w:rsidRPr="00790384" w:rsidTr="00601E38">
        <w:trPr>
          <w:cantSplit/>
          <w:trHeight w:val="360"/>
        </w:trPr>
        <w:tc>
          <w:tcPr>
            <w:tcW w:w="1533"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Administrative Advice</w:t>
            </w:r>
          </w:p>
          <w:p w:rsidR="00880479" w:rsidRPr="00790384" w:rsidRDefault="00880479" w:rsidP="0083466F">
            <w:pPr>
              <w:widowControl/>
              <w:rPr>
                <w:rFonts w:ascii="Arial Narrow" w:hAnsi="Arial Narrow"/>
                <w:b/>
                <w:i/>
                <w:snapToGrid/>
                <w:sz w:val="20"/>
                <w:szCs w:val="20"/>
                <w:lang w:eastAsia="en-AU"/>
              </w:rPr>
            </w:pPr>
            <w:r w:rsidRPr="00790384">
              <w:rPr>
                <w:rFonts w:ascii="Arial Narrow" w:hAnsi="Arial Narrow"/>
                <w:b/>
                <w:i/>
                <w:snapToGrid/>
                <w:sz w:val="20"/>
                <w:szCs w:val="20"/>
                <w:lang w:eastAsia="en-AU"/>
              </w:rPr>
              <w:t>(not included in LI)</w:t>
            </w:r>
          </w:p>
        </w:tc>
        <w:tc>
          <w:tcPr>
            <w:tcW w:w="3467" w:type="pct"/>
            <w:tcBorders>
              <w:top w:val="single" w:sz="4" w:space="0" w:color="auto"/>
              <w:left w:val="single" w:sz="4" w:space="0" w:color="auto"/>
              <w:bottom w:val="single" w:sz="4" w:space="0" w:color="auto"/>
              <w:right w:val="single" w:sz="4" w:space="0" w:color="auto"/>
            </w:tcBorders>
          </w:tcPr>
          <w:p w:rsidR="00880479" w:rsidRPr="00790384" w:rsidRDefault="00880479" w:rsidP="0083466F">
            <w:pPr>
              <w:widowControl/>
              <w:spacing w:after="120"/>
              <w:jc w:val="left"/>
              <w:rPr>
                <w:rFonts w:ascii="Arial" w:hAnsi="Arial" w:cs="Times New Roman"/>
                <w:i/>
                <w:snapToGrid/>
                <w:sz w:val="20"/>
                <w:szCs w:val="20"/>
              </w:rPr>
            </w:pPr>
            <w:r w:rsidRPr="00870E14">
              <w:rPr>
                <w:rFonts w:ascii="Arial Narrow" w:hAnsi="Arial Narrow" w:cstheme="minorHAnsi"/>
                <w:snapToGrid/>
                <w:sz w:val="20"/>
                <w:szCs w:val="20"/>
                <w:lang w:eastAsia="en-AU"/>
              </w:rPr>
              <w:t>The name of the specialist must be included in the authority application</w:t>
            </w:r>
          </w:p>
        </w:tc>
      </w:tr>
    </w:tbl>
    <w:p w:rsidR="00FD04AB" w:rsidRPr="00FD04AB" w:rsidRDefault="00FD04AB" w:rsidP="00FD04AB">
      <w:pPr>
        <w:pStyle w:val="PBACHeading1"/>
        <w:spacing w:before="240" w:after="120"/>
      </w:pPr>
      <w:r w:rsidRPr="00FD04AB">
        <w:t>Context for Decision</w:t>
      </w:r>
    </w:p>
    <w:p w:rsidR="00FD04AB" w:rsidRPr="00FD04AB" w:rsidRDefault="00FD04AB" w:rsidP="00FD04AB">
      <w:pPr>
        <w:spacing w:after="120"/>
        <w:ind w:left="720"/>
        <w:rPr>
          <w:rFonts w:asciiTheme="minorHAnsi" w:eastAsiaTheme="minorHAnsi" w:hAnsiTheme="minorHAnsi"/>
          <w:snapToGrid/>
        </w:rPr>
      </w:pPr>
      <w:r w:rsidRPr="00FD04AB">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D04AB" w:rsidRPr="00FD04AB" w:rsidRDefault="00FD04AB" w:rsidP="00FD04AB">
      <w:pPr>
        <w:pStyle w:val="PBACHeading1"/>
        <w:spacing w:before="240" w:after="120"/>
      </w:pPr>
      <w:r w:rsidRPr="00FD04AB">
        <w:t>Sponsor’s Comment</w:t>
      </w:r>
    </w:p>
    <w:p w:rsidR="00FD04AB" w:rsidRPr="00FD04AB" w:rsidRDefault="00FD04AB" w:rsidP="00FD04AB">
      <w:pPr>
        <w:widowControl/>
        <w:spacing w:after="120" w:line="276" w:lineRule="auto"/>
        <w:ind w:left="720"/>
        <w:rPr>
          <w:rFonts w:asciiTheme="minorHAnsi" w:eastAsiaTheme="minorHAnsi" w:hAnsiTheme="minorHAnsi"/>
          <w:bCs/>
          <w:snapToGrid/>
        </w:rPr>
      </w:pPr>
      <w:r w:rsidRPr="00FD04AB">
        <w:rPr>
          <w:rFonts w:asciiTheme="minorHAnsi" w:eastAsiaTheme="minorHAnsi" w:hAnsiTheme="minorHAnsi"/>
          <w:bCs/>
          <w:snapToGrid/>
        </w:rPr>
        <w:t>The sponsor had no comment.</w:t>
      </w:r>
    </w:p>
    <w:p w:rsidR="00FD04AB" w:rsidRDefault="00FD04AB" w:rsidP="00FD04AB">
      <w:pPr>
        <w:widowControl/>
        <w:jc w:val="left"/>
      </w:pPr>
    </w:p>
    <w:p w:rsidR="00FD04AB" w:rsidRPr="000A3F6D" w:rsidRDefault="00FD04AB" w:rsidP="00737C8E"/>
    <w:sectPr w:rsidR="00FD04AB" w:rsidRPr="000A3F6D" w:rsidSect="00FF5711">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82BA7" w16cid:durableId="1F69947E"/>
  <w16cid:commentId w16cid:paraId="071F7C61" w16cid:durableId="1F69947F"/>
  <w16cid:commentId w16cid:paraId="1AA40311" w16cid:durableId="1F699480"/>
  <w16cid:commentId w16cid:paraId="503CD6BC" w16cid:durableId="1F6996C5"/>
  <w16cid:commentId w16cid:paraId="3E8F025C" w16cid:durableId="1F6997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CC" w:rsidRDefault="00A662CC" w:rsidP="00124A51">
      <w:r>
        <w:separator/>
      </w:r>
    </w:p>
    <w:p w:rsidR="00A662CC" w:rsidRDefault="00A662CC"/>
    <w:p w:rsidR="00A662CC" w:rsidRDefault="00A662CC"/>
  </w:endnote>
  <w:endnote w:type="continuationSeparator" w:id="0">
    <w:p w:rsidR="00A662CC" w:rsidRDefault="00A662CC" w:rsidP="00124A51">
      <w:r>
        <w:continuationSeparator/>
      </w:r>
    </w:p>
    <w:p w:rsidR="00A662CC" w:rsidRDefault="00A662CC"/>
    <w:p w:rsidR="00A662CC" w:rsidRDefault="00A662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CC" w:rsidRDefault="00A66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C0" w:rsidRPr="00FD04AB" w:rsidRDefault="005A7DC0" w:rsidP="008D6436">
    <w:pPr>
      <w:widowControl/>
      <w:tabs>
        <w:tab w:val="center" w:pos="4153"/>
        <w:tab w:val="right" w:pos="8306"/>
      </w:tabs>
      <w:spacing w:after="120"/>
      <w:ind w:left="360"/>
      <w:jc w:val="center"/>
      <w:rPr>
        <w:snapToGrid/>
        <w:szCs w:val="24"/>
      </w:rPr>
    </w:pPr>
    <w:r w:rsidRPr="00FD04AB">
      <w:rPr>
        <w:snapToGrid/>
        <w:szCs w:val="24"/>
      </w:rPr>
      <w:fldChar w:fldCharType="begin"/>
    </w:r>
    <w:r w:rsidRPr="00FD04AB">
      <w:rPr>
        <w:snapToGrid/>
        <w:szCs w:val="24"/>
      </w:rPr>
      <w:instrText xml:space="preserve"> PAGE   \* MERGEFORMAT </w:instrText>
    </w:r>
    <w:r w:rsidRPr="00FD04AB">
      <w:rPr>
        <w:snapToGrid/>
        <w:szCs w:val="24"/>
      </w:rPr>
      <w:fldChar w:fldCharType="separate"/>
    </w:r>
    <w:r w:rsidR="00CB3BB5">
      <w:rPr>
        <w:noProof/>
        <w:snapToGrid/>
        <w:szCs w:val="24"/>
      </w:rPr>
      <w:t>15</w:t>
    </w:r>
    <w:r w:rsidRPr="00FD04AB">
      <w:rPr>
        <w:noProof/>
        <w:snapToGrid/>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CC" w:rsidRDefault="00A66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CC" w:rsidRDefault="00A662CC" w:rsidP="00124A51">
      <w:r>
        <w:separator/>
      </w:r>
    </w:p>
    <w:p w:rsidR="00A662CC" w:rsidRDefault="00A662CC"/>
    <w:p w:rsidR="00A662CC" w:rsidRDefault="00A662CC"/>
  </w:footnote>
  <w:footnote w:type="continuationSeparator" w:id="0">
    <w:p w:rsidR="00A662CC" w:rsidRDefault="00A662CC" w:rsidP="00124A51">
      <w:r>
        <w:continuationSeparator/>
      </w:r>
    </w:p>
    <w:p w:rsidR="00A662CC" w:rsidRDefault="00A662CC"/>
    <w:p w:rsidR="00A662CC" w:rsidRDefault="00A662CC"/>
  </w:footnote>
  <w:footnote w:id="1">
    <w:p w:rsidR="005A7DC0" w:rsidRDefault="005A7DC0">
      <w:pPr>
        <w:pStyle w:val="FootnoteText"/>
      </w:pPr>
      <w:r>
        <w:rPr>
          <w:rStyle w:val="FootnoteReference"/>
        </w:rPr>
        <w:footnoteRef/>
      </w:r>
      <w:r>
        <w:t xml:space="preserve"> </w:t>
      </w:r>
      <w:r w:rsidRPr="009802D0">
        <w:t>Secondary hypogonadism is usually defined as hypogonadism caused by a hypothalamic or pituitary disorder. Table 14.1.4.3 of the CSR reported that only 2 (1.3%) of patients had a medical history of hypogonadism as an endocrine disorder, and one patient was reported as having a benign pituitary tumour (Table 14.1.4.3, p174-188 of the CSR).</w:t>
      </w:r>
    </w:p>
  </w:footnote>
  <w:footnote w:id="2">
    <w:p w:rsidR="005A7DC0" w:rsidRDefault="005A7DC0" w:rsidP="00AF0671">
      <w:pPr>
        <w:pStyle w:val="FootnoteText"/>
      </w:pPr>
      <w:r>
        <w:rPr>
          <w:rStyle w:val="FootnoteReference"/>
        </w:rPr>
        <w:footnoteRef/>
      </w:r>
      <w:r>
        <w:t xml:space="preserve"> Chan I. Assessment and management of male androgen disorders: an update. </w:t>
      </w:r>
      <w:proofErr w:type="spellStart"/>
      <w:r>
        <w:t>Aust</w:t>
      </w:r>
      <w:proofErr w:type="spellEnd"/>
      <w:r>
        <w:t xml:space="preserve"> </w:t>
      </w:r>
      <w:proofErr w:type="gramStart"/>
      <w:r>
        <w:t>Fam</w:t>
      </w:r>
      <w:proofErr w:type="gramEnd"/>
      <w:r>
        <w:t xml:space="preserve"> Physician. 2014; 43 (5):277-82.</w:t>
      </w:r>
    </w:p>
    <w:p w:rsidR="005A7DC0" w:rsidRDefault="005A7DC0" w:rsidP="00AF0671">
      <w:pPr>
        <w:pStyle w:val="FootnoteText"/>
      </w:pPr>
      <w:proofErr w:type="spellStart"/>
      <w:r>
        <w:t>Sikaris</w:t>
      </w:r>
      <w:proofErr w:type="spellEnd"/>
      <w:r>
        <w:t xml:space="preserve"> K, McLachlan RI, et al. Reproductive hormone reference intervals for healthy fertile young men: evaluation of automated platform assays. J </w:t>
      </w:r>
      <w:proofErr w:type="spellStart"/>
      <w:r>
        <w:t>Clin</w:t>
      </w:r>
      <w:proofErr w:type="spellEnd"/>
      <w:r>
        <w:t xml:space="preserve"> </w:t>
      </w:r>
      <w:proofErr w:type="spellStart"/>
      <w:r>
        <w:t>Endocrinol</w:t>
      </w:r>
      <w:proofErr w:type="spellEnd"/>
      <w:r>
        <w:t xml:space="preserve"> </w:t>
      </w:r>
      <w:proofErr w:type="spellStart"/>
      <w:r>
        <w:t>Metab</w:t>
      </w:r>
      <w:proofErr w:type="spellEnd"/>
      <w:r>
        <w:t>. 2005; 90 (11):5928-36.</w:t>
      </w:r>
    </w:p>
    <w:p w:rsidR="005A7DC0" w:rsidRDefault="005A7DC0" w:rsidP="00AF0671">
      <w:pPr>
        <w:pStyle w:val="FootnoteText"/>
      </w:pPr>
      <w:proofErr w:type="spellStart"/>
      <w:r>
        <w:t>Yeap</w:t>
      </w:r>
      <w:proofErr w:type="spellEnd"/>
      <w:r>
        <w:t xml:space="preserve"> BB, Alfonso H, et al. Reference Ranges and Determinants of Testosterone, </w:t>
      </w:r>
      <w:proofErr w:type="spellStart"/>
      <w:r>
        <w:t>Dihydrotestosterone</w:t>
      </w:r>
      <w:proofErr w:type="spellEnd"/>
      <w:r>
        <w:t xml:space="preserve">, and </w:t>
      </w:r>
      <w:proofErr w:type="spellStart"/>
      <w:r>
        <w:t>Estradiol</w:t>
      </w:r>
      <w:proofErr w:type="spellEnd"/>
      <w:r>
        <w:t xml:space="preserve"> Levels Measured using Liquid Chromatography-Tandem Mass Spectrometry in a Population-Based Cohort of Older Men. The Journal of Clinical Endocrinology &amp; Metabolism. 2012; 97 (11):4030-9</w:t>
      </w:r>
    </w:p>
  </w:footnote>
  <w:footnote w:id="3">
    <w:p w:rsidR="005A7DC0" w:rsidRPr="009928EF" w:rsidRDefault="005A7DC0" w:rsidP="009928EF">
      <w:pPr>
        <w:pStyle w:val="FootnoteText"/>
      </w:pPr>
      <w:r>
        <w:rPr>
          <w:rStyle w:val="FootnoteReference"/>
        </w:rPr>
        <w:footnoteRef/>
      </w:r>
      <w:r>
        <w:t xml:space="preserve"> </w:t>
      </w:r>
      <w:proofErr w:type="spellStart"/>
      <w:r w:rsidRPr="009928EF">
        <w:t>Yeap</w:t>
      </w:r>
      <w:proofErr w:type="spellEnd"/>
      <w:r w:rsidRPr="009928EF">
        <w:t xml:space="preserve"> BB, Grossmann M, et al. Endocrine Society of Australia position statement on male hypogonadism (part 1): assessment and indications for testosterone therapy. Med J Aust. 2016; 205 (4):173-8.</w:t>
      </w:r>
    </w:p>
  </w:footnote>
  <w:footnote w:id="4">
    <w:p w:rsidR="005A7DC0" w:rsidRPr="009928EF" w:rsidRDefault="005A7DC0" w:rsidP="009928EF">
      <w:pPr>
        <w:pStyle w:val="FootnoteText"/>
      </w:pPr>
      <w:r>
        <w:rPr>
          <w:rStyle w:val="FootnoteReference"/>
        </w:rPr>
        <w:footnoteRef/>
      </w:r>
      <w:r>
        <w:t xml:space="preserve"> </w:t>
      </w:r>
      <w:r w:rsidRPr="009928EF">
        <w:t xml:space="preserve">Conway AJ, </w:t>
      </w:r>
      <w:proofErr w:type="spellStart"/>
      <w:r w:rsidRPr="009928EF">
        <w:t>Handelsman</w:t>
      </w:r>
      <w:proofErr w:type="spellEnd"/>
      <w:r w:rsidRPr="009928EF">
        <w:t xml:space="preserve"> DJ, et al. Use, misuse and abuse of androgens. Med J Aust. 2000; 172 (5):220-4.</w:t>
      </w:r>
    </w:p>
  </w:footnote>
  <w:footnote w:id="5">
    <w:p w:rsidR="005A7DC0" w:rsidRPr="009928EF" w:rsidRDefault="005A7DC0" w:rsidP="009928EF">
      <w:pPr>
        <w:pStyle w:val="FootnoteText"/>
      </w:pPr>
      <w:r>
        <w:rPr>
          <w:rStyle w:val="FootnoteReference"/>
        </w:rPr>
        <w:footnoteRef/>
      </w:r>
      <w:r>
        <w:t xml:space="preserve"> </w:t>
      </w:r>
      <w:proofErr w:type="spellStart"/>
      <w:r w:rsidRPr="009928EF">
        <w:t>Handelsman</w:t>
      </w:r>
      <w:proofErr w:type="spellEnd"/>
      <w:r w:rsidRPr="009928EF">
        <w:t xml:space="preserve"> DJ, </w:t>
      </w:r>
      <w:proofErr w:type="spellStart"/>
      <w:r w:rsidRPr="009928EF">
        <w:t>Zajac</w:t>
      </w:r>
      <w:proofErr w:type="spellEnd"/>
      <w:r w:rsidRPr="009928EF">
        <w:t xml:space="preserve"> JD. Androgen deficiency and replacement therapy in men. Med J Aust. 2004; 180:529-35.</w:t>
      </w:r>
    </w:p>
  </w:footnote>
  <w:footnote w:id="6">
    <w:p w:rsidR="005A7DC0" w:rsidRDefault="005A7DC0" w:rsidP="00AF0671">
      <w:pPr>
        <w:pStyle w:val="FootnoteText"/>
        <w:ind w:left="142" w:hanging="142"/>
      </w:pPr>
      <w:r w:rsidRPr="00940072">
        <w:rPr>
          <w:rStyle w:val="FootnoteReference"/>
          <w:sz w:val="18"/>
        </w:rPr>
        <w:footnoteRef/>
      </w:r>
      <w:r>
        <w:rPr>
          <w:sz w:val="18"/>
        </w:rPr>
        <w:t xml:space="preserve"> Note 2 above</w:t>
      </w:r>
    </w:p>
    <w:p w:rsidR="005A7DC0" w:rsidRDefault="005A7DC0" w:rsidP="00033D94">
      <w:pPr>
        <w:pStyle w:val="FootnoteText"/>
        <w:ind w:left="142"/>
      </w:pPr>
    </w:p>
  </w:footnote>
  <w:footnote w:id="7">
    <w:p w:rsidR="005A7DC0" w:rsidRDefault="005A7DC0" w:rsidP="001B094D">
      <w:pPr>
        <w:pStyle w:val="FootnoteText"/>
      </w:pPr>
      <w:r w:rsidRPr="00940072">
        <w:rPr>
          <w:rStyle w:val="FootnoteReference"/>
          <w:sz w:val="18"/>
        </w:rPr>
        <w:footnoteRef/>
      </w:r>
      <w:r w:rsidRPr="00940072">
        <w:rPr>
          <w:sz w:val="18"/>
        </w:rPr>
        <w:t xml:space="preserve"> The World Health Organisation defines obesity as a BMI greater than or equal to 30. </w:t>
      </w:r>
      <w:hyperlink r:id="rId1" w:history="1">
        <w:r w:rsidRPr="00940072">
          <w:rPr>
            <w:rStyle w:val="Hyperlink"/>
            <w:sz w:val="18"/>
          </w:rPr>
          <w:t>http://www.who.int/news-room/fact-sheets/detail/obesity-and-overweight</w:t>
        </w:r>
      </w:hyperlink>
      <w:r w:rsidRPr="00940072">
        <w:rPr>
          <w:sz w:val="18"/>
        </w:rPr>
        <w:t xml:space="preserve"> </w:t>
      </w:r>
    </w:p>
  </w:footnote>
  <w:footnote w:id="8">
    <w:p w:rsidR="005A7DC0" w:rsidRDefault="005A7DC0" w:rsidP="001B094D">
      <w:pPr>
        <w:pStyle w:val="FootnoteText"/>
      </w:pPr>
      <w:r>
        <w:rPr>
          <w:rStyle w:val="FootnoteReference"/>
        </w:rPr>
        <w:footnoteRef/>
      </w:r>
      <w:r>
        <w:t xml:space="preserve"> Source: </w:t>
      </w:r>
      <w:bookmarkStart w:id="20" w:name="_GoBack"/>
      <w:r w:rsidR="00CB3BB5">
        <w:rPr>
          <w:rStyle w:val="Hyperlink"/>
        </w:rPr>
        <w:fldChar w:fldCharType="begin"/>
      </w:r>
      <w:r w:rsidR="00CB3BB5">
        <w:rPr>
          <w:rStyle w:val="Hyperlink"/>
        </w:rPr>
        <w:instrText xml:space="preserve"> HYPERLINK "https://www.accessdata.fda.gov/drugsatfda_docs/nda/2000/21-015_AndroGel.cfm" </w:instrText>
      </w:r>
      <w:r w:rsidR="00CB3BB5">
        <w:rPr>
          <w:rStyle w:val="Hyperlink"/>
        </w:rPr>
        <w:fldChar w:fldCharType="separate"/>
      </w:r>
      <w:r w:rsidRPr="001F465A">
        <w:rPr>
          <w:rStyle w:val="Hyperlink"/>
        </w:rPr>
        <w:t>https://www.accessdata.fda.gov/drugsatfda_docs/nda/2000/21-015_AndroGel.cfm</w:t>
      </w:r>
      <w:r w:rsidR="00CB3BB5">
        <w:rPr>
          <w:rStyle w:val="Hyperlink"/>
        </w:rPr>
        <w:fldChar w:fldCharType="end"/>
      </w:r>
      <w:bookmarkEnd w:id="2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CC" w:rsidRDefault="00A66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DC0" w:rsidRDefault="005A7DC0" w:rsidP="00FD04AB">
    <w:pPr>
      <w:jc w:val="center"/>
      <w:rPr>
        <w:i/>
        <w:szCs w:val="24"/>
      </w:rPr>
    </w:pPr>
    <w:r>
      <w:rPr>
        <w:i/>
        <w:szCs w:val="24"/>
      </w:rPr>
      <w:t>Public Summary Document – November 2018 PBAC Meeting</w:t>
    </w:r>
  </w:p>
  <w:p w:rsidR="005A7DC0" w:rsidRDefault="005A7DC0" w:rsidP="00FD04AB">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2CC" w:rsidRDefault="00A662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31BF7"/>
    <w:multiLevelType w:val="hybridMultilevel"/>
    <w:tmpl w:val="2E6086B8"/>
    <w:lvl w:ilvl="0" w:tplc="7D3E3D1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824A85"/>
    <w:multiLevelType w:val="hybridMultilevel"/>
    <w:tmpl w:val="43FCADB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 w15:restartNumberingAfterBreak="0">
    <w:nsid w:val="3B7C34E2"/>
    <w:multiLevelType w:val="hybridMultilevel"/>
    <w:tmpl w:val="72884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09187D"/>
    <w:multiLevelType w:val="hybridMultilevel"/>
    <w:tmpl w:val="5DA4CFAC"/>
    <w:lvl w:ilvl="0" w:tplc="C324F4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D3CCF49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B2DF0"/>
    <w:multiLevelType w:val="hybridMultilevel"/>
    <w:tmpl w:val="18747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0C8496A"/>
    <w:multiLevelType w:val="hybridMultilevel"/>
    <w:tmpl w:val="35649B6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67254693"/>
    <w:multiLevelType w:val="hybridMultilevel"/>
    <w:tmpl w:val="918E7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7E87C96"/>
    <w:multiLevelType w:val="hybridMultilevel"/>
    <w:tmpl w:val="698EE754"/>
    <w:lvl w:ilvl="0" w:tplc="1D2452E8">
      <w:start w:val="1"/>
      <w:numFmt w:val="decimal"/>
      <w:lvlText w:val="%1."/>
      <w:lvlJc w:val="left"/>
      <w:pPr>
        <w:ind w:left="360" w:hanging="360"/>
      </w:pPr>
      <w:rPr>
        <w:rFonts w:asciiTheme="minorHAnsi" w:hAnsiTheme="minorHAnsi" w:cstheme="minorHAnsi"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6B8E7827"/>
    <w:multiLevelType w:val="hybridMultilevel"/>
    <w:tmpl w:val="9A3698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84D033C"/>
    <w:multiLevelType w:val="multilevel"/>
    <w:tmpl w:val="DF2C1CA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4"/>
  </w:num>
  <w:num w:numId="3">
    <w:abstractNumId w:val="0"/>
  </w:num>
  <w:num w:numId="4">
    <w:abstractNumId w:val="6"/>
  </w:num>
  <w:num w:numId="5">
    <w:abstractNumId w:val="3"/>
  </w:num>
  <w:num w:numId="6">
    <w:abstractNumId w:val="9"/>
  </w:num>
  <w:num w:numId="7">
    <w:abstractNumId w:val="8"/>
  </w:num>
  <w:num w:numId="8">
    <w:abstractNumId w:val="4"/>
  </w:num>
  <w:num w:numId="9">
    <w:abstractNumId w:val="4"/>
  </w:num>
  <w:num w:numId="10">
    <w:abstractNumId w:val="5"/>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0"/>
  </w:num>
  <w:num w:numId="23">
    <w:abstractNumId w:val="10"/>
  </w:num>
  <w:num w:numId="24">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0fx5ztmx0r21e92x4xrwr4vwspz29fw9wa&quot;&gt;My EndNote Library&lt;record-ids&gt;&lt;item&gt;4&lt;/item&gt;&lt;item&gt;5&lt;/item&gt;&lt;item&gt;7&lt;/item&gt;&lt;item&gt;8&lt;/item&gt;&lt;item&gt;9&lt;/item&gt;&lt;item&gt;12&lt;/item&gt;&lt;item&gt;13&lt;/item&gt;&lt;item&gt;14&lt;/item&gt;&lt;item&gt;15&lt;/item&gt;&lt;item&gt;16&lt;/item&gt;&lt;item&gt;19&lt;/item&gt;&lt;item&gt;20&lt;/item&gt;&lt;item&gt;21&lt;/item&gt;&lt;item&gt;26&lt;/item&gt;&lt;item&gt;27&lt;/item&gt;&lt;item&gt;28&lt;/item&gt;&lt;item&gt;33&lt;/item&gt;&lt;item&gt;34&lt;/item&gt;&lt;/record-ids&gt;&lt;/item&gt;&lt;/Libraries&gt;"/>
  </w:docVars>
  <w:rsids>
    <w:rsidRoot w:val="00E65E79"/>
    <w:rsid w:val="00000044"/>
    <w:rsid w:val="0000005B"/>
    <w:rsid w:val="00000360"/>
    <w:rsid w:val="00000528"/>
    <w:rsid w:val="00000790"/>
    <w:rsid w:val="0000110B"/>
    <w:rsid w:val="0000153B"/>
    <w:rsid w:val="00001730"/>
    <w:rsid w:val="00001E34"/>
    <w:rsid w:val="00002ED9"/>
    <w:rsid w:val="000032F3"/>
    <w:rsid w:val="00003499"/>
    <w:rsid w:val="00003525"/>
    <w:rsid w:val="000036A9"/>
    <w:rsid w:val="000039AF"/>
    <w:rsid w:val="000039B7"/>
    <w:rsid w:val="000065C8"/>
    <w:rsid w:val="000067CA"/>
    <w:rsid w:val="00006B5F"/>
    <w:rsid w:val="00006BD0"/>
    <w:rsid w:val="00006CE8"/>
    <w:rsid w:val="00006F35"/>
    <w:rsid w:val="00007606"/>
    <w:rsid w:val="00007F62"/>
    <w:rsid w:val="00010221"/>
    <w:rsid w:val="000105DF"/>
    <w:rsid w:val="00011094"/>
    <w:rsid w:val="00011260"/>
    <w:rsid w:val="0001172E"/>
    <w:rsid w:val="000117B3"/>
    <w:rsid w:val="00011A44"/>
    <w:rsid w:val="00012305"/>
    <w:rsid w:val="0001278F"/>
    <w:rsid w:val="00012BA2"/>
    <w:rsid w:val="00012C70"/>
    <w:rsid w:val="00012C79"/>
    <w:rsid w:val="00013247"/>
    <w:rsid w:val="00013EF3"/>
    <w:rsid w:val="000151B3"/>
    <w:rsid w:val="0001532F"/>
    <w:rsid w:val="000153AF"/>
    <w:rsid w:val="00015422"/>
    <w:rsid w:val="00015886"/>
    <w:rsid w:val="00015952"/>
    <w:rsid w:val="00015FD3"/>
    <w:rsid w:val="000162EF"/>
    <w:rsid w:val="000163D1"/>
    <w:rsid w:val="00016F5E"/>
    <w:rsid w:val="000177A5"/>
    <w:rsid w:val="00017DB2"/>
    <w:rsid w:val="00020554"/>
    <w:rsid w:val="000207E8"/>
    <w:rsid w:val="00020E09"/>
    <w:rsid w:val="00020F0D"/>
    <w:rsid w:val="00020F52"/>
    <w:rsid w:val="00020F8A"/>
    <w:rsid w:val="000214AB"/>
    <w:rsid w:val="00022001"/>
    <w:rsid w:val="0002225F"/>
    <w:rsid w:val="00022C00"/>
    <w:rsid w:val="00023023"/>
    <w:rsid w:val="00023178"/>
    <w:rsid w:val="000234B5"/>
    <w:rsid w:val="00023563"/>
    <w:rsid w:val="00023763"/>
    <w:rsid w:val="0002386A"/>
    <w:rsid w:val="00023BC4"/>
    <w:rsid w:val="00023BF9"/>
    <w:rsid w:val="00023C44"/>
    <w:rsid w:val="00024853"/>
    <w:rsid w:val="000249EE"/>
    <w:rsid w:val="00024C96"/>
    <w:rsid w:val="00024F4B"/>
    <w:rsid w:val="00025017"/>
    <w:rsid w:val="000252AB"/>
    <w:rsid w:val="000254BE"/>
    <w:rsid w:val="00025AD3"/>
    <w:rsid w:val="00025B74"/>
    <w:rsid w:val="00026C4B"/>
    <w:rsid w:val="000275EE"/>
    <w:rsid w:val="0002788A"/>
    <w:rsid w:val="000278F2"/>
    <w:rsid w:val="000302C3"/>
    <w:rsid w:val="00030652"/>
    <w:rsid w:val="00030D4C"/>
    <w:rsid w:val="00030D54"/>
    <w:rsid w:val="00030ED9"/>
    <w:rsid w:val="00031598"/>
    <w:rsid w:val="0003160A"/>
    <w:rsid w:val="000317B8"/>
    <w:rsid w:val="000325A1"/>
    <w:rsid w:val="00032623"/>
    <w:rsid w:val="00032C96"/>
    <w:rsid w:val="00032F1A"/>
    <w:rsid w:val="00033505"/>
    <w:rsid w:val="00033863"/>
    <w:rsid w:val="00033C8E"/>
    <w:rsid w:val="00033D94"/>
    <w:rsid w:val="0003401E"/>
    <w:rsid w:val="00034078"/>
    <w:rsid w:val="0003419F"/>
    <w:rsid w:val="000344C0"/>
    <w:rsid w:val="0003559C"/>
    <w:rsid w:val="0003575B"/>
    <w:rsid w:val="00035A8C"/>
    <w:rsid w:val="00035BFE"/>
    <w:rsid w:val="00035DC0"/>
    <w:rsid w:val="0003629E"/>
    <w:rsid w:val="0003672A"/>
    <w:rsid w:val="00036829"/>
    <w:rsid w:val="0003785B"/>
    <w:rsid w:val="00037B67"/>
    <w:rsid w:val="000403D8"/>
    <w:rsid w:val="000405E4"/>
    <w:rsid w:val="00040895"/>
    <w:rsid w:val="00040C72"/>
    <w:rsid w:val="00040E9B"/>
    <w:rsid w:val="00041860"/>
    <w:rsid w:val="0004284F"/>
    <w:rsid w:val="00042CA9"/>
    <w:rsid w:val="0004335E"/>
    <w:rsid w:val="000435FD"/>
    <w:rsid w:val="0004369E"/>
    <w:rsid w:val="00043BBC"/>
    <w:rsid w:val="00043C37"/>
    <w:rsid w:val="00043D57"/>
    <w:rsid w:val="0004441C"/>
    <w:rsid w:val="0004469F"/>
    <w:rsid w:val="00044D44"/>
    <w:rsid w:val="00044E05"/>
    <w:rsid w:val="00044E2D"/>
    <w:rsid w:val="00045017"/>
    <w:rsid w:val="000451CB"/>
    <w:rsid w:val="00045490"/>
    <w:rsid w:val="00045A2B"/>
    <w:rsid w:val="00045AF0"/>
    <w:rsid w:val="00045EDA"/>
    <w:rsid w:val="00046385"/>
    <w:rsid w:val="0004678B"/>
    <w:rsid w:val="0004683A"/>
    <w:rsid w:val="0004698F"/>
    <w:rsid w:val="00046C78"/>
    <w:rsid w:val="000477D1"/>
    <w:rsid w:val="00047A85"/>
    <w:rsid w:val="00050598"/>
    <w:rsid w:val="00050710"/>
    <w:rsid w:val="00050DFB"/>
    <w:rsid w:val="00051441"/>
    <w:rsid w:val="00051993"/>
    <w:rsid w:val="000519F7"/>
    <w:rsid w:val="0005206D"/>
    <w:rsid w:val="000524AA"/>
    <w:rsid w:val="0005259E"/>
    <w:rsid w:val="00052DD9"/>
    <w:rsid w:val="00052E31"/>
    <w:rsid w:val="0005333A"/>
    <w:rsid w:val="00053463"/>
    <w:rsid w:val="000535CE"/>
    <w:rsid w:val="000539AA"/>
    <w:rsid w:val="000539D0"/>
    <w:rsid w:val="00053A09"/>
    <w:rsid w:val="00053FB0"/>
    <w:rsid w:val="0005418F"/>
    <w:rsid w:val="00054621"/>
    <w:rsid w:val="000546D7"/>
    <w:rsid w:val="000548EE"/>
    <w:rsid w:val="00054F31"/>
    <w:rsid w:val="000568C7"/>
    <w:rsid w:val="00056A74"/>
    <w:rsid w:val="00056C0C"/>
    <w:rsid w:val="0005737E"/>
    <w:rsid w:val="0005760C"/>
    <w:rsid w:val="00057CA9"/>
    <w:rsid w:val="00057CBB"/>
    <w:rsid w:val="00057D56"/>
    <w:rsid w:val="00060B31"/>
    <w:rsid w:val="00061576"/>
    <w:rsid w:val="00061823"/>
    <w:rsid w:val="000618BC"/>
    <w:rsid w:val="00062F22"/>
    <w:rsid w:val="00063DDD"/>
    <w:rsid w:val="00063E60"/>
    <w:rsid w:val="000646CE"/>
    <w:rsid w:val="000649F5"/>
    <w:rsid w:val="00064A77"/>
    <w:rsid w:val="00064CA0"/>
    <w:rsid w:val="00065272"/>
    <w:rsid w:val="0006578D"/>
    <w:rsid w:val="00065866"/>
    <w:rsid w:val="00065D2A"/>
    <w:rsid w:val="00066005"/>
    <w:rsid w:val="00066360"/>
    <w:rsid w:val="0006637F"/>
    <w:rsid w:val="000664AE"/>
    <w:rsid w:val="00067BB9"/>
    <w:rsid w:val="000702A8"/>
    <w:rsid w:val="00070F1A"/>
    <w:rsid w:val="00071248"/>
    <w:rsid w:val="00071823"/>
    <w:rsid w:val="00072086"/>
    <w:rsid w:val="000720B9"/>
    <w:rsid w:val="00072314"/>
    <w:rsid w:val="00072E0A"/>
    <w:rsid w:val="00072EBE"/>
    <w:rsid w:val="00072EFC"/>
    <w:rsid w:val="00073018"/>
    <w:rsid w:val="00073278"/>
    <w:rsid w:val="0007333C"/>
    <w:rsid w:val="00073389"/>
    <w:rsid w:val="00073566"/>
    <w:rsid w:val="000737F7"/>
    <w:rsid w:val="00073E29"/>
    <w:rsid w:val="000741D7"/>
    <w:rsid w:val="00074380"/>
    <w:rsid w:val="00074B93"/>
    <w:rsid w:val="00075609"/>
    <w:rsid w:val="0007576B"/>
    <w:rsid w:val="00076288"/>
    <w:rsid w:val="0007672F"/>
    <w:rsid w:val="000774F0"/>
    <w:rsid w:val="000776D8"/>
    <w:rsid w:val="00077F7A"/>
    <w:rsid w:val="00080909"/>
    <w:rsid w:val="000812CA"/>
    <w:rsid w:val="0008258D"/>
    <w:rsid w:val="00082883"/>
    <w:rsid w:val="000832D1"/>
    <w:rsid w:val="000836F8"/>
    <w:rsid w:val="00083E99"/>
    <w:rsid w:val="00083FFD"/>
    <w:rsid w:val="00084A7D"/>
    <w:rsid w:val="00085566"/>
    <w:rsid w:val="000856C5"/>
    <w:rsid w:val="00085767"/>
    <w:rsid w:val="00085D58"/>
    <w:rsid w:val="000860BF"/>
    <w:rsid w:val="00087158"/>
    <w:rsid w:val="000872DC"/>
    <w:rsid w:val="00087A1F"/>
    <w:rsid w:val="00087A52"/>
    <w:rsid w:val="00087EA7"/>
    <w:rsid w:val="0009064F"/>
    <w:rsid w:val="000906F9"/>
    <w:rsid w:val="000907E7"/>
    <w:rsid w:val="000908DE"/>
    <w:rsid w:val="00090C7E"/>
    <w:rsid w:val="00091C59"/>
    <w:rsid w:val="00091DF6"/>
    <w:rsid w:val="00091F92"/>
    <w:rsid w:val="000921B1"/>
    <w:rsid w:val="000922C9"/>
    <w:rsid w:val="00092600"/>
    <w:rsid w:val="0009262B"/>
    <w:rsid w:val="00092C69"/>
    <w:rsid w:val="00092F85"/>
    <w:rsid w:val="00093310"/>
    <w:rsid w:val="0009339D"/>
    <w:rsid w:val="00093680"/>
    <w:rsid w:val="00093831"/>
    <w:rsid w:val="00093A25"/>
    <w:rsid w:val="000942B1"/>
    <w:rsid w:val="000942DE"/>
    <w:rsid w:val="0009445C"/>
    <w:rsid w:val="00094594"/>
    <w:rsid w:val="000947C5"/>
    <w:rsid w:val="00095AA8"/>
    <w:rsid w:val="00095AE9"/>
    <w:rsid w:val="00095C04"/>
    <w:rsid w:val="00095FE5"/>
    <w:rsid w:val="00096247"/>
    <w:rsid w:val="00096284"/>
    <w:rsid w:val="00096C49"/>
    <w:rsid w:val="00096FB1"/>
    <w:rsid w:val="00096FCC"/>
    <w:rsid w:val="0009714A"/>
    <w:rsid w:val="000974F5"/>
    <w:rsid w:val="00097514"/>
    <w:rsid w:val="00097634"/>
    <w:rsid w:val="00097719"/>
    <w:rsid w:val="00097F68"/>
    <w:rsid w:val="000A005F"/>
    <w:rsid w:val="000A022B"/>
    <w:rsid w:val="000A0923"/>
    <w:rsid w:val="000A103F"/>
    <w:rsid w:val="000A1190"/>
    <w:rsid w:val="000A17FF"/>
    <w:rsid w:val="000A1B54"/>
    <w:rsid w:val="000A2104"/>
    <w:rsid w:val="000A2326"/>
    <w:rsid w:val="000A2436"/>
    <w:rsid w:val="000A29C4"/>
    <w:rsid w:val="000A309D"/>
    <w:rsid w:val="000A3DB3"/>
    <w:rsid w:val="000A3EC3"/>
    <w:rsid w:val="000A3F6D"/>
    <w:rsid w:val="000A40C8"/>
    <w:rsid w:val="000A40FD"/>
    <w:rsid w:val="000A438A"/>
    <w:rsid w:val="000A464E"/>
    <w:rsid w:val="000A4699"/>
    <w:rsid w:val="000A4DC4"/>
    <w:rsid w:val="000A57B4"/>
    <w:rsid w:val="000A5920"/>
    <w:rsid w:val="000A5C7B"/>
    <w:rsid w:val="000A5E3B"/>
    <w:rsid w:val="000A6817"/>
    <w:rsid w:val="000A6879"/>
    <w:rsid w:val="000A6A4E"/>
    <w:rsid w:val="000A6B8C"/>
    <w:rsid w:val="000A6BDB"/>
    <w:rsid w:val="000A6EB7"/>
    <w:rsid w:val="000A7729"/>
    <w:rsid w:val="000A7AB4"/>
    <w:rsid w:val="000A7D08"/>
    <w:rsid w:val="000A7D83"/>
    <w:rsid w:val="000B013C"/>
    <w:rsid w:val="000B0289"/>
    <w:rsid w:val="000B02C2"/>
    <w:rsid w:val="000B0670"/>
    <w:rsid w:val="000B08CC"/>
    <w:rsid w:val="000B0E75"/>
    <w:rsid w:val="000B0EF4"/>
    <w:rsid w:val="000B1294"/>
    <w:rsid w:val="000B12D0"/>
    <w:rsid w:val="000B190A"/>
    <w:rsid w:val="000B1B69"/>
    <w:rsid w:val="000B275F"/>
    <w:rsid w:val="000B2FAF"/>
    <w:rsid w:val="000B2FF6"/>
    <w:rsid w:val="000B3245"/>
    <w:rsid w:val="000B3312"/>
    <w:rsid w:val="000B37E3"/>
    <w:rsid w:val="000B3885"/>
    <w:rsid w:val="000B3927"/>
    <w:rsid w:val="000B3C10"/>
    <w:rsid w:val="000B4237"/>
    <w:rsid w:val="000B42F9"/>
    <w:rsid w:val="000B4493"/>
    <w:rsid w:val="000B46B8"/>
    <w:rsid w:val="000B4AEF"/>
    <w:rsid w:val="000B4B87"/>
    <w:rsid w:val="000B511A"/>
    <w:rsid w:val="000B5285"/>
    <w:rsid w:val="000B5634"/>
    <w:rsid w:val="000B567D"/>
    <w:rsid w:val="000B5A21"/>
    <w:rsid w:val="000B648C"/>
    <w:rsid w:val="000B6CAC"/>
    <w:rsid w:val="000B74A8"/>
    <w:rsid w:val="000B74BC"/>
    <w:rsid w:val="000B7612"/>
    <w:rsid w:val="000B761D"/>
    <w:rsid w:val="000B7792"/>
    <w:rsid w:val="000B77C9"/>
    <w:rsid w:val="000B7F6A"/>
    <w:rsid w:val="000B7FA0"/>
    <w:rsid w:val="000C02D3"/>
    <w:rsid w:val="000C075B"/>
    <w:rsid w:val="000C0C59"/>
    <w:rsid w:val="000C0CF4"/>
    <w:rsid w:val="000C0E02"/>
    <w:rsid w:val="000C12D0"/>
    <w:rsid w:val="000C140B"/>
    <w:rsid w:val="000C1527"/>
    <w:rsid w:val="000C1799"/>
    <w:rsid w:val="000C17F9"/>
    <w:rsid w:val="000C2373"/>
    <w:rsid w:val="000C2536"/>
    <w:rsid w:val="000C265F"/>
    <w:rsid w:val="000C2B77"/>
    <w:rsid w:val="000C2FBC"/>
    <w:rsid w:val="000C3563"/>
    <w:rsid w:val="000C37D9"/>
    <w:rsid w:val="000C39BF"/>
    <w:rsid w:val="000C3DF9"/>
    <w:rsid w:val="000C433B"/>
    <w:rsid w:val="000C4766"/>
    <w:rsid w:val="000C4A0C"/>
    <w:rsid w:val="000C4C4A"/>
    <w:rsid w:val="000C4DA9"/>
    <w:rsid w:val="000C53A7"/>
    <w:rsid w:val="000C5481"/>
    <w:rsid w:val="000C5B7B"/>
    <w:rsid w:val="000C63C3"/>
    <w:rsid w:val="000C6467"/>
    <w:rsid w:val="000C6579"/>
    <w:rsid w:val="000C6713"/>
    <w:rsid w:val="000C71C2"/>
    <w:rsid w:val="000C7940"/>
    <w:rsid w:val="000D0637"/>
    <w:rsid w:val="000D0C32"/>
    <w:rsid w:val="000D0CA9"/>
    <w:rsid w:val="000D1327"/>
    <w:rsid w:val="000D1B85"/>
    <w:rsid w:val="000D1BFC"/>
    <w:rsid w:val="000D1C84"/>
    <w:rsid w:val="000D281A"/>
    <w:rsid w:val="000D282D"/>
    <w:rsid w:val="000D326A"/>
    <w:rsid w:val="000D3D34"/>
    <w:rsid w:val="000D43C9"/>
    <w:rsid w:val="000D472B"/>
    <w:rsid w:val="000D51FB"/>
    <w:rsid w:val="000D55E4"/>
    <w:rsid w:val="000D5692"/>
    <w:rsid w:val="000D5718"/>
    <w:rsid w:val="000D59A9"/>
    <w:rsid w:val="000D60CD"/>
    <w:rsid w:val="000D6178"/>
    <w:rsid w:val="000D6273"/>
    <w:rsid w:val="000D6824"/>
    <w:rsid w:val="000D6BB0"/>
    <w:rsid w:val="000D6DAC"/>
    <w:rsid w:val="000D6E59"/>
    <w:rsid w:val="000D74D6"/>
    <w:rsid w:val="000D764A"/>
    <w:rsid w:val="000D7E8D"/>
    <w:rsid w:val="000E0397"/>
    <w:rsid w:val="000E0A9B"/>
    <w:rsid w:val="000E0F6A"/>
    <w:rsid w:val="000E1011"/>
    <w:rsid w:val="000E11A6"/>
    <w:rsid w:val="000E135D"/>
    <w:rsid w:val="000E17F9"/>
    <w:rsid w:val="000E1838"/>
    <w:rsid w:val="000E228C"/>
    <w:rsid w:val="000E324B"/>
    <w:rsid w:val="000E32A6"/>
    <w:rsid w:val="000E501B"/>
    <w:rsid w:val="000E512A"/>
    <w:rsid w:val="000E527C"/>
    <w:rsid w:val="000E5352"/>
    <w:rsid w:val="000E53F5"/>
    <w:rsid w:val="000E5504"/>
    <w:rsid w:val="000E5660"/>
    <w:rsid w:val="000E5A64"/>
    <w:rsid w:val="000E5C50"/>
    <w:rsid w:val="000E5C80"/>
    <w:rsid w:val="000E5D25"/>
    <w:rsid w:val="000E5E80"/>
    <w:rsid w:val="000E5FB6"/>
    <w:rsid w:val="000E6014"/>
    <w:rsid w:val="000E61EC"/>
    <w:rsid w:val="000E71D7"/>
    <w:rsid w:val="000E759D"/>
    <w:rsid w:val="000F00BA"/>
    <w:rsid w:val="000F196C"/>
    <w:rsid w:val="000F1C64"/>
    <w:rsid w:val="000F1F0B"/>
    <w:rsid w:val="000F2496"/>
    <w:rsid w:val="000F27D0"/>
    <w:rsid w:val="000F2F33"/>
    <w:rsid w:val="000F316A"/>
    <w:rsid w:val="000F33D3"/>
    <w:rsid w:val="000F382B"/>
    <w:rsid w:val="000F3C74"/>
    <w:rsid w:val="000F3D94"/>
    <w:rsid w:val="000F3E34"/>
    <w:rsid w:val="000F4038"/>
    <w:rsid w:val="000F47E1"/>
    <w:rsid w:val="000F4A5D"/>
    <w:rsid w:val="000F4BB8"/>
    <w:rsid w:val="000F5044"/>
    <w:rsid w:val="000F5197"/>
    <w:rsid w:val="000F5317"/>
    <w:rsid w:val="000F55AF"/>
    <w:rsid w:val="000F5F7E"/>
    <w:rsid w:val="000F6179"/>
    <w:rsid w:val="000F69D8"/>
    <w:rsid w:val="000F69EE"/>
    <w:rsid w:val="000F7127"/>
    <w:rsid w:val="000F7AD5"/>
    <w:rsid w:val="000F7B66"/>
    <w:rsid w:val="0010024F"/>
    <w:rsid w:val="0010032D"/>
    <w:rsid w:val="001003F7"/>
    <w:rsid w:val="001005F7"/>
    <w:rsid w:val="00100BB0"/>
    <w:rsid w:val="00100C28"/>
    <w:rsid w:val="00100F8A"/>
    <w:rsid w:val="00100FB5"/>
    <w:rsid w:val="0010127E"/>
    <w:rsid w:val="00101642"/>
    <w:rsid w:val="00101B4F"/>
    <w:rsid w:val="001023FF"/>
    <w:rsid w:val="00102F22"/>
    <w:rsid w:val="0010312D"/>
    <w:rsid w:val="001033E0"/>
    <w:rsid w:val="001035B7"/>
    <w:rsid w:val="0010363C"/>
    <w:rsid w:val="00104113"/>
    <w:rsid w:val="00104DDD"/>
    <w:rsid w:val="00104FC3"/>
    <w:rsid w:val="001050B5"/>
    <w:rsid w:val="00105314"/>
    <w:rsid w:val="001056EE"/>
    <w:rsid w:val="001058C7"/>
    <w:rsid w:val="00105AE2"/>
    <w:rsid w:val="00106033"/>
    <w:rsid w:val="00106436"/>
    <w:rsid w:val="0010651B"/>
    <w:rsid w:val="00106B80"/>
    <w:rsid w:val="00107B39"/>
    <w:rsid w:val="00107E54"/>
    <w:rsid w:val="001101F4"/>
    <w:rsid w:val="00110286"/>
    <w:rsid w:val="0011032E"/>
    <w:rsid w:val="00110776"/>
    <w:rsid w:val="001108F5"/>
    <w:rsid w:val="001110A3"/>
    <w:rsid w:val="001111ED"/>
    <w:rsid w:val="00111341"/>
    <w:rsid w:val="00111AFD"/>
    <w:rsid w:val="001127ED"/>
    <w:rsid w:val="001129F2"/>
    <w:rsid w:val="00112AE4"/>
    <w:rsid w:val="00112D15"/>
    <w:rsid w:val="00112F6D"/>
    <w:rsid w:val="0011348B"/>
    <w:rsid w:val="00113627"/>
    <w:rsid w:val="0011385C"/>
    <w:rsid w:val="001141E4"/>
    <w:rsid w:val="00114337"/>
    <w:rsid w:val="001143C5"/>
    <w:rsid w:val="00114952"/>
    <w:rsid w:val="00114A2D"/>
    <w:rsid w:val="00114A69"/>
    <w:rsid w:val="00114AC9"/>
    <w:rsid w:val="0011500A"/>
    <w:rsid w:val="001151C3"/>
    <w:rsid w:val="001155C4"/>
    <w:rsid w:val="001155DF"/>
    <w:rsid w:val="00115982"/>
    <w:rsid w:val="00115C22"/>
    <w:rsid w:val="00115C62"/>
    <w:rsid w:val="00115DE0"/>
    <w:rsid w:val="00115E00"/>
    <w:rsid w:val="00115F1D"/>
    <w:rsid w:val="00116192"/>
    <w:rsid w:val="0011620B"/>
    <w:rsid w:val="001167B8"/>
    <w:rsid w:val="00116A20"/>
    <w:rsid w:val="00116C53"/>
    <w:rsid w:val="00116DD4"/>
    <w:rsid w:val="00116F63"/>
    <w:rsid w:val="0011781D"/>
    <w:rsid w:val="00117964"/>
    <w:rsid w:val="001179B1"/>
    <w:rsid w:val="00117CB0"/>
    <w:rsid w:val="001205C9"/>
    <w:rsid w:val="00120F9F"/>
    <w:rsid w:val="00120FC2"/>
    <w:rsid w:val="00121543"/>
    <w:rsid w:val="001215A0"/>
    <w:rsid w:val="00121799"/>
    <w:rsid w:val="00121D56"/>
    <w:rsid w:val="001222FC"/>
    <w:rsid w:val="00122E54"/>
    <w:rsid w:val="00123266"/>
    <w:rsid w:val="001233D1"/>
    <w:rsid w:val="00123871"/>
    <w:rsid w:val="00124103"/>
    <w:rsid w:val="00124A51"/>
    <w:rsid w:val="00124C18"/>
    <w:rsid w:val="00124C9E"/>
    <w:rsid w:val="001252F9"/>
    <w:rsid w:val="001253D2"/>
    <w:rsid w:val="001255F2"/>
    <w:rsid w:val="00125E6F"/>
    <w:rsid w:val="00125E7C"/>
    <w:rsid w:val="00126393"/>
    <w:rsid w:val="00126621"/>
    <w:rsid w:val="00126896"/>
    <w:rsid w:val="00126986"/>
    <w:rsid w:val="00126D83"/>
    <w:rsid w:val="00126DC9"/>
    <w:rsid w:val="0013018A"/>
    <w:rsid w:val="001301E9"/>
    <w:rsid w:val="00130E31"/>
    <w:rsid w:val="001313EB"/>
    <w:rsid w:val="00131539"/>
    <w:rsid w:val="00131840"/>
    <w:rsid w:val="001319BE"/>
    <w:rsid w:val="00131D82"/>
    <w:rsid w:val="00132288"/>
    <w:rsid w:val="0013236F"/>
    <w:rsid w:val="0013293A"/>
    <w:rsid w:val="00132E55"/>
    <w:rsid w:val="00133599"/>
    <w:rsid w:val="0013380F"/>
    <w:rsid w:val="00133B65"/>
    <w:rsid w:val="00133CC1"/>
    <w:rsid w:val="00133D36"/>
    <w:rsid w:val="0013417F"/>
    <w:rsid w:val="00134A73"/>
    <w:rsid w:val="00135126"/>
    <w:rsid w:val="0013520C"/>
    <w:rsid w:val="001358C9"/>
    <w:rsid w:val="00135AC3"/>
    <w:rsid w:val="001360C1"/>
    <w:rsid w:val="001360C6"/>
    <w:rsid w:val="0013613B"/>
    <w:rsid w:val="00136A90"/>
    <w:rsid w:val="00136CF5"/>
    <w:rsid w:val="00137645"/>
    <w:rsid w:val="00137836"/>
    <w:rsid w:val="00137D13"/>
    <w:rsid w:val="00137F2F"/>
    <w:rsid w:val="0014015A"/>
    <w:rsid w:val="0014053E"/>
    <w:rsid w:val="001409EF"/>
    <w:rsid w:val="00140CA6"/>
    <w:rsid w:val="00140E99"/>
    <w:rsid w:val="00141144"/>
    <w:rsid w:val="0014156C"/>
    <w:rsid w:val="001415B3"/>
    <w:rsid w:val="00142626"/>
    <w:rsid w:val="00142790"/>
    <w:rsid w:val="00142F27"/>
    <w:rsid w:val="00143065"/>
    <w:rsid w:val="001431CF"/>
    <w:rsid w:val="00143302"/>
    <w:rsid w:val="001434E6"/>
    <w:rsid w:val="00143C57"/>
    <w:rsid w:val="00143D60"/>
    <w:rsid w:val="0014422F"/>
    <w:rsid w:val="0014429B"/>
    <w:rsid w:val="00144CA9"/>
    <w:rsid w:val="00145540"/>
    <w:rsid w:val="001455E9"/>
    <w:rsid w:val="001456B0"/>
    <w:rsid w:val="00145B73"/>
    <w:rsid w:val="00145D90"/>
    <w:rsid w:val="00146634"/>
    <w:rsid w:val="00146D62"/>
    <w:rsid w:val="00147C07"/>
    <w:rsid w:val="00147E7F"/>
    <w:rsid w:val="00150034"/>
    <w:rsid w:val="001503DE"/>
    <w:rsid w:val="00150466"/>
    <w:rsid w:val="0015081B"/>
    <w:rsid w:val="00150CFA"/>
    <w:rsid w:val="00150D6D"/>
    <w:rsid w:val="001512CE"/>
    <w:rsid w:val="001513E9"/>
    <w:rsid w:val="00151B02"/>
    <w:rsid w:val="001520E2"/>
    <w:rsid w:val="001526C0"/>
    <w:rsid w:val="001528EE"/>
    <w:rsid w:val="00152A14"/>
    <w:rsid w:val="00153015"/>
    <w:rsid w:val="00153033"/>
    <w:rsid w:val="00153094"/>
    <w:rsid w:val="001531F0"/>
    <w:rsid w:val="00153225"/>
    <w:rsid w:val="0015366B"/>
    <w:rsid w:val="001536B7"/>
    <w:rsid w:val="001536CC"/>
    <w:rsid w:val="00153719"/>
    <w:rsid w:val="001538E6"/>
    <w:rsid w:val="00154B31"/>
    <w:rsid w:val="00154BE1"/>
    <w:rsid w:val="00155427"/>
    <w:rsid w:val="00155AF7"/>
    <w:rsid w:val="00155B1B"/>
    <w:rsid w:val="00155D84"/>
    <w:rsid w:val="001565F8"/>
    <w:rsid w:val="0015684C"/>
    <w:rsid w:val="001568E3"/>
    <w:rsid w:val="001570D8"/>
    <w:rsid w:val="00157130"/>
    <w:rsid w:val="0015742E"/>
    <w:rsid w:val="001576B1"/>
    <w:rsid w:val="00160374"/>
    <w:rsid w:val="0016039F"/>
    <w:rsid w:val="00160A4C"/>
    <w:rsid w:val="00161195"/>
    <w:rsid w:val="001614D8"/>
    <w:rsid w:val="0016189D"/>
    <w:rsid w:val="00161F97"/>
    <w:rsid w:val="00161FD2"/>
    <w:rsid w:val="001620FD"/>
    <w:rsid w:val="00162913"/>
    <w:rsid w:val="00162D9B"/>
    <w:rsid w:val="00162DD9"/>
    <w:rsid w:val="00163898"/>
    <w:rsid w:val="001638F7"/>
    <w:rsid w:val="001639A8"/>
    <w:rsid w:val="001639C3"/>
    <w:rsid w:val="00163A0A"/>
    <w:rsid w:val="00163A12"/>
    <w:rsid w:val="00163BEF"/>
    <w:rsid w:val="00163EFF"/>
    <w:rsid w:val="00164151"/>
    <w:rsid w:val="00164256"/>
    <w:rsid w:val="001647C1"/>
    <w:rsid w:val="00164902"/>
    <w:rsid w:val="00164DEA"/>
    <w:rsid w:val="00165658"/>
    <w:rsid w:val="00165F74"/>
    <w:rsid w:val="00166110"/>
    <w:rsid w:val="001661FB"/>
    <w:rsid w:val="00166B63"/>
    <w:rsid w:val="00166C27"/>
    <w:rsid w:val="00166DF1"/>
    <w:rsid w:val="0016713C"/>
    <w:rsid w:val="0016747D"/>
    <w:rsid w:val="0016797B"/>
    <w:rsid w:val="00170760"/>
    <w:rsid w:val="00171046"/>
    <w:rsid w:val="0017116F"/>
    <w:rsid w:val="001712B5"/>
    <w:rsid w:val="0017199A"/>
    <w:rsid w:val="00172544"/>
    <w:rsid w:val="00172819"/>
    <w:rsid w:val="00172A19"/>
    <w:rsid w:val="00172DDF"/>
    <w:rsid w:val="00172E04"/>
    <w:rsid w:val="001730CF"/>
    <w:rsid w:val="00173565"/>
    <w:rsid w:val="00173B07"/>
    <w:rsid w:val="00173D92"/>
    <w:rsid w:val="00173E8F"/>
    <w:rsid w:val="00174EC4"/>
    <w:rsid w:val="001752D9"/>
    <w:rsid w:val="0017648A"/>
    <w:rsid w:val="0017670F"/>
    <w:rsid w:val="00176DF2"/>
    <w:rsid w:val="00177AF9"/>
    <w:rsid w:val="0018016C"/>
    <w:rsid w:val="00180750"/>
    <w:rsid w:val="00180B6C"/>
    <w:rsid w:val="001813F0"/>
    <w:rsid w:val="0018148C"/>
    <w:rsid w:val="00181C25"/>
    <w:rsid w:val="00181D3E"/>
    <w:rsid w:val="00181D9C"/>
    <w:rsid w:val="0018201A"/>
    <w:rsid w:val="00182249"/>
    <w:rsid w:val="001822E7"/>
    <w:rsid w:val="00182957"/>
    <w:rsid w:val="00182991"/>
    <w:rsid w:val="001829F0"/>
    <w:rsid w:val="00182E6F"/>
    <w:rsid w:val="001831D3"/>
    <w:rsid w:val="001832F6"/>
    <w:rsid w:val="00184836"/>
    <w:rsid w:val="001849B7"/>
    <w:rsid w:val="00184C0B"/>
    <w:rsid w:val="00184C7B"/>
    <w:rsid w:val="00184D2B"/>
    <w:rsid w:val="00185821"/>
    <w:rsid w:val="00185BE9"/>
    <w:rsid w:val="0018607B"/>
    <w:rsid w:val="00186138"/>
    <w:rsid w:val="001861AC"/>
    <w:rsid w:val="001868DF"/>
    <w:rsid w:val="00187245"/>
    <w:rsid w:val="0018752F"/>
    <w:rsid w:val="001875E3"/>
    <w:rsid w:val="00187735"/>
    <w:rsid w:val="00187808"/>
    <w:rsid w:val="00187C98"/>
    <w:rsid w:val="00190176"/>
    <w:rsid w:val="0019085D"/>
    <w:rsid w:val="00190FD6"/>
    <w:rsid w:val="001911F4"/>
    <w:rsid w:val="00191365"/>
    <w:rsid w:val="001918CC"/>
    <w:rsid w:val="001928DF"/>
    <w:rsid w:val="00192D1E"/>
    <w:rsid w:val="001932E6"/>
    <w:rsid w:val="0019335D"/>
    <w:rsid w:val="0019387F"/>
    <w:rsid w:val="0019438D"/>
    <w:rsid w:val="001949D9"/>
    <w:rsid w:val="00194B14"/>
    <w:rsid w:val="00194E6D"/>
    <w:rsid w:val="00195222"/>
    <w:rsid w:val="0019545D"/>
    <w:rsid w:val="00195AD0"/>
    <w:rsid w:val="00195C5B"/>
    <w:rsid w:val="001963FF"/>
    <w:rsid w:val="0019682A"/>
    <w:rsid w:val="00196A58"/>
    <w:rsid w:val="00196D2C"/>
    <w:rsid w:val="00196E4A"/>
    <w:rsid w:val="00197387"/>
    <w:rsid w:val="001975D8"/>
    <w:rsid w:val="00197C50"/>
    <w:rsid w:val="00197F7B"/>
    <w:rsid w:val="001A00E4"/>
    <w:rsid w:val="001A03C2"/>
    <w:rsid w:val="001A0914"/>
    <w:rsid w:val="001A0F4E"/>
    <w:rsid w:val="001A114A"/>
    <w:rsid w:val="001A11B9"/>
    <w:rsid w:val="001A1307"/>
    <w:rsid w:val="001A169D"/>
    <w:rsid w:val="001A19E2"/>
    <w:rsid w:val="001A227F"/>
    <w:rsid w:val="001A24FD"/>
    <w:rsid w:val="001A2AB5"/>
    <w:rsid w:val="001A320F"/>
    <w:rsid w:val="001A419C"/>
    <w:rsid w:val="001A4354"/>
    <w:rsid w:val="001A43FA"/>
    <w:rsid w:val="001A46C6"/>
    <w:rsid w:val="001A51AE"/>
    <w:rsid w:val="001A51D4"/>
    <w:rsid w:val="001A58F2"/>
    <w:rsid w:val="001A59FB"/>
    <w:rsid w:val="001A6174"/>
    <w:rsid w:val="001A6255"/>
    <w:rsid w:val="001A6354"/>
    <w:rsid w:val="001A65D1"/>
    <w:rsid w:val="001A65E1"/>
    <w:rsid w:val="001A681D"/>
    <w:rsid w:val="001A69A9"/>
    <w:rsid w:val="001A6BF2"/>
    <w:rsid w:val="001A6BF5"/>
    <w:rsid w:val="001A6CE3"/>
    <w:rsid w:val="001A6CE8"/>
    <w:rsid w:val="001A6D30"/>
    <w:rsid w:val="001A6E28"/>
    <w:rsid w:val="001A71A0"/>
    <w:rsid w:val="001A7AE8"/>
    <w:rsid w:val="001B04C9"/>
    <w:rsid w:val="001B04F9"/>
    <w:rsid w:val="001B08DF"/>
    <w:rsid w:val="001B094D"/>
    <w:rsid w:val="001B0F11"/>
    <w:rsid w:val="001B1591"/>
    <w:rsid w:val="001B183E"/>
    <w:rsid w:val="001B1E1D"/>
    <w:rsid w:val="001B204E"/>
    <w:rsid w:val="001B2289"/>
    <w:rsid w:val="001B2516"/>
    <w:rsid w:val="001B26CE"/>
    <w:rsid w:val="001B33AF"/>
    <w:rsid w:val="001B3443"/>
    <w:rsid w:val="001B34D0"/>
    <w:rsid w:val="001B3815"/>
    <w:rsid w:val="001B416D"/>
    <w:rsid w:val="001B416F"/>
    <w:rsid w:val="001B44E6"/>
    <w:rsid w:val="001B489C"/>
    <w:rsid w:val="001B49CB"/>
    <w:rsid w:val="001B4A99"/>
    <w:rsid w:val="001B4C5B"/>
    <w:rsid w:val="001B4D20"/>
    <w:rsid w:val="001B4F99"/>
    <w:rsid w:val="001B5375"/>
    <w:rsid w:val="001B5572"/>
    <w:rsid w:val="001B56F4"/>
    <w:rsid w:val="001B59FF"/>
    <w:rsid w:val="001B5CF8"/>
    <w:rsid w:val="001B65E2"/>
    <w:rsid w:val="001B6649"/>
    <w:rsid w:val="001B6C4A"/>
    <w:rsid w:val="001B7C9F"/>
    <w:rsid w:val="001B7CE6"/>
    <w:rsid w:val="001B7D23"/>
    <w:rsid w:val="001C0954"/>
    <w:rsid w:val="001C0A47"/>
    <w:rsid w:val="001C0CBF"/>
    <w:rsid w:val="001C0D71"/>
    <w:rsid w:val="001C0F55"/>
    <w:rsid w:val="001C1487"/>
    <w:rsid w:val="001C1F2B"/>
    <w:rsid w:val="001C253C"/>
    <w:rsid w:val="001C278E"/>
    <w:rsid w:val="001C2A82"/>
    <w:rsid w:val="001C2A9B"/>
    <w:rsid w:val="001C3246"/>
    <w:rsid w:val="001C33F2"/>
    <w:rsid w:val="001C4069"/>
    <w:rsid w:val="001C4299"/>
    <w:rsid w:val="001C471E"/>
    <w:rsid w:val="001C4B8A"/>
    <w:rsid w:val="001C5210"/>
    <w:rsid w:val="001C5638"/>
    <w:rsid w:val="001C57CF"/>
    <w:rsid w:val="001C5897"/>
    <w:rsid w:val="001C5AB1"/>
    <w:rsid w:val="001C5F94"/>
    <w:rsid w:val="001C6073"/>
    <w:rsid w:val="001C6CE3"/>
    <w:rsid w:val="001C6E66"/>
    <w:rsid w:val="001C70E2"/>
    <w:rsid w:val="001C75A4"/>
    <w:rsid w:val="001D01A8"/>
    <w:rsid w:val="001D09E6"/>
    <w:rsid w:val="001D1264"/>
    <w:rsid w:val="001D1490"/>
    <w:rsid w:val="001D15E6"/>
    <w:rsid w:val="001D17D8"/>
    <w:rsid w:val="001D1A61"/>
    <w:rsid w:val="001D2828"/>
    <w:rsid w:val="001D2C12"/>
    <w:rsid w:val="001D2DB1"/>
    <w:rsid w:val="001D3976"/>
    <w:rsid w:val="001D42ED"/>
    <w:rsid w:val="001D4927"/>
    <w:rsid w:val="001D49F7"/>
    <w:rsid w:val="001D5644"/>
    <w:rsid w:val="001D57D6"/>
    <w:rsid w:val="001D5A6D"/>
    <w:rsid w:val="001D5BB8"/>
    <w:rsid w:val="001D5E43"/>
    <w:rsid w:val="001D5F89"/>
    <w:rsid w:val="001D5FD1"/>
    <w:rsid w:val="001D6BD5"/>
    <w:rsid w:val="001D6C4F"/>
    <w:rsid w:val="001D725A"/>
    <w:rsid w:val="001D7355"/>
    <w:rsid w:val="001D7781"/>
    <w:rsid w:val="001D7CDF"/>
    <w:rsid w:val="001E0107"/>
    <w:rsid w:val="001E027D"/>
    <w:rsid w:val="001E1471"/>
    <w:rsid w:val="001E1FC1"/>
    <w:rsid w:val="001E21C2"/>
    <w:rsid w:val="001E238E"/>
    <w:rsid w:val="001E2483"/>
    <w:rsid w:val="001E2A66"/>
    <w:rsid w:val="001E2B1E"/>
    <w:rsid w:val="001E2C4E"/>
    <w:rsid w:val="001E30D4"/>
    <w:rsid w:val="001E353B"/>
    <w:rsid w:val="001E37AA"/>
    <w:rsid w:val="001E3A21"/>
    <w:rsid w:val="001E3B7C"/>
    <w:rsid w:val="001E42D7"/>
    <w:rsid w:val="001E4313"/>
    <w:rsid w:val="001E460F"/>
    <w:rsid w:val="001E5102"/>
    <w:rsid w:val="001E52EB"/>
    <w:rsid w:val="001E5504"/>
    <w:rsid w:val="001E5D2D"/>
    <w:rsid w:val="001E5E7F"/>
    <w:rsid w:val="001E61D2"/>
    <w:rsid w:val="001E61DE"/>
    <w:rsid w:val="001E697D"/>
    <w:rsid w:val="001E6B89"/>
    <w:rsid w:val="001E6B90"/>
    <w:rsid w:val="001E6BB5"/>
    <w:rsid w:val="001E6D0E"/>
    <w:rsid w:val="001E6FAC"/>
    <w:rsid w:val="001E7132"/>
    <w:rsid w:val="001E740C"/>
    <w:rsid w:val="001F1235"/>
    <w:rsid w:val="001F1304"/>
    <w:rsid w:val="001F1342"/>
    <w:rsid w:val="001F163A"/>
    <w:rsid w:val="001F17A8"/>
    <w:rsid w:val="001F1BE9"/>
    <w:rsid w:val="001F1CB3"/>
    <w:rsid w:val="001F26CF"/>
    <w:rsid w:val="001F2A74"/>
    <w:rsid w:val="001F2FD9"/>
    <w:rsid w:val="001F38B5"/>
    <w:rsid w:val="001F3E31"/>
    <w:rsid w:val="001F41D3"/>
    <w:rsid w:val="001F45FC"/>
    <w:rsid w:val="001F4999"/>
    <w:rsid w:val="001F4CFB"/>
    <w:rsid w:val="001F4D8C"/>
    <w:rsid w:val="001F4F2E"/>
    <w:rsid w:val="001F5197"/>
    <w:rsid w:val="001F5375"/>
    <w:rsid w:val="001F5671"/>
    <w:rsid w:val="001F5CB7"/>
    <w:rsid w:val="001F5CC6"/>
    <w:rsid w:val="001F679A"/>
    <w:rsid w:val="001F6C62"/>
    <w:rsid w:val="001F6F67"/>
    <w:rsid w:val="001F7133"/>
    <w:rsid w:val="001F7361"/>
    <w:rsid w:val="001F7CB7"/>
    <w:rsid w:val="001F7D5E"/>
    <w:rsid w:val="002008DF"/>
    <w:rsid w:val="002009DE"/>
    <w:rsid w:val="002009E0"/>
    <w:rsid w:val="00200B3D"/>
    <w:rsid w:val="00200F68"/>
    <w:rsid w:val="002011B0"/>
    <w:rsid w:val="00201244"/>
    <w:rsid w:val="00201D5C"/>
    <w:rsid w:val="002023F1"/>
    <w:rsid w:val="00202416"/>
    <w:rsid w:val="0020271E"/>
    <w:rsid w:val="00203181"/>
    <w:rsid w:val="002033F8"/>
    <w:rsid w:val="002034D2"/>
    <w:rsid w:val="00203783"/>
    <w:rsid w:val="0020385F"/>
    <w:rsid w:val="00203A4E"/>
    <w:rsid w:val="00203C91"/>
    <w:rsid w:val="002046B0"/>
    <w:rsid w:val="0020504E"/>
    <w:rsid w:val="00205A2F"/>
    <w:rsid w:val="002064C1"/>
    <w:rsid w:val="00206623"/>
    <w:rsid w:val="00206FE1"/>
    <w:rsid w:val="00207021"/>
    <w:rsid w:val="0020732F"/>
    <w:rsid w:val="00207349"/>
    <w:rsid w:val="00207731"/>
    <w:rsid w:val="00207B10"/>
    <w:rsid w:val="00207D00"/>
    <w:rsid w:val="00210173"/>
    <w:rsid w:val="00210545"/>
    <w:rsid w:val="002105C1"/>
    <w:rsid w:val="00210AC8"/>
    <w:rsid w:val="00211764"/>
    <w:rsid w:val="00211C96"/>
    <w:rsid w:val="00211F3F"/>
    <w:rsid w:val="0021245D"/>
    <w:rsid w:val="002124BB"/>
    <w:rsid w:val="0021257A"/>
    <w:rsid w:val="0021273C"/>
    <w:rsid w:val="00212DE0"/>
    <w:rsid w:val="002133C7"/>
    <w:rsid w:val="00213489"/>
    <w:rsid w:val="00213A77"/>
    <w:rsid w:val="00213A95"/>
    <w:rsid w:val="00213C4B"/>
    <w:rsid w:val="00213C5E"/>
    <w:rsid w:val="00213D02"/>
    <w:rsid w:val="00213D63"/>
    <w:rsid w:val="00213DB3"/>
    <w:rsid w:val="00214598"/>
    <w:rsid w:val="00214784"/>
    <w:rsid w:val="0021493D"/>
    <w:rsid w:val="00214BF6"/>
    <w:rsid w:val="00214D79"/>
    <w:rsid w:val="002152D9"/>
    <w:rsid w:val="00215735"/>
    <w:rsid w:val="00215BB5"/>
    <w:rsid w:val="0021617C"/>
    <w:rsid w:val="00216FAF"/>
    <w:rsid w:val="002172BE"/>
    <w:rsid w:val="002200E9"/>
    <w:rsid w:val="00220741"/>
    <w:rsid w:val="0022079E"/>
    <w:rsid w:val="00220C86"/>
    <w:rsid w:val="002212CB"/>
    <w:rsid w:val="002216A7"/>
    <w:rsid w:val="0022190D"/>
    <w:rsid w:val="00221B63"/>
    <w:rsid w:val="00221D03"/>
    <w:rsid w:val="00221E09"/>
    <w:rsid w:val="002220CD"/>
    <w:rsid w:val="002223BA"/>
    <w:rsid w:val="00222A17"/>
    <w:rsid w:val="00222BBC"/>
    <w:rsid w:val="002233B3"/>
    <w:rsid w:val="00223B49"/>
    <w:rsid w:val="00224151"/>
    <w:rsid w:val="00224606"/>
    <w:rsid w:val="002249E2"/>
    <w:rsid w:val="00224DD4"/>
    <w:rsid w:val="00224F56"/>
    <w:rsid w:val="00224F73"/>
    <w:rsid w:val="00225931"/>
    <w:rsid w:val="0022599C"/>
    <w:rsid w:val="00225B9D"/>
    <w:rsid w:val="00225C58"/>
    <w:rsid w:val="00225EB5"/>
    <w:rsid w:val="00225F22"/>
    <w:rsid w:val="002266E0"/>
    <w:rsid w:val="00227B52"/>
    <w:rsid w:val="002300B5"/>
    <w:rsid w:val="00230226"/>
    <w:rsid w:val="002308D4"/>
    <w:rsid w:val="002309CC"/>
    <w:rsid w:val="00231350"/>
    <w:rsid w:val="00231A4F"/>
    <w:rsid w:val="00231F9B"/>
    <w:rsid w:val="0023209F"/>
    <w:rsid w:val="002329DD"/>
    <w:rsid w:val="00232AE5"/>
    <w:rsid w:val="00232B7A"/>
    <w:rsid w:val="0023344A"/>
    <w:rsid w:val="002334DF"/>
    <w:rsid w:val="002337D8"/>
    <w:rsid w:val="00233855"/>
    <w:rsid w:val="0023446A"/>
    <w:rsid w:val="00234722"/>
    <w:rsid w:val="00234A01"/>
    <w:rsid w:val="00234B60"/>
    <w:rsid w:val="00234D24"/>
    <w:rsid w:val="00234EF0"/>
    <w:rsid w:val="002351AB"/>
    <w:rsid w:val="00235752"/>
    <w:rsid w:val="00235780"/>
    <w:rsid w:val="00235BE8"/>
    <w:rsid w:val="00236144"/>
    <w:rsid w:val="0023629D"/>
    <w:rsid w:val="002362DE"/>
    <w:rsid w:val="00236397"/>
    <w:rsid w:val="00236AFC"/>
    <w:rsid w:val="00236BD6"/>
    <w:rsid w:val="00236F6F"/>
    <w:rsid w:val="00236F95"/>
    <w:rsid w:val="00237255"/>
    <w:rsid w:val="002372A2"/>
    <w:rsid w:val="002373F6"/>
    <w:rsid w:val="00237462"/>
    <w:rsid w:val="00237879"/>
    <w:rsid w:val="00237B54"/>
    <w:rsid w:val="00240184"/>
    <w:rsid w:val="00240287"/>
    <w:rsid w:val="00240442"/>
    <w:rsid w:val="00240991"/>
    <w:rsid w:val="002414EF"/>
    <w:rsid w:val="00241D7F"/>
    <w:rsid w:val="00241F4D"/>
    <w:rsid w:val="002422B0"/>
    <w:rsid w:val="002424AF"/>
    <w:rsid w:val="00242655"/>
    <w:rsid w:val="002426C7"/>
    <w:rsid w:val="00242AF3"/>
    <w:rsid w:val="00242E97"/>
    <w:rsid w:val="00242ECA"/>
    <w:rsid w:val="0024337A"/>
    <w:rsid w:val="002439DC"/>
    <w:rsid w:val="00243BD2"/>
    <w:rsid w:val="00243EAA"/>
    <w:rsid w:val="00244418"/>
    <w:rsid w:val="0024498E"/>
    <w:rsid w:val="00244B39"/>
    <w:rsid w:val="00244DC8"/>
    <w:rsid w:val="002451AB"/>
    <w:rsid w:val="002458BA"/>
    <w:rsid w:val="00245AC4"/>
    <w:rsid w:val="002461E8"/>
    <w:rsid w:val="0024636C"/>
    <w:rsid w:val="00246B8A"/>
    <w:rsid w:val="00246C12"/>
    <w:rsid w:val="00246C2F"/>
    <w:rsid w:val="00246C75"/>
    <w:rsid w:val="00247925"/>
    <w:rsid w:val="00247AD2"/>
    <w:rsid w:val="00247BFD"/>
    <w:rsid w:val="002503AF"/>
    <w:rsid w:val="00250620"/>
    <w:rsid w:val="002508D3"/>
    <w:rsid w:val="00250C54"/>
    <w:rsid w:val="00250D3E"/>
    <w:rsid w:val="002512BD"/>
    <w:rsid w:val="002516DC"/>
    <w:rsid w:val="0025186A"/>
    <w:rsid w:val="0025198A"/>
    <w:rsid w:val="00251B7A"/>
    <w:rsid w:val="00252022"/>
    <w:rsid w:val="0025227E"/>
    <w:rsid w:val="002527B5"/>
    <w:rsid w:val="00253287"/>
    <w:rsid w:val="002534D3"/>
    <w:rsid w:val="002535D0"/>
    <w:rsid w:val="00254567"/>
    <w:rsid w:val="002549D2"/>
    <w:rsid w:val="00254AA5"/>
    <w:rsid w:val="00254B3C"/>
    <w:rsid w:val="00254DCF"/>
    <w:rsid w:val="00254F82"/>
    <w:rsid w:val="0025534B"/>
    <w:rsid w:val="00255756"/>
    <w:rsid w:val="002557DE"/>
    <w:rsid w:val="002558AC"/>
    <w:rsid w:val="00255BB7"/>
    <w:rsid w:val="00255C70"/>
    <w:rsid w:val="00255D35"/>
    <w:rsid w:val="00255D77"/>
    <w:rsid w:val="00256047"/>
    <w:rsid w:val="00256891"/>
    <w:rsid w:val="00256987"/>
    <w:rsid w:val="002569DD"/>
    <w:rsid w:val="00256F3D"/>
    <w:rsid w:val="00257541"/>
    <w:rsid w:val="00257901"/>
    <w:rsid w:val="0025796F"/>
    <w:rsid w:val="00257B63"/>
    <w:rsid w:val="00257E13"/>
    <w:rsid w:val="00257E35"/>
    <w:rsid w:val="0026082E"/>
    <w:rsid w:val="00260B6E"/>
    <w:rsid w:val="0026144F"/>
    <w:rsid w:val="00261658"/>
    <w:rsid w:val="00261AEF"/>
    <w:rsid w:val="0026249D"/>
    <w:rsid w:val="00262553"/>
    <w:rsid w:val="002625F7"/>
    <w:rsid w:val="0026269E"/>
    <w:rsid w:val="0026271D"/>
    <w:rsid w:val="00262A1A"/>
    <w:rsid w:val="00262A87"/>
    <w:rsid w:val="00262B40"/>
    <w:rsid w:val="00262C5F"/>
    <w:rsid w:val="00262FAC"/>
    <w:rsid w:val="002637B5"/>
    <w:rsid w:val="00263B22"/>
    <w:rsid w:val="00263EEC"/>
    <w:rsid w:val="002640ED"/>
    <w:rsid w:val="002645FA"/>
    <w:rsid w:val="00264C4D"/>
    <w:rsid w:val="00264D26"/>
    <w:rsid w:val="002653D1"/>
    <w:rsid w:val="00265C20"/>
    <w:rsid w:val="00265F58"/>
    <w:rsid w:val="002662EE"/>
    <w:rsid w:val="00266442"/>
    <w:rsid w:val="00267642"/>
    <w:rsid w:val="00267796"/>
    <w:rsid w:val="00267875"/>
    <w:rsid w:val="00267985"/>
    <w:rsid w:val="00267AEA"/>
    <w:rsid w:val="00267C94"/>
    <w:rsid w:val="002700E6"/>
    <w:rsid w:val="002703C3"/>
    <w:rsid w:val="002707C0"/>
    <w:rsid w:val="00270C54"/>
    <w:rsid w:val="00270C97"/>
    <w:rsid w:val="002711DD"/>
    <w:rsid w:val="00271906"/>
    <w:rsid w:val="002726AC"/>
    <w:rsid w:val="002726BC"/>
    <w:rsid w:val="0027294B"/>
    <w:rsid w:val="00272B70"/>
    <w:rsid w:val="00272D11"/>
    <w:rsid w:val="0027321D"/>
    <w:rsid w:val="00273F45"/>
    <w:rsid w:val="0027432C"/>
    <w:rsid w:val="0027463F"/>
    <w:rsid w:val="002746FA"/>
    <w:rsid w:val="002752A0"/>
    <w:rsid w:val="0027533B"/>
    <w:rsid w:val="002753AA"/>
    <w:rsid w:val="00275B2C"/>
    <w:rsid w:val="00275BB0"/>
    <w:rsid w:val="00275C5A"/>
    <w:rsid w:val="0027684A"/>
    <w:rsid w:val="00276A86"/>
    <w:rsid w:val="00276AB8"/>
    <w:rsid w:val="00276D14"/>
    <w:rsid w:val="00276FB3"/>
    <w:rsid w:val="00277C21"/>
    <w:rsid w:val="00277D60"/>
    <w:rsid w:val="00277E04"/>
    <w:rsid w:val="002800CB"/>
    <w:rsid w:val="0028080A"/>
    <w:rsid w:val="00280F82"/>
    <w:rsid w:val="00281014"/>
    <w:rsid w:val="0028166A"/>
    <w:rsid w:val="002816AA"/>
    <w:rsid w:val="002816F9"/>
    <w:rsid w:val="00281EA3"/>
    <w:rsid w:val="00282026"/>
    <w:rsid w:val="0028212F"/>
    <w:rsid w:val="00282A9F"/>
    <w:rsid w:val="00283A0A"/>
    <w:rsid w:val="00283BF4"/>
    <w:rsid w:val="00283C2E"/>
    <w:rsid w:val="00284502"/>
    <w:rsid w:val="002845E5"/>
    <w:rsid w:val="00284699"/>
    <w:rsid w:val="00284DB3"/>
    <w:rsid w:val="00285255"/>
    <w:rsid w:val="0028562F"/>
    <w:rsid w:val="00285B61"/>
    <w:rsid w:val="002861E7"/>
    <w:rsid w:val="00286569"/>
    <w:rsid w:val="00286EFB"/>
    <w:rsid w:val="00287390"/>
    <w:rsid w:val="00287F0A"/>
    <w:rsid w:val="00290FDB"/>
    <w:rsid w:val="00291365"/>
    <w:rsid w:val="00291E44"/>
    <w:rsid w:val="00291F84"/>
    <w:rsid w:val="00291FD3"/>
    <w:rsid w:val="00292251"/>
    <w:rsid w:val="0029232F"/>
    <w:rsid w:val="00292912"/>
    <w:rsid w:val="00292C2C"/>
    <w:rsid w:val="0029399D"/>
    <w:rsid w:val="00293AB2"/>
    <w:rsid w:val="00293D81"/>
    <w:rsid w:val="00293E0A"/>
    <w:rsid w:val="0029419B"/>
    <w:rsid w:val="0029423B"/>
    <w:rsid w:val="0029428D"/>
    <w:rsid w:val="002953C8"/>
    <w:rsid w:val="00295A9F"/>
    <w:rsid w:val="0029613D"/>
    <w:rsid w:val="002961B2"/>
    <w:rsid w:val="00296242"/>
    <w:rsid w:val="00296AD0"/>
    <w:rsid w:val="00296CDA"/>
    <w:rsid w:val="00296F6C"/>
    <w:rsid w:val="002A0395"/>
    <w:rsid w:val="002A058F"/>
    <w:rsid w:val="002A086B"/>
    <w:rsid w:val="002A0E91"/>
    <w:rsid w:val="002A149E"/>
    <w:rsid w:val="002A14AB"/>
    <w:rsid w:val="002A179A"/>
    <w:rsid w:val="002A2E28"/>
    <w:rsid w:val="002A2F50"/>
    <w:rsid w:val="002A33BC"/>
    <w:rsid w:val="002A3764"/>
    <w:rsid w:val="002A3C63"/>
    <w:rsid w:val="002A4048"/>
    <w:rsid w:val="002A404E"/>
    <w:rsid w:val="002A47EF"/>
    <w:rsid w:val="002A49D1"/>
    <w:rsid w:val="002A4C0B"/>
    <w:rsid w:val="002A4E0E"/>
    <w:rsid w:val="002A4E29"/>
    <w:rsid w:val="002A52AA"/>
    <w:rsid w:val="002A5C56"/>
    <w:rsid w:val="002A6E12"/>
    <w:rsid w:val="002A7841"/>
    <w:rsid w:val="002A79AE"/>
    <w:rsid w:val="002A7C32"/>
    <w:rsid w:val="002B055E"/>
    <w:rsid w:val="002B0857"/>
    <w:rsid w:val="002B09A2"/>
    <w:rsid w:val="002B09A4"/>
    <w:rsid w:val="002B0C87"/>
    <w:rsid w:val="002B1082"/>
    <w:rsid w:val="002B1248"/>
    <w:rsid w:val="002B12D1"/>
    <w:rsid w:val="002B1403"/>
    <w:rsid w:val="002B166D"/>
    <w:rsid w:val="002B1AF3"/>
    <w:rsid w:val="002B1C1F"/>
    <w:rsid w:val="002B1CDA"/>
    <w:rsid w:val="002B1ED7"/>
    <w:rsid w:val="002B214D"/>
    <w:rsid w:val="002B28B7"/>
    <w:rsid w:val="002B2C0E"/>
    <w:rsid w:val="002B2C85"/>
    <w:rsid w:val="002B2FC8"/>
    <w:rsid w:val="002B33D6"/>
    <w:rsid w:val="002B3B2F"/>
    <w:rsid w:val="002B432F"/>
    <w:rsid w:val="002B467A"/>
    <w:rsid w:val="002B4DEC"/>
    <w:rsid w:val="002B53BB"/>
    <w:rsid w:val="002B57D7"/>
    <w:rsid w:val="002B62B3"/>
    <w:rsid w:val="002B6754"/>
    <w:rsid w:val="002B6AAD"/>
    <w:rsid w:val="002B6C3D"/>
    <w:rsid w:val="002B6CCE"/>
    <w:rsid w:val="002B743F"/>
    <w:rsid w:val="002B76C0"/>
    <w:rsid w:val="002B78D2"/>
    <w:rsid w:val="002B7993"/>
    <w:rsid w:val="002B79EE"/>
    <w:rsid w:val="002B7AFC"/>
    <w:rsid w:val="002B7EBB"/>
    <w:rsid w:val="002C0142"/>
    <w:rsid w:val="002C06F0"/>
    <w:rsid w:val="002C0747"/>
    <w:rsid w:val="002C0BAA"/>
    <w:rsid w:val="002C1758"/>
    <w:rsid w:val="002C1933"/>
    <w:rsid w:val="002C1C96"/>
    <w:rsid w:val="002C1E60"/>
    <w:rsid w:val="002C2510"/>
    <w:rsid w:val="002C2775"/>
    <w:rsid w:val="002C27C1"/>
    <w:rsid w:val="002C320A"/>
    <w:rsid w:val="002C3574"/>
    <w:rsid w:val="002C3BAF"/>
    <w:rsid w:val="002C3BFD"/>
    <w:rsid w:val="002C3F3D"/>
    <w:rsid w:val="002C48C7"/>
    <w:rsid w:val="002C507B"/>
    <w:rsid w:val="002C5099"/>
    <w:rsid w:val="002C570E"/>
    <w:rsid w:val="002C583E"/>
    <w:rsid w:val="002C585B"/>
    <w:rsid w:val="002C5889"/>
    <w:rsid w:val="002C5F2E"/>
    <w:rsid w:val="002C6259"/>
    <w:rsid w:val="002C62BD"/>
    <w:rsid w:val="002C6C19"/>
    <w:rsid w:val="002C713B"/>
    <w:rsid w:val="002C71CE"/>
    <w:rsid w:val="002C75EF"/>
    <w:rsid w:val="002C77A0"/>
    <w:rsid w:val="002C78D1"/>
    <w:rsid w:val="002D0503"/>
    <w:rsid w:val="002D0A6F"/>
    <w:rsid w:val="002D0B5D"/>
    <w:rsid w:val="002D1356"/>
    <w:rsid w:val="002D1632"/>
    <w:rsid w:val="002D163C"/>
    <w:rsid w:val="002D1AA4"/>
    <w:rsid w:val="002D1CDE"/>
    <w:rsid w:val="002D1DE6"/>
    <w:rsid w:val="002D2201"/>
    <w:rsid w:val="002D29D1"/>
    <w:rsid w:val="002D3173"/>
    <w:rsid w:val="002D31C2"/>
    <w:rsid w:val="002D37F1"/>
    <w:rsid w:val="002D3CAC"/>
    <w:rsid w:val="002D4296"/>
    <w:rsid w:val="002D4AD1"/>
    <w:rsid w:val="002D4BDD"/>
    <w:rsid w:val="002D515D"/>
    <w:rsid w:val="002D5190"/>
    <w:rsid w:val="002D51CD"/>
    <w:rsid w:val="002D51EA"/>
    <w:rsid w:val="002D577C"/>
    <w:rsid w:val="002D59BA"/>
    <w:rsid w:val="002D5A0C"/>
    <w:rsid w:val="002D5DEB"/>
    <w:rsid w:val="002D6465"/>
    <w:rsid w:val="002D675B"/>
    <w:rsid w:val="002D7243"/>
    <w:rsid w:val="002D7568"/>
    <w:rsid w:val="002D7A93"/>
    <w:rsid w:val="002D7BB7"/>
    <w:rsid w:val="002E0329"/>
    <w:rsid w:val="002E054F"/>
    <w:rsid w:val="002E0B64"/>
    <w:rsid w:val="002E15B9"/>
    <w:rsid w:val="002E1C86"/>
    <w:rsid w:val="002E1D8D"/>
    <w:rsid w:val="002E1DD1"/>
    <w:rsid w:val="002E2158"/>
    <w:rsid w:val="002E21FC"/>
    <w:rsid w:val="002E267B"/>
    <w:rsid w:val="002E2687"/>
    <w:rsid w:val="002E26C9"/>
    <w:rsid w:val="002E2B06"/>
    <w:rsid w:val="002E2C55"/>
    <w:rsid w:val="002E34DE"/>
    <w:rsid w:val="002E3852"/>
    <w:rsid w:val="002E3904"/>
    <w:rsid w:val="002E3B64"/>
    <w:rsid w:val="002E3B78"/>
    <w:rsid w:val="002E4694"/>
    <w:rsid w:val="002E4BE6"/>
    <w:rsid w:val="002E5414"/>
    <w:rsid w:val="002E5539"/>
    <w:rsid w:val="002E5B30"/>
    <w:rsid w:val="002E5D5F"/>
    <w:rsid w:val="002E7110"/>
    <w:rsid w:val="002E7722"/>
    <w:rsid w:val="002E77D3"/>
    <w:rsid w:val="002E7857"/>
    <w:rsid w:val="002E7B9E"/>
    <w:rsid w:val="002F02B8"/>
    <w:rsid w:val="002F04D5"/>
    <w:rsid w:val="002F07BA"/>
    <w:rsid w:val="002F0837"/>
    <w:rsid w:val="002F0B89"/>
    <w:rsid w:val="002F0D24"/>
    <w:rsid w:val="002F0DA9"/>
    <w:rsid w:val="002F1049"/>
    <w:rsid w:val="002F1100"/>
    <w:rsid w:val="002F118A"/>
    <w:rsid w:val="002F1363"/>
    <w:rsid w:val="002F1447"/>
    <w:rsid w:val="002F1853"/>
    <w:rsid w:val="002F196F"/>
    <w:rsid w:val="002F1B5F"/>
    <w:rsid w:val="002F1D9E"/>
    <w:rsid w:val="002F2528"/>
    <w:rsid w:val="002F29BD"/>
    <w:rsid w:val="002F29D7"/>
    <w:rsid w:val="002F3292"/>
    <w:rsid w:val="002F37E2"/>
    <w:rsid w:val="002F4470"/>
    <w:rsid w:val="002F4B89"/>
    <w:rsid w:val="002F4E60"/>
    <w:rsid w:val="002F4EFF"/>
    <w:rsid w:val="002F5B20"/>
    <w:rsid w:val="002F5C8C"/>
    <w:rsid w:val="002F5ED5"/>
    <w:rsid w:val="002F6294"/>
    <w:rsid w:val="002F632D"/>
    <w:rsid w:val="002F643C"/>
    <w:rsid w:val="002F6465"/>
    <w:rsid w:val="002F6827"/>
    <w:rsid w:val="002F68FE"/>
    <w:rsid w:val="002F6987"/>
    <w:rsid w:val="002F70AF"/>
    <w:rsid w:val="002F71C0"/>
    <w:rsid w:val="002F756E"/>
    <w:rsid w:val="002F7D2B"/>
    <w:rsid w:val="002F7F38"/>
    <w:rsid w:val="00300762"/>
    <w:rsid w:val="00300A42"/>
    <w:rsid w:val="00300A47"/>
    <w:rsid w:val="00300A80"/>
    <w:rsid w:val="00300EBC"/>
    <w:rsid w:val="00301017"/>
    <w:rsid w:val="0030101C"/>
    <w:rsid w:val="0030155F"/>
    <w:rsid w:val="00301694"/>
    <w:rsid w:val="003018B0"/>
    <w:rsid w:val="00301906"/>
    <w:rsid w:val="00301AE3"/>
    <w:rsid w:val="00301BBC"/>
    <w:rsid w:val="003025E8"/>
    <w:rsid w:val="00302C6A"/>
    <w:rsid w:val="00303192"/>
    <w:rsid w:val="003033C5"/>
    <w:rsid w:val="003038F3"/>
    <w:rsid w:val="00304193"/>
    <w:rsid w:val="003047BC"/>
    <w:rsid w:val="00304990"/>
    <w:rsid w:val="00304D13"/>
    <w:rsid w:val="0030587B"/>
    <w:rsid w:val="0030589C"/>
    <w:rsid w:val="00306205"/>
    <w:rsid w:val="00306700"/>
    <w:rsid w:val="00306CAD"/>
    <w:rsid w:val="00306D98"/>
    <w:rsid w:val="00306E48"/>
    <w:rsid w:val="0030733F"/>
    <w:rsid w:val="0030781B"/>
    <w:rsid w:val="0030786C"/>
    <w:rsid w:val="003079B7"/>
    <w:rsid w:val="0031031A"/>
    <w:rsid w:val="00310362"/>
    <w:rsid w:val="003104F3"/>
    <w:rsid w:val="00310642"/>
    <w:rsid w:val="00310752"/>
    <w:rsid w:val="00310981"/>
    <w:rsid w:val="00310DDC"/>
    <w:rsid w:val="00310E20"/>
    <w:rsid w:val="0031190B"/>
    <w:rsid w:val="00311AA0"/>
    <w:rsid w:val="00311AA4"/>
    <w:rsid w:val="00311C6F"/>
    <w:rsid w:val="00311DFA"/>
    <w:rsid w:val="00312960"/>
    <w:rsid w:val="00312F93"/>
    <w:rsid w:val="00313617"/>
    <w:rsid w:val="003141BA"/>
    <w:rsid w:val="003145AF"/>
    <w:rsid w:val="00314AA6"/>
    <w:rsid w:val="00314ED2"/>
    <w:rsid w:val="00315029"/>
    <w:rsid w:val="00315498"/>
    <w:rsid w:val="003157E1"/>
    <w:rsid w:val="00315A0B"/>
    <w:rsid w:val="0031625C"/>
    <w:rsid w:val="003164C0"/>
    <w:rsid w:val="003165AA"/>
    <w:rsid w:val="00316611"/>
    <w:rsid w:val="0031664C"/>
    <w:rsid w:val="00316752"/>
    <w:rsid w:val="0031676E"/>
    <w:rsid w:val="003177BC"/>
    <w:rsid w:val="00317C5B"/>
    <w:rsid w:val="00317F1E"/>
    <w:rsid w:val="00320022"/>
    <w:rsid w:val="003202B6"/>
    <w:rsid w:val="00320BEA"/>
    <w:rsid w:val="00320FCB"/>
    <w:rsid w:val="00321269"/>
    <w:rsid w:val="003213A3"/>
    <w:rsid w:val="00321A9C"/>
    <w:rsid w:val="00322107"/>
    <w:rsid w:val="00322846"/>
    <w:rsid w:val="00322B00"/>
    <w:rsid w:val="00322D7C"/>
    <w:rsid w:val="00322DE0"/>
    <w:rsid w:val="003234A6"/>
    <w:rsid w:val="003244E3"/>
    <w:rsid w:val="00324557"/>
    <w:rsid w:val="0032485B"/>
    <w:rsid w:val="00324C44"/>
    <w:rsid w:val="00324FE1"/>
    <w:rsid w:val="00325359"/>
    <w:rsid w:val="00325560"/>
    <w:rsid w:val="003255C6"/>
    <w:rsid w:val="003259EA"/>
    <w:rsid w:val="00325C86"/>
    <w:rsid w:val="00325E33"/>
    <w:rsid w:val="0032621B"/>
    <w:rsid w:val="003264B6"/>
    <w:rsid w:val="00326DA7"/>
    <w:rsid w:val="003270E4"/>
    <w:rsid w:val="00330272"/>
    <w:rsid w:val="003302ED"/>
    <w:rsid w:val="003309F3"/>
    <w:rsid w:val="00330F5C"/>
    <w:rsid w:val="00331017"/>
    <w:rsid w:val="003317BA"/>
    <w:rsid w:val="003317DC"/>
    <w:rsid w:val="003318DA"/>
    <w:rsid w:val="00331AFC"/>
    <w:rsid w:val="00331BEF"/>
    <w:rsid w:val="0033223C"/>
    <w:rsid w:val="003329C5"/>
    <w:rsid w:val="0033308D"/>
    <w:rsid w:val="003340B2"/>
    <w:rsid w:val="0033451F"/>
    <w:rsid w:val="003345B3"/>
    <w:rsid w:val="00334B35"/>
    <w:rsid w:val="00334BD6"/>
    <w:rsid w:val="0033508D"/>
    <w:rsid w:val="00335174"/>
    <w:rsid w:val="0033519D"/>
    <w:rsid w:val="0033540A"/>
    <w:rsid w:val="003356D5"/>
    <w:rsid w:val="003361E9"/>
    <w:rsid w:val="00336272"/>
    <w:rsid w:val="003362BA"/>
    <w:rsid w:val="00336304"/>
    <w:rsid w:val="003363C6"/>
    <w:rsid w:val="0033643B"/>
    <w:rsid w:val="0033664F"/>
    <w:rsid w:val="003366C9"/>
    <w:rsid w:val="00336A91"/>
    <w:rsid w:val="003371B0"/>
    <w:rsid w:val="003372F4"/>
    <w:rsid w:val="003372F5"/>
    <w:rsid w:val="00337474"/>
    <w:rsid w:val="003375A8"/>
    <w:rsid w:val="00337619"/>
    <w:rsid w:val="0033762F"/>
    <w:rsid w:val="00337C47"/>
    <w:rsid w:val="00337E16"/>
    <w:rsid w:val="00337EB6"/>
    <w:rsid w:val="003403C5"/>
    <w:rsid w:val="0034059C"/>
    <w:rsid w:val="003407A3"/>
    <w:rsid w:val="00340B36"/>
    <w:rsid w:val="00340DF1"/>
    <w:rsid w:val="0034138D"/>
    <w:rsid w:val="0034154C"/>
    <w:rsid w:val="00341A0E"/>
    <w:rsid w:val="00341A53"/>
    <w:rsid w:val="00341B28"/>
    <w:rsid w:val="00341EE4"/>
    <w:rsid w:val="003422FC"/>
    <w:rsid w:val="00342680"/>
    <w:rsid w:val="003429DC"/>
    <w:rsid w:val="00342DF6"/>
    <w:rsid w:val="003432BC"/>
    <w:rsid w:val="0034338D"/>
    <w:rsid w:val="00343A2A"/>
    <w:rsid w:val="00343CA4"/>
    <w:rsid w:val="00343DF5"/>
    <w:rsid w:val="003443DB"/>
    <w:rsid w:val="003444BB"/>
    <w:rsid w:val="00344B1A"/>
    <w:rsid w:val="00344D29"/>
    <w:rsid w:val="00344ED6"/>
    <w:rsid w:val="00344FC6"/>
    <w:rsid w:val="00345C56"/>
    <w:rsid w:val="00345EB7"/>
    <w:rsid w:val="003462FB"/>
    <w:rsid w:val="00346663"/>
    <w:rsid w:val="003466B6"/>
    <w:rsid w:val="00346A5B"/>
    <w:rsid w:val="00346E07"/>
    <w:rsid w:val="003475CE"/>
    <w:rsid w:val="00350052"/>
    <w:rsid w:val="003502C6"/>
    <w:rsid w:val="003504E0"/>
    <w:rsid w:val="00350718"/>
    <w:rsid w:val="0035077E"/>
    <w:rsid w:val="00350B86"/>
    <w:rsid w:val="00351097"/>
    <w:rsid w:val="003517F9"/>
    <w:rsid w:val="003518B3"/>
    <w:rsid w:val="00351996"/>
    <w:rsid w:val="00351FCF"/>
    <w:rsid w:val="0035222D"/>
    <w:rsid w:val="003524F0"/>
    <w:rsid w:val="003527BE"/>
    <w:rsid w:val="00352801"/>
    <w:rsid w:val="003534E6"/>
    <w:rsid w:val="003536AB"/>
    <w:rsid w:val="003536AC"/>
    <w:rsid w:val="00353888"/>
    <w:rsid w:val="00353962"/>
    <w:rsid w:val="00353B5A"/>
    <w:rsid w:val="00353D81"/>
    <w:rsid w:val="003540AA"/>
    <w:rsid w:val="00354E00"/>
    <w:rsid w:val="003551E0"/>
    <w:rsid w:val="0035521A"/>
    <w:rsid w:val="00355D23"/>
    <w:rsid w:val="0035620E"/>
    <w:rsid w:val="0035644C"/>
    <w:rsid w:val="00356C14"/>
    <w:rsid w:val="00356DA7"/>
    <w:rsid w:val="00356DE6"/>
    <w:rsid w:val="0035709A"/>
    <w:rsid w:val="00357253"/>
    <w:rsid w:val="00357A5E"/>
    <w:rsid w:val="00360A35"/>
    <w:rsid w:val="00360A48"/>
    <w:rsid w:val="00361179"/>
    <w:rsid w:val="00361317"/>
    <w:rsid w:val="00361445"/>
    <w:rsid w:val="00361731"/>
    <w:rsid w:val="00361C77"/>
    <w:rsid w:val="00361FAE"/>
    <w:rsid w:val="003624C4"/>
    <w:rsid w:val="00362B39"/>
    <w:rsid w:val="00362F68"/>
    <w:rsid w:val="00363A20"/>
    <w:rsid w:val="00363BCC"/>
    <w:rsid w:val="00363C18"/>
    <w:rsid w:val="00363D76"/>
    <w:rsid w:val="00363DAA"/>
    <w:rsid w:val="003648D1"/>
    <w:rsid w:val="00364C3C"/>
    <w:rsid w:val="003653B4"/>
    <w:rsid w:val="003654AC"/>
    <w:rsid w:val="0036596C"/>
    <w:rsid w:val="003659F3"/>
    <w:rsid w:val="00365D8C"/>
    <w:rsid w:val="00365F98"/>
    <w:rsid w:val="00366B1F"/>
    <w:rsid w:val="00366D22"/>
    <w:rsid w:val="00367156"/>
    <w:rsid w:val="00367256"/>
    <w:rsid w:val="00367880"/>
    <w:rsid w:val="0037080A"/>
    <w:rsid w:val="00370F2A"/>
    <w:rsid w:val="003710B9"/>
    <w:rsid w:val="003710CF"/>
    <w:rsid w:val="00371295"/>
    <w:rsid w:val="00371371"/>
    <w:rsid w:val="00371454"/>
    <w:rsid w:val="003716B0"/>
    <w:rsid w:val="003718A4"/>
    <w:rsid w:val="00371E10"/>
    <w:rsid w:val="0037226D"/>
    <w:rsid w:val="0037228A"/>
    <w:rsid w:val="00372A81"/>
    <w:rsid w:val="00372C0B"/>
    <w:rsid w:val="0037313E"/>
    <w:rsid w:val="00373232"/>
    <w:rsid w:val="0037358A"/>
    <w:rsid w:val="003735FB"/>
    <w:rsid w:val="00373B30"/>
    <w:rsid w:val="003741B1"/>
    <w:rsid w:val="00374A6C"/>
    <w:rsid w:val="00374DA8"/>
    <w:rsid w:val="003750F6"/>
    <w:rsid w:val="00375DD2"/>
    <w:rsid w:val="003760FC"/>
    <w:rsid w:val="0037620F"/>
    <w:rsid w:val="00376389"/>
    <w:rsid w:val="00376B81"/>
    <w:rsid w:val="00376E75"/>
    <w:rsid w:val="00376ECD"/>
    <w:rsid w:val="0037755B"/>
    <w:rsid w:val="0037770D"/>
    <w:rsid w:val="003778B7"/>
    <w:rsid w:val="00377A4E"/>
    <w:rsid w:val="00377E6B"/>
    <w:rsid w:val="00377F6B"/>
    <w:rsid w:val="0038079C"/>
    <w:rsid w:val="00380A60"/>
    <w:rsid w:val="0038117F"/>
    <w:rsid w:val="00381249"/>
    <w:rsid w:val="0038138B"/>
    <w:rsid w:val="0038181D"/>
    <w:rsid w:val="00381959"/>
    <w:rsid w:val="00381AD2"/>
    <w:rsid w:val="00381C3F"/>
    <w:rsid w:val="00381CED"/>
    <w:rsid w:val="0038219B"/>
    <w:rsid w:val="00382323"/>
    <w:rsid w:val="00382684"/>
    <w:rsid w:val="003826F2"/>
    <w:rsid w:val="00382CD9"/>
    <w:rsid w:val="003831AB"/>
    <w:rsid w:val="0038327B"/>
    <w:rsid w:val="0038365C"/>
    <w:rsid w:val="0038369B"/>
    <w:rsid w:val="003836DD"/>
    <w:rsid w:val="00383770"/>
    <w:rsid w:val="00383B78"/>
    <w:rsid w:val="00383C19"/>
    <w:rsid w:val="003842A3"/>
    <w:rsid w:val="00384A04"/>
    <w:rsid w:val="00384A87"/>
    <w:rsid w:val="00384A9E"/>
    <w:rsid w:val="00384B3E"/>
    <w:rsid w:val="00384CE7"/>
    <w:rsid w:val="00384D76"/>
    <w:rsid w:val="00384E7B"/>
    <w:rsid w:val="003852B8"/>
    <w:rsid w:val="0038572B"/>
    <w:rsid w:val="00385978"/>
    <w:rsid w:val="00385A9D"/>
    <w:rsid w:val="00385CBC"/>
    <w:rsid w:val="003860CD"/>
    <w:rsid w:val="0038670F"/>
    <w:rsid w:val="00386828"/>
    <w:rsid w:val="00386AE3"/>
    <w:rsid w:val="00386D9A"/>
    <w:rsid w:val="00386DBD"/>
    <w:rsid w:val="0038702D"/>
    <w:rsid w:val="00387832"/>
    <w:rsid w:val="00387EDD"/>
    <w:rsid w:val="003902B1"/>
    <w:rsid w:val="003902B6"/>
    <w:rsid w:val="00390E11"/>
    <w:rsid w:val="00391BDE"/>
    <w:rsid w:val="00391F76"/>
    <w:rsid w:val="00391FFB"/>
    <w:rsid w:val="00392A34"/>
    <w:rsid w:val="00392D08"/>
    <w:rsid w:val="00392D12"/>
    <w:rsid w:val="00392E60"/>
    <w:rsid w:val="0039358C"/>
    <w:rsid w:val="00393968"/>
    <w:rsid w:val="00393E9D"/>
    <w:rsid w:val="00394246"/>
    <w:rsid w:val="00394842"/>
    <w:rsid w:val="003949DF"/>
    <w:rsid w:val="00394FE9"/>
    <w:rsid w:val="0039520B"/>
    <w:rsid w:val="003952C9"/>
    <w:rsid w:val="0039562B"/>
    <w:rsid w:val="0039592A"/>
    <w:rsid w:val="00395F4A"/>
    <w:rsid w:val="00395F5F"/>
    <w:rsid w:val="00395FF1"/>
    <w:rsid w:val="00396896"/>
    <w:rsid w:val="00396BF9"/>
    <w:rsid w:val="00396C96"/>
    <w:rsid w:val="00396FD0"/>
    <w:rsid w:val="00397436"/>
    <w:rsid w:val="0039749C"/>
    <w:rsid w:val="00397792"/>
    <w:rsid w:val="003978FB"/>
    <w:rsid w:val="00397E5A"/>
    <w:rsid w:val="00397EC4"/>
    <w:rsid w:val="003A02A7"/>
    <w:rsid w:val="003A0540"/>
    <w:rsid w:val="003A05E0"/>
    <w:rsid w:val="003A06F7"/>
    <w:rsid w:val="003A08D0"/>
    <w:rsid w:val="003A0E08"/>
    <w:rsid w:val="003A1258"/>
    <w:rsid w:val="003A159E"/>
    <w:rsid w:val="003A168C"/>
    <w:rsid w:val="003A1740"/>
    <w:rsid w:val="003A1A7A"/>
    <w:rsid w:val="003A1B14"/>
    <w:rsid w:val="003A20B2"/>
    <w:rsid w:val="003A20C2"/>
    <w:rsid w:val="003A2392"/>
    <w:rsid w:val="003A2831"/>
    <w:rsid w:val="003A3BC9"/>
    <w:rsid w:val="003A3C45"/>
    <w:rsid w:val="003A3ED1"/>
    <w:rsid w:val="003A4071"/>
    <w:rsid w:val="003A413C"/>
    <w:rsid w:val="003A478C"/>
    <w:rsid w:val="003A4EE3"/>
    <w:rsid w:val="003A511A"/>
    <w:rsid w:val="003A58AC"/>
    <w:rsid w:val="003A58C9"/>
    <w:rsid w:val="003A5998"/>
    <w:rsid w:val="003A59D8"/>
    <w:rsid w:val="003A5BA4"/>
    <w:rsid w:val="003A5BD3"/>
    <w:rsid w:val="003A5D26"/>
    <w:rsid w:val="003A648E"/>
    <w:rsid w:val="003A6AF9"/>
    <w:rsid w:val="003A736B"/>
    <w:rsid w:val="003A7747"/>
    <w:rsid w:val="003B072F"/>
    <w:rsid w:val="003B0B90"/>
    <w:rsid w:val="003B0D0C"/>
    <w:rsid w:val="003B0E08"/>
    <w:rsid w:val="003B10B3"/>
    <w:rsid w:val="003B14FA"/>
    <w:rsid w:val="003B165E"/>
    <w:rsid w:val="003B193E"/>
    <w:rsid w:val="003B19A1"/>
    <w:rsid w:val="003B19D9"/>
    <w:rsid w:val="003B1AB5"/>
    <w:rsid w:val="003B281D"/>
    <w:rsid w:val="003B2E80"/>
    <w:rsid w:val="003B2F42"/>
    <w:rsid w:val="003B35C2"/>
    <w:rsid w:val="003B3646"/>
    <w:rsid w:val="003B367F"/>
    <w:rsid w:val="003B387E"/>
    <w:rsid w:val="003B4242"/>
    <w:rsid w:val="003B45A2"/>
    <w:rsid w:val="003B48B7"/>
    <w:rsid w:val="003B4A8C"/>
    <w:rsid w:val="003B5B61"/>
    <w:rsid w:val="003B5BAD"/>
    <w:rsid w:val="003B615E"/>
    <w:rsid w:val="003B66A4"/>
    <w:rsid w:val="003B68C8"/>
    <w:rsid w:val="003B6D34"/>
    <w:rsid w:val="003B7293"/>
    <w:rsid w:val="003B746D"/>
    <w:rsid w:val="003B75A7"/>
    <w:rsid w:val="003B7B92"/>
    <w:rsid w:val="003B7EC8"/>
    <w:rsid w:val="003C028B"/>
    <w:rsid w:val="003C0A26"/>
    <w:rsid w:val="003C15D4"/>
    <w:rsid w:val="003C1634"/>
    <w:rsid w:val="003C1654"/>
    <w:rsid w:val="003C16EA"/>
    <w:rsid w:val="003C1AD0"/>
    <w:rsid w:val="003C28B1"/>
    <w:rsid w:val="003C29B8"/>
    <w:rsid w:val="003C2A74"/>
    <w:rsid w:val="003C2EE1"/>
    <w:rsid w:val="003C30B7"/>
    <w:rsid w:val="003C368F"/>
    <w:rsid w:val="003C3B40"/>
    <w:rsid w:val="003C4A76"/>
    <w:rsid w:val="003C4C3E"/>
    <w:rsid w:val="003C503C"/>
    <w:rsid w:val="003C5A5B"/>
    <w:rsid w:val="003C5C06"/>
    <w:rsid w:val="003C6584"/>
    <w:rsid w:val="003C6821"/>
    <w:rsid w:val="003C6D9A"/>
    <w:rsid w:val="003C7D19"/>
    <w:rsid w:val="003D0029"/>
    <w:rsid w:val="003D085E"/>
    <w:rsid w:val="003D0D4E"/>
    <w:rsid w:val="003D0FC2"/>
    <w:rsid w:val="003D15DA"/>
    <w:rsid w:val="003D1716"/>
    <w:rsid w:val="003D1828"/>
    <w:rsid w:val="003D1DE4"/>
    <w:rsid w:val="003D1F03"/>
    <w:rsid w:val="003D2191"/>
    <w:rsid w:val="003D21BC"/>
    <w:rsid w:val="003D2422"/>
    <w:rsid w:val="003D24B9"/>
    <w:rsid w:val="003D2C65"/>
    <w:rsid w:val="003D2D1A"/>
    <w:rsid w:val="003D2EC4"/>
    <w:rsid w:val="003D2F99"/>
    <w:rsid w:val="003D39A1"/>
    <w:rsid w:val="003D39F9"/>
    <w:rsid w:val="003D3FBF"/>
    <w:rsid w:val="003D41F9"/>
    <w:rsid w:val="003D420E"/>
    <w:rsid w:val="003D446D"/>
    <w:rsid w:val="003D47E5"/>
    <w:rsid w:val="003D4A30"/>
    <w:rsid w:val="003D4B08"/>
    <w:rsid w:val="003D4D68"/>
    <w:rsid w:val="003D5315"/>
    <w:rsid w:val="003D5AAE"/>
    <w:rsid w:val="003D5D22"/>
    <w:rsid w:val="003D5EFF"/>
    <w:rsid w:val="003D66B3"/>
    <w:rsid w:val="003D6DC3"/>
    <w:rsid w:val="003D6E14"/>
    <w:rsid w:val="003D6F91"/>
    <w:rsid w:val="003D701D"/>
    <w:rsid w:val="003D7553"/>
    <w:rsid w:val="003D788E"/>
    <w:rsid w:val="003D79B7"/>
    <w:rsid w:val="003D79BB"/>
    <w:rsid w:val="003D7B71"/>
    <w:rsid w:val="003D7BE7"/>
    <w:rsid w:val="003D7C98"/>
    <w:rsid w:val="003E01EA"/>
    <w:rsid w:val="003E0543"/>
    <w:rsid w:val="003E0571"/>
    <w:rsid w:val="003E0A74"/>
    <w:rsid w:val="003E0AB4"/>
    <w:rsid w:val="003E0C29"/>
    <w:rsid w:val="003E0CE0"/>
    <w:rsid w:val="003E11D4"/>
    <w:rsid w:val="003E1492"/>
    <w:rsid w:val="003E17F8"/>
    <w:rsid w:val="003E19F4"/>
    <w:rsid w:val="003E1C54"/>
    <w:rsid w:val="003E1F2E"/>
    <w:rsid w:val="003E207E"/>
    <w:rsid w:val="003E2251"/>
    <w:rsid w:val="003E27B9"/>
    <w:rsid w:val="003E27D2"/>
    <w:rsid w:val="003E2D50"/>
    <w:rsid w:val="003E3317"/>
    <w:rsid w:val="003E3CB2"/>
    <w:rsid w:val="003E3F6D"/>
    <w:rsid w:val="003E41EC"/>
    <w:rsid w:val="003E44B2"/>
    <w:rsid w:val="003E4A04"/>
    <w:rsid w:val="003E4D7E"/>
    <w:rsid w:val="003E507E"/>
    <w:rsid w:val="003E51DF"/>
    <w:rsid w:val="003E6086"/>
    <w:rsid w:val="003E61B1"/>
    <w:rsid w:val="003E6520"/>
    <w:rsid w:val="003E66A6"/>
    <w:rsid w:val="003E6E7C"/>
    <w:rsid w:val="003E6F15"/>
    <w:rsid w:val="003E7017"/>
    <w:rsid w:val="003E7A67"/>
    <w:rsid w:val="003E7ADC"/>
    <w:rsid w:val="003E7BD5"/>
    <w:rsid w:val="003F0230"/>
    <w:rsid w:val="003F0A3E"/>
    <w:rsid w:val="003F0B5D"/>
    <w:rsid w:val="003F0D8E"/>
    <w:rsid w:val="003F1D5D"/>
    <w:rsid w:val="003F227C"/>
    <w:rsid w:val="003F25BC"/>
    <w:rsid w:val="003F2CAA"/>
    <w:rsid w:val="003F2D59"/>
    <w:rsid w:val="003F3441"/>
    <w:rsid w:val="003F3D54"/>
    <w:rsid w:val="003F4156"/>
    <w:rsid w:val="003F485C"/>
    <w:rsid w:val="003F4A19"/>
    <w:rsid w:val="003F4A72"/>
    <w:rsid w:val="003F4DC1"/>
    <w:rsid w:val="003F5276"/>
    <w:rsid w:val="003F558F"/>
    <w:rsid w:val="003F579B"/>
    <w:rsid w:val="003F5C42"/>
    <w:rsid w:val="003F5D7E"/>
    <w:rsid w:val="003F5DB7"/>
    <w:rsid w:val="003F5EA5"/>
    <w:rsid w:val="003F645D"/>
    <w:rsid w:val="003F67E8"/>
    <w:rsid w:val="003F69A2"/>
    <w:rsid w:val="003F69C2"/>
    <w:rsid w:val="003F6D52"/>
    <w:rsid w:val="003F7448"/>
    <w:rsid w:val="003F77DD"/>
    <w:rsid w:val="003F7845"/>
    <w:rsid w:val="003F7E63"/>
    <w:rsid w:val="00400716"/>
    <w:rsid w:val="00400988"/>
    <w:rsid w:val="00400B29"/>
    <w:rsid w:val="00400E64"/>
    <w:rsid w:val="0040149D"/>
    <w:rsid w:val="00401F7A"/>
    <w:rsid w:val="004022DC"/>
    <w:rsid w:val="004026FC"/>
    <w:rsid w:val="004027D8"/>
    <w:rsid w:val="00402E1F"/>
    <w:rsid w:val="00402F65"/>
    <w:rsid w:val="0040402E"/>
    <w:rsid w:val="00404276"/>
    <w:rsid w:val="0040459E"/>
    <w:rsid w:val="00404AD0"/>
    <w:rsid w:val="0040504B"/>
    <w:rsid w:val="004054C8"/>
    <w:rsid w:val="00405754"/>
    <w:rsid w:val="00405BC7"/>
    <w:rsid w:val="00405E12"/>
    <w:rsid w:val="004061FC"/>
    <w:rsid w:val="00406B22"/>
    <w:rsid w:val="00407594"/>
    <w:rsid w:val="00407942"/>
    <w:rsid w:val="004079DF"/>
    <w:rsid w:val="004079F5"/>
    <w:rsid w:val="00407E1F"/>
    <w:rsid w:val="00410635"/>
    <w:rsid w:val="0041064F"/>
    <w:rsid w:val="00410708"/>
    <w:rsid w:val="00410906"/>
    <w:rsid w:val="00410BAE"/>
    <w:rsid w:val="00410EC7"/>
    <w:rsid w:val="004110FD"/>
    <w:rsid w:val="004113DE"/>
    <w:rsid w:val="00411631"/>
    <w:rsid w:val="00411945"/>
    <w:rsid w:val="00411B39"/>
    <w:rsid w:val="00411B43"/>
    <w:rsid w:val="00411B4C"/>
    <w:rsid w:val="00412053"/>
    <w:rsid w:val="004121C2"/>
    <w:rsid w:val="00412877"/>
    <w:rsid w:val="00412CD2"/>
    <w:rsid w:val="00412E39"/>
    <w:rsid w:val="00413496"/>
    <w:rsid w:val="004137B0"/>
    <w:rsid w:val="00413A1E"/>
    <w:rsid w:val="00413B0E"/>
    <w:rsid w:val="00413F61"/>
    <w:rsid w:val="00414476"/>
    <w:rsid w:val="00414490"/>
    <w:rsid w:val="0041464F"/>
    <w:rsid w:val="0041473A"/>
    <w:rsid w:val="00414B0D"/>
    <w:rsid w:val="00414C2E"/>
    <w:rsid w:val="00414F92"/>
    <w:rsid w:val="004151CF"/>
    <w:rsid w:val="004152FC"/>
    <w:rsid w:val="00415E15"/>
    <w:rsid w:val="00415E70"/>
    <w:rsid w:val="00416303"/>
    <w:rsid w:val="00416364"/>
    <w:rsid w:val="004167BA"/>
    <w:rsid w:val="0041761D"/>
    <w:rsid w:val="00417B07"/>
    <w:rsid w:val="00417B66"/>
    <w:rsid w:val="00417EC2"/>
    <w:rsid w:val="004200EB"/>
    <w:rsid w:val="0042061A"/>
    <w:rsid w:val="00420645"/>
    <w:rsid w:val="00420AA6"/>
    <w:rsid w:val="00420B9F"/>
    <w:rsid w:val="00420E7B"/>
    <w:rsid w:val="00421868"/>
    <w:rsid w:val="00421B38"/>
    <w:rsid w:val="0042222B"/>
    <w:rsid w:val="00422260"/>
    <w:rsid w:val="004225EE"/>
    <w:rsid w:val="0042264C"/>
    <w:rsid w:val="0042290B"/>
    <w:rsid w:val="00422DF8"/>
    <w:rsid w:val="00422E26"/>
    <w:rsid w:val="00423F15"/>
    <w:rsid w:val="0042413F"/>
    <w:rsid w:val="00424155"/>
    <w:rsid w:val="004244F3"/>
    <w:rsid w:val="0042472D"/>
    <w:rsid w:val="00424CA0"/>
    <w:rsid w:val="004252C9"/>
    <w:rsid w:val="00425B8D"/>
    <w:rsid w:val="00425EBA"/>
    <w:rsid w:val="00426559"/>
    <w:rsid w:val="00426EFA"/>
    <w:rsid w:val="00426F88"/>
    <w:rsid w:val="004275CB"/>
    <w:rsid w:val="00430601"/>
    <w:rsid w:val="004306F2"/>
    <w:rsid w:val="004307A6"/>
    <w:rsid w:val="004310DA"/>
    <w:rsid w:val="00431301"/>
    <w:rsid w:val="0043137A"/>
    <w:rsid w:val="00431636"/>
    <w:rsid w:val="004319F8"/>
    <w:rsid w:val="00431E55"/>
    <w:rsid w:val="00431EF2"/>
    <w:rsid w:val="004321F6"/>
    <w:rsid w:val="004323F7"/>
    <w:rsid w:val="004324CE"/>
    <w:rsid w:val="00432546"/>
    <w:rsid w:val="004325EC"/>
    <w:rsid w:val="00432664"/>
    <w:rsid w:val="00432761"/>
    <w:rsid w:val="00432F42"/>
    <w:rsid w:val="00432F49"/>
    <w:rsid w:val="00433044"/>
    <w:rsid w:val="0043340E"/>
    <w:rsid w:val="0043352E"/>
    <w:rsid w:val="00433B8F"/>
    <w:rsid w:val="00433E84"/>
    <w:rsid w:val="00434BE8"/>
    <w:rsid w:val="00434C15"/>
    <w:rsid w:val="004355BB"/>
    <w:rsid w:val="00435783"/>
    <w:rsid w:val="0043584B"/>
    <w:rsid w:val="00435CCC"/>
    <w:rsid w:val="00435ED0"/>
    <w:rsid w:val="00435F60"/>
    <w:rsid w:val="00436154"/>
    <w:rsid w:val="00436287"/>
    <w:rsid w:val="00436662"/>
    <w:rsid w:val="00436D7B"/>
    <w:rsid w:val="00436EC5"/>
    <w:rsid w:val="004373FF"/>
    <w:rsid w:val="004375B9"/>
    <w:rsid w:val="004376BB"/>
    <w:rsid w:val="00437C4E"/>
    <w:rsid w:val="00437C57"/>
    <w:rsid w:val="00440151"/>
    <w:rsid w:val="00440202"/>
    <w:rsid w:val="0044036F"/>
    <w:rsid w:val="00440719"/>
    <w:rsid w:val="004428D0"/>
    <w:rsid w:val="00443C59"/>
    <w:rsid w:val="00443C9F"/>
    <w:rsid w:val="00444023"/>
    <w:rsid w:val="004443A7"/>
    <w:rsid w:val="00444417"/>
    <w:rsid w:val="0044442C"/>
    <w:rsid w:val="00444928"/>
    <w:rsid w:val="00444B28"/>
    <w:rsid w:val="00445500"/>
    <w:rsid w:val="004457D1"/>
    <w:rsid w:val="00445941"/>
    <w:rsid w:val="004463AD"/>
    <w:rsid w:val="004464EB"/>
    <w:rsid w:val="00446C51"/>
    <w:rsid w:val="00446F60"/>
    <w:rsid w:val="00447887"/>
    <w:rsid w:val="00447D26"/>
    <w:rsid w:val="00447D5A"/>
    <w:rsid w:val="00450477"/>
    <w:rsid w:val="0045084F"/>
    <w:rsid w:val="00450952"/>
    <w:rsid w:val="00451911"/>
    <w:rsid w:val="00452D4B"/>
    <w:rsid w:val="00452FC9"/>
    <w:rsid w:val="00453AEA"/>
    <w:rsid w:val="004546B5"/>
    <w:rsid w:val="004554F4"/>
    <w:rsid w:val="00455D45"/>
    <w:rsid w:val="0045601A"/>
    <w:rsid w:val="00456358"/>
    <w:rsid w:val="004568DD"/>
    <w:rsid w:val="00457004"/>
    <w:rsid w:val="00457579"/>
    <w:rsid w:val="00457A95"/>
    <w:rsid w:val="00457F64"/>
    <w:rsid w:val="00460068"/>
    <w:rsid w:val="00460B92"/>
    <w:rsid w:val="0046166A"/>
    <w:rsid w:val="00462001"/>
    <w:rsid w:val="0046207E"/>
    <w:rsid w:val="0046265D"/>
    <w:rsid w:val="00462A4F"/>
    <w:rsid w:val="00462E1A"/>
    <w:rsid w:val="00463167"/>
    <w:rsid w:val="00463C4A"/>
    <w:rsid w:val="00464561"/>
    <w:rsid w:val="00464595"/>
    <w:rsid w:val="0046493C"/>
    <w:rsid w:val="00464A7F"/>
    <w:rsid w:val="00464E43"/>
    <w:rsid w:val="004651A2"/>
    <w:rsid w:val="0046549C"/>
    <w:rsid w:val="004663A6"/>
    <w:rsid w:val="00466D31"/>
    <w:rsid w:val="0046718D"/>
    <w:rsid w:val="00467D97"/>
    <w:rsid w:val="0047024B"/>
    <w:rsid w:val="004702B5"/>
    <w:rsid w:val="00470759"/>
    <w:rsid w:val="00470AF0"/>
    <w:rsid w:val="00470EC7"/>
    <w:rsid w:val="00470ECC"/>
    <w:rsid w:val="00470FF6"/>
    <w:rsid w:val="004712FA"/>
    <w:rsid w:val="0047145E"/>
    <w:rsid w:val="004719F8"/>
    <w:rsid w:val="0047213A"/>
    <w:rsid w:val="004725D9"/>
    <w:rsid w:val="00472A79"/>
    <w:rsid w:val="00472B86"/>
    <w:rsid w:val="00472CB1"/>
    <w:rsid w:val="00472E14"/>
    <w:rsid w:val="004733B1"/>
    <w:rsid w:val="004735DB"/>
    <w:rsid w:val="00473AEE"/>
    <w:rsid w:val="00473E00"/>
    <w:rsid w:val="00473F19"/>
    <w:rsid w:val="00474A2B"/>
    <w:rsid w:val="00474BC9"/>
    <w:rsid w:val="00474D72"/>
    <w:rsid w:val="00475346"/>
    <w:rsid w:val="00475D70"/>
    <w:rsid w:val="00475DA2"/>
    <w:rsid w:val="00475E22"/>
    <w:rsid w:val="004763EF"/>
    <w:rsid w:val="004768DC"/>
    <w:rsid w:val="00476BE1"/>
    <w:rsid w:val="0047785E"/>
    <w:rsid w:val="00477D4C"/>
    <w:rsid w:val="00480472"/>
    <w:rsid w:val="00480499"/>
    <w:rsid w:val="0048049D"/>
    <w:rsid w:val="0048088E"/>
    <w:rsid w:val="00480E87"/>
    <w:rsid w:val="00481362"/>
    <w:rsid w:val="00481367"/>
    <w:rsid w:val="004820D7"/>
    <w:rsid w:val="00482720"/>
    <w:rsid w:val="00482E5C"/>
    <w:rsid w:val="004831DD"/>
    <w:rsid w:val="00483316"/>
    <w:rsid w:val="004835E7"/>
    <w:rsid w:val="00483C96"/>
    <w:rsid w:val="0048400D"/>
    <w:rsid w:val="0048402F"/>
    <w:rsid w:val="00484370"/>
    <w:rsid w:val="00484638"/>
    <w:rsid w:val="004846A4"/>
    <w:rsid w:val="0048471E"/>
    <w:rsid w:val="0048550D"/>
    <w:rsid w:val="004863C6"/>
    <w:rsid w:val="004867E2"/>
    <w:rsid w:val="004868F2"/>
    <w:rsid w:val="00487688"/>
    <w:rsid w:val="00487F4E"/>
    <w:rsid w:val="004909CC"/>
    <w:rsid w:val="00491380"/>
    <w:rsid w:val="00491B3A"/>
    <w:rsid w:val="00491DEA"/>
    <w:rsid w:val="004921CF"/>
    <w:rsid w:val="004924C6"/>
    <w:rsid w:val="0049273D"/>
    <w:rsid w:val="0049273E"/>
    <w:rsid w:val="0049282E"/>
    <w:rsid w:val="00492AA1"/>
    <w:rsid w:val="00492CFD"/>
    <w:rsid w:val="0049311D"/>
    <w:rsid w:val="00493916"/>
    <w:rsid w:val="00493B36"/>
    <w:rsid w:val="00493F4B"/>
    <w:rsid w:val="00494C14"/>
    <w:rsid w:val="00494DD5"/>
    <w:rsid w:val="004952B8"/>
    <w:rsid w:val="0049580B"/>
    <w:rsid w:val="00495AA4"/>
    <w:rsid w:val="004962D2"/>
    <w:rsid w:val="00496531"/>
    <w:rsid w:val="0049663D"/>
    <w:rsid w:val="00496A43"/>
    <w:rsid w:val="00496EC1"/>
    <w:rsid w:val="00496FB0"/>
    <w:rsid w:val="00497256"/>
    <w:rsid w:val="004A013F"/>
    <w:rsid w:val="004A0590"/>
    <w:rsid w:val="004A0815"/>
    <w:rsid w:val="004A0834"/>
    <w:rsid w:val="004A0DA1"/>
    <w:rsid w:val="004A12F0"/>
    <w:rsid w:val="004A1588"/>
    <w:rsid w:val="004A16DD"/>
    <w:rsid w:val="004A1A17"/>
    <w:rsid w:val="004A2526"/>
    <w:rsid w:val="004A26ED"/>
    <w:rsid w:val="004A27C1"/>
    <w:rsid w:val="004A2950"/>
    <w:rsid w:val="004A2F34"/>
    <w:rsid w:val="004A3C19"/>
    <w:rsid w:val="004A43DC"/>
    <w:rsid w:val="004A5145"/>
    <w:rsid w:val="004A52E9"/>
    <w:rsid w:val="004A54CF"/>
    <w:rsid w:val="004A5FF7"/>
    <w:rsid w:val="004A6597"/>
    <w:rsid w:val="004A69DC"/>
    <w:rsid w:val="004A6F1A"/>
    <w:rsid w:val="004A7007"/>
    <w:rsid w:val="004A71B2"/>
    <w:rsid w:val="004A7367"/>
    <w:rsid w:val="004A7681"/>
    <w:rsid w:val="004A7690"/>
    <w:rsid w:val="004A7848"/>
    <w:rsid w:val="004A79A9"/>
    <w:rsid w:val="004A7C7D"/>
    <w:rsid w:val="004A7F3F"/>
    <w:rsid w:val="004B005D"/>
    <w:rsid w:val="004B0C58"/>
    <w:rsid w:val="004B0D20"/>
    <w:rsid w:val="004B1630"/>
    <w:rsid w:val="004B1BB9"/>
    <w:rsid w:val="004B1CB4"/>
    <w:rsid w:val="004B1DFD"/>
    <w:rsid w:val="004B1F62"/>
    <w:rsid w:val="004B20A8"/>
    <w:rsid w:val="004B2322"/>
    <w:rsid w:val="004B27DF"/>
    <w:rsid w:val="004B2F18"/>
    <w:rsid w:val="004B35F0"/>
    <w:rsid w:val="004B3D49"/>
    <w:rsid w:val="004B3DDB"/>
    <w:rsid w:val="004B444E"/>
    <w:rsid w:val="004B44FD"/>
    <w:rsid w:val="004B5036"/>
    <w:rsid w:val="004B51AC"/>
    <w:rsid w:val="004B540D"/>
    <w:rsid w:val="004B5465"/>
    <w:rsid w:val="004B5492"/>
    <w:rsid w:val="004B5790"/>
    <w:rsid w:val="004B5CBA"/>
    <w:rsid w:val="004B5CFC"/>
    <w:rsid w:val="004B6110"/>
    <w:rsid w:val="004B61AC"/>
    <w:rsid w:val="004B62B0"/>
    <w:rsid w:val="004B648F"/>
    <w:rsid w:val="004B74EE"/>
    <w:rsid w:val="004B774D"/>
    <w:rsid w:val="004B786D"/>
    <w:rsid w:val="004B787D"/>
    <w:rsid w:val="004B7FB3"/>
    <w:rsid w:val="004C0A7A"/>
    <w:rsid w:val="004C0AEE"/>
    <w:rsid w:val="004C0B0C"/>
    <w:rsid w:val="004C0EDC"/>
    <w:rsid w:val="004C1108"/>
    <w:rsid w:val="004C118F"/>
    <w:rsid w:val="004C1255"/>
    <w:rsid w:val="004C1301"/>
    <w:rsid w:val="004C1389"/>
    <w:rsid w:val="004C1683"/>
    <w:rsid w:val="004C1835"/>
    <w:rsid w:val="004C2669"/>
    <w:rsid w:val="004C2A66"/>
    <w:rsid w:val="004C2E5C"/>
    <w:rsid w:val="004C30E9"/>
    <w:rsid w:val="004C33B6"/>
    <w:rsid w:val="004C3489"/>
    <w:rsid w:val="004C3955"/>
    <w:rsid w:val="004C395C"/>
    <w:rsid w:val="004C3A2D"/>
    <w:rsid w:val="004C3D2F"/>
    <w:rsid w:val="004C4474"/>
    <w:rsid w:val="004C46F6"/>
    <w:rsid w:val="004C486F"/>
    <w:rsid w:val="004C4AED"/>
    <w:rsid w:val="004C4BF0"/>
    <w:rsid w:val="004C4F1D"/>
    <w:rsid w:val="004C4F9C"/>
    <w:rsid w:val="004C508B"/>
    <w:rsid w:val="004C5405"/>
    <w:rsid w:val="004C5493"/>
    <w:rsid w:val="004C5ECF"/>
    <w:rsid w:val="004C6FD1"/>
    <w:rsid w:val="004D054E"/>
    <w:rsid w:val="004D08FB"/>
    <w:rsid w:val="004D13C1"/>
    <w:rsid w:val="004D1776"/>
    <w:rsid w:val="004D1CA2"/>
    <w:rsid w:val="004D1D2B"/>
    <w:rsid w:val="004D21C2"/>
    <w:rsid w:val="004D2200"/>
    <w:rsid w:val="004D237B"/>
    <w:rsid w:val="004D23C8"/>
    <w:rsid w:val="004D247A"/>
    <w:rsid w:val="004D24EF"/>
    <w:rsid w:val="004D2C2D"/>
    <w:rsid w:val="004D2EC6"/>
    <w:rsid w:val="004D2ED8"/>
    <w:rsid w:val="004D3223"/>
    <w:rsid w:val="004D3D88"/>
    <w:rsid w:val="004D3FA3"/>
    <w:rsid w:val="004D436B"/>
    <w:rsid w:val="004D47FA"/>
    <w:rsid w:val="004D4AF9"/>
    <w:rsid w:val="004D4ECC"/>
    <w:rsid w:val="004D4F36"/>
    <w:rsid w:val="004D53E2"/>
    <w:rsid w:val="004D546A"/>
    <w:rsid w:val="004D5620"/>
    <w:rsid w:val="004D56CA"/>
    <w:rsid w:val="004D5956"/>
    <w:rsid w:val="004D5DA1"/>
    <w:rsid w:val="004D6C35"/>
    <w:rsid w:val="004D6CED"/>
    <w:rsid w:val="004D7227"/>
    <w:rsid w:val="004D7656"/>
    <w:rsid w:val="004D7E63"/>
    <w:rsid w:val="004D7F64"/>
    <w:rsid w:val="004E0061"/>
    <w:rsid w:val="004E0339"/>
    <w:rsid w:val="004E04EF"/>
    <w:rsid w:val="004E064B"/>
    <w:rsid w:val="004E06C0"/>
    <w:rsid w:val="004E08A9"/>
    <w:rsid w:val="004E0A12"/>
    <w:rsid w:val="004E0AFB"/>
    <w:rsid w:val="004E0D49"/>
    <w:rsid w:val="004E0E7F"/>
    <w:rsid w:val="004E0EB8"/>
    <w:rsid w:val="004E1687"/>
    <w:rsid w:val="004E1789"/>
    <w:rsid w:val="004E1A3B"/>
    <w:rsid w:val="004E1D97"/>
    <w:rsid w:val="004E1E61"/>
    <w:rsid w:val="004E1FFE"/>
    <w:rsid w:val="004E2459"/>
    <w:rsid w:val="004E2ADC"/>
    <w:rsid w:val="004E2E6D"/>
    <w:rsid w:val="004E30C9"/>
    <w:rsid w:val="004E38F9"/>
    <w:rsid w:val="004E394B"/>
    <w:rsid w:val="004E3B36"/>
    <w:rsid w:val="004E43B2"/>
    <w:rsid w:val="004E4421"/>
    <w:rsid w:val="004E46A5"/>
    <w:rsid w:val="004E4A72"/>
    <w:rsid w:val="004E4F7C"/>
    <w:rsid w:val="004E52E9"/>
    <w:rsid w:val="004E536E"/>
    <w:rsid w:val="004E620D"/>
    <w:rsid w:val="004E62B2"/>
    <w:rsid w:val="004E6962"/>
    <w:rsid w:val="004E6D97"/>
    <w:rsid w:val="004E70FA"/>
    <w:rsid w:val="004E715D"/>
    <w:rsid w:val="004E7655"/>
    <w:rsid w:val="004E780A"/>
    <w:rsid w:val="004E79F3"/>
    <w:rsid w:val="004E7A55"/>
    <w:rsid w:val="004E7B28"/>
    <w:rsid w:val="004F008F"/>
    <w:rsid w:val="004F1373"/>
    <w:rsid w:val="004F1654"/>
    <w:rsid w:val="004F173C"/>
    <w:rsid w:val="004F1D02"/>
    <w:rsid w:val="004F1FDA"/>
    <w:rsid w:val="004F20FC"/>
    <w:rsid w:val="004F218C"/>
    <w:rsid w:val="004F2679"/>
    <w:rsid w:val="004F2ECC"/>
    <w:rsid w:val="004F2F21"/>
    <w:rsid w:val="004F3678"/>
    <w:rsid w:val="004F3A0C"/>
    <w:rsid w:val="004F41F7"/>
    <w:rsid w:val="004F5404"/>
    <w:rsid w:val="004F573A"/>
    <w:rsid w:val="004F5797"/>
    <w:rsid w:val="004F5C4A"/>
    <w:rsid w:val="004F5D31"/>
    <w:rsid w:val="004F615C"/>
    <w:rsid w:val="004F6913"/>
    <w:rsid w:val="004F6A67"/>
    <w:rsid w:val="004F6C6E"/>
    <w:rsid w:val="004F6D08"/>
    <w:rsid w:val="004F6E4C"/>
    <w:rsid w:val="004F6EAD"/>
    <w:rsid w:val="004F72A8"/>
    <w:rsid w:val="004F7865"/>
    <w:rsid w:val="0050048D"/>
    <w:rsid w:val="00500565"/>
    <w:rsid w:val="00500A29"/>
    <w:rsid w:val="00501049"/>
    <w:rsid w:val="005013A3"/>
    <w:rsid w:val="00501475"/>
    <w:rsid w:val="005017C5"/>
    <w:rsid w:val="00501962"/>
    <w:rsid w:val="00501B53"/>
    <w:rsid w:val="0050219B"/>
    <w:rsid w:val="0050256F"/>
    <w:rsid w:val="00502619"/>
    <w:rsid w:val="0050263B"/>
    <w:rsid w:val="005027E3"/>
    <w:rsid w:val="005029E4"/>
    <w:rsid w:val="00502CAE"/>
    <w:rsid w:val="00502CFF"/>
    <w:rsid w:val="00503072"/>
    <w:rsid w:val="00503B9F"/>
    <w:rsid w:val="00503C3F"/>
    <w:rsid w:val="00503C9A"/>
    <w:rsid w:val="00503D28"/>
    <w:rsid w:val="00503F17"/>
    <w:rsid w:val="005045E6"/>
    <w:rsid w:val="005049E5"/>
    <w:rsid w:val="00504E90"/>
    <w:rsid w:val="005052DD"/>
    <w:rsid w:val="005055CD"/>
    <w:rsid w:val="0050597E"/>
    <w:rsid w:val="00505DE2"/>
    <w:rsid w:val="00506263"/>
    <w:rsid w:val="00506928"/>
    <w:rsid w:val="00506B61"/>
    <w:rsid w:val="00507262"/>
    <w:rsid w:val="00507351"/>
    <w:rsid w:val="00507941"/>
    <w:rsid w:val="005079BB"/>
    <w:rsid w:val="00507DDC"/>
    <w:rsid w:val="00510600"/>
    <w:rsid w:val="005106B2"/>
    <w:rsid w:val="005106EE"/>
    <w:rsid w:val="00510FBC"/>
    <w:rsid w:val="00510FC2"/>
    <w:rsid w:val="00511139"/>
    <w:rsid w:val="0051161A"/>
    <w:rsid w:val="005116F6"/>
    <w:rsid w:val="00511781"/>
    <w:rsid w:val="00511A79"/>
    <w:rsid w:val="00511EF7"/>
    <w:rsid w:val="00512705"/>
    <w:rsid w:val="0051296D"/>
    <w:rsid w:val="00512A8F"/>
    <w:rsid w:val="00512EC2"/>
    <w:rsid w:val="00513009"/>
    <w:rsid w:val="00513B39"/>
    <w:rsid w:val="00513EA0"/>
    <w:rsid w:val="005142C9"/>
    <w:rsid w:val="005144C9"/>
    <w:rsid w:val="00514826"/>
    <w:rsid w:val="00514958"/>
    <w:rsid w:val="00514FC4"/>
    <w:rsid w:val="00515259"/>
    <w:rsid w:val="005152B5"/>
    <w:rsid w:val="005152C6"/>
    <w:rsid w:val="00515410"/>
    <w:rsid w:val="005156F9"/>
    <w:rsid w:val="00515C18"/>
    <w:rsid w:val="005162EB"/>
    <w:rsid w:val="00516CB5"/>
    <w:rsid w:val="00516E1B"/>
    <w:rsid w:val="0051755B"/>
    <w:rsid w:val="00517758"/>
    <w:rsid w:val="00517B30"/>
    <w:rsid w:val="00517B56"/>
    <w:rsid w:val="00517C21"/>
    <w:rsid w:val="00517CF7"/>
    <w:rsid w:val="005200A5"/>
    <w:rsid w:val="00520207"/>
    <w:rsid w:val="00520637"/>
    <w:rsid w:val="00520FA1"/>
    <w:rsid w:val="00521319"/>
    <w:rsid w:val="00521427"/>
    <w:rsid w:val="00521B19"/>
    <w:rsid w:val="00521BA3"/>
    <w:rsid w:val="00522772"/>
    <w:rsid w:val="00522905"/>
    <w:rsid w:val="00522992"/>
    <w:rsid w:val="00522A33"/>
    <w:rsid w:val="00522BC8"/>
    <w:rsid w:val="00523053"/>
    <w:rsid w:val="00523078"/>
    <w:rsid w:val="005233C9"/>
    <w:rsid w:val="005237DD"/>
    <w:rsid w:val="00523C28"/>
    <w:rsid w:val="00523FCD"/>
    <w:rsid w:val="005245AC"/>
    <w:rsid w:val="00524638"/>
    <w:rsid w:val="00524CB2"/>
    <w:rsid w:val="00524E93"/>
    <w:rsid w:val="0052509F"/>
    <w:rsid w:val="00525322"/>
    <w:rsid w:val="00525542"/>
    <w:rsid w:val="00525F81"/>
    <w:rsid w:val="00525FCF"/>
    <w:rsid w:val="0052618B"/>
    <w:rsid w:val="005263CB"/>
    <w:rsid w:val="0052643A"/>
    <w:rsid w:val="00526455"/>
    <w:rsid w:val="005266AD"/>
    <w:rsid w:val="00526794"/>
    <w:rsid w:val="00526C3D"/>
    <w:rsid w:val="00527662"/>
    <w:rsid w:val="0052770D"/>
    <w:rsid w:val="00527C28"/>
    <w:rsid w:val="005300CC"/>
    <w:rsid w:val="0053014D"/>
    <w:rsid w:val="00530323"/>
    <w:rsid w:val="005306C3"/>
    <w:rsid w:val="005306C6"/>
    <w:rsid w:val="00530C13"/>
    <w:rsid w:val="00530E36"/>
    <w:rsid w:val="00531057"/>
    <w:rsid w:val="0053111D"/>
    <w:rsid w:val="005311B7"/>
    <w:rsid w:val="00531C28"/>
    <w:rsid w:val="00531CCE"/>
    <w:rsid w:val="00532829"/>
    <w:rsid w:val="00532E63"/>
    <w:rsid w:val="00533C6F"/>
    <w:rsid w:val="00533CD4"/>
    <w:rsid w:val="00533F81"/>
    <w:rsid w:val="005345E3"/>
    <w:rsid w:val="005347ED"/>
    <w:rsid w:val="00534F8B"/>
    <w:rsid w:val="00535797"/>
    <w:rsid w:val="00535951"/>
    <w:rsid w:val="00535BBC"/>
    <w:rsid w:val="005362A9"/>
    <w:rsid w:val="00536376"/>
    <w:rsid w:val="00536981"/>
    <w:rsid w:val="00536B98"/>
    <w:rsid w:val="00536F42"/>
    <w:rsid w:val="00537182"/>
    <w:rsid w:val="00537254"/>
    <w:rsid w:val="005374D8"/>
    <w:rsid w:val="00537BF4"/>
    <w:rsid w:val="005401B0"/>
    <w:rsid w:val="0054082A"/>
    <w:rsid w:val="00540E94"/>
    <w:rsid w:val="0054116E"/>
    <w:rsid w:val="005414F2"/>
    <w:rsid w:val="00541BA5"/>
    <w:rsid w:val="00541BC2"/>
    <w:rsid w:val="005422B2"/>
    <w:rsid w:val="00542743"/>
    <w:rsid w:val="00542C2D"/>
    <w:rsid w:val="005438BD"/>
    <w:rsid w:val="005438F4"/>
    <w:rsid w:val="00543AC1"/>
    <w:rsid w:val="00543E95"/>
    <w:rsid w:val="00544160"/>
    <w:rsid w:val="00545B8A"/>
    <w:rsid w:val="00546DC6"/>
    <w:rsid w:val="0054727A"/>
    <w:rsid w:val="005478FC"/>
    <w:rsid w:val="00547A90"/>
    <w:rsid w:val="00550469"/>
    <w:rsid w:val="00550477"/>
    <w:rsid w:val="0055054D"/>
    <w:rsid w:val="005510B8"/>
    <w:rsid w:val="005517D5"/>
    <w:rsid w:val="00551929"/>
    <w:rsid w:val="00551985"/>
    <w:rsid w:val="0055257A"/>
    <w:rsid w:val="0055273B"/>
    <w:rsid w:val="00552BD3"/>
    <w:rsid w:val="00552E83"/>
    <w:rsid w:val="0055307C"/>
    <w:rsid w:val="00553751"/>
    <w:rsid w:val="00553C18"/>
    <w:rsid w:val="0055428B"/>
    <w:rsid w:val="005546A2"/>
    <w:rsid w:val="00554AEE"/>
    <w:rsid w:val="0055509E"/>
    <w:rsid w:val="00555109"/>
    <w:rsid w:val="005551ED"/>
    <w:rsid w:val="00555212"/>
    <w:rsid w:val="00555277"/>
    <w:rsid w:val="0055527D"/>
    <w:rsid w:val="00555E64"/>
    <w:rsid w:val="00555F87"/>
    <w:rsid w:val="005562DC"/>
    <w:rsid w:val="00556A97"/>
    <w:rsid w:val="00556FC6"/>
    <w:rsid w:val="00556FD1"/>
    <w:rsid w:val="00557395"/>
    <w:rsid w:val="005574D0"/>
    <w:rsid w:val="005574E5"/>
    <w:rsid w:val="00557F66"/>
    <w:rsid w:val="00560055"/>
    <w:rsid w:val="005603BE"/>
    <w:rsid w:val="00560582"/>
    <w:rsid w:val="00560C0B"/>
    <w:rsid w:val="00560E90"/>
    <w:rsid w:val="00562472"/>
    <w:rsid w:val="00562CB1"/>
    <w:rsid w:val="00562F6A"/>
    <w:rsid w:val="005631A1"/>
    <w:rsid w:val="005635E4"/>
    <w:rsid w:val="00564093"/>
    <w:rsid w:val="00564BC7"/>
    <w:rsid w:val="005651CB"/>
    <w:rsid w:val="005655BC"/>
    <w:rsid w:val="0056573E"/>
    <w:rsid w:val="00565ECE"/>
    <w:rsid w:val="005663CC"/>
    <w:rsid w:val="0056643B"/>
    <w:rsid w:val="00566546"/>
    <w:rsid w:val="005666E9"/>
    <w:rsid w:val="0056696F"/>
    <w:rsid w:val="00566E14"/>
    <w:rsid w:val="005674B3"/>
    <w:rsid w:val="0056751C"/>
    <w:rsid w:val="0056791D"/>
    <w:rsid w:val="00567949"/>
    <w:rsid w:val="00567DB9"/>
    <w:rsid w:val="0057037B"/>
    <w:rsid w:val="00570C62"/>
    <w:rsid w:val="0057103C"/>
    <w:rsid w:val="0057120A"/>
    <w:rsid w:val="00571DDD"/>
    <w:rsid w:val="005720F9"/>
    <w:rsid w:val="00572241"/>
    <w:rsid w:val="00572269"/>
    <w:rsid w:val="00572418"/>
    <w:rsid w:val="0057244A"/>
    <w:rsid w:val="00572735"/>
    <w:rsid w:val="00572810"/>
    <w:rsid w:val="00572DFD"/>
    <w:rsid w:val="0057315C"/>
    <w:rsid w:val="005731C3"/>
    <w:rsid w:val="005733A6"/>
    <w:rsid w:val="00573483"/>
    <w:rsid w:val="005734AB"/>
    <w:rsid w:val="0057394D"/>
    <w:rsid w:val="00573D49"/>
    <w:rsid w:val="005741C4"/>
    <w:rsid w:val="005750EA"/>
    <w:rsid w:val="005757B1"/>
    <w:rsid w:val="00575D8D"/>
    <w:rsid w:val="00575F6E"/>
    <w:rsid w:val="0057614B"/>
    <w:rsid w:val="0057647C"/>
    <w:rsid w:val="00576510"/>
    <w:rsid w:val="00576863"/>
    <w:rsid w:val="00576972"/>
    <w:rsid w:val="00576AFE"/>
    <w:rsid w:val="005775E5"/>
    <w:rsid w:val="00577A73"/>
    <w:rsid w:val="005803DF"/>
    <w:rsid w:val="00581034"/>
    <w:rsid w:val="005814FF"/>
    <w:rsid w:val="00582174"/>
    <w:rsid w:val="00582998"/>
    <w:rsid w:val="00582CD7"/>
    <w:rsid w:val="00583699"/>
    <w:rsid w:val="005837DB"/>
    <w:rsid w:val="0058382E"/>
    <w:rsid w:val="005838B5"/>
    <w:rsid w:val="00583B2C"/>
    <w:rsid w:val="005840B3"/>
    <w:rsid w:val="005849E2"/>
    <w:rsid w:val="00584D67"/>
    <w:rsid w:val="005853F2"/>
    <w:rsid w:val="005855AF"/>
    <w:rsid w:val="00585816"/>
    <w:rsid w:val="0058599C"/>
    <w:rsid w:val="00585CDD"/>
    <w:rsid w:val="00585D90"/>
    <w:rsid w:val="00586146"/>
    <w:rsid w:val="0058621C"/>
    <w:rsid w:val="0058687E"/>
    <w:rsid w:val="00587058"/>
    <w:rsid w:val="00587299"/>
    <w:rsid w:val="00587721"/>
    <w:rsid w:val="00587885"/>
    <w:rsid w:val="00587A7E"/>
    <w:rsid w:val="00590163"/>
    <w:rsid w:val="0059052C"/>
    <w:rsid w:val="00590EC2"/>
    <w:rsid w:val="0059114D"/>
    <w:rsid w:val="00591831"/>
    <w:rsid w:val="00591957"/>
    <w:rsid w:val="0059211C"/>
    <w:rsid w:val="0059230B"/>
    <w:rsid w:val="00592732"/>
    <w:rsid w:val="00592DEF"/>
    <w:rsid w:val="0059342E"/>
    <w:rsid w:val="005935B9"/>
    <w:rsid w:val="00593C7B"/>
    <w:rsid w:val="00593FE8"/>
    <w:rsid w:val="00594FB8"/>
    <w:rsid w:val="00595200"/>
    <w:rsid w:val="00595787"/>
    <w:rsid w:val="00595F04"/>
    <w:rsid w:val="00596250"/>
    <w:rsid w:val="005962B8"/>
    <w:rsid w:val="005966A6"/>
    <w:rsid w:val="00596B45"/>
    <w:rsid w:val="00597754"/>
    <w:rsid w:val="00597AFD"/>
    <w:rsid w:val="00597B00"/>
    <w:rsid w:val="00597BF9"/>
    <w:rsid w:val="005A025D"/>
    <w:rsid w:val="005A0313"/>
    <w:rsid w:val="005A0BC8"/>
    <w:rsid w:val="005A19EB"/>
    <w:rsid w:val="005A19F6"/>
    <w:rsid w:val="005A1DBC"/>
    <w:rsid w:val="005A1E83"/>
    <w:rsid w:val="005A2585"/>
    <w:rsid w:val="005A2C5B"/>
    <w:rsid w:val="005A3349"/>
    <w:rsid w:val="005A34AF"/>
    <w:rsid w:val="005A373D"/>
    <w:rsid w:val="005A3812"/>
    <w:rsid w:val="005A3992"/>
    <w:rsid w:val="005A39A9"/>
    <w:rsid w:val="005A3D39"/>
    <w:rsid w:val="005A3DD1"/>
    <w:rsid w:val="005A3F25"/>
    <w:rsid w:val="005A499F"/>
    <w:rsid w:val="005A4F07"/>
    <w:rsid w:val="005A4F9C"/>
    <w:rsid w:val="005A5958"/>
    <w:rsid w:val="005A5A48"/>
    <w:rsid w:val="005A5ABF"/>
    <w:rsid w:val="005A5C1C"/>
    <w:rsid w:val="005A5D02"/>
    <w:rsid w:val="005A6397"/>
    <w:rsid w:val="005A6DE8"/>
    <w:rsid w:val="005A719E"/>
    <w:rsid w:val="005A7531"/>
    <w:rsid w:val="005A77D0"/>
    <w:rsid w:val="005A7DC0"/>
    <w:rsid w:val="005B029E"/>
    <w:rsid w:val="005B0456"/>
    <w:rsid w:val="005B098B"/>
    <w:rsid w:val="005B12A9"/>
    <w:rsid w:val="005B1508"/>
    <w:rsid w:val="005B16BD"/>
    <w:rsid w:val="005B1EB5"/>
    <w:rsid w:val="005B200A"/>
    <w:rsid w:val="005B20D8"/>
    <w:rsid w:val="005B2666"/>
    <w:rsid w:val="005B2707"/>
    <w:rsid w:val="005B283E"/>
    <w:rsid w:val="005B2AF8"/>
    <w:rsid w:val="005B2D9A"/>
    <w:rsid w:val="005B2DBE"/>
    <w:rsid w:val="005B3D1F"/>
    <w:rsid w:val="005B3F95"/>
    <w:rsid w:val="005B438D"/>
    <w:rsid w:val="005B5084"/>
    <w:rsid w:val="005B5433"/>
    <w:rsid w:val="005B57DF"/>
    <w:rsid w:val="005B5857"/>
    <w:rsid w:val="005B5C4E"/>
    <w:rsid w:val="005B5E3A"/>
    <w:rsid w:val="005B636A"/>
    <w:rsid w:val="005B6770"/>
    <w:rsid w:val="005B6AF6"/>
    <w:rsid w:val="005B6F5E"/>
    <w:rsid w:val="005B7124"/>
    <w:rsid w:val="005B742E"/>
    <w:rsid w:val="005B778C"/>
    <w:rsid w:val="005B7CBA"/>
    <w:rsid w:val="005C022F"/>
    <w:rsid w:val="005C04DE"/>
    <w:rsid w:val="005C0904"/>
    <w:rsid w:val="005C0A84"/>
    <w:rsid w:val="005C0C35"/>
    <w:rsid w:val="005C1AA0"/>
    <w:rsid w:val="005C1B83"/>
    <w:rsid w:val="005C1F1C"/>
    <w:rsid w:val="005C21A0"/>
    <w:rsid w:val="005C2744"/>
    <w:rsid w:val="005C289C"/>
    <w:rsid w:val="005C2AC6"/>
    <w:rsid w:val="005C2D55"/>
    <w:rsid w:val="005C2FF4"/>
    <w:rsid w:val="005C32EF"/>
    <w:rsid w:val="005C3451"/>
    <w:rsid w:val="005C346B"/>
    <w:rsid w:val="005C414C"/>
    <w:rsid w:val="005C46DF"/>
    <w:rsid w:val="005C4925"/>
    <w:rsid w:val="005C4A64"/>
    <w:rsid w:val="005C4EEC"/>
    <w:rsid w:val="005C54D0"/>
    <w:rsid w:val="005C54E1"/>
    <w:rsid w:val="005C5C81"/>
    <w:rsid w:val="005C5CD9"/>
    <w:rsid w:val="005C5E71"/>
    <w:rsid w:val="005C6060"/>
    <w:rsid w:val="005C6219"/>
    <w:rsid w:val="005C67D6"/>
    <w:rsid w:val="005C6A03"/>
    <w:rsid w:val="005C6A86"/>
    <w:rsid w:val="005C6B91"/>
    <w:rsid w:val="005C6FA3"/>
    <w:rsid w:val="005C7083"/>
    <w:rsid w:val="005C7F3F"/>
    <w:rsid w:val="005D044D"/>
    <w:rsid w:val="005D04EB"/>
    <w:rsid w:val="005D097E"/>
    <w:rsid w:val="005D0ABD"/>
    <w:rsid w:val="005D0F0D"/>
    <w:rsid w:val="005D1456"/>
    <w:rsid w:val="005D18AD"/>
    <w:rsid w:val="005D1AEB"/>
    <w:rsid w:val="005D1CE8"/>
    <w:rsid w:val="005D23C2"/>
    <w:rsid w:val="005D26B4"/>
    <w:rsid w:val="005D29EC"/>
    <w:rsid w:val="005D2FC9"/>
    <w:rsid w:val="005D315A"/>
    <w:rsid w:val="005D39B6"/>
    <w:rsid w:val="005D3AA0"/>
    <w:rsid w:val="005D3DDF"/>
    <w:rsid w:val="005D3E83"/>
    <w:rsid w:val="005D51F2"/>
    <w:rsid w:val="005D5246"/>
    <w:rsid w:val="005D5C8E"/>
    <w:rsid w:val="005D5D34"/>
    <w:rsid w:val="005D6369"/>
    <w:rsid w:val="005D637D"/>
    <w:rsid w:val="005D6421"/>
    <w:rsid w:val="005D672F"/>
    <w:rsid w:val="005D6878"/>
    <w:rsid w:val="005D6D95"/>
    <w:rsid w:val="005D70C6"/>
    <w:rsid w:val="005D7325"/>
    <w:rsid w:val="005D7762"/>
    <w:rsid w:val="005D77CD"/>
    <w:rsid w:val="005D7ACC"/>
    <w:rsid w:val="005D7C19"/>
    <w:rsid w:val="005E0377"/>
    <w:rsid w:val="005E133B"/>
    <w:rsid w:val="005E1668"/>
    <w:rsid w:val="005E1A40"/>
    <w:rsid w:val="005E1EB4"/>
    <w:rsid w:val="005E237C"/>
    <w:rsid w:val="005E266B"/>
    <w:rsid w:val="005E2775"/>
    <w:rsid w:val="005E29EF"/>
    <w:rsid w:val="005E2C0A"/>
    <w:rsid w:val="005E2C52"/>
    <w:rsid w:val="005E2D57"/>
    <w:rsid w:val="005E40FD"/>
    <w:rsid w:val="005E41FE"/>
    <w:rsid w:val="005E489B"/>
    <w:rsid w:val="005E4942"/>
    <w:rsid w:val="005E4B07"/>
    <w:rsid w:val="005E4B49"/>
    <w:rsid w:val="005E544C"/>
    <w:rsid w:val="005E5F6B"/>
    <w:rsid w:val="005E6CBC"/>
    <w:rsid w:val="005E6D55"/>
    <w:rsid w:val="005E6E60"/>
    <w:rsid w:val="005E73C0"/>
    <w:rsid w:val="005F0083"/>
    <w:rsid w:val="005F03CC"/>
    <w:rsid w:val="005F0723"/>
    <w:rsid w:val="005F098E"/>
    <w:rsid w:val="005F0E2F"/>
    <w:rsid w:val="005F1467"/>
    <w:rsid w:val="005F205D"/>
    <w:rsid w:val="005F22F8"/>
    <w:rsid w:val="005F2706"/>
    <w:rsid w:val="005F2CC4"/>
    <w:rsid w:val="005F3021"/>
    <w:rsid w:val="005F3B54"/>
    <w:rsid w:val="005F4037"/>
    <w:rsid w:val="005F458D"/>
    <w:rsid w:val="005F45C5"/>
    <w:rsid w:val="005F47B1"/>
    <w:rsid w:val="005F4938"/>
    <w:rsid w:val="005F4F2E"/>
    <w:rsid w:val="005F50D5"/>
    <w:rsid w:val="005F52BF"/>
    <w:rsid w:val="005F5713"/>
    <w:rsid w:val="005F5AFB"/>
    <w:rsid w:val="005F5F1D"/>
    <w:rsid w:val="005F613C"/>
    <w:rsid w:val="005F6667"/>
    <w:rsid w:val="005F681C"/>
    <w:rsid w:val="005F6A8F"/>
    <w:rsid w:val="005F6A95"/>
    <w:rsid w:val="005F737B"/>
    <w:rsid w:val="005F76CC"/>
    <w:rsid w:val="005F7704"/>
    <w:rsid w:val="005F7EED"/>
    <w:rsid w:val="00600084"/>
    <w:rsid w:val="0060054F"/>
    <w:rsid w:val="006005AD"/>
    <w:rsid w:val="0060069A"/>
    <w:rsid w:val="00600F76"/>
    <w:rsid w:val="0060115B"/>
    <w:rsid w:val="006014DC"/>
    <w:rsid w:val="00601526"/>
    <w:rsid w:val="00601E38"/>
    <w:rsid w:val="00601ED4"/>
    <w:rsid w:val="006020AA"/>
    <w:rsid w:val="00602263"/>
    <w:rsid w:val="006022E3"/>
    <w:rsid w:val="00602C21"/>
    <w:rsid w:val="00602C9F"/>
    <w:rsid w:val="00602E01"/>
    <w:rsid w:val="00603445"/>
    <w:rsid w:val="00603DB9"/>
    <w:rsid w:val="006048C9"/>
    <w:rsid w:val="00604E23"/>
    <w:rsid w:val="0060534A"/>
    <w:rsid w:val="006054DD"/>
    <w:rsid w:val="0060568A"/>
    <w:rsid w:val="006057CE"/>
    <w:rsid w:val="00605DF4"/>
    <w:rsid w:val="00606291"/>
    <w:rsid w:val="006063AA"/>
    <w:rsid w:val="0060658E"/>
    <w:rsid w:val="006066FC"/>
    <w:rsid w:val="00606C8E"/>
    <w:rsid w:val="0060708F"/>
    <w:rsid w:val="0060740B"/>
    <w:rsid w:val="0060758E"/>
    <w:rsid w:val="006075D5"/>
    <w:rsid w:val="006075ED"/>
    <w:rsid w:val="00607669"/>
    <w:rsid w:val="00607982"/>
    <w:rsid w:val="00607AFD"/>
    <w:rsid w:val="0061005E"/>
    <w:rsid w:val="006118FD"/>
    <w:rsid w:val="00611980"/>
    <w:rsid w:val="00611C8E"/>
    <w:rsid w:val="00611D75"/>
    <w:rsid w:val="00612604"/>
    <w:rsid w:val="006128DD"/>
    <w:rsid w:val="00612ACC"/>
    <w:rsid w:val="00612F97"/>
    <w:rsid w:val="0061304F"/>
    <w:rsid w:val="006130BA"/>
    <w:rsid w:val="0061345D"/>
    <w:rsid w:val="00613A04"/>
    <w:rsid w:val="00613B05"/>
    <w:rsid w:val="0061454B"/>
    <w:rsid w:val="00614B1D"/>
    <w:rsid w:val="00614E6F"/>
    <w:rsid w:val="00615290"/>
    <w:rsid w:val="006154BA"/>
    <w:rsid w:val="0061557E"/>
    <w:rsid w:val="00615773"/>
    <w:rsid w:val="00615845"/>
    <w:rsid w:val="00615D3E"/>
    <w:rsid w:val="0061625A"/>
    <w:rsid w:val="006162C8"/>
    <w:rsid w:val="00616802"/>
    <w:rsid w:val="00616E7F"/>
    <w:rsid w:val="00617E12"/>
    <w:rsid w:val="006203F4"/>
    <w:rsid w:val="006208A2"/>
    <w:rsid w:val="00620977"/>
    <w:rsid w:val="00620BBB"/>
    <w:rsid w:val="00621477"/>
    <w:rsid w:val="00621BF5"/>
    <w:rsid w:val="00621C90"/>
    <w:rsid w:val="00622043"/>
    <w:rsid w:val="00622173"/>
    <w:rsid w:val="0062217A"/>
    <w:rsid w:val="00622DEF"/>
    <w:rsid w:val="00623092"/>
    <w:rsid w:val="006230A1"/>
    <w:rsid w:val="00623414"/>
    <w:rsid w:val="0062354D"/>
    <w:rsid w:val="006240E6"/>
    <w:rsid w:val="0062445C"/>
    <w:rsid w:val="006246C8"/>
    <w:rsid w:val="00624897"/>
    <w:rsid w:val="00624B97"/>
    <w:rsid w:val="00625137"/>
    <w:rsid w:val="00625254"/>
    <w:rsid w:val="00625D60"/>
    <w:rsid w:val="00626552"/>
    <w:rsid w:val="00626816"/>
    <w:rsid w:val="0062688F"/>
    <w:rsid w:val="00626D5E"/>
    <w:rsid w:val="00627047"/>
    <w:rsid w:val="0062755A"/>
    <w:rsid w:val="00627694"/>
    <w:rsid w:val="00627A97"/>
    <w:rsid w:val="00630630"/>
    <w:rsid w:val="00630F3E"/>
    <w:rsid w:val="00631448"/>
    <w:rsid w:val="0063158F"/>
    <w:rsid w:val="0063191D"/>
    <w:rsid w:val="00631B1F"/>
    <w:rsid w:val="00631B4C"/>
    <w:rsid w:val="00631C89"/>
    <w:rsid w:val="00631D6B"/>
    <w:rsid w:val="00631EB3"/>
    <w:rsid w:val="00632032"/>
    <w:rsid w:val="00632070"/>
    <w:rsid w:val="00632346"/>
    <w:rsid w:val="006330A1"/>
    <w:rsid w:val="00633CFE"/>
    <w:rsid w:val="0063437D"/>
    <w:rsid w:val="0063479F"/>
    <w:rsid w:val="0063480A"/>
    <w:rsid w:val="00634B85"/>
    <w:rsid w:val="00634FFE"/>
    <w:rsid w:val="006353F0"/>
    <w:rsid w:val="006354C3"/>
    <w:rsid w:val="00635AEA"/>
    <w:rsid w:val="00636309"/>
    <w:rsid w:val="00636366"/>
    <w:rsid w:val="006364A1"/>
    <w:rsid w:val="00636D07"/>
    <w:rsid w:val="00636E54"/>
    <w:rsid w:val="006370C9"/>
    <w:rsid w:val="006374AC"/>
    <w:rsid w:val="00637649"/>
    <w:rsid w:val="006377E6"/>
    <w:rsid w:val="00637943"/>
    <w:rsid w:val="00637B29"/>
    <w:rsid w:val="00637BFD"/>
    <w:rsid w:val="00637E4D"/>
    <w:rsid w:val="00637EC9"/>
    <w:rsid w:val="006404A0"/>
    <w:rsid w:val="0064066F"/>
    <w:rsid w:val="00640E4A"/>
    <w:rsid w:val="006411CE"/>
    <w:rsid w:val="00641C4E"/>
    <w:rsid w:val="00641EDB"/>
    <w:rsid w:val="006422DD"/>
    <w:rsid w:val="006423D4"/>
    <w:rsid w:val="00642BE7"/>
    <w:rsid w:val="00643917"/>
    <w:rsid w:val="00643BCC"/>
    <w:rsid w:val="00643EC7"/>
    <w:rsid w:val="0064408D"/>
    <w:rsid w:val="00644D32"/>
    <w:rsid w:val="00644E0C"/>
    <w:rsid w:val="00645025"/>
    <w:rsid w:val="00645110"/>
    <w:rsid w:val="0064615A"/>
    <w:rsid w:val="0064633E"/>
    <w:rsid w:val="006463D3"/>
    <w:rsid w:val="00646CC6"/>
    <w:rsid w:val="00646D1C"/>
    <w:rsid w:val="006471CC"/>
    <w:rsid w:val="006476AD"/>
    <w:rsid w:val="006476F0"/>
    <w:rsid w:val="006478B2"/>
    <w:rsid w:val="00647F5E"/>
    <w:rsid w:val="00650693"/>
    <w:rsid w:val="0065079F"/>
    <w:rsid w:val="00650B5C"/>
    <w:rsid w:val="0065117A"/>
    <w:rsid w:val="00651238"/>
    <w:rsid w:val="0065162B"/>
    <w:rsid w:val="006526F8"/>
    <w:rsid w:val="00652AE5"/>
    <w:rsid w:val="00652C90"/>
    <w:rsid w:val="00652DCA"/>
    <w:rsid w:val="006534CC"/>
    <w:rsid w:val="0065350B"/>
    <w:rsid w:val="0065379F"/>
    <w:rsid w:val="00653C22"/>
    <w:rsid w:val="00654AFE"/>
    <w:rsid w:val="006550D3"/>
    <w:rsid w:val="006554D5"/>
    <w:rsid w:val="00655B9C"/>
    <w:rsid w:val="00655C8F"/>
    <w:rsid w:val="00655E8E"/>
    <w:rsid w:val="00655F42"/>
    <w:rsid w:val="00656048"/>
    <w:rsid w:val="00656517"/>
    <w:rsid w:val="00656C88"/>
    <w:rsid w:val="00656ED6"/>
    <w:rsid w:val="00657433"/>
    <w:rsid w:val="00657884"/>
    <w:rsid w:val="00657A63"/>
    <w:rsid w:val="00657B30"/>
    <w:rsid w:val="00660163"/>
    <w:rsid w:val="0066062D"/>
    <w:rsid w:val="006607FD"/>
    <w:rsid w:val="00660917"/>
    <w:rsid w:val="00661005"/>
    <w:rsid w:val="006610AC"/>
    <w:rsid w:val="00661191"/>
    <w:rsid w:val="006611F8"/>
    <w:rsid w:val="006613BD"/>
    <w:rsid w:val="00661517"/>
    <w:rsid w:val="006615CA"/>
    <w:rsid w:val="00661B1E"/>
    <w:rsid w:val="00661C6B"/>
    <w:rsid w:val="00661C8C"/>
    <w:rsid w:val="00661CD4"/>
    <w:rsid w:val="00662E0B"/>
    <w:rsid w:val="00663A15"/>
    <w:rsid w:val="00664679"/>
    <w:rsid w:val="00664A2D"/>
    <w:rsid w:val="00665A3F"/>
    <w:rsid w:val="0066624C"/>
    <w:rsid w:val="00666F2E"/>
    <w:rsid w:val="00667054"/>
    <w:rsid w:val="006670F9"/>
    <w:rsid w:val="006679AF"/>
    <w:rsid w:val="00670168"/>
    <w:rsid w:val="0067068F"/>
    <w:rsid w:val="00671271"/>
    <w:rsid w:val="00671619"/>
    <w:rsid w:val="006716BF"/>
    <w:rsid w:val="006717DE"/>
    <w:rsid w:val="00671C95"/>
    <w:rsid w:val="00672895"/>
    <w:rsid w:val="00672C51"/>
    <w:rsid w:val="00672FC7"/>
    <w:rsid w:val="006732A0"/>
    <w:rsid w:val="00674324"/>
    <w:rsid w:val="0067468B"/>
    <w:rsid w:val="00674A9D"/>
    <w:rsid w:val="00674E42"/>
    <w:rsid w:val="006751A4"/>
    <w:rsid w:val="00675544"/>
    <w:rsid w:val="006756C7"/>
    <w:rsid w:val="00675BFF"/>
    <w:rsid w:val="00675F8D"/>
    <w:rsid w:val="00676532"/>
    <w:rsid w:val="006767F9"/>
    <w:rsid w:val="00676901"/>
    <w:rsid w:val="00676982"/>
    <w:rsid w:val="00676996"/>
    <w:rsid w:val="006771C9"/>
    <w:rsid w:val="00677486"/>
    <w:rsid w:val="0067771D"/>
    <w:rsid w:val="0067779B"/>
    <w:rsid w:val="00677D33"/>
    <w:rsid w:val="0068055A"/>
    <w:rsid w:val="00680D99"/>
    <w:rsid w:val="0068147E"/>
    <w:rsid w:val="00681706"/>
    <w:rsid w:val="00681738"/>
    <w:rsid w:val="00682112"/>
    <w:rsid w:val="00682ADC"/>
    <w:rsid w:val="00683335"/>
    <w:rsid w:val="00684086"/>
    <w:rsid w:val="006840E2"/>
    <w:rsid w:val="006841E7"/>
    <w:rsid w:val="00684580"/>
    <w:rsid w:val="00685374"/>
    <w:rsid w:val="006857F5"/>
    <w:rsid w:val="00685845"/>
    <w:rsid w:val="00685962"/>
    <w:rsid w:val="006859F7"/>
    <w:rsid w:val="00685D63"/>
    <w:rsid w:val="006860A0"/>
    <w:rsid w:val="00686887"/>
    <w:rsid w:val="006868E1"/>
    <w:rsid w:val="00686957"/>
    <w:rsid w:val="00686BB6"/>
    <w:rsid w:val="0068707B"/>
    <w:rsid w:val="006872BA"/>
    <w:rsid w:val="006874C2"/>
    <w:rsid w:val="006904EE"/>
    <w:rsid w:val="006905A5"/>
    <w:rsid w:val="00690A82"/>
    <w:rsid w:val="00691648"/>
    <w:rsid w:val="006917C6"/>
    <w:rsid w:val="006917D7"/>
    <w:rsid w:val="00691850"/>
    <w:rsid w:val="00691B45"/>
    <w:rsid w:val="00691EFD"/>
    <w:rsid w:val="00692040"/>
    <w:rsid w:val="006925C9"/>
    <w:rsid w:val="0069298D"/>
    <w:rsid w:val="00692A45"/>
    <w:rsid w:val="00692C70"/>
    <w:rsid w:val="006934CD"/>
    <w:rsid w:val="006939EA"/>
    <w:rsid w:val="00694CA1"/>
    <w:rsid w:val="00694D58"/>
    <w:rsid w:val="00694DE2"/>
    <w:rsid w:val="00694F44"/>
    <w:rsid w:val="006951AB"/>
    <w:rsid w:val="00695856"/>
    <w:rsid w:val="00695EBF"/>
    <w:rsid w:val="00696149"/>
    <w:rsid w:val="00696157"/>
    <w:rsid w:val="0069684E"/>
    <w:rsid w:val="00696D60"/>
    <w:rsid w:val="00696FB8"/>
    <w:rsid w:val="00697296"/>
    <w:rsid w:val="00697784"/>
    <w:rsid w:val="00697BD7"/>
    <w:rsid w:val="00697BE4"/>
    <w:rsid w:val="006A044B"/>
    <w:rsid w:val="006A04ED"/>
    <w:rsid w:val="006A055A"/>
    <w:rsid w:val="006A0DBB"/>
    <w:rsid w:val="006A1393"/>
    <w:rsid w:val="006A19CA"/>
    <w:rsid w:val="006A1B5D"/>
    <w:rsid w:val="006A1C34"/>
    <w:rsid w:val="006A2281"/>
    <w:rsid w:val="006A26D7"/>
    <w:rsid w:val="006A2B43"/>
    <w:rsid w:val="006A2BD9"/>
    <w:rsid w:val="006A3243"/>
    <w:rsid w:val="006A38D3"/>
    <w:rsid w:val="006A3C59"/>
    <w:rsid w:val="006A3C6E"/>
    <w:rsid w:val="006A3DAF"/>
    <w:rsid w:val="006A4058"/>
    <w:rsid w:val="006A4175"/>
    <w:rsid w:val="006A448F"/>
    <w:rsid w:val="006A4AA9"/>
    <w:rsid w:val="006A4BB3"/>
    <w:rsid w:val="006A4CF4"/>
    <w:rsid w:val="006A50B7"/>
    <w:rsid w:val="006A581C"/>
    <w:rsid w:val="006A58DD"/>
    <w:rsid w:val="006A654C"/>
    <w:rsid w:val="006A68BD"/>
    <w:rsid w:val="006A71EA"/>
    <w:rsid w:val="006A768F"/>
    <w:rsid w:val="006A76E0"/>
    <w:rsid w:val="006A7E5F"/>
    <w:rsid w:val="006B12CA"/>
    <w:rsid w:val="006B1AE0"/>
    <w:rsid w:val="006B1C3C"/>
    <w:rsid w:val="006B1D09"/>
    <w:rsid w:val="006B230E"/>
    <w:rsid w:val="006B253E"/>
    <w:rsid w:val="006B261B"/>
    <w:rsid w:val="006B295B"/>
    <w:rsid w:val="006B2C90"/>
    <w:rsid w:val="006B3590"/>
    <w:rsid w:val="006B3788"/>
    <w:rsid w:val="006B3BF7"/>
    <w:rsid w:val="006B3F92"/>
    <w:rsid w:val="006B4903"/>
    <w:rsid w:val="006B4922"/>
    <w:rsid w:val="006B4A82"/>
    <w:rsid w:val="006B591B"/>
    <w:rsid w:val="006B5B9B"/>
    <w:rsid w:val="006B5F00"/>
    <w:rsid w:val="006B6553"/>
    <w:rsid w:val="006B67C3"/>
    <w:rsid w:val="006B6DD0"/>
    <w:rsid w:val="006B6E90"/>
    <w:rsid w:val="006B7381"/>
    <w:rsid w:val="006B73FC"/>
    <w:rsid w:val="006B74AE"/>
    <w:rsid w:val="006B77AF"/>
    <w:rsid w:val="006B7A31"/>
    <w:rsid w:val="006B7C8E"/>
    <w:rsid w:val="006B7E47"/>
    <w:rsid w:val="006C035F"/>
    <w:rsid w:val="006C05D4"/>
    <w:rsid w:val="006C07A9"/>
    <w:rsid w:val="006C1BE6"/>
    <w:rsid w:val="006C2463"/>
    <w:rsid w:val="006C2584"/>
    <w:rsid w:val="006C2A8E"/>
    <w:rsid w:val="006C2AE4"/>
    <w:rsid w:val="006C2B0F"/>
    <w:rsid w:val="006C3840"/>
    <w:rsid w:val="006C390A"/>
    <w:rsid w:val="006C39ED"/>
    <w:rsid w:val="006C3A7E"/>
    <w:rsid w:val="006C41B6"/>
    <w:rsid w:val="006C4440"/>
    <w:rsid w:val="006C4448"/>
    <w:rsid w:val="006C4599"/>
    <w:rsid w:val="006C469A"/>
    <w:rsid w:val="006C4986"/>
    <w:rsid w:val="006C4C98"/>
    <w:rsid w:val="006C4F78"/>
    <w:rsid w:val="006C4FA8"/>
    <w:rsid w:val="006C56AE"/>
    <w:rsid w:val="006C578A"/>
    <w:rsid w:val="006C5C61"/>
    <w:rsid w:val="006C5E10"/>
    <w:rsid w:val="006C5EA7"/>
    <w:rsid w:val="006C60B2"/>
    <w:rsid w:val="006C651F"/>
    <w:rsid w:val="006C72C5"/>
    <w:rsid w:val="006C74F3"/>
    <w:rsid w:val="006C763F"/>
    <w:rsid w:val="006C787C"/>
    <w:rsid w:val="006C79A3"/>
    <w:rsid w:val="006C7A1D"/>
    <w:rsid w:val="006C7BDE"/>
    <w:rsid w:val="006D0894"/>
    <w:rsid w:val="006D0912"/>
    <w:rsid w:val="006D0A07"/>
    <w:rsid w:val="006D0A09"/>
    <w:rsid w:val="006D0A47"/>
    <w:rsid w:val="006D16B2"/>
    <w:rsid w:val="006D1C1B"/>
    <w:rsid w:val="006D1DDA"/>
    <w:rsid w:val="006D1F50"/>
    <w:rsid w:val="006D28AE"/>
    <w:rsid w:val="006D2B2F"/>
    <w:rsid w:val="006D3478"/>
    <w:rsid w:val="006D38CC"/>
    <w:rsid w:val="006D3A6B"/>
    <w:rsid w:val="006D3C7D"/>
    <w:rsid w:val="006D46F5"/>
    <w:rsid w:val="006D47CE"/>
    <w:rsid w:val="006D51A2"/>
    <w:rsid w:val="006D55F2"/>
    <w:rsid w:val="006D5611"/>
    <w:rsid w:val="006D5636"/>
    <w:rsid w:val="006D5BC4"/>
    <w:rsid w:val="006D5D5F"/>
    <w:rsid w:val="006D6679"/>
    <w:rsid w:val="006D6819"/>
    <w:rsid w:val="006D6A44"/>
    <w:rsid w:val="006D6AB5"/>
    <w:rsid w:val="006D6D31"/>
    <w:rsid w:val="006D6E6F"/>
    <w:rsid w:val="006D6F54"/>
    <w:rsid w:val="006D74E1"/>
    <w:rsid w:val="006D7ABC"/>
    <w:rsid w:val="006D7CEC"/>
    <w:rsid w:val="006D7D62"/>
    <w:rsid w:val="006D7E5C"/>
    <w:rsid w:val="006E00E7"/>
    <w:rsid w:val="006E0A21"/>
    <w:rsid w:val="006E125C"/>
    <w:rsid w:val="006E167B"/>
    <w:rsid w:val="006E188F"/>
    <w:rsid w:val="006E1CBF"/>
    <w:rsid w:val="006E269E"/>
    <w:rsid w:val="006E274F"/>
    <w:rsid w:val="006E2998"/>
    <w:rsid w:val="006E3033"/>
    <w:rsid w:val="006E348E"/>
    <w:rsid w:val="006E34EF"/>
    <w:rsid w:val="006E373B"/>
    <w:rsid w:val="006E3B5A"/>
    <w:rsid w:val="006E555B"/>
    <w:rsid w:val="006E5839"/>
    <w:rsid w:val="006E592E"/>
    <w:rsid w:val="006E5ACC"/>
    <w:rsid w:val="006E5B64"/>
    <w:rsid w:val="006E6188"/>
    <w:rsid w:val="006E6B1C"/>
    <w:rsid w:val="006E7122"/>
    <w:rsid w:val="006E73EE"/>
    <w:rsid w:val="006E761A"/>
    <w:rsid w:val="006E7DA4"/>
    <w:rsid w:val="006F0050"/>
    <w:rsid w:val="006F0A2A"/>
    <w:rsid w:val="006F0C0F"/>
    <w:rsid w:val="006F0D1E"/>
    <w:rsid w:val="006F0F57"/>
    <w:rsid w:val="006F1F44"/>
    <w:rsid w:val="006F204F"/>
    <w:rsid w:val="006F25E0"/>
    <w:rsid w:val="006F2B1F"/>
    <w:rsid w:val="006F306C"/>
    <w:rsid w:val="006F3662"/>
    <w:rsid w:val="006F38DB"/>
    <w:rsid w:val="006F38E1"/>
    <w:rsid w:val="006F3961"/>
    <w:rsid w:val="006F3BA0"/>
    <w:rsid w:val="006F465C"/>
    <w:rsid w:val="006F5807"/>
    <w:rsid w:val="006F5DB4"/>
    <w:rsid w:val="006F5E68"/>
    <w:rsid w:val="006F6053"/>
    <w:rsid w:val="006F63A5"/>
    <w:rsid w:val="006F66B8"/>
    <w:rsid w:val="006F6B27"/>
    <w:rsid w:val="006F6C7E"/>
    <w:rsid w:val="006F6D4F"/>
    <w:rsid w:val="006F7066"/>
    <w:rsid w:val="006F75F9"/>
    <w:rsid w:val="006F76B9"/>
    <w:rsid w:val="006F774E"/>
    <w:rsid w:val="006F7D33"/>
    <w:rsid w:val="0070039A"/>
    <w:rsid w:val="00700696"/>
    <w:rsid w:val="0070069A"/>
    <w:rsid w:val="00700A8B"/>
    <w:rsid w:val="00700C6D"/>
    <w:rsid w:val="007010DE"/>
    <w:rsid w:val="0070142B"/>
    <w:rsid w:val="007018B7"/>
    <w:rsid w:val="0070276E"/>
    <w:rsid w:val="00702B2C"/>
    <w:rsid w:val="00702F56"/>
    <w:rsid w:val="00702F8F"/>
    <w:rsid w:val="00703662"/>
    <w:rsid w:val="00703C36"/>
    <w:rsid w:val="00704389"/>
    <w:rsid w:val="007049F2"/>
    <w:rsid w:val="00704E22"/>
    <w:rsid w:val="007057DA"/>
    <w:rsid w:val="0070580B"/>
    <w:rsid w:val="00705B30"/>
    <w:rsid w:val="00705E47"/>
    <w:rsid w:val="00705F7F"/>
    <w:rsid w:val="007064FD"/>
    <w:rsid w:val="007067CD"/>
    <w:rsid w:val="007074D0"/>
    <w:rsid w:val="0071058F"/>
    <w:rsid w:val="00710750"/>
    <w:rsid w:val="00710B47"/>
    <w:rsid w:val="00710DC4"/>
    <w:rsid w:val="00711289"/>
    <w:rsid w:val="00711510"/>
    <w:rsid w:val="00711887"/>
    <w:rsid w:val="00711A36"/>
    <w:rsid w:val="007127E5"/>
    <w:rsid w:val="00712FBB"/>
    <w:rsid w:val="00713052"/>
    <w:rsid w:val="0071314B"/>
    <w:rsid w:val="007137C8"/>
    <w:rsid w:val="00713F87"/>
    <w:rsid w:val="0071529C"/>
    <w:rsid w:val="00715B9A"/>
    <w:rsid w:val="00715DD2"/>
    <w:rsid w:val="00715DF2"/>
    <w:rsid w:val="007168AC"/>
    <w:rsid w:val="00716AD1"/>
    <w:rsid w:val="00716B0A"/>
    <w:rsid w:val="00716E4D"/>
    <w:rsid w:val="007172AD"/>
    <w:rsid w:val="00717606"/>
    <w:rsid w:val="00717D5C"/>
    <w:rsid w:val="007204A7"/>
    <w:rsid w:val="007214CE"/>
    <w:rsid w:val="007216E8"/>
    <w:rsid w:val="00721B1A"/>
    <w:rsid w:val="00722265"/>
    <w:rsid w:val="00722B1B"/>
    <w:rsid w:val="00722D46"/>
    <w:rsid w:val="00722F45"/>
    <w:rsid w:val="0072334C"/>
    <w:rsid w:val="007234F9"/>
    <w:rsid w:val="0072362A"/>
    <w:rsid w:val="00723A43"/>
    <w:rsid w:val="00723E6E"/>
    <w:rsid w:val="0072416F"/>
    <w:rsid w:val="007241F5"/>
    <w:rsid w:val="007242B6"/>
    <w:rsid w:val="00724577"/>
    <w:rsid w:val="00724909"/>
    <w:rsid w:val="00724A1F"/>
    <w:rsid w:val="00724C50"/>
    <w:rsid w:val="007251C9"/>
    <w:rsid w:val="0072541D"/>
    <w:rsid w:val="00725B1D"/>
    <w:rsid w:val="00725DAD"/>
    <w:rsid w:val="007266AB"/>
    <w:rsid w:val="00726837"/>
    <w:rsid w:val="00726918"/>
    <w:rsid w:val="00726C93"/>
    <w:rsid w:val="00726FFD"/>
    <w:rsid w:val="007270C0"/>
    <w:rsid w:val="007279F9"/>
    <w:rsid w:val="00727A65"/>
    <w:rsid w:val="00727C94"/>
    <w:rsid w:val="00727E6D"/>
    <w:rsid w:val="0073069B"/>
    <w:rsid w:val="00730791"/>
    <w:rsid w:val="007308C6"/>
    <w:rsid w:val="0073150F"/>
    <w:rsid w:val="00731773"/>
    <w:rsid w:val="00731EAE"/>
    <w:rsid w:val="00732206"/>
    <w:rsid w:val="00732677"/>
    <w:rsid w:val="007328DA"/>
    <w:rsid w:val="007329D6"/>
    <w:rsid w:val="00732A97"/>
    <w:rsid w:val="00732B7C"/>
    <w:rsid w:val="00732F3E"/>
    <w:rsid w:val="007338D2"/>
    <w:rsid w:val="0073408B"/>
    <w:rsid w:val="00734426"/>
    <w:rsid w:val="007348E5"/>
    <w:rsid w:val="007348FD"/>
    <w:rsid w:val="007349CD"/>
    <w:rsid w:val="00735033"/>
    <w:rsid w:val="00735328"/>
    <w:rsid w:val="00735863"/>
    <w:rsid w:val="007359AE"/>
    <w:rsid w:val="0073685B"/>
    <w:rsid w:val="007369B7"/>
    <w:rsid w:val="00736A5E"/>
    <w:rsid w:val="007370A9"/>
    <w:rsid w:val="007373D4"/>
    <w:rsid w:val="007376FF"/>
    <w:rsid w:val="00737780"/>
    <w:rsid w:val="00737C8E"/>
    <w:rsid w:val="00737D76"/>
    <w:rsid w:val="0074017B"/>
    <w:rsid w:val="00740652"/>
    <w:rsid w:val="007406CA"/>
    <w:rsid w:val="00740C56"/>
    <w:rsid w:val="00740E20"/>
    <w:rsid w:val="007412DE"/>
    <w:rsid w:val="0074139C"/>
    <w:rsid w:val="0074167C"/>
    <w:rsid w:val="00741696"/>
    <w:rsid w:val="007416AA"/>
    <w:rsid w:val="0074179E"/>
    <w:rsid w:val="0074242E"/>
    <w:rsid w:val="007424D0"/>
    <w:rsid w:val="00742504"/>
    <w:rsid w:val="00743162"/>
    <w:rsid w:val="007436FA"/>
    <w:rsid w:val="00744636"/>
    <w:rsid w:val="00744718"/>
    <w:rsid w:val="00744828"/>
    <w:rsid w:val="00744ABA"/>
    <w:rsid w:val="00744EE3"/>
    <w:rsid w:val="00744F07"/>
    <w:rsid w:val="00744F5C"/>
    <w:rsid w:val="00745535"/>
    <w:rsid w:val="007456FE"/>
    <w:rsid w:val="00745A6F"/>
    <w:rsid w:val="007465E9"/>
    <w:rsid w:val="0074665E"/>
    <w:rsid w:val="00746800"/>
    <w:rsid w:val="00746D05"/>
    <w:rsid w:val="0074703C"/>
    <w:rsid w:val="00747180"/>
    <w:rsid w:val="00747453"/>
    <w:rsid w:val="007476A0"/>
    <w:rsid w:val="0074795D"/>
    <w:rsid w:val="00747D1A"/>
    <w:rsid w:val="00747EEF"/>
    <w:rsid w:val="007504AC"/>
    <w:rsid w:val="00750A61"/>
    <w:rsid w:val="00751160"/>
    <w:rsid w:val="0075193B"/>
    <w:rsid w:val="00751FB4"/>
    <w:rsid w:val="00752142"/>
    <w:rsid w:val="00752192"/>
    <w:rsid w:val="00752381"/>
    <w:rsid w:val="007523F9"/>
    <w:rsid w:val="00752641"/>
    <w:rsid w:val="00752C0E"/>
    <w:rsid w:val="007531AA"/>
    <w:rsid w:val="007539EC"/>
    <w:rsid w:val="00753B4A"/>
    <w:rsid w:val="00754469"/>
    <w:rsid w:val="007548FF"/>
    <w:rsid w:val="00754B87"/>
    <w:rsid w:val="00754FA9"/>
    <w:rsid w:val="007552E4"/>
    <w:rsid w:val="0075546F"/>
    <w:rsid w:val="00755520"/>
    <w:rsid w:val="007555A8"/>
    <w:rsid w:val="007559BF"/>
    <w:rsid w:val="007570CF"/>
    <w:rsid w:val="007573E8"/>
    <w:rsid w:val="007578EA"/>
    <w:rsid w:val="007579AC"/>
    <w:rsid w:val="00757F7D"/>
    <w:rsid w:val="00760219"/>
    <w:rsid w:val="0076036A"/>
    <w:rsid w:val="00760C4E"/>
    <w:rsid w:val="00761339"/>
    <w:rsid w:val="007615FC"/>
    <w:rsid w:val="00761E22"/>
    <w:rsid w:val="007620A9"/>
    <w:rsid w:val="007622C1"/>
    <w:rsid w:val="007626C0"/>
    <w:rsid w:val="00762939"/>
    <w:rsid w:val="00762E6D"/>
    <w:rsid w:val="00762ECE"/>
    <w:rsid w:val="00763EA6"/>
    <w:rsid w:val="007643A7"/>
    <w:rsid w:val="00764C76"/>
    <w:rsid w:val="00764F42"/>
    <w:rsid w:val="007658A6"/>
    <w:rsid w:val="00765B1A"/>
    <w:rsid w:val="00765FD5"/>
    <w:rsid w:val="00766D32"/>
    <w:rsid w:val="00766F21"/>
    <w:rsid w:val="0076756A"/>
    <w:rsid w:val="007676D7"/>
    <w:rsid w:val="007679B1"/>
    <w:rsid w:val="007679B3"/>
    <w:rsid w:val="00767C92"/>
    <w:rsid w:val="00770382"/>
    <w:rsid w:val="00770578"/>
    <w:rsid w:val="00771076"/>
    <w:rsid w:val="00771296"/>
    <w:rsid w:val="007716EC"/>
    <w:rsid w:val="0077189A"/>
    <w:rsid w:val="00771B66"/>
    <w:rsid w:val="00771DC7"/>
    <w:rsid w:val="00771E34"/>
    <w:rsid w:val="007724B7"/>
    <w:rsid w:val="00772AEE"/>
    <w:rsid w:val="007731F5"/>
    <w:rsid w:val="007738C8"/>
    <w:rsid w:val="00773DD1"/>
    <w:rsid w:val="0077401C"/>
    <w:rsid w:val="00774082"/>
    <w:rsid w:val="0077436B"/>
    <w:rsid w:val="00774374"/>
    <w:rsid w:val="007743B4"/>
    <w:rsid w:val="0077444E"/>
    <w:rsid w:val="007747EA"/>
    <w:rsid w:val="00774AA4"/>
    <w:rsid w:val="0077508D"/>
    <w:rsid w:val="0077599F"/>
    <w:rsid w:val="00776AFF"/>
    <w:rsid w:val="00776D17"/>
    <w:rsid w:val="00776EC8"/>
    <w:rsid w:val="00777124"/>
    <w:rsid w:val="0077736D"/>
    <w:rsid w:val="00777564"/>
    <w:rsid w:val="007800B3"/>
    <w:rsid w:val="007802B1"/>
    <w:rsid w:val="00780A5C"/>
    <w:rsid w:val="00780B15"/>
    <w:rsid w:val="00780BA7"/>
    <w:rsid w:val="007817F2"/>
    <w:rsid w:val="00782BF5"/>
    <w:rsid w:val="007831E3"/>
    <w:rsid w:val="00783506"/>
    <w:rsid w:val="0078350A"/>
    <w:rsid w:val="00783747"/>
    <w:rsid w:val="0078381F"/>
    <w:rsid w:val="00784208"/>
    <w:rsid w:val="007843F2"/>
    <w:rsid w:val="007846C6"/>
    <w:rsid w:val="007846F8"/>
    <w:rsid w:val="0078488D"/>
    <w:rsid w:val="00784CAA"/>
    <w:rsid w:val="00785570"/>
    <w:rsid w:val="0078591F"/>
    <w:rsid w:val="00785EB5"/>
    <w:rsid w:val="00786048"/>
    <w:rsid w:val="007860D7"/>
    <w:rsid w:val="0078648E"/>
    <w:rsid w:val="00786A06"/>
    <w:rsid w:val="007870AF"/>
    <w:rsid w:val="00787A02"/>
    <w:rsid w:val="00787C55"/>
    <w:rsid w:val="00790384"/>
    <w:rsid w:val="00790E88"/>
    <w:rsid w:val="007926CD"/>
    <w:rsid w:val="00792B35"/>
    <w:rsid w:val="00792C34"/>
    <w:rsid w:val="007930E3"/>
    <w:rsid w:val="00793718"/>
    <w:rsid w:val="007937CA"/>
    <w:rsid w:val="007937DE"/>
    <w:rsid w:val="00793850"/>
    <w:rsid w:val="00794ABB"/>
    <w:rsid w:val="00794BDC"/>
    <w:rsid w:val="00794E19"/>
    <w:rsid w:val="0079513C"/>
    <w:rsid w:val="0079528E"/>
    <w:rsid w:val="00795396"/>
    <w:rsid w:val="00795406"/>
    <w:rsid w:val="007965D0"/>
    <w:rsid w:val="00797444"/>
    <w:rsid w:val="007979CE"/>
    <w:rsid w:val="007979E5"/>
    <w:rsid w:val="00797AE1"/>
    <w:rsid w:val="00797CDF"/>
    <w:rsid w:val="007A01C6"/>
    <w:rsid w:val="007A0A12"/>
    <w:rsid w:val="007A1133"/>
    <w:rsid w:val="007A12A9"/>
    <w:rsid w:val="007A132D"/>
    <w:rsid w:val="007A1727"/>
    <w:rsid w:val="007A17F9"/>
    <w:rsid w:val="007A1934"/>
    <w:rsid w:val="007A1CDF"/>
    <w:rsid w:val="007A1DFF"/>
    <w:rsid w:val="007A2538"/>
    <w:rsid w:val="007A3612"/>
    <w:rsid w:val="007A4340"/>
    <w:rsid w:val="007A47B9"/>
    <w:rsid w:val="007A4B1C"/>
    <w:rsid w:val="007A4FDD"/>
    <w:rsid w:val="007A50E7"/>
    <w:rsid w:val="007A56BA"/>
    <w:rsid w:val="007A62A5"/>
    <w:rsid w:val="007A6466"/>
    <w:rsid w:val="007A6787"/>
    <w:rsid w:val="007A68D3"/>
    <w:rsid w:val="007A6ACA"/>
    <w:rsid w:val="007A6C13"/>
    <w:rsid w:val="007A6D3C"/>
    <w:rsid w:val="007A6ECA"/>
    <w:rsid w:val="007A71CB"/>
    <w:rsid w:val="007A739B"/>
    <w:rsid w:val="007A7834"/>
    <w:rsid w:val="007A7A73"/>
    <w:rsid w:val="007A7C2E"/>
    <w:rsid w:val="007B0BF3"/>
    <w:rsid w:val="007B0D68"/>
    <w:rsid w:val="007B1916"/>
    <w:rsid w:val="007B251D"/>
    <w:rsid w:val="007B25E3"/>
    <w:rsid w:val="007B2819"/>
    <w:rsid w:val="007B289E"/>
    <w:rsid w:val="007B2998"/>
    <w:rsid w:val="007B2AA4"/>
    <w:rsid w:val="007B2EB4"/>
    <w:rsid w:val="007B31E1"/>
    <w:rsid w:val="007B3635"/>
    <w:rsid w:val="007B4259"/>
    <w:rsid w:val="007B44B0"/>
    <w:rsid w:val="007B4DF2"/>
    <w:rsid w:val="007B4ED9"/>
    <w:rsid w:val="007B4F58"/>
    <w:rsid w:val="007B528D"/>
    <w:rsid w:val="007B55B5"/>
    <w:rsid w:val="007B5670"/>
    <w:rsid w:val="007B5C25"/>
    <w:rsid w:val="007B6240"/>
    <w:rsid w:val="007B668D"/>
    <w:rsid w:val="007B6FF5"/>
    <w:rsid w:val="007B70CF"/>
    <w:rsid w:val="007B7108"/>
    <w:rsid w:val="007B73E4"/>
    <w:rsid w:val="007B77D1"/>
    <w:rsid w:val="007B78BF"/>
    <w:rsid w:val="007B7C7F"/>
    <w:rsid w:val="007C0368"/>
    <w:rsid w:val="007C045F"/>
    <w:rsid w:val="007C0BD8"/>
    <w:rsid w:val="007C0CD8"/>
    <w:rsid w:val="007C11DC"/>
    <w:rsid w:val="007C1616"/>
    <w:rsid w:val="007C17B9"/>
    <w:rsid w:val="007C1C3D"/>
    <w:rsid w:val="007C1CD9"/>
    <w:rsid w:val="007C1F8E"/>
    <w:rsid w:val="007C2051"/>
    <w:rsid w:val="007C24EC"/>
    <w:rsid w:val="007C3567"/>
    <w:rsid w:val="007C361D"/>
    <w:rsid w:val="007C3BD1"/>
    <w:rsid w:val="007C4238"/>
    <w:rsid w:val="007C434A"/>
    <w:rsid w:val="007C4B84"/>
    <w:rsid w:val="007C4C64"/>
    <w:rsid w:val="007C4CCE"/>
    <w:rsid w:val="007C4EB8"/>
    <w:rsid w:val="007C547C"/>
    <w:rsid w:val="007C5679"/>
    <w:rsid w:val="007C5CE0"/>
    <w:rsid w:val="007C66EC"/>
    <w:rsid w:val="007C692D"/>
    <w:rsid w:val="007C6D52"/>
    <w:rsid w:val="007C741A"/>
    <w:rsid w:val="007D004F"/>
    <w:rsid w:val="007D0B38"/>
    <w:rsid w:val="007D0D1B"/>
    <w:rsid w:val="007D1217"/>
    <w:rsid w:val="007D190D"/>
    <w:rsid w:val="007D19BE"/>
    <w:rsid w:val="007D1D6E"/>
    <w:rsid w:val="007D1F26"/>
    <w:rsid w:val="007D25BE"/>
    <w:rsid w:val="007D2978"/>
    <w:rsid w:val="007D3088"/>
    <w:rsid w:val="007D38F0"/>
    <w:rsid w:val="007D3D43"/>
    <w:rsid w:val="007D3DFB"/>
    <w:rsid w:val="007D3E0E"/>
    <w:rsid w:val="007D44D8"/>
    <w:rsid w:val="007D46A5"/>
    <w:rsid w:val="007D5284"/>
    <w:rsid w:val="007D5440"/>
    <w:rsid w:val="007D58C2"/>
    <w:rsid w:val="007D5965"/>
    <w:rsid w:val="007D5D5D"/>
    <w:rsid w:val="007D5F3A"/>
    <w:rsid w:val="007D693B"/>
    <w:rsid w:val="007D7E0F"/>
    <w:rsid w:val="007E1049"/>
    <w:rsid w:val="007E1155"/>
    <w:rsid w:val="007E1362"/>
    <w:rsid w:val="007E2010"/>
    <w:rsid w:val="007E242A"/>
    <w:rsid w:val="007E2695"/>
    <w:rsid w:val="007E2E51"/>
    <w:rsid w:val="007E3251"/>
    <w:rsid w:val="007E355A"/>
    <w:rsid w:val="007E3744"/>
    <w:rsid w:val="007E3B2A"/>
    <w:rsid w:val="007E3D74"/>
    <w:rsid w:val="007E3DD7"/>
    <w:rsid w:val="007E44FF"/>
    <w:rsid w:val="007E52F2"/>
    <w:rsid w:val="007E59F9"/>
    <w:rsid w:val="007E5CBB"/>
    <w:rsid w:val="007E618A"/>
    <w:rsid w:val="007E618F"/>
    <w:rsid w:val="007E61D3"/>
    <w:rsid w:val="007E6329"/>
    <w:rsid w:val="007E6715"/>
    <w:rsid w:val="007E68C0"/>
    <w:rsid w:val="007E7244"/>
    <w:rsid w:val="007E7346"/>
    <w:rsid w:val="007E76A3"/>
    <w:rsid w:val="007E799F"/>
    <w:rsid w:val="007F05C9"/>
    <w:rsid w:val="007F082F"/>
    <w:rsid w:val="007F08DC"/>
    <w:rsid w:val="007F0B15"/>
    <w:rsid w:val="007F1017"/>
    <w:rsid w:val="007F1497"/>
    <w:rsid w:val="007F1AE7"/>
    <w:rsid w:val="007F1F86"/>
    <w:rsid w:val="007F2589"/>
    <w:rsid w:val="007F2618"/>
    <w:rsid w:val="007F2D35"/>
    <w:rsid w:val="007F33CA"/>
    <w:rsid w:val="007F3C57"/>
    <w:rsid w:val="007F45E6"/>
    <w:rsid w:val="007F4A3F"/>
    <w:rsid w:val="007F4A61"/>
    <w:rsid w:val="007F4BB8"/>
    <w:rsid w:val="007F5044"/>
    <w:rsid w:val="007F61C2"/>
    <w:rsid w:val="007F622B"/>
    <w:rsid w:val="007F6DB3"/>
    <w:rsid w:val="007F7422"/>
    <w:rsid w:val="007F7481"/>
    <w:rsid w:val="007F7A11"/>
    <w:rsid w:val="007F7FD9"/>
    <w:rsid w:val="008003FC"/>
    <w:rsid w:val="00800882"/>
    <w:rsid w:val="008008E2"/>
    <w:rsid w:val="00801207"/>
    <w:rsid w:val="0080138A"/>
    <w:rsid w:val="008013DE"/>
    <w:rsid w:val="0080150C"/>
    <w:rsid w:val="00801886"/>
    <w:rsid w:val="00801993"/>
    <w:rsid w:val="00801ED2"/>
    <w:rsid w:val="00802045"/>
    <w:rsid w:val="00802152"/>
    <w:rsid w:val="008022D0"/>
    <w:rsid w:val="00802E83"/>
    <w:rsid w:val="0080348D"/>
    <w:rsid w:val="00803F46"/>
    <w:rsid w:val="00804026"/>
    <w:rsid w:val="008042C1"/>
    <w:rsid w:val="00804A37"/>
    <w:rsid w:val="00805142"/>
    <w:rsid w:val="008054E9"/>
    <w:rsid w:val="0080557E"/>
    <w:rsid w:val="00805A24"/>
    <w:rsid w:val="00806285"/>
    <w:rsid w:val="008063E1"/>
    <w:rsid w:val="00806862"/>
    <w:rsid w:val="008068BD"/>
    <w:rsid w:val="00806A6C"/>
    <w:rsid w:val="00806CC9"/>
    <w:rsid w:val="008070D1"/>
    <w:rsid w:val="00807A35"/>
    <w:rsid w:val="00807A8B"/>
    <w:rsid w:val="00807B11"/>
    <w:rsid w:val="008106E1"/>
    <w:rsid w:val="008107B9"/>
    <w:rsid w:val="00810CE1"/>
    <w:rsid w:val="00810D25"/>
    <w:rsid w:val="00811383"/>
    <w:rsid w:val="00811B61"/>
    <w:rsid w:val="00811D38"/>
    <w:rsid w:val="00812138"/>
    <w:rsid w:val="00812149"/>
    <w:rsid w:val="0081242F"/>
    <w:rsid w:val="008124C8"/>
    <w:rsid w:val="0081259A"/>
    <w:rsid w:val="00812CAC"/>
    <w:rsid w:val="00812CFB"/>
    <w:rsid w:val="00812EA3"/>
    <w:rsid w:val="008132C1"/>
    <w:rsid w:val="00813850"/>
    <w:rsid w:val="00813E25"/>
    <w:rsid w:val="00813EC6"/>
    <w:rsid w:val="00814425"/>
    <w:rsid w:val="0081542A"/>
    <w:rsid w:val="008155FB"/>
    <w:rsid w:val="008166EF"/>
    <w:rsid w:val="00816870"/>
    <w:rsid w:val="008169E2"/>
    <w:rsid w:val="00817855"/>
    <w:rsid w:val="008178ED"/>
    <w:rsid w:val="0082037A"/>
    <w:rsid w:val="008207D6"/>
    <w:rsid w:val="008218CB"/>
    <w:rsid w:val="00821CA0"/>
    <w:rsid w:val="00822398"/>
    <w:rsid w:val="0082253E"/>
    <w:rsid w:val="0082263B"/>
    <w:rsid w:val="00822C96"/>
    <w:rsid w:val="008234A8"/>
    <w:rsid w:val="00823874"/>
    <w:rsid w:val="008243A3"/>
    <w:rsid w:val="008246A5"/>
    <w:rsid w:val="008253C1"/>
    <w:rsid w:val="00825751"/>
    <w:rsid w:val="00825948"/>
    <w:rsid w:val="0082595D"/>
    <w:rsid w:val="00825D7D"/>
    <w:rsid w:val="00825F1B"/>
    <w:rsid w:val="008262A1"/>
    <w:rsid w:val="008264EB"/>
    <w:rsid w:val="008267C4"/>
    <w:rsid w:val="0082705C"/>
    <w:rsid w:val="00827407"/>
    <w:rsid w:val="00827859"/>
    <w:rsid w:val="00827967"/>
    <w:rsid w:val="00827C8F"/>
    <w:rsid w:val="00827F96"/>
    <w:rsid w:val="008300E9"/>
    <w:rsid w:val="008303A2"/>
    <w:rsid w:val="00831667"/>
    <w:rsid w:val="0083182F"/>
    <w:rsid w:val="00831E83"/>
    <w:rsid w:val="00832242"/>
    <w:rsid w:val="00832867"/>
    <w:rsid w:val="00833208"/>
    <w:rsid w:val="00833503"/>
    <w:rsid w:val="0083389C"/>
    <w:rsid w:val="00833B05"/>
    <w:rsid w:val="00833B19"/>
    <w:rsid w:val="008342F3"/>
    <w:rsid w:val="008342FF"/>
    <w:rsid w:val="00834608"/>
    <w:rsid w:val="0083466F"/>
    <w:rsid w:val="00834CDD"/>
    <w:rsid w:val="00834EF3"/>
    <w:rsid w:val="00834F47"/>
    <w:rsid w:val="008353C4"/>
    <w:rsid w:val="008362B4"/>
    <w:rsid w:val="00836549"/>
    <w:rsid w:val="00836A8B"/>
    <w:rsid w:val="00837514"/>
    <w:rsid w:val="00837C5F"/>
    <w:rsid w:val="008405C7"/>
    <w:rsid w:val="00840797"/>
    <w:rsid w:val="00840CA2"/>
    <w:rsid w:val="00840EBD"/>
    <w:rsid w:val="00840F16"/>
    <w:rsid w:val="008414AE"/>
    <w:rsid w:val="00841644"/>
    <w:rsid w:val="008416AB"/>
    <w:rsid w:val="00841BCE"/>
    <w:rsid w:val="00841F1D"/>
    <w:rsid w:val="00842119"/>
    <w:rsid w:val="008426C1"/>
    <w:rsid w:val="008427C5"/>
    <w:rsid w:val="00842B86"/>
    <w:rsid w:val="0084374F"/>
    <w:rsid w:val="00843F08"/>
    <w:rsid w:val="00844036"/>
    <w:rsid w:val="00844A24"/>
    <w:rsid w:val="00844E4F"/>
    <w:rsid w:val="00844F0C"/>
    <w:rsid w:val="008450E8"/>
    <w:rsid w:val="00845B0B"/>
    <w:rsid w:val="00846027"/>
    <w:rsid w:val="00846385"/>
    <w:rsid w:val="00846732"/>
    <w:rsid w:val="008467F7"/>
    <w:rsid w:val="00846D04"/>
    <w:rsid w:val="008470CA"/>
    <w:rsid w:val="00847CD2"/>
    <w:rsid w:val="00847D07"/>
    <w:rsid w:val="00847D2B"/>
    <w:rsid w:val="00847DF5"/>
    <w:rsid w:val="00850483"/>
    <w:rsid w:val="00850541"/>
    <w:rsid w:val="0085079F"/>
    <w:rsid w:val="0085098E"/>
    <w:rsid w:val="00850AC1"/>
    <w:rsid w:val="00851378"/>
    <w:rsid w:val="00851A80"/>
    <w:rsid w:val="00851FA8"/>
    <w:rsid w:val="008526F8"/>
    <w:rsid w:val="00852969"/>
    <w:rsid w:val="00852DF6"/>
    <w:rsid w:val="0085309D"/>
    <w:rsid w:val="00853973"/>
    <w:rsid w:val="00853A0A"/>
    <w:rsid w:val="00853A66"/>
    <w:rsid w:val="00854170"/>
    <w:rsid w:val="00854640"/>
    <w:rsid w:val="008549F7"/>
    <w:rsid w:val="00854C01"/>
    <w:rsid w:val="008550AE"/>
    <w:rsid w:val="00856316"/>
    <w:rsid w:val="00856897"/>
    <w:rsid w:val="00856CA0"/>
    <w:rsid w:val="00856E9A"/>
    <w:rsid w:val="00857176"/>
    <w:rsid w:val="008572F2"/>
    <w:rsid w:val="00857797"/>
    <w:rsid w:val="008600F4"/>
    <w:rsid w:val="00860206"/>
    <w:rsid w:val="00860466"/>
    <w:rsid w:val="0086075D"/>
    <w:rsid w:val="0086087C"/>
    <w:rsid w:val="0086123C"/>
    <w:rsid w:val="00861544"/>
    <w:rsid w:val="008616E2"/>
    <w:rsid w:val="00861721"/>
    <w:rsid w:val="00861D7B"/>
    <w:rsid w:val="00862073"/>
    <w:rsid w:val="008622E7"/>
    <w:rsid w:val="00862502"/>
    <w:rsid w:val="0086288C"/>
    <w:rsid w:val="00863124"/>
    <w:rsid w:val="008634C0"/>
    <w:rsid w:val="00863CBC"/>
    <w:rsid w:val="008640DE"/>
    <w:rsid w:val="00865049"/>
    <w:rsid w:val="00865A06"/>
    <w:rsid w:val="00865A72"/>
    <w:rsid w:val="00865C64"/>
    <w:rsid w:val="00865E26"/>
    <w:rsid w:val="008660D4"/>
    <w:rsid w:val="0086697E"/>
    <w:rsid w:val="00866E84"/>
    <w:rsid w:val="00867046"/>
    <w:rsid w:val="00867105"/>
    <w:rsid w:val="00867932"/>
    <w:rsid w:val="008705A0"/>
    <w:rsid w:val="00870935"/>
    <w:rsid w:val="00870B6E"/>
    <w:rsid w:val="008711B9"/>
    <w:rsid w:val="00871591"/>
    <w:rsid w:val="00871AE2"/>
    <w:rsid w:val="00871FA9"/>
    <w:rsid w:val="0087206B"/>
    <w:rsid w:val="008728E9"/>
    <w:rsid w:val="00872957"/>
    <w:rsid w:val="00872C45"/>
    <w:rsid w:val="008732C6"/>
    <w:rsid w:val="00873872"/>
    <w:rsid w:val="0087387E"/>
    <w:rsid w:val="00873E23"/>
    <w:rsid w:val="00873FE8"/>
    <w:rsid w:val="008741B5"/>
    <w:rsid w:val="0087451D"/>
    <w:rsid w:val="00874976"/>
    <w:rsid w:val="00874E24"/>
    <w:rsid w:val="00875170"/>
    <w:rsid w:val="00875E8B"/>
    <w:rsid w:val="008761C3"/>
    <w:rsid w:val="00876274"/>
    <w:rsid w:val="008765D5"/>
    <w:rsid w:val="0087690B"/>
    <w:rsid w:val="00876F70"/>
    <w:rsid w:val="0087702C"/>
    <w:rsid w:val="0087711F"/>
    <w:rsid w:val="0087738B"/>
    <w:rsid w:val="00877531"/>
    <w:rsid w:val="00877CC0"/>
    <w:rsid w:val="00880479"/>
    <w:rsid w:val="00880604"/>
    <w:rsid w:val="00880934"/>
    <w:rsid w:val="00880A3B"/>
    <w:rsid w:val="00880B1A"/>
    <w:rsid w:val="00881A04"/>
    <w:rsid w:val="00881BC5"/>
    <w:rsid w:val="00882630"/>
    <w:rsid w:val="00882874"/>
    <w:rsid w:val="00882D4D"/>
    <w:rsid w:val="00883787"/>
    <w:rsid w:val="00883C74"/>
    <w:rsid w:val="00883D2C"/>
    <w:rsid w:val="00884AB2"/>
    <w:rsid w:val="00884CCC"/>
    <w:rsid w:val="00884DA4"/>
    <w:rsid w:val="008851DA"/>
    <w:rsid w:val="00885318"/>
    <w:rsid w:val="008854A4"/>
    <w:rsid w:val="008861C5"/>
    <w:rsid w:val="00886671"/>
    <w:rsid w:val="00886CD2"/>
    <w:rsid w:val="00886D30"/>
    <w:rsid w:val="00886F4B"/>
    <w:rsid w:val="008871BD"/>
    <w:rsid w:val="008875A1"/>
    <w:rsid w:val="0088780F"/>
    <w:rsid w:val="008879AE"/>
    <w:rsid w:val="00887B58"/>
    <w:rsid w:val="00887D9C"/>
    <w:rsid w:val="00890629"/>
    <w:rsid w:val="00890695"/>
    <w:rsid w:val="00890A19"/>
    <w:rsid w:val="00890B42"/>
    <w:rsid w:val="008912DD"/>
    <w:rsid w:val="00891B52"/>
    <w:rsid w:val="00891B60"/>
    <w:rsid w:val="00891EFC"/>
    <w:rsid w:val="00891F7C"/>
    <w:rsid w:val="008925D0"/>
    <w:rsid w:val="00892A36"/>
    <w:rsid w:val="00893239"/>
    <w:rsid w:val="00893BA0"/>
    <w:rsid w:val="00894489"/>
    <w:rsid w:val="00894A5C"/>
    <w:rsid w:val="00894B54"/>
    <w:rsid w:val="00894E12"/>
    <w:rsid w:val="00895839"/>
    <w:rsid w:val="00895D7D"/>
    <w:rsid w:val="0089612F"/>
    <w:rsid w:val="008963A5"/>
    <w:rsid w:val="00896FFF"/>
    <w:rsid w:val="00897702"/>
    <w:rsid w:val="00897BD0"/>
    <w:rsid w:val="008A046E"/>
    <w:rsid w:val="008A0842"/>
    <w:rsid w:val="008A08DF"/>
    <w:rsid w:val="008A0B06"/>
    <w:rsid w:val="008A0EFF"/>
    <w:rsid w:val="008A152B"/>
    <w:rsid w:val="008A1D98"/>
    <w:rsid w:val="008A20DF"/>
    <w:rsid w:val="008A264B"/>
    <w:rsid w:val="008A2CD6"/>
    <w:rsid w:val="008A2F99"/>
    <w:rsid w:val="008A3363"/>
    <w:rsid w:val="008A3371"/>
    <w:rsid w:val="008A3C3E"/>
    <w:rsid w:val="008A403E"/>
    <w:rsid w:val="008A408C"/>
    <w:rsid w:val="008A52CE"/>
    <w:rsid w:val="008A69A9"/>
    <w:rsid w:val="008A6A75"/>
    <w:rsid w:val="008A6AF5"/>
    <w:rsid w:val="008A73AC"/>
    <w:rsid w:val="008A79DE"/>
    <w:rsid w:val="008A7B33"/>
    <w:rsid w:val="008B0761"/>
    <w:rsid w:val="008B084E"/>
    <w:rsid w:val="008B13E3"/>
    <w:rsid w:val="008B144C"/>
    <w:rsid w:val="008B1757"/>
    <w:rsid w:val="008B195C"/>
    <w:rsid w:val="008B1D7D"/>
    <w:rsid w:val="008B2157"/>
    <w:rsid w:val="008B23AF"/>
    <w:rsid w:val="008B318F"/>
    <w:rsid w:val="008B35B2"/>
    <w:rsid w:val="008B35D1"/>
    <w:rsid w:val="008B434A"/>
    <w:rsid w:val="008B4390"/>
    <w:rsid w:val="008B4434"/>
    <w:rsid w:val="008B447C"/>
    <w:rsid w:val="008B46B5"/>
    <w:rsid w:val="008B4A25"/>
    <w:rsid w:val="008B4C09"/>
    <w:rsid w:val="008B4C7D"/>
    <w:rsid w:val="008B4E43"/>
    <w:rsid w:val="008B55FC"/>
    <w:rsid w:val="008B5F2D"/>
    <w:rsid w:val="008B63D4"/>
    <w:rsid w:val="008B648F"/>
    <w:rsid w:val="008B697F"/>
    <w:rsid w:val="008B6C6A"/>
    <w:rsid w:val="008B736D"/>
    <w:rsid w:val="008B7D7E"/>
    <w:rsid w:val="008C02E5"/>
    <w:rsid w:val="008C085C"/>
    <w:rsid w:val="008C1022"/>
    <w:rsid w:val="008C106F"/>
    <w:rsid w:val="008C1323"/>
    <w:rsid w:val="008C19BA"/>
    <w:rsid w:val="008C1B0F"/>
    <w:rsid w:val="008C25F9"/>
    <w:rsid w:val="008C28C2"/>
    <w:rsid w:val="008C2F86"/>
    <w:rsid w:val="008C3D19"/>
    <w:rsid w:val="008C3EAF"/>
    <w:rsid w:val="008C4349"/>
    <w:rsid w:val="008C4428"/>
    <w:rsid w:val="008C4829"/>
    <w:rsid w:val="008C4DDB"/>
    <w:rsid w:val="008C51E9"/>
    <w:rsid w:val="008C545B"/>
    <w:rsid w:val="008C5496"/>
    <w:rsid w:val="008C56EE"/>
    <w:rsid w:val="008C5736"/>
    <w:rsid w:val="008C5D92"/>
    <w:rsid w:val="008C6345"/>
    <w:rsid w:val="008C64B0"/>
    <w:rsid w:val="008C656F"/>
    <w:rsid w:val="008C6927"/>
    <w:rsid w:val="008C6C49"/>
    <w:rsid w:val="008C6D7A"/>
    <w:rsid w:val="008C7018"/>
    <w:rsid w:val="008C719D"/>
    <w:rsid w:val="008C7635"/>
    <w:rsid w:val="008C7ECB"/>
    <w:rsid w:val="008C7FC4"/>
    <w:rsid w:val="008D03A2"/>
    <w:rsid w:val="008D09D9"/>
    <w:rsid w:val="008D1123"/>
    <w:rsid w:val="008D1194"/>
    <w:rsid w:val="008D11AB"/>
    <w:rsid w:val="008D16A8"/>
    <w:rsid w:val="008D1887"/>
    <w:rsid w:val="008D1D36"/>
    <w:rsid w:val="008D1E19"/>
    <w:rsid w:val="008D273B"/>
    <w:rsid w:val="008D2DF7"/>
    <w:rsid w:val="008D34A9"/>
    <w:rsid w:val="008D367A"/>
    <w:rsid w:val="008D3798"/>
    <w:rsid w:val="008D3E91"/>
    <w:rsid w:val="008D3EEB"/>
    <w:rsid w:val="008D402C"/>
    <w:rsid w:val="008D4236"/>
    <w:rsid w:val="008D4368"/>
    <w:rsid w:val="008D4522"/>
    <w:rsid w:val="008D461F"/>
    <w:rsid w:val="008D4755"/>
    <w:rsid w:val="008D4C3D"/>
    <w:rsid w:val="008D50C6"/>
    <w:rsid w:val="008D5298"/>
    <w:rsid w:val="008D52F0"/>
    <w:rsid w:val="008D5DC9"/>
    <w:rsid w:val="008D6171"/>
    <w:rsid w:val="008D6436"/>
    <w:rsid w:val="008D679E"/>
    <w:rsid w:val="008D68BA"/>
    <w:rsid w:val="008D73F9"/>
    <w:rsid w:val="008D782F"/>
    <w:rsid w:val="008D7F46"/>
    <w:rsid w:val="008D7FFD"/>
    <w:rsid w:val="008E013A"/>
    <w:rsid w:val="008E0511"/>
    <w:rsid w:val="008E0830"/>
    <w:rsid w:val="008E0933"/>
    <w:rsid w:val="008E0D3C"/>
    <w:rsid w:val="008E1243"/>
    <w:rsid w:val="008E1723"/>
    <w:rsid w:val="008E1B9E"/>
    <w:rsid w:val="008E2464"/>
    <w:rsid w:val="008E24A3"/>
    <w:rsid w:val="008E270D"/>
    <w:rsid w:val="008E29CA"/>
    <w:rsid w:val="008E2A5E"/>
    <w:rsid w:val="008E2BF4"/>
    <w:rsid w:val="008E2D34"/>
    <w:rsid w:val="008E2D5B"/>
    <w:rsid w:val="008E3733"/>
    <w:rsid w:val="008E3AD7"/>
    <w:rsid w:val="008E3D4A"/>
    <w:rsid w:val="008E3F27"/>
    <w:rsid w:val="008E4178"/>
    <w:rsid w:val="008E441C"/>
    <w:rsid w:val="008E47E7"/>
    <w:rsid w:val="008E51C8"/>
    <w:rsid w:val="008E534C"/>
    <w:rsid w:val="008E54B6"/>
    <w:rsid w:val="008E55AB"/>
    <w:rsid w:val="008E5705"/>
    <w:rsid w:val="008E57E2"/>
    <w:rsid w:val="008E5AC0"/>
    <w:rsid w:val="008E66EB"/>
    <w:rsid w:val="008E670C"/>
    <w:rsid w:val="008E6E7F"/>
    <w:rsid w:val="008E77D3"/>
    <w:rsid w:val="008E7E07"/>
    <w:rsid w:val="008E7E14"/>
    <w:rsid w:val="008F094F"/>
    <w:rsid w:val="008F0CA4"/>
    <w:rsid w:val="008F120A"/>
    <w:rsid w:val="008F120C"/>
    <w:rsid w:val="008F1944"/>
    <w:rsid w:val="008F1B82"/>
    <w:rsid w:val="008F1BBF"/>
    <w:rsid w:val="008F1C60"/>
    <w:rsid w:val="008F1D26"/>
    <w:rsid w:val="008F1D29"/>
    <w:rsid w:val="008F27E0"/>
    <w:rsid w:val="008F28C6"/>
    <w:rsid w:val="008F2D7A"/>
    <w:rsid w:val="008F2F7E"/>
    <w:rsid w:val="008F48EB"/>
    <w:rsid w:val="008F4D1E"/>
    <w:rsid w:val="008F4F0B"/>
    <w:rsid w:val="008F5211"/>
    <w:rsid w:val="008F6D79"/>
    <w:rsid w:val="008F72D8"/>
    <w:rsid w:val="00900215"/>
    <w:rsid w:val="00901186"/>
    <w:rsid w:val="009014AC"/>
    <w:rsid w:val="009020CB"/>
    <w:rsid w:val="009022BB"/>
    <w:rsid w:val="0090239C"/>
    <w:rsid w:val="00902902"/>
    <w:rsid w:val="00902D6C"/>
    <w:rsid w:val="00903399"/>
    <w:rsid w:val="009039ED"/>
    <w:rsid w:val="00903F0B"/>
    <w:rsid w:val="00903F93"/>
    <w:rsid w:val="00904198"/>
    <w:rsid w:val="009046C4"/>
    <w:rsid w:val="00904A99"/>
    <w:rsid w:val="00904D1B"/>
    <w:rsid w:val="009055F9"/>
    <w:rsid w:val="009059AE"/>
    <w:rsid w:val="00905D75"/>
    <w:rsid w:val="00905FC0"/>
    <w:rsid w:val="009062A5"/>
    <w:rsid w:val="009070EC"/>
    <w:rsid w:val="00907732"/>
    <w:rsid w:val="009077EB"/>
    <w:rsid w:val="00907A29"/>
    <w:rsid w:val="00907F12"/>
    <w:rsid w:val="00910309"/>
    <w:rsid w:val="009105B6"/>
    <w:rsid w:val="00910E68"/>
    <w:rsid w:val="00910EFB"/>
    <w:rsid w:val="0091111D"/>
    <w:rsid w:val="0091115E"/>
    <w:rsid w:val="00911183"/>
    <w:rsid w:val="00911272"/>
    <w:rsid w:val="00911930"/>
    <w:rsid w:val="00911F56"/>
    <w:rsid w:val="009120EC"/>
    <w:rsid w:val="0091239F"/>
    <w:rsid w:val="009123D6"/>
    <w:rsid w:val="00912B9D"/>
    <w:rsid w:val="00912E1E"/>
    <w:rsid w:val="0091303F"/>
    <w:rsid w:val="00913094"/>
    <w:rsid w:val="009135D6"/>
    <w:rsid w:val="009135DD"/>
    <w:rsid w:val="00913BE3"/>
    <w:rsid w:val="00913C12"/>
    <w:rsid w:val="00914016"/>
    <w:rsid w:val="00914C77"/>
    <w:rsid w:val="00914F3D"/>
    <w:rsid w:val="009155E6"/>
    <w:rsid w:val="009156FC"/>
    <w:rsid w:val="0091581B"/>
    <w:rsid w:val="0091591C"/>
    <w:rsid w:val="0091609E"/>
    <w:rsid w:val="0091629C"/>
    <w:rsid w:val="00916328"/>
    <w:rsid w:val="009168E5"/>
    <w:rsid w:val="00916B53"/>
    <w:rsid w:val="0091753C"/>
    <w:rsid w:val="00917608"/>
    <w:rsid w:val="00917A18"/>
    <w:rsid w:val="00917CD2"/>
    <w:rsid w:val="00917F35"/>
    <w:rsid w:val="0092018D"/>
    <w:rsid w:val="0092060F"/>
    <w:rsid w:val="00920D84"/>
    <w:rsid w:val="00920D9A"/>
    <w:rsid w:val="00921164"/>
    <w:rsid w:val="00921572"/>
    <w:rsid w:val="0092157F"/>
    <w:rsid w:val="009216C9"/>
    <w:rsid w:val="00922208"/>
    <w:rsid w:val="00922349"/>
    <w:rsid w:val="00922CDE"/>
    <w:rsid w:val="00922D77"/>
    <w:rsid w:val="00923195"/>
    <w:rsid w:val="00923515"/>
    <w:rsid w:val="0092369B"/>
    <w:rsid w:val="00923BAB"/>
    <w:rsid w:val="00923D7A"/>
    <w:rsid w:val="00923F79"/>
    <w:rsid w:val="00924946"/>
    <w:rsid w:val="00924DA7"/>
    <w:rsid w:val="00924F57"/>
    <w:rsid w:val="00925F41"/>
    <w:rsid w:val="00926095"/>
    <w:rsid w:val="00926418"/>
    <w:rsid w:val="009264CA"/>
    <w:rsid w:val="00926CEA"/>
    <w:rsid w:val="00926E48"/>
    <w:rsid w:val="0092712A"/>
    <w:rsid w:val="009301A4"/>
    <w:rsid w:val="00930586"/>
    <w:rsid w:val="00930FB6"/>
    <w:rsid w:val="0093104E"/>
    <w:rsid w:val="009315D3"/>
    <w:rsid w:val="00931969"/>
    <w:rsid w:val="00931A84"/>
    <w:rsid w:val="00931AC9"/>
    <w:rsid w:val="00931F1D"/>
    <w:rsid w:val="009320AE"/>
    <w:rsid w:val="009320E4"/>
    <w:rsid w:val="00932741"/>
    <w:rsid w:val="009329AB"/>
    <w:rsid w:val="00934231"/>
    <w:rsid w:val="0093423B"/>
    <w:rsid w:val="0093436E"/>
    <w:rsid w:val="00934D22"/>
    <w:rsid w:val="0093505A"/>
    <w:rsid w:val="0093567E"/>
    <w:rsid w:val="0093682A"/>
    <w:rsid w:val="009368EB"/>
    <w:rsid w:val="00937296"/>
    <w:rsid w:val="00937475"/>
    <w:rsid w:val="00940072"/>
    <w:rsid w:val="009404E1"/>
    <w:rsid w:val="00940BBE"/>
    <w:rsid w:val="0094116B"/>
    <w:rsid w:val="00941B2B"/>
    <w:rsid w:val="00941B3F"/>
    <w:rsid w:val="00941CEA"/>
    <w:rsid w:val="00941FD1"/>
    <w:rsid w:val="00942082"/>
    <w:rsid w:val="00942119"/>
    <w:rsid w:val="00942574"/>
    <w:rsid w:val="00942E05"/>
    <w:rsid w:val="00943725"/>
    <w:rsid w:val="0094373C"/>
    <w:rsid w:val="00943C47"/>
    <w:rsid w:val="00943C86"/>
    <w:rsid w:val="00943FED"/>
    <w:rsid w:val="009449EB"/>
    <w:rsid w:val="00944A8D"/>
    <w:rsid w:val="00944CE6"/>
    <w:rsid w:val="00945068"/>
    <w:rsid w:val="009451E2"/>
    <w:rsid w:val="0094549A"/>
    <w:rsid w:val="00945513"/>
    <w:rsid w:val="00946103"/>
    <w:rsid w:val="00946141"/>
    <w:rsid w:val="009465FE"/>
    <w:rsid w:val="00946E94"/>
    <w:rsid w:val="00947231"/>
    <w:rsid w:val="00947BC7"/>
    <w:rsid w:val="00950406"/>
    <w:rsid w:val="00950627"/>
    <w:rsid w:val="009506B3"/>
    <w:rsid w:val="00950782"/>
    <w:rsid w:val="009510A2"/>
    <w:rsid w:val="00951898"/>
    <w:rsid w:val="00951A05"/>
    <w:rsid w:val="00952199"/>
    <w:rsid w:val="009522AE"/>
    <w:rsid w:val="009523B5"/>
    <w:rsid w:val="0095270C"/>
    <w:rsid w:val="0095270D"/>
    <w:rsid w:val="00952B2C"/>
    <w:rsid w:val="00953257"/>
    <w:rsid w:val="00954434"/>
    <w:rsid w:val="0095463D"/>
    <w:rsid w:val="009556B0"/>
    <w:rsid w:val="00955DD3"/>
    <w:rsid w:val="009560B2"/>
    <w:rsid w:val="00956544"/>
    <w:rsid w:val="009569B8"/>
    <w:rsid w:val="00956B8B"/>
    <w:rsid w:val="00956BD7"/>
    <w:rsid w:val="00956D0F"/>
    <w:rsid w:val="00956E33"/>
    <w:rsid w:val="0096001A"/>
    <w:rsid w:val="00960C24"/>
    <w:rsid w:val="00960CAA"/>
    <w:rsid w:val="00960E53"/>
    <w:rsid w:val="0096154A"/>
    <w:rsid w:val="00961B03"/>
    <w:rsid w:val="00961DF1"/>
    <w:rsid w:val="00962226"/>
    <w:rsid w:val="009623A7"/>
    <w:rsid w:val="00962A79"/>
    <w:rsid w:val="00962CB9"/>
    <w:rsid w:val="00963861"/>
    <w:rsid w:val="00963FAB"/>
    <w:rsid w:val="00964312"/>
    <w:rsid w:val="00964672"/>
    <w:rsid w:val="00964773"/>
    <w:rsid w:val="009649ED"/>
    <w:rsid w:val="009654EC"/>
    <w:rsid w:val="00965703"/>
    <w:rsid w:val="009658F7"/>
    <w:rsid w:val="009659CA"/>
    <w:rsid w:val="009659CD"/>
    <w:rsid w:val="00965AF6"/>
    <w:rsid w:val="00965B8A"/>
    <w:rsid w:val="00966627"/>
    <w:rsid w:val="00966674"/>
    <w:rsid w:val="009669B8"/>
    <w:rsid w:val="00966A67"/>
    <w:rsid w:val="00966C1B"/>
    <w:rsid w:val="00966F65"/>
    <w:rsid w:val="00967090"/>
    <w:rsid w:val="00967300"/>
    <w:rsid w:val="0097000D"/>
    <w:rsid w:val="00970030"/>
    <w:rsid w:val="0097010A"/>
    <w:rsid w:val="00970181"/>
    <w:rsid w:val="009709FD"/>
    <w:rsid w:val="00970B53"/>
    <w:rsid w:val="00970C89"/>
    <w:rsid w:val="009710A3"/>
    <w:rsid w:val="009710F0"/>
    <w:rsid w:val="00971172"/>
    <w:rsid w:val="009717AC"/>
    <w:rsid w:val="00971DA1"/>
    <w:rsid w:val="00971E3E"/>
    <w:rsid w:val="009721FD"/>
    <w:rsid w:val="009728B0"/>
    <w:rsid w:val="00972918"/>
    <w:rsid w:val="00972A00"/>
    <w:rsid w:val="00972E1C"/>
    <w:rsid w:val="00972F18"/>
    <w:rsid w:val="00973303"/>
    <w:rsid w:val="009738C1"/>
    <w:rsid w:val="00973BD5"/>
    <w:rsid w:val="00974190"/>
    <w:rsid w:val="009743F4"/>
    <w:rsid w:val="00974573"/>
    <w:rsid w:val="009746CE"/>
    <w:rsid w:val="009753F2"/>
    <w:rsid w:val="00975486"/>
    <w:rsid w:val="00975705"/>
    <w:rsid w:val="00975D7F"/>
    <w:rsid w:val="009763B6"/>
    <w:rsid w:val="009766FE"/>
    <w:rsid w:val="00976A9D"/>
    <w:rsid w:val="00976D4B"/>
    <w:rsid w:val="00977213"/>
    <w:rsid w:val="009772D5"/>
    <w:rsid w:val="009774A1"/>
    <w:rsid w:val="00977FE1"/>
    <w:rsid w:val="009802D0"/>
    <w:rsid w:val="00981B6C"/>
    <w:rsid w:val="00981C8E"/>
    <w:rsid w:val="00981E6E"/>
    <w:rsid w:val="00981FDB"/>
    <w:rsid w:val="00982A57"/>
    <w:rsid w:val="00982CE5"/>
    <w:rsid w:val="00983A05"/>
    <w:rsid w:val="00983E57"/>
    <w:rsid w:val="00983E60"/>
    <w:rsid w:val="009841E2"/>
    <w:rsid w:val="00984622"/>
    <w:rsid w:val="00984C83"/>
    <w:rsid w:val="00985218"/>
    <w:rsid w:val="00985876"/>
    <w:rsid w:val="009858B5"/>
    <w:rsid w:val="00985978"/>
    <w:rsid w:val="00985B13"/>
    <w:rsid w:val="00985C63"/>
    <w:rsid w:val="009864F9"/>
    <w:rsid w:val="0098675D"/>
    <w:rsid w:val="0098739A"/>
    <w:rsid w:val="0098777D"/>
    <w:rsid w:val="009878F4"/>
    <w:rsid w:val="009879A7"/>
    <w:rsid w:val="00987A87"/>
    <w:rsid w:val="00987B80"/>
    <w:rsid w:val="009900BF"/>
    <w:rsid w:val="0099154B"/>
    <w:rsid w:val="009916B4"/>
    <w:rsid w:val="00991886"/>
    <w:rsid w:val="00991C97"/>
    <w:rsid w:val="00992503"/>
    <w:rsid w:val="009928EF"/>
    <w:rsid w:val="009931F3"/>
    <w:rsid w:val="00993290"/>
    <w:rsid w:val="00993359"/>
    <w:rsid w:val="009934FC"/>
    <w:rsid w:val="009940F5"/>
    <w:rsid w:val="00994483"/>
    <w:rsid w:val="00994BC8"/>
    <w:rsid w:val="00994D59"/>
    <w:rsid w:val="009963D5"/>
    <w:rsid w:val="00996400"/>
    <w:rsid w:val="0099642A"/>
    <w:rsid w:val="009968C3"/>
    <w:rsid w:val="00996AAB"/>
    <w:rsid w:val="00996B1A"/>
    <w:rsid w:val="0099764A"/>
    <w:rsid w:val="00997CAE"/>
    <w:rsid w:val="009A0DB0"/>
    <w:rsid w:val="009A0EDB"/>
    <w:rsid w:val="009A0F92"/>
    <w:rsid w:val="009A1ACE"/>
    <w:rsid w:val="009A1B13"/>
    <w:rsid w:val="009A2280"/>
    <w:rsid w:val="009A2FF3"/>
    <w:rsid w:val="009A32D1"/>
    <w:rsid w:val="009A33A1"/>
    <w:rsid w:val="009A3A6A"/>
    <w:rsid w:val="009A3B14"/>
    <w:rsid w:val="009A3BDA"/>
    <w:rsid w:val="009A40CC"/>
    <w:rsid w:val="009A42BA"/>
    <w:rsid w:val="009A483C"/>
    <w:rsid w:val="009A4D2C"/>
    <w:rsid w:val="009A4FE7"/>
    <w:rsid w:val="009A5306"/>
    <w:rsid w:val="009A5AA8"/>
    <w:rsid w:val="009A5F30"/>
    <w:rsid w:val="009A6354"/>
    <w:rsid w:val="009A6463"/>
    <w:rsid w:val="009A6748"/>
    <w:rsid w:val="009A6C31"/>
    <w:rsid w:val="009A7186"/>
    <w:rsid w:val="009A7B9C"/>
    <w:rsid w:val="009A7DA1"/>
    <w:rsid w:val="009A7F10"/>
    <w:rsid w:val="009B02BA"/>
    <w:rsid w:val="009B0606"/>
    <w:rsid w:val="009B0A31"/>
    <w:rsid w:val="009B0A7B"/>
    <w:rsid w:val="009B0F94"/>
    <w:rsid w:val="009B111C"/>
    <w:rsid w:val="009B19CC"/>
    <w:rsid w:val="009B2127"/>
    <w:rsid w:val="009B2FA5"/>
    <w:rsid w:val="009B305C"/>
    <w:rsid w:val="009B3416"/>
    <w:rsid w:val="009B383E"/>
    <w:rsid w:val="009B3876"/>
    <w:rsid w:val="009B39F2"/>
    <w:rsid w:val="009B3A10"/>
    <w:rsid w:val="009B3AAF"/>
    <w:rsid w:val="009B3E26"/>
    <w:rsid w:val="009B41D6"/>
    <w:rsid w:val="009B4235"/>
    <w:rsid w:val="009B44FF"/>
    <w:rsid w:val="009B4600"/>
    <w:rsid w:val="009B4C80"/>
    <w:rsid w:val="009B568B"/>
    <w:rsid w:val="009B5BB4"/>
    <w:rsid w:val="009B6438"/>
    <w:rsid w:val="009B69F3"/>
    <w:rsid w:val="009B6A94"/>
    <w:rsid w:val="009B718E"/>
    <w:rsid w:val="009B7D89"/>
    <w:rsid w:val="009C0659"/>
    <w:rsid w:val="009C080E"/>
    <w:rsid w:val="009C0D0E"/>
    <w:rsid w:val="009C0D99"/>
    <w:rsid w:val="009C114A"/>
    <w:rsid w:val="009C241D"/>
    <w:rsid w:val="009C2E0A"/>
    <w:rsid w:val="009C2FEF"/>
    <w:rsid w:val="009C3432"/>
    <w:rsid w:val="009C35D3"/>
    <w:rsid w:val="009C37F7"/>
    <w:rsid w:val="009C3975"/>
    <w:rsid w:val="009C3DCB"/>
    <w:rsid w:val="009C4494"/>
    <w:rsid w:val="009C44A5"/>
    <w:rsid w:val="009C44CA"/>
    <w:rsid w:val="009C4969"/>
    <w:rsid w:val="009C4975"/>
    <w:rsid w:val="009C4EFC"/>
    <w:rsid w:val="009C5DAC"/>
    <w:rsid w:val="009C641A"/>
    <w:rsid w:val="009C6444"/>
    <w:rsid w:val="009C664F"/>
    <w:rsid w:val="009C6CEA"/>
    <w:rsid w:val="009C73AB"/>
    <w:rsid w:val="009C7840"/>
    <w:rsid w:val="009C7B85"/>
    <w:rsid w:val="009C7B94"/>
    <w:rsid w:val="009C7C44"/>
    <w:rsid w:val="009C7F2C"/>
    <w:rsid w:val="009C7FBD"/>
    <w:rsid w:val="009D044C"/>
    <w:rsid w:val="009D045A"/>
    <w:rsid w:val="009D046A"/>
    <w:rsid w:val="009D04AF"/>
    <w:rsid w:val="009D04FE"/>
    <w:rsid w:val="009D0A01"/>
    <w:rsid w:val="009D1239"/>
    <w:rsid w:val="009D2B5D"/>
    <w:rsid w:val="009D3156"/>
    <w:rsid w:val="009D3500"/>
    <w:rsid w:val="009D3B18"/>
    <w:rsid w:val="009D3D10"/>
    <w:rsid w:val="009D4468"/>
    <w:rsid w:val="009D5B91"/>
    <w:rsid w:val="009D6438"/>
    <w:rsid w:val="009D64EE"/>
    <w:rsid w:val="009D67BF"/>
    <w:rsid w:val="009D763C"/>
    <w:rsid w:val="009D76C1"/>
    <w:rsid w:val="009D78F4"/>
    <w:rsid w:val="009D792E"/>
    <w:rsid w:val="009D7949"/>
    <w:rsid w:val="009D7E91"/>
    <w:rsid w:val="009D7EAF"/>
    <w:rsid w:val="009D7F7D"/>
    <w:rsid w:val="009E0993"/>
    <w:rsid w:val="009E0C8F"/>
    <w:rsid w:val="009E0DFE"/>
    <w:rsid w:val="009E0FE6"/>
    <w:rsid w:val="009E13E9"/>
    <w:rsid w:val="009E1659"/>
    <w:rsid w:val="009E196F"/>
    <w:rsid w:val="009E1A9C"/>
    <w:rsid w:val="009E1F90"/>
    <w:rsid w:val="009E2B6B"/>
    <w:rsid w:val="009E3382"/>
    <w:rsid w:val="009E33CB"/>
    <w:rsid w:val="009E3439"/>
    <w:rsid w:val="009E3683"/>
    <w:rsid w:val="009E4663"/>
    <w:rsid w:val="009E4992"/>
    <w:rsid w:val="009E4C07"/>
    <w:rsid w:val="009E4CF6"/>
    <w:rsid w:val="009E4EE3"/>
    <w:rsid w:val="009E5E5E"/>
    <w:rsid w:val="009E643C"/>
    <w:rsid w:val="009E64A5"/>
    <w:rsid w:val="009E652F"/>
    <w:rsid w:val="009E6BC8"/>
    <w:rsid w:val="009E781C"/>
    <w:rsid w:val="009F03E5"/>
    <w:rsid w:val="009F041A"/>
    <w:rsid w:val="009F0902"/>
    <w:rsid w:val="009F0E34"/>
    <w:rsid w:val="009F1407"/>
    <w:rsid w:val="009F144B"/>
    <w:rsid w:val="009F1C5E"/>
    <w:rsid w:val="009F204D"/>
    <w:rsid w:val="009F2769"/>
    <w:rsid w:val="009F2EAA"/>
    <w:rsid w:val="009F313B"/>
    <w:rsid w:val="009F34DB"/>
    <w:rsid w:val="009F3567"/>
    <w:rsid w:val="009F3588"/>
    <w:rsid w:val="009F3620"/>
    <w:rsid w:val="009F3BE0"/>
    <w:rsid w:val="009F3E45"/>
    <w:rsid w:val="009F443C"/>
    <w:rsid w:val="009F5C3E"/>
    <w:rsid w:val="009F5D53"/>
    <w:rsid w:val="009F5DC4"/>
    <w:rsid w:val="009F74EA"/>
    <w:rsid w:val="009F7739"/>
    <w:rsid w:val="009F79B2"/>
    <w:rsid w:val="00A00CD3"/>
    <w:rsid w:val="00A01184"/>
    <w:rsid w:val="00A01F23"/>
    <w:rsid w:val="00A02079"/>
    <w:rsid w:val="00A02113"/>
    <w:rsid w:val="00A02982"/>
    <w:rsid w:val="00A0312C"/>
    <w:rsid w:val="00A03D43"/>
    <w:rsid w:val="00A03E12"/>
    <w:rsid w:val="00A03EAC"/>
    <w:rsid w:val="00A0401C"/>
    <w:rsid w:val="00A04380"/>
    <w:rsid w:val="00A04561"/>
    <w:rsid w:val="00A045AB"/>
    <w:rsid w:val="00A04BA2"/>
    <w:rsid w:val="00A05399"/>
    <w:rsid w:val="00A055A7"/>
    <w:rsid w:val="00A058FA"/>
    <w:rsid w:val="00A05E85"/>
    <w:rsid w:val="00A06215"/>
    <w:rsid w:val="00A06771"/>
    <w:rsid w:val="00A06904"/>
    <w:rsid w:val="00A06CE7"/>
    <w:rsid w:val="00A0736B"/>
    <w:rsid w:val="00A0748D"/>
    <w:rsid w:val="00A10BE5"/>
    <w:rsid w:val="00A11CD0"/>
    <w:rsid w:val="00A1219C"/>
    <w:rsid w:val="00A122E2"/>
    <w:rsid w:val="00A1233F"/>
    <w:rsid w:val="00A128F1"/>
    <w:rsid w:val="00A13202"/>
    <w:rsid w:val="00A13471"/>
    <w:rsid w:val="00A1378B"/>
    <w:rsid w:val="00A13948"/>
    <w:rsid w:val="00A13AA7"/>
    <w:rsid w:val="00A13C1C"/>
    <w:rsid w:val="00A13EEF"/>
    <w:rsid w:val="00A1555B"/>
    <w:rsid w:val="00A155C5"/>
    <w:rsid w:val="00A15D0F"/>
    <w:rsid w:val="00A15E5C"/>
    <w:rsid w:val="00A1633D"/>
    <w:rsid w:val="00A16AD8"/>
    <w:rsid w:val="00A16C32"/>
    <w:rsid w:val="00A16F73"/>
    <w:rsid w:val="00A17396"/>
    <w:rsid w:val="00A17928"/>
    <w:rsid w:val="00A17931"/>
    <w:rsid w:val="00A17BC1"/>
    <w:rsid w:val="00A17CBA"/>
    <w:rsid w:val="00A2069F"/>
    <w:rsid w:val="00A20F12"/>
    <w:rsid w:val="00A2141E"/>
    <w:rsid w:val="00A215F1"/>
    <w:rsid w:val="00A21CF3"/>
    <w:rsid w:val="00A21FF4"/>
    <w:rsid w:val="00A22075"/>
    <w:rsid w:val="00A22217"/>
    <w:rsid w:val="00A22496"/>
    <w:rsid w:val="00A22A85"/>
    <w:rsid w:val="00A23008"/>
    <w:rsid w:val="00A2342E"/>
    <w:rsid w:val="00A23554"/>
    <w:rsid w:val="00A23700"/>
    <w:rsid w:val="00A2374F"/>
    <w:rsid w:val="00A237EB"/>
    <w:rsid w:val="00A23817"/>
    <w:rsid w:val="00A23868"/>
    <w:rsid w:val="00A2394C"/>
    <w:rsid w:val="00A23BDB"/>
    <w:rsid w:val="00A240C5"/>
    <w:rsid w:val="00A24542"/>
    <w:rsid w:val="00A245C6"/>
    <w:rsid w:val="00A24642"/>
    <w:rsid w:val="00A2492F"/>
    <w:rsid w:val="00A24D0C"/>
    <w:rsid w:val="00A24E9A"/>
    <w:rsid w:val="00A259B9"/>
    <w:rsid w:val="00A25A81"/>
    <w:rsid w:val="00A26004"/>
    <w:rsid w:val="00A262DA"/>
    <w:rsid w:val="00A26C90"/>
    <w:rsid w:val="00A26E18"/>
    <w:rsid w:val="00A26F66"/>
    <w:rsid w:val="00A27AEC"/>
    <w:rsid w:val="00A27CCE"/>
    <w:rsid w:val="00A30334"/>
    <w:rsid w:val="00A303CE"/>
    <w:rsid w:val="00A30DD2"/>
    <w:rsid w:val="00A31067"/>
    <w:rsid w:val="00A3155A"/>
    <w:rsid w:val="00A31FDD"/>
    <w:rsid w:val="00A320DB"/>
    <w:rsid w:val="00A32BFB"/>
    <w:rsid w:val="00A331A9"/>
    <w:rsid w:val="00A33AEF"/>
    <w:rsid w:val="00A33E3F"/>
    <w:rsid w:val="00A33F70"/>
    <w:rsid w:val="00A342D1"/>
    <w:rsid w:val="00A34362"/>
    <w:rsid w:val="00A3439F"/>
    <w:rsid w:val="00A34455"/>
    <w:rsid w:val="00A346BB"/>
    <w:rsid w:val="00A35156"/>
    <w:rsid w:val="00A35553"/>
    <w:rsid w:val="00A35B76"/>
    <w:rsid w:val="00A35D16"/>
    <w:rsid w:val="00A35E7F"/>
    <w:rsid w:val="00A36155"/>
    <w:rsid w:val="00A3645D"/>
    <w:rsid w:val="00A364F5"/>
    <w:rsid w:val="00A3689F"/>
    <w:rsid w:val="00A36AE4"/>
    <w:rsid w:val="00A36C05"/>
    <w:rsid w:val="00A36D8B"/>
    <w:rsid w:val="00A36DF3"/>
    <w:rsid w:val="00A375C7"/>
    <w:rsid w:val="00A377C7"/>
    <w:rsid w:val="00A37A71"/>
    <w:rsid w:val="00A37BCD"/>
    <w:rsid w:val="00A37E4C"/>
    <w:rsid w:val="00A406B8"/>
    <w:rsid w:val="00A40A2E"/>
    <w:rsid w:val="00A40DEB"/>
    <w:rsid w:val="00A41D63"/>
    <w:rsid w:val="00A42705"/>
    <w:rsid w:val="00A42865"/>
    <w:rsid w:val="00A429D6"/>
    <w:rsid w:val="00A42F44"/>
    <w:rsid w:val="00A431E0"/>
    <w:rsid w:val="00A43302"/>
    <w:rsid w:val="00A434B7"/>
    <w:rsid w:val="00A436FC"/>
    <w:rsid w:val="00A438B4"/>
    <w:rsid w:val="00A43B66"/>
    <w:rsid w:val="00A43C59"/>
    <w:rsid w:val="00A43C87"/>
    <w:rsid w:val="00A43FF2"/>
    <w:rsid w:val="00A44571"/>
    <w:rsid w:val="00A44BE3"/>
    <w:rsid w:val="00A450FE"/>
    <w:rsid w:val="00A45155"/>
    <w:rsid w:val="00A451F0"/>
    <w:rsid w:val="00A45BD3"/>
    <w:rsid w:val="00A461BA"/>
    <w:rsid w:val="00A469AB"/>
    <w:rsid w:val="00A46B39"/>
    <w:rsid w:val="00A46FE9"/>
    <w:rsid w:val="00A47C22"/>
    <w:rsid w:val="00A47E89"/>
    <w:rsid w:val="00A503BA"/>
    <w:rsid w:val="00A507F0"/>
    <w:rsid w:val="00A50A13"/>
    <w:rsid w:val="00A50BBA"/>
    <w:rsid w:val="00A50ECD"/>
    <w:rsid w:val="00A50FC4"/>
    <w:rsid w:val="00A51169"/>
    <w:rsid w:val="00A51291"/>
    <w:rsid w:val="00A51614"/>
    <w:rsid w:val="00A518F3"/>
    <w:rsid w:val="00A51913"/>
    <w:rsid w:val="00A51A16"/>
    <w:rsid w:val="00A51BD8"/>
    <w:rsid w:val="00A52015"/>
    <w:rsid w:val="00A52487"/>
    <w:rsid w:val="00A52729"/>
    <w:rsid w:val="00A528FD"/>
    <w:rsid w:val="00A529FC"/>
    <w:rsid w:val="00A52AA1"/>
    <w:rsid w:val="00A52ACC"/>
    <w:rsid w:val="00A52F93"/>
    <w:rsid w:val="00A53131"/>
    <w:rsid w:val="00A531C0"/>
    <w:rsid w:val="00A53675"/>
    <w:rsid w:val="00A53823"/>
    <w:rsid w:val="00A54092"/>
    <w:rsid w:val="00A540BF"/>
    <w:rsid w:val="00A54E4A"/>
    <w:rsid w:val="00A550C2"/>
    <w:rsid w:val="00A55796"/>
    <w:rsid w:val="00A55AA1"/>
    <w:rsid w:val="00A55BFB"/>
    <w:rsid w:val="00A55D69"/>
    <w:rsid w:val="00A564D7"/>
    <w:rsid w:val="00A565D7"/>
    <w:rsid w:val="00A5667C"/>
    <w:rsid w:val="00A56B6A"/>
    <w:rsid w:val="00A56D4A"/>
    <w:rsid w:val="00A56F59"/>
    <w:rsid w:val="00A578DC"/>
    <w:rsid w:val="00A57DF7"/>
    <w:rsid w:val="00A60458"/>
    <w:rsid w:val="00A606A3"/>
    <w:rsid w:val="00A60879"/>
    <w:rsid w:val="00A610A9"/>
    <w:rsid w:val="00A6133D"/>
    <w:rsid w:val="00A61628"/>
    <w:rsid w:val="00A61903"/>
    <w:rsid w:val="00A6217B"/>
    <w:rsid w:val="00A621CB"/>
    <w:rsid w:val="00A627A7"/>
    <w:rsid w:val="00A627F7"/>
    <w:rsid w:val="00A6306F"/>
    <w:rsid w:val="00A631EA"/>
    <w:rsid w:val="00A636F9"/>
    <w:rsid w:val="00A6441C"/>
    <w:rsid w:val="00A6480E"/>
    <w:rsid w:val="00A64AC2"/>
    <w:rsid w:val="00A653C5"/>
    <w:rsid w:val="00A659B7"/>
    <w:rsid w:val="00A65EF0"/>
    <w:rsid w:val="00A662CC"/>
    <w:rsid w:val="00A669DA"/>
    <w:rsid w:val="00A67179"/>
    <w:rsid w:val="00A6725B"/>
    <w:rsid w:val="00A67A71"/>
    <w:rsid w:val="00A67FA0"/>
    <w:rsid w:val="00A70200"/>
    <w:rsid w:val="00A7022D"/>
    <w:rsid w:val="00A705B4"/>
    <w:rsid w:val="00A70605"/>
    <w:rsid w:val="00A709F2"/>
    <w:rsid w:val="00A70BE3"/>
    <w:rsid w:val="00A70C1C"/>
    <w:rsid w:val="00A71184"/>
    <w:rsid w:val="00A713BA"/>
    <w:rsid w:val="00A71FC4"/>
    <w:rsid w:val="00A72118"/>
    <w:rsid w:val="00A73134"/>
    <w:rsid w:val="00A7369A"/>
    <w:rsid w:val="00A73D68"/>
    <w:rsid w:val="00A73FA1"/>
    <w:rsid w:val="00A7403B"/>
    <w:rsid w:val="00A7486F"/>
    <w:rsid w:val="00A74B4A"/>
    <w:rsid w:val="00A75776"/>
    <w:rsid w:val="00A75799"/>
    <w:rsid w:val="00A75999"/>
    <w:rsid w:val="00A75AD1"/>
    <w:rsid w:val="00A75C91"/>
    <w:rsid w:val="00A760DB"/>
    <w:rsid w:val="00A7691C"/>
    <w:rsid w:val="00A76FFB"/>
    <w:rsid w:val="00A7726E"/>
    <w:rsid w:val="00A772BE"/>
    <w:rsid w:val="00A777B2"/>
    <w:rsid w:val="00A80CBD"/>
    <w:rsid w:val="00A8101B"/>
    <w:rsid w:val="00A8118E"/>
    <w:rsid w:val="00A81691"/>
    <w:rsid w:val="00A81842"/>
    <w:rsid w:val="00A82522"/>
    <w:rsid w:val="00A82597"/>
    <w:rsid w:val="00A83228"/>
    <w:rsid w:val="00A83EA5"/>
    <w:rsid w:val="00A83EDF"/>
    <w:rsid w:val="00A841F3"/>
    <w:rsid w:val="00A845DF"/>
    <w:rsid w:val="00A846C5"/>
    <w:rsid w:val="00A84AED"/>
    <w:rsid w:val="00A851F3"/>
    <w:rsid w:val="00A853DD"/>
    <w:rsid w:val="00A8549E"/>
    <w:rsid w:val="00A86630"/>
    <w:rsid w:val="00A869F4"/>
    <w:rsid w:val="00A86E8B"/>
    <w:rsid w:val="00A87164"/>
    <w:rsid w:val="00A872DB"/>
    <w:rsid w:val="00A87722"/>
    <w:rsid w:val="00A87848"/>
    <w:rsid w:val="00A87962"/>
    <w:rsid w:val="00A87B91"/>
    <w:rsid w:val="00A87BEA"/>
    <w:rsid w:val="00A90011"/>
    <w:rsid w:val="00A90C17"/>
    <w:rsid w:val="00A90ED2"/>
    <w:rsid w:val="00A91563"/>
    <w:rsid w:val="00A91851"/>
    <w:rsid w:val="00A919FC"/>
    <w:rsid w:val="00A91D6A"/>
    <w:rsid w:val="00A91E2A"/>
    <w:rsid w:val="00A921D5"/>
    <w:rsid w:val="00A93072"/>
    <w:rsid w:val="00A93210"/>
    <w:rsid w:val="00A932C8"/>
    <w:rsid w:val="00A9342C"/>
    <w:rsid w:val="00A93631"/>
    <w:rsid w:val="00A93953"/>
    <w:rsid w:val="00A93980"/>
    <w:rsid w:val="00A93A5A"/>
    <w:rsid w:val="00A93C37"/>
    <w:rsid w:val="00A93FA9"/>
    <w:rsid w:val="00A941D2"/>
    <w:rsid w:val="00A944C9"/>
    <w:rsid w:val="00A94785"/>
    <w:rsid w:val="00A947B7"/>
    <w:rsid w:val="00A94B3F"/>
    <w:rsid w:val="00A94C79"/>
    <w:rsid w:val="00A94F24"/>
    <w:rsid w:val="00A950A8"/>
    <w:rsid w:val="00A959D8"/>
    <w:rsid w:val="00A95C2D"/>
    <w:rsid w:val="00A95D4B"/>
    <w:rsid w:val="00A96427"/>
    <w:rsid w:val="00A96443"/>
    <w:rsid w:val="00A96568"/>
    <w:rsid w:val="00A96F98"/>
    <w:rsid w:val="00A9752A"/>
    <w:rsid w:val="00A97DC8"/>
    <w:rsid w:val="00AA015C"/>
    <w:rsid w:val="00AA0AC7"/>
    <w:rsid w:val="00AA0E2C"/>
    <w:rsid w:val="00AA113D"/>
    <w:rsid w:val="00AA1211"/>
    <w:rsid w:val="00AA155E"/>
    <w:rsid w:val="00AA1719"/>
    <w:rsid w:val="00AA18D5"/>
    <w:rsid w:val="00AA1C8F"/>
    <w:rsid w:val="00AA1D20"/>
    <w:rsid w:val="00AA1E45"/>
    <w:rsid w:val="00AA2512"/>
    <w:rsid w:val="00AA2DDE"/>
    <w:rsid w:val="00AA30D6"/>
    <w:rsid w:val="00AA346B"/>
    <w:rsid w:val="00AA3601"/>
    <w:rsid w:val="00AA3939"/>
    <w:rsid w:val="00AA3D8F"/>
    <w:rsid w:val="00AA4129"/>
    <w:rsid w:val="00AA4491"/>
    <w:rsid w:val="00AA47F8"/>
    <w:rsid w:val="00AA5150"/>
    <w:rsid w:val="00AA518D"/>
    <w:rsid w:val="00AA6010"/>
    <w:rsid w:val="00AA6C46"/>
    <w:rsid w:val="00AA6C7D"/>
    <w:rsid w:val="00AA7195"/>
    <w:rsid w:val="00AA7D57"/>
    <w:rsid w:val="00AA7E69"/>
    <w:rsid w:val="00AA7FD6"/>
    <w:rsid w:val="00AB02B3"/>
    <w:rsid w:val="00AB042A"/>
    <w:rsid w:val="00AB056B"/>
    <w:rsid w:val="00AB0754"/>
    <w:rsid w:val="00AB0822"/>
    <w:rsid w:val="00AB1159"/>
    <w:rsid w:val="00AB16C0"/>
    <w:rsid w:val="00AB1EA1"/>
    <w:rsid w:val="00AB2944"/>
    <w:rsid w:val="00AB2D34"/>
    <w:rsid w:val="00AB2E3E"/>
    <w:rsid w:val="00AB33B2"/>
    <w:rsid w:val="00AB3430"/>
    <w:rsid w:val="00AB389E"/>
    <w:rsid w:val="00AB3A63"/>
    <w:rsid w:val="00AB3B0C"/>
    <w:rsid w:val="00AB4AD1"/>
    <w:rsid w:val="00AB4F41"/>
    <w:rsid w:val="00AB5215"/>
    <w:rsid w:val="00AB5998"/>
    <w:rsid w:val="00AB5B88"/>
    <w:rsid w:val="00AB60B4"/>
    <w:rsid w:val="00AB62DF"/>
    <w:rsid w:val="00AB6352"/>
    <w:rsid w:val="00AB679F"/>
    <w:rsid w:val="00AB67F4"/>
    <w:rsid w:val="00AB6CD5"/>
    <w:rsid w:val="00AB76E2"/>
    <w:rsid w:val="00AB7CFA"/>
    <w:rsid w:val="00AC0E30"/>
    <w:rsid w:val="00AC0FB5"/>
    <w:rsid w:val="00AC14DC"/>
    <w:rsid w:val="00AC1583"/>
    <w:rsid w:val="00AC1850"/>
    <w:rsid w:val="00AC2000"/>
    <w:rsid w:val="00AC209A"/>
    <w:rsid w:val="00AC20F2"/>
    <w:rsid w:val="00AC2463"/>
    <w:rsid w:val="00AC2B93"/>
    <w:rsid w:val="00AC2C14"/>
    <w:rsid w:val="00AC34B2"/>
    <w:rsid w:val="00AC3D13"/>
    <w:rsid w:val="00AC3D33"/>
    <w:rsid w:val="00AC444E"/>
    <w:rsid w:val="00AC4A88"/>
    <w:rsid w:val="00AC4D7B"/>
    <w:rsid w:val="00AC5230"/>
    <w:rsid w:val="00AC547C"/>
    <w:rsid w:val="00AC552B"/>
    <w:rsid w:val="00AC57DD"/>
    <w:rsid w:val="00AC598C"/>
    <w:rsid w:val="00AC5B29"/>
    <w:rsid w:val="00AC5B48"/>
    <w:rsid w:val="00AC5B83"/>
    <w:rsid w:val="00AC5F24"/>
    <w:rsid w:val="00AC6080"/>
    <w:rsid w:val="00AC6AC4"/>
    <w:rsid w:val="00AC6E47"/>
    <w:rsid w:val="00AC7048"/>
    <w:rsid w:val="00AC71D3"/>
    <w:rsid w:val="00AC77AA"/>
    <w:rsid w:val="00AD0174"/>
    <w:rsid w:val="00AD0488"/>
    <w:rsid w:val="00AD0541"/>
    <w:rsid w:val="00AD07D3"/>
    <w:rsid w:val="00AD0AA3"/>
    <w:rsid w:val="00AD0EE2"/>
    <w:rsid w:val="00AD1308"/>
    <w:rsid w:val="00AD1B25"/>
    <w:rsid w:val="00AD1BB5"/>
    <w:rsid w:val="00AD1D04"/>
    <w:rsid w:val="00AD2401"/>
    <w:rsid w:val="00AD26F2"/>
    <w:rsid w:val="00AD2BF7"/>
    <w:rsid w:val="00AD2C79"/>
    <w:rsid w:val="00AD30FD"/>
    <w:rsid w:val="00AD324E"/>
    <w:rsid w:val="00AD3455"/>
    <w:rsid w:val="00AD39E4"/>
    <w:rsid w:val="00AD3B7D"/>
    <w:rsid w:val="00AD40BB"/>
    <w:rsid w:val="00AD41C1"/>
    <w:rsid w:val="00AD430C"/>
    <w:rsid w:val="00AD451A"/>
    <w:rsid w:val="00AD4C84"/>
    <w:rsid w:val="00AD4CD6"/>
    <w:rsid w:val="00AD5078"/>
    <w:rsid w:val="00AD51D9"/>
    <w:rsid w:val="00AD5857"/>
    <w:rsid w:val="00AD59DC"/>
    <w:rsid w:val="00AD602D"/>
    <w:rsid w:val="00AD6502"/>
    <w:rsid w:val="00AD6A13"/>
    <w:rsid w:val="00AD6F08"/>
    <w:rsid w:val="00AD7250"/>
    <w:rsid w:val="00AD7AA0"/>
    <w:rsid w:val="00AD7E56"/>
    <w:rsid w:val="00AE0083"/>
    <w:rsid w:val="00AE0094"/>
    <w:rsid w:val="00AE012C"/>
    <w:rsid w:val="00AE02C7"/>
    <w:rsid w:val="00AE090E"/>
    <w:rsid w:val="00AE113C"/>
    <w:rsid w:val="00AE117B"/>
    <w:rsid w:val="00AE117F"/>
    <w:rsid w:val="00AE123C"/>
    <w:rsid w:val="00AE1629"/>
    <w:rsid w:val="00AE16E9"/>
    <w:rsid w:val="00AE181D"/>
    <w:rsid w:val="00AE1847"/>
    <w:rsid w:val="00AE1C3A"/>
    <w:rsid w:val="00AE1EA6"/>
    <w:rsid w:val="00AE2158"/>
    <w:rsid w:val="00AE248F"/>
    <w:rsid w:val="00AE2748"/>
    <w:rsid w:val="00AE287F"/>
    <w:rsid w:val="00AE2A26"/>
    <w:rsid w:val="00AE2FAA"/>
    <w:rsid w:val="00AE3045"/>
    <w:rsid w:val="00AE304A"/>
    <w:rsid w:val="00AE3050"/>
    <w:rsid w:val="00AE30CE"/>
    <w:rsid w:val="00AE34A0"/>
    <w:rsid w:val="00AE34CD"/>
    <w:rsid w:val="00AE3BA0"/>
    <w:rsid w:val="00AE3C7A"/>
    <w:rsid w:val="00AE3E35"/>
    <w:rsid w:val="00AE3F00"/>
    <w:rsid w:val="00AE4220"/>
    <w:rsid w:val="00AE4257"/>
    <w:rsid w:val="00AE4474"/>
    <w:rsid w:val="00AE447C"/>
    <w:rsid w:val="00AE58DA"/>
    <w:rsid w:val="00AE5AD8"/>
    <w:rsid w:val="00AE5C4A"/>
    <w:rsid w:val="00AE5EB4"/>
    <w:rsid w:val="00AE5FC0"/>
    <w:rsid w:val="00AE60C6"/>
    <w:rsid w:val="00AE6351"/>
    <w:rsid w:val="00AE673B"/>
    <w:rsid w:val="00AE6BFF"/>
    <w:rsid w:val="00AE6CA5"/>
    <w:rsid w:val="00AE6F44"/>
    <w:rsid w:val="00AE71B8"/>
    <w:rsid w:val="00AF0094"/>
    <w:rsid w:val="00AF03A9"/>
    <w:rsid w:val="00AF0671"/>
    <w:rsid w:val="00AF06A1"/>
    <w:rsid w:val="00AF0AB4"/>
    <w:rsid w:val="00AF0C9E"/>
    <w:rsid w:val="00AF1270"/>
    <w:rsid w:val="00AF1315"/>
    <w:rsid w:val="00AF19BF"/>
    <w:rsid w:val="00AF2265"/>
    <w:rsid w:val="00AF227C"/>
    <w:rsid w:val="00AF2DC3"/>
    <w:rsid w:val="00AF2F94"/>
    <w:rsid w:val="00AF324E"/>
    <w:rsid w:val="00AF3354"/>
    <w:rsid w:val="00AF36A7"/>
    <w:rsid w:val="00AF3B7E"/>
    <w:rsid w:val="00AF3C77"/>
    <w:rsid w:val="00AF3CE6"/>
    <w:rsid w:val="00AF3E8B"/>
    <w:rsid w:val="00AF439B"/>
    <w:rsid w:val="00AF463C"/>
    <w:rsid w:val="00AF47D6"/>
    <w:rsid w:val="00AF48BB"/>
    <w:rsid w:val="00AF5028"/>
    <w:rsid w:val="00AF51D1"/>
    <w:rsid w:val="00AF5230"/>
    <w:rsid w:val="00AF53E7"/>
    <w:rsid w:val="00AF5B30"/>
    <w:rsid w:val="00AF5D54"/>
    <w:rsid w:val="00AF6152"/>
    <w:rsid w:val="00AF66CB"/>
    <w:rsid w:val="00AF6791"/>
    <w:rsid w:val="00AF75DD"/>
    <w:rsid w:val="00AF7627"/>
    <w:rsid w:val="00B007C6"/>
    <w:rsid w:val="00B00D1F"/>
    <w:rsid w:val="00B00DAD"/>
    <w:rsid w:val="00B00EBC"/>
    <w:rsid w:val="00B0118C"/>
    <w:rsid w:val="00B012ED"/>
    <w:rsid w:val="00B0189C"/>
    <w:rsid w:val="00B018F4"/>
    <w:rsid w:val="00B01CDF"/>
    <w:rsid w:val="00B01EAD"/>
    <w:rsid w:val="00B022E5"/>
    <w:rsid w:val="00B02542"/>
    <w:rsid w:val="00B02D66"/>
    <w:rsid w:val="00B033E5"/>
    <w:rsid w:val="00B03591"/>
    <w:rsid w:val="00B03A63"/>
    <w:rsid w:val="00B03D63"/>
    <w:rsid w:val="00B03E00"/>
    <w:rsid w:val="00B03F0D"/>
    <w:rsid w:val="00B04552"/>
    <w:rsid w:val="00B04835"/>
    <w:rsid w:val="00B0496D"/>
    <w:rsid w:val="00B05575"/>
    <w:rsid w:val="00B05869"/>
    <w:rsid w:val="00B058A6"/>
    <w:rsid w:val="00B0630C"/>
    <w:rsid w:val="00B068D3"/>
    <w:rsid w:val="00B06C84"/>
    <w:rsid w:val="00B06E79"/>
    <w:rsid w:val="00B07A20"/>
    <w:rsid w:val="00B07CB2"/>
    <w:rsid w:val="00B10280"/>
    <w:rsid w:val="00B10B7D"/>
    <w:rsid w:val="00B11147"/>
    <w:rsid w:val="00B1154D"/>
    <w:rsid w:val="00B11971"/>
    <w:rsid w:val="00B11FB7"/>
    <w:rsid w:val="00B1218F"/>
    <w:rsid w:val="00B12190"/>
    <w:rsid w:val="00B121FB"/>
    <w:rsid w:val="00B123C1"/>
    <w:rsid w:val="00B123F1"/>
    <w:rsid w:val="00B130A0"/>
    <w:rsid w:val="00B13359"/>
    <w:rsid w:val="00B1343E"/>
    <w:rsid w:val="00B13AAC"/>
    <w:rsid w:val="00B13AF5"/>
    <w:rsid w:val="00B13C78"/>
    <w:rsid w:val="00B13FAC"/>
    <w:rsid w:val="00B14255"/>
    <w:rsid w:val="00B14442"/>
    <w:rsid w:val="00B145E8"/>
    <w:rsid w:val="00B14D95"/>
    <w:rsid w:val="00B14DE8"/>
    <w:rsid w:val="00B15242"/>
    <w:rsid w:val="00B1571A"/>
    <w:rsid w:val="00B15C55"/>
    <w:rsid w:val="00B164D2"/>
    <w:rsid w:val="00B166A2"/>
    <w:rsid w:val="00B16846"/>
    <w:rsid w:val="00B16930"/>
    <w:rsid w:val="00B16A1E"/>
    <w:rsid w:val="00B16AB5"/>
    <w:rsid w:val="00B1709D"/>
    <w:rsid w:val="00B17E76"/>
    <w:rsid w:val="00B201A4"/>
    <w:rsid w:val="00B2066C"/>
    <w:rsid w:val="00B213A6"/>
    <w:rsid w:val="00B21D78"/>
    <w:rsid w:val="00B23726"/>
    <w:rsid w:val="00B2388F"/>
    <w:rsid w:val="00B2390E"/>
    <w:rsid w:val="00B24558"/>
    <w:rsid w:val="00B24DF6"/>
    <w:rsid w:val="00B24E11"/>
    <w:rsid w:val="00B24FE5"/>
    <w:rsid w:val="00B25CC7"/>
    <w:rsid w:val="00B26199"/>
    <w:rsid w:val="00B26564"/>
    <w:rsid w:val="00B26886"/>
    <w:rsid w:val="00B2698F"/>
    <w:rsid w:val="00B26CEF"/>
    <w:rsid w:val="00B26F94"/>
    <w:rsid w:val="00B271DE"/>
    <w:rsid w:val="00B272A2"/>
    <w:rsid w:val="00B275CA"/>
    <w:rsid w:val="00B2763F"/>
    <w:rsid w:val="00B27B53"/>
    <w:rsid w:val="00B300B0"/>
    <w:rsid w:val="00B301EA"/>
    <w:rsid w:val="00B30A21"/>
    <w:rsid w:val="00B30E9A"/>
    <w:rsid w:val="00B3150C"/>
    <w:rsid w:val="00B316C0"/>
    <w:rsid w:val="00B3181B"/>
    <w:rsid w:val="00B31824"/>
    <w:rsid w:val="00B31E59"/>
    <w:rsid w:val="00B32078"/>
    <w:rsid w:val="00B3278A"/>
    <w:rsid w:val="00B32E73"/>
    <w:rsid w:val="00B333A6"/>
    <w:rsid w:val="00B3383D"/>
    <w:rsid w:val="00B33942"/>
    <w:rsid w:val="00B34055"/>
    <w:rsid w:val="00B34373"/>
    <w:rsid w:val="00B34F1B"/>
    <w:rsid w:val="00B34F29"/>
    <w:rsid w:val="00B34F33"/>
    <w:rsid w:val="00B34FE2"/>
    <w:rsid w:val="00B350B8"/>
    <w:rsid w:val="00B35456"/>
    <w:rsid w:val="00B354F8"/>
    <w:rsid w:val="00B357D8"/>
    <w:rsid w:val="00B36A99"/>
    <w:rsid w:val="00B370A7"/>
    <w:rsid w:val="00B3721C"/>
    <w:rsid w:val="00B375D9"/>
    <w:rsid w:val="00B3762D"/>
    <w:rsid w:val="00B37797"/>
    <w:rsid w:val="00B37BFC"/>
    <w:rsid w:val="00B37E3F"/>
    <w:rsid w:val="00B40358"/>
    <w:rsid w:val="00B40B5F"/>
    <w:rsid w:val="00B41312"/>
    <w:rsid w:val="00B413B2"/>
    <w:rsid w:val="00B41614"/>
    <w:rsid w:val="00B418A4"/>
    <w:rsid w:val="00B41ADD"/>
    <w:rsid w:val="00B41B52"/>
    <w:rsid w:val="00B41C92"/>
    <w:rsid w:val="00B41EDA"/>
    <w:rsid w:val="00B4226E"/>
    <w:rsid w:val="00B4270A"/>
    <w:rsid w:val="00B4283A"/>
    <w:rsid w:val="00B42851"/>
    <w:rsid w:val="00B42B2B"/>
    <w:rsid w:val="00B42F80"/>
    <w:rsid w:val="00B4329D"/>
    <w:rsid w:val="00B434CF"/>
    <w:rsid w:val="00B435CB"/>
    <w:rsid w:val="00B44A47"/>
    <w:rsid w:val="00B44D28"/>
    <w:rsid w:val="00B44E56"/>
    <w:rsid w:val="00B452DC"/>
    <w:rsid w:val="00B458DA"/>
    <w:rsid w:val="00B45969"/>
    <w:rsid w:val="00B45B6A"/>
    <w:rsid w:val="00B45EE2"/>
    <w:rsid w:val="00B462C4"/>
    <w:rsid w:val="00B46795"/>
    <w:rsid w:val="00B46862"/>
    <w:rsid w:val="00B4704A"/>
    <w:rsid w:val="00B4716D"/>
    <w:rsid w:val="00B47477"/>
    <w:rsid w:val="00B47BDA"/>
    <w:rsid w:val="00B47C15"/>
    <w:rsid w:val="00B47CB3"/>
    <w:rsid w:val="00B47F07"/>
    <w:rsid w:val="00B5041D"/>
    <w:rsid w:val="00B5051A"/>
    <w:rsid w:val="00B5075C"/>
    <w:rsid w:val="00B50DB8"/>
    <w:rsid w:val="00B50E24"/>
    <w:rsid w:val="00B50F23"/>
    <w:rsid w:val="00B5150F"/>
    <w:rsid w:val="00B51582"/>
    <w:rsid w:val="00B51D4C"/>
    <w:rsid w:val="00B52318"/>
    <w:rsid w:val="00B52326"/>
    <w:rsid w:val="00B524B2"/>
    <w:rsid w:val="00B52B12"/>
    <w:rsid w:val="00B53654"/>
    <w:rsid w:val="00B53905"/>
    <w:rsid w:val="00B544EE"/>
    <w:rsid w:val="00B54953"/>
    <w:rsid w:val="00B54B5B"/>
    <w:rsid w:val="00B54D74"/>
    <w:rsid w:val="00B54DCA"/>
    <w:rsid w:val="00B55240"/>
    <w:rsid w:val="00B553BB"/>
    <w:rsid w:val="00B5562E"/>
    <w:rsid w:val="00B55893"/>
    <w:rsid w:val="00B558E4"/>
    <w:rsid w:val="00B55B3D"/>
    <w:rsid w:val="00B56091"/>
    <w:rsid w:val="00B56B58"/>
    <w:rsid w:val="00B57000"/>
    <w:rsid w:val="00B5781F"/>
    <w:rsid w:val="00B57FB6"/>
    <w:rsid w:val="00B6012C"/>
    <w:rsid w:val="00B603E3"/>
    <w:rsid w:val="00B60939"/>
    <w:rsid w:val="00B60AFD"/>
    <w:rsid w:val="00B60EFA"/>
    <w:rsid w:val="00B613EB"/>
    <w:rsid w:val="00B6156C"/>
    <w:rsid w:val="00B624EB"/>
    <w:rsid w:val="00B62715"/>
    <w:rsid w:val="00B62952"/>
    <w:rsid w:val="00B62987"/>
    <w:rsid w:val="00B629B1"/>
    <w:rsid w:val="00B62A3B"/>
    <w:rsid w:val="00B62ACB"/>
    <w:rsid w:val="00B63367"/>
    <w:rsid w:val="00B634D1"/>
    <w:rsid w:val="00B63A14"/>
    <w:rsid w:val="00B6411E"/>
    <w:rsid w:val="00B647AF"/>
    <w:rsid w:val="00B6494B"/>
    <w:rsid w:val="00B64CC8"/>
    <w:rsid w:val="00B64D27"/>
    <w:rsid w:val="00B65154"/>
    <w:rsid w:val="00B65700"/>
    <w:rsid w:val="00B66D6C"/>
    <w:rsid w:val="00B6707A"/>
    <w:rsid w:val="00B677D1"/>
    <w:rsid w:val="00B67A0B"/>
    <w:rsid w:val="00B7055C"/>
    <w:rsid w:val="00B706E3"/>
    <w:rsid w:val="00B70E27"/>
    <w:rsid w:val="00B70F47"/>
    <w:rsid w:val="00B7148B"/>
    <w:rsid w:val="00B71703"/>
    <w:rsid w:val="00B717BD"/>
    <w:rsid w:val="00B72618"/>
    <w:rsid w:val="00B726FC"/>
    <w:rsid w:val="00B72C94"/>
    <w:rsid w:val="00B72DC1"/>
    <w:rsid w:val="00B73459"/>
    <w:rsid w:val="00B73586"/>
    <w:rsid w:val="00B73980"/>
    <w:rsid w:val="00B745BF"/>
    <w:rsid w:val="00B74952"/>
    <w:rsid w:val="00B74CF7"/>
    <w:rsid w:val="00B75137"/>
    <w:rsid w:val="00B75669"/>
    <w:rsid w:val="00B765FA"/>
    <w:rsid w:val="00B768FA"/>
    <w:rsid w:val="00B76B52"/>
    <w:rsid w:val="00B770C3"/>
    <w:rsid w:val="00B77526"/>
    <w:rsid w:val="00B77E88"/>
    <w:rsid w:val="00B801FA"/>
    <w:rsid w:val="00B804FA"/>
    <w:rsid w:val="00B8096E"/>
    <w:rsid w:val="00B80ADE"/>
    <w:rsid w:val="00B80E59"/>
    <w:rsid w:val="00B80F6C"/>
    <w:rsid w:val="00B815A3"/>
    <w:rsid w:val="00B818A4"/>
    <w:rsid w:val="00B819F2"/>
    <w:rsid w:val="00B81AE2"/>
    <w:rsid w:val="00B81E6F"/>
    <w:rsid w:val="00B82242"/>
    <w:rsid w:val="00B829BE"/>
    <w:rsid w:val="00B83495"/>
    <w:rsid w:val="00B83559"/>
    <w:rsid w:val="00B837A4"/>
    <w:rsid w:val="00B83B4F"/>
    <w:rsid w:val="00B83B99"/>
    <w:rsid w:val="00B83C79"/>
    <w:rsid w:val="00B83E2A"/>
    <w:rsid w:val="00B8404E"/>
    <w:rsid w:val="00B84117"/>
    <w:rsid w:val="00B847FA"/>
    <w:rsid w:val="00B848AE"/>
    <w:rsid w:val="00B84EC7"/>
    <w:rsid w:val="00B84EF9"/>
    <w:rsid w:val="00B85133"/>
    <w:rsid w:val="00B85885"/>
    <w:rsid w:val="00B85956"/>
    <w:rsid w:val="00B85A85"/>
    <w:rsid w:val="00B85AA2"/>
    <w:rsid w:val="00B8617F"/>
    <w:rsid w:val="00B86352"/>
    <w:rsid w:val="00B86453"/>
    <w:rsid w:val="00B8649C"/>
    <w:rsid w:val="00B871BE"/>
    <w:rsid w:val="00B8785B"/>
    <w:rsid w:val="00B879D1"/>
    <w:rsid w:val="00B87F0A"/>
    <w:rsid w:val="00B9022B"/>
    <w:rsid w:val="00B906D0"/>
    <w:rsid w:val="00B908D9"/>
    <w:rsid w:val="00B909E8"/>
    <w:rsid w:val="00B91451"/>
    <w:rsid w:val="00B91554"/>
    <w:rsid w:val="00B91C73"/>
    <w:rsid w:val="00B91D27"/>
    <w:rsid w:val="00B91EE8"/>
    <w:rsid w:val="00B92342"/>
    <w:rsid w:val="00B9234D"/>
    <w:rsid w:val="00B924B7"/>
    <w:rsid w:val="00B926B8"/>
    <w:rsid w:val="00B92782"/>
    <w:rsid w:val="00B92960"/>
    <w:rsid w:val="00B92D0B"/>
    <w:rsid w:val="00B92DDC"/>
    <w:rsid w:val="00B931FB"/>
    <w:rsid w:val="00B9352C"/>
    <w:rsid w:val="00B93C32"/>
    <w:rsid w:val="00B93E48"/>
    <w:rsid w:val="00B943E5"/>
    <w:rsid w:val="00B9448A"/>
    <w:rsid w:val="00B948D7"/>
    <w:rsid w:val="00B94945"/>
    <w:rsid w:val="00B95BF7"/>
    <w:rsid w:val="00B964C9"/>
    <w:rsid w:val="00B968C1"/>
    <w:rsid w:val="00B969E5"/>
    <w:rsid w:val="00B96A73"/>
    <w:rsid w:val="00B96B66"/>
    <w:rsid w:val="00B971EC"/>
    <w:rsid w:val="00B9749D"/>
    <w:rsid w:val="00B974FF"/>
    <w:rsid w:val="00B9753E"/>
    <w:rsid w:val="00B97783"/>
    <w:rsid w:val="00B97946"/>
    <w:rsid w:val="00B97C25"/>
    <w:rsid w:val="00BA010F"/>
    <w:rsid w:val="00BA0888"/>
    <w:rsid w:val="00BA0898"/>
    <w:rsid w:val="00BA0C95"/>
    <w:rsid w:val="00BA0DD4"/>
    <w:rsid w:val="00BA12D6"/>
    <w:rsid w:val="00BA1A49"/>
    <w:rsid w:val="00BA1C85"/>
    <w:rsid w:val="00BA2415"/>
    <w:rsid w:val="00BA2AD9"/>
    <w:rsid w:val="00BA322D"/>
    <w:rsid w:val="00BA3630"/>
    <w:rsid w:val="00BA3757"/>
    <w:rsid w:val="00BA3915"/>
    <w:rsid w:val="00BA3F0A"/>
    <w:rsid w:val="00BA430F"/>
    <w:rsid w:val="00BA4615"/>
    <w:rsid w:val="00BA4B49"/>
    <w:rsid w:val="00BA51D2"/>
    <w:rsid w:val="00BA53B8"/>
    <w:rsid w:val="00BA53B9"/>
    <w:rsid w:val="00BA5578"/>
    <w:rsid w:val="00BA5723"/>
    <w:rsid w:val="00BA59AA"/>
    <w:rsid w:val="00BA5C14"/>
    <w:rsid w:val="00BA5DFF"/>
    <w:rsid w:val="00BA62E4"/>
    <w:rsid w:val="00BA6749"/>
    <w:rsid w:val="00BA77F2"/>
    <w:rsid w:val="00BA7EF7"/>
    <w:rsid w:val="00BB03EB"/>
    <w:rsid w:val="00BB0781"/>
    <w:rsid w:val="00BB0B1E"/>
    <w:rsid w:val="00BB0BDD"/>
    <w:rsid w:val="00BB1CA6"/>
    <w:rsid w:val="00BB1EC4"/>
    <w:rsid w:val="00BB234A"/>
    <w:rsid w:val="00BB25D1"/>
    <w:rsid w:val="00BB2996"/>
    <w:rsid w:val="00BB29E9"/>
    <w:rsid w:val="00BB2A73"/>
    <w:rsid w:val="00BB308D"/>
    <w:rsid w:val="00BB3709"/>
    <w:rsid w:val="00BB371B"/>
    <w:rsid w:val="00BB3737"/>
    <w:rsid w:val="00BB409C"/>
    <w:rsid w:val="00BB473C"/>
    <w:rsid w:val="00BB4ACC"/>
    <w:rsid w:val="00BB4ADA"/>
    <w:rsid w:val="00BB4FBA"/>
    <w:rsid w:val="00BB5D4E"/>
    <w:rsid w:val="00BB6067"/>
    <w:rsid w:val="00BB6327"/>
    <w:rsid w:val="00BB67C4"/>
    <w:rsid w:val="00BB6AC0"/>
    <w:rsid w:val="00BB6FE3"/>
    <w:rsid w:val="00BB703E"/>
    <w:rsid w:val="00BB70DA"/>
    <w:rsid w:val="00BB7312"/>
    <w:rsid w:val="00BB7405"/>
    <w:rsid w:val="00BB74CC"/>
    <w:rsid w:val="00BB7957"/>
    <w:rsid w:val="00BB79D8"/>
    <w:rsid w:val="00BB7A0D"/>
    <w:rsid w:val="00BB7C57"/>
    <w:rsid w:val="00BB7DE0"/>
    <w:rsid w:val="00BC0822"/>
    <w:rsid w:val="00BC0C13"/>
    <w:rsid w:val="00BC10BA"/>
    <w:rsid w:val="00BC12CA"/>
    <w:rsid w:val="00BC1339"/>
    <w:rsid w:val="00BC1512"/>
    <w:rsid w:val="00BC19D2"/>
    <w:rsid w:val="00BC1C88"/>
    <w:rsid w:val="00BC1E3D"/>
    <w:rsid w:val="00BC287E"/>
    <w:rsid w:val="00BC3631"/>
    <w:rsid w:val="00BC38F3"/>
    <w:rsid w:val="00BC3A65"/>
    <w:rsid w:val="00BC3FCB"/>
    <w:rsid w:val="00BC4990"/>
    <w:rsid w:val="00BC4FF9"/>
    <w:rsid w:val="00BC5085"/>
    <w:rsid w:val="00BC5627"/>
    <w:rsid w:val="00BC584D"/>
    <w:rsid w:val="00BC59E5"/>
    <w:rsid w:val="00BC5B5C"/>
    <w:rsid w:val="00BC6592"/>
    <w:rsid w:val="00BC6CD2"/>
    <w:rsid w:val="00BC74C2"/>
    <w:rsid w:val="00BC759F"/>
    <w:rsid w:val="00BC7679"/>
    <w:rsid w:val="00BC7CE6"/>
    <w:rsid w:val="00BC7F1B"/>
    <w:rsid w:val="00BD03E9"/>
    <w:rsid w:val="00BD05C4"/>
    <w:rsid w:val="00BD07F2"/>
    <w:rsid w:val="00BD0812"/>
    <w:rsid w:val="00BD19CC"/>
    <w:rsid w:val="00BD200D"/>
    <w:rsid w:val="00BD21F1"/>
    <w:rsid w:val="00BD2353"/>
    <w:rsid w:val="00BD2826"/>
    <w:rsid w:val="00BD2A28"/>
    <w:rsid w:val="00BD2FC8"/>
    <w:rsid w:val="00BD3B00"/>
    <w:rsid w:val="00BD3C89"/>
    <w:rsid w:val="00BD3C94"/>
    <w:rsid w:val="00BD3FD9"/>
    <w:rsid w:val="00BD4428"/>
    <w:rsid w:val="00BD5253"/>
    <w:rsid w:val="00BD5338"/>
    <w:rsid w:val="00BD549F"/>
    <w:rsid w:val="00BD64BE"/>
    <w:rsid w:val="00BD684A"/>
    <w:rsid w:val="00BD68A3"/>
    <w:rsid w:val="00BD6938"/>
    <w:rsid w:val="00BD694E"/>
    <w:rsid w:val="00BD6CF3"/>
    <w:rsid w:val="00BD6E55"/>
    <w:rsid w:val="00BE041A"/>
    <w:rsid w:val="00BE0508"/>
    <w:rsid w:val="00BE0511"/>
    <w:rsid w:val="00BE0575"/>
    <w:rsid w:val="00BE0989"/>
    <w:rsid w:val="00BE099F"/>
    <w:rsid w:val="00BE0DB7"/>
    <w:rsid w:val="00BE0F5E"/>
    <w:rsid w:val="00BE0FFB"/>
    <w:rsid w:val="00BE15B5"/>
    <w:rsid w:val="00BE1875"/>
    <w:rsid w:val="00BE1964"/>
    <w:rsid w:val="00BE19C4"/>
    <w:rsid w:val="00BE1A5B"/>
    <w:rsid w:val="00BE2180"/>
    <w:rsid w:val="00BE21F2"/>
    <w:rsid w:val="00BE22C0"/>
    <w:rsid w:val="00BE2895"/>
    <w:rsid w:val="00BE3D10"/>
    <w:rsid w:val="00BE4096"/>
    <w:rsid w:val="00BE4275"/>
    <w:rsid w:val="00BE43EB"/>
    <w:rsid w:val="00BE4652"/>
    <w:rsid w:val="00BE47A1"/>
    <w:rsid w:val="00BE4E7B"/>
    <w:rsid w:val="00BE512E"/>
    <w:rsid w:val="00BE5197"/>
    <w:rsid w:val="00BE552C"/>
    <w:rsid w:val="00BE5BCE"/>
    <w:rsid w:val="00BE5FA8"/>
    <w:rsid w:val="00BE6117"/>
    <w:rsid w:val="00BE6438"/>
    <w:rsid w:val="00BE678F"/>
    <w:rsid w:val="00BE6C9E"/>
    <w:rsid w:val="00BE6F24"/>
    <w:rsid w:val="00BE75D9"/>
    <w:rsid w:val="00BE7B9F"/>
    <w:rsid w:val="00BE7DBD"/>
    <w:rsid w:val="00BF0880"/>
    <w:rsid w:val="00BF0C95"/>
    <w:rsid w:val="00BF0F95"/>
    <w:rsid w:val="00BF103D"/>
    <w:rsid w:val="00BF1670"/>
    <w:rsid w:val="00BF2433"/>
    <w:rsid w:val="00BF2A4D"/>
    <w:rsid w:val="00BF2E64"/>
    <w:rsid w:val="00BF2FC7"/>
    <w:rsid w:val="00BF33F1"/>
    <w:rsid w:val="00BF3690"/>
    <w:rsid w:val="00BF3C70"/>
    <w:rsid w:val="00BF3F36"/>
    <w:rsid w:val="00BF4025"/>
    <w:rsid w:val="00BF42FA"/>
    <w:rsid w:val="00BF46B4"/>
    <w:rsid w:val="00BF47C3"/>
    <w:rsid w:val="00BF4855"/>
    <w:rsid w:val="00BF4DBC"/>
    <w:rsid w:val="00BF5130"/>
    <w:rsid w:val="00BF5257"/>
    <w:rsid w:val="00BF61C9"/>
    <w:rsid w:val="00BF6C61"/>
    <w:rsid w:val="00BF6C94"/>
    <w:rsid w:val="00BF7283"/>
    <w:rsid w:val="00BF72FD"/>
    <w:rsid w:val="00BF77DC"/>
    <w:rsid w:val="00BF787D"/>
    <w:rsid w:val="00BF7E75"/>
    <w:rsid w:val="00C0012B"/>
    <w:rsid w:val="00C002B4"/>
    <w:rsid w:val="00C0040E"/>
    <w:rsid w:val="00C00424"/>
    <w:rsid w:val="00C00719"/>
    <w:rsid w:val="00C00C89"/>
    <w:rsid w:val="00C01332"/>
    <w:rsid w:val="00C020D1"/>
    <w:rsid w:val="00C022CC"/>
    <w:rsid w:val="00C0230C"/>
    <w:rsid w:val="00C02437"/>
    <w:rsid w:val="00C02642"/>
    <w:rsid w:val="00C0286F"/>
    <w:rsid w:val="00C029FE"/>
    <w:rsid w:val="00C03292"/>
    <w:rsid w:val="00C033FD"/>
    <w:rsid w:val="00C0358B"/>
    <w:rsid w:val="00C03641"/>
    <w:rsid w:val="00C04481"/>
    <w:rsid w:val="00C04BF7"/>
    <w:rsid w:val="00C056B5"/>
    <w:rsid w:val="00C05A68"/>
    <w:rsid w:val="00C05C3C"/>
    <w:rsid w:val="00C05C6E"/>
    <w:rsid w:val="00C05F5B"/>
    <w:rsid w:val="00C0615D"/>
    <w:rsid w:val="00C06DE4"/>
    <w:rsid w:val="00C070A1"/>
    <w:rsid w:val="00C0732F"/>
    <w:rsid w:val="00C07494"/>
    <w:rsid w:val="00C074FC"/>
    <w:rsid w:val="00C07886"/>
    <w:rsid w:val="00C07942"/>
    <w:rsid w:val="00C07C34"/>
    <w:rsid w:val="00C102CF"/>
    <w:rsid w:val="00C104D3"/>
    <w:rsid w:val="00C107C5"/>
    <w:rsid w:val="00C10BDA"/>
    <w:rsid w:val="00C113B2"/>
    <w:rsid w:val="00C1210B"/>
    <w:rsid w:val="00C122BB"/>
    <w:rsid w:val="00C129B7"/>
    <w:rsid w:val="00C12C14"/>
    <w:rsid w:val="00C13891"/>
    <w:rsid w:val="00C13CB8"/>
    <w:rsid w:val="00C13D73"/>
    <w:rsid w:val="00C1441A"/>
    <w:rsid w:val="00C145BF"/>
    <w:rsid w:val="00C14D02"/>
    <w:rsid w:val="00C14D30"/>
    <w:rsid w:val="00C1513D"/>
    <w:rsid w:val="00C1518A"/>
    <w:rsid w:val="00C16444"/>
    <w:rsid w:val="00C16513"/>
    <w:rsid w:val="00C168A6"/>
    <w:rsid w:val="00C168EE"/>
    <w:rsid w:val="00C17F55"/>
    <w:rsid w:val="00C200AA"/>
    <w:rsid w:val="00C20409"/>
    <w:rsid w:val="00C2084D"/>
    <w:rsid w:val="00C208DC"/>
    <w:rsid w:val="00C20B95"/>
    <w:rsid w:val="00C21537"/>
    <w:rsid w:val="00C21912"/>
    <w:rsid w:val="00C21B9C"/>
    <w:rsid w:val="00C21BFC"/>
    <w:rsid w:val="00C223B7"/>
    <w:rsid w:val="00C2257E"/>
    <w:rsid w:val="00C22BE9"/>
    <w:rsid w:val="00C23096"/>
    <w:rsid w:val="00C237ED"/>
    <w:rsid w:val="00C23DFF"/>
    <w:rsid w:val="00C23F9C"/>
    <w:rsid w:val="00C23FDE"/>
    <w:rsid w:val="00C2438F"/>
    <w:rsid w:val="00C24632"/>
    <w:rsid w:val="00C250E6"/>
    <w:rsid w:val="00C25418"/>
    <w:rsid w:val="00C2592C"/>
    <w:rsid w:val="00C25D9C"/>
    <w:rsid w:val="00C26E0D"/>
    <w:rsid w:val="00C2770E"/>
    <w:rsid w:val="00C2778B"/>
    <w:rsid w:val="00C30FE5"/>
    <w:rsid w:val="00C31614"/>
    <w:rsid w:val="00C31649"/>
    <w:rsid w:val="00C32075"/>
    <w:rsid w:val="00C32533"/>
    <w:rsid w:val="00C3297C"/>
    <w:rsid w:val="00C332D7"/>
    <w:rsid w:val="00C3346D"/>
    <w:rsid w:val="00C3391A"/>
    <w:rsid w:val="00C339ED"/>
    <w:rsid w:val="00C33A6D"/>
    <w:rsid w:val="00C33E22"/>
    <w:rsid w:val="00C33F21"/>
    <w:rsid w:val="00C3441C"/>
    <w:rsid w:val="00C34512"/>
    <w:rsid w:val="00C3452C"/>
    <w:rsid w:val="00C3454D"/>
    <w:rsid w:val="00C345D4"/>
    <w:rsid w:val="00C34BB7"/>
    <w:rsid w:val="00C34C64"/>
    <w:rsid w:val="00C34F9A"/>
    <w:rsid w:val="00C35300"/>
    <w:rsid w:val="00C35ADD"/>
    <w:rsid w:val="00C35E1B"/>
    <w:rsid w:val="00C36322"/>
    <w:rsid w:val="00C36392"/>
    <w:rsid w:val="00C36854"/>
    <w:rsid w:val="00C376AD"/>
    <w:rsid w:val="00C37B1A"/>
    <w:rsid w:val="00C37F40"/>
    <w:rsid w:val="00C4002F"/>
    <w:rsid w:val="00C40385"/>
    <w:rsid w:val="00C40A03"/>
    <w:rsid w:val="00C40CAD"/>
    <w:rsid w:val="00C418F9"/>
    <w:rsid w:val="00C41C53"/>
    <w:rsid w:val="00C41D41"/>
    <w:rsid w:val="00C41F7A"/>
    <w:rsid w:val="00C423FC"/>
    <w:rsid w:val="00C42DDA"/>
    <w:rsid w:val="00C42FB4"/>
    <w:rsid w:val="00C432A1"/>
    <w:rsid w:val="00C437AB"/>
    <w:rsid w:val="00C4382C"/>
    <w:rsid w:val="00C4395C"/>
    <w:rsid w:val="00C439FB"/>
    <w:rsid w:val="00C4460A"/>
    <w:rsid w:val="00C44A46"/>
    <w:rsid w:val="00C44A9C"/>
    <w:rsid w:val="00C44B34"/>
    <w:rsid w:val="00C45C89"/>
    <w:rsid w:val="00C46085"/>
    <w:rsid w:val="00C4616D"/>
    <w:rsid w:val="00C46249"/>
    <w:rsid w:val="00C46687"/>
    <w:rsid w:val="00C46767"/>
    <w:rsid w:val="00C475AA"/>
    <w:rsid w:val="00C47C5E"/>
    <w:rsid w:val="00C508CE"/>
    <w:rsid w:val="00C51016"/>
    <w:rsid w:val="00C5117E"/>
    <w:rsid w:val="00C5134C"/>
    <w:rsid w:val="00C51581"/>
    <w:rsid w:val="00C51ABE"/>
    <w:rsid w:val="00C52187"/>
    <w:rsid w:val="00C52229"/>
    <w:rsid w:val="00C52C12"/>
    <w:rsid w:val="00C535BF"/>
    <w:rsid w:val="00C53778"/>
    <w:rsid w:val="00C537AA"/>
    <w:rsid w:val="00C53C78"/>
    <w:rsid w:val="00C53D22"/>
    <w:rsid w:val="00C54166"/>
    <w:rsid w:val="00C54331"/>
    <w:rsid w:val="00C54B71"/>
    <w:rsid w:val="00C54D1D"/>
    <w:rsid w:val="00C54DED"/>
    <w:rsid w:val="00C54E88"/>
    <w:rsid w:val="00C551CD"/>
    <w:rsid w:val="00C551EC"/>
    <w:rsid w:val="00C554A8"/>
    <w:rsid w:val="00C559C9"/>
    <w:rsid w:val="00C55A92"/>
    <w:rsid w:val="00C55C0A"/>
    <w:rsid w:val="00C55F05"/>
    <w:rsid w:val="00C56C29"/>
    <w:rsid w:val="00C575BC"/>
    <w:rsid w:val="00C57C71"/>
    <w:rsid w:val="00C6055C"/>
    <w:rsid w:val="00C607B9"/>
    <w:rsid w:val="00C607EB"/>
    <w:rsid w:val="00C60B89"/>
    <w:rsid w:val="00C61A97"/>
    <w:rsid w:val="00C61F73"/>
    <w:rsid w:val="00C629F3"/>
    <w:rsid w:val="00C633B2"/>
    <w:rsid w:val="00C63C22"/>
    <w:rsid w:val="00C640D0"/>
    <w:rsid w:val="00C64414"/>
    <w:rsid w:val="00C6451B"/>
    <w:rsid w:val="00C65576"/>
    <w:rsid w:val="00C65704"/>
    <w:rsid w:val="00C66165"/>
    <w:rsid w:val="00C661CE"/>
    <w:rsid w:val="00C663A4"/>
    <w:rsid w:val="00C66801"/>
    <w:rsid w:val="00C67182"/>
    <w:rsid w:val="00C675F4"/>
    <w:rsid w:val="00C6784F"/>
    <w:rsid w:val="00C70198"/>
    <w:rsid w:val="00C70469"/>
    <w:rsid w:val="00C70787"/>
    <w:rsid w:val="00C70FCA"/>
    <w:rsid w:val="00C7102D"/>
    <w:rsid w:val="00C7151A"/>
    <w:rsid w:val="00C717BA"/>
    <w:rsid w:val="00C71F60"/>
    <w:rsid w:val="00C71F9B"/>
    <w:rsid w:val="00C72241"/>
    <w:rsid w:val="00C72467"/>
    <w:rsid w:val="00C72B9D"/>
    <w:rsid w:val="00C72F9A"/>
    <w:rsid w:val="00C730BA"/>
    <w:rsid w:val="00C736C8"/>
    <w:rsid w:val="00C73B0D"/>
    <w:rsid w:val="00C73EC0"/>
    <w:rsid w:val="00C7428B"/>
    <w:rsid w:val="00C7443A"/>
    <w:rsid w:val="00C74D93"/>
    <w:rsid w:val="00C74F27"/>
    <w:rsid w:val="00C750C8"/>
    <w:rsid w:val="00C7560F"/>
    <w:rsid w:val="00C75D19"/>
    <w:rsid w:val="00C76202"/>
    <w:rsid w:val="00C765FE"/>
    <w:rsid w:val="00C766C8"/>
    <w:rsid w:val="00C766F6"/>
    <w:rsid w:val="00C767FA"/>
    <w:rsid w:val="00C769D0"/>
    <w:rsid w:val="00C77476"/>
    <w:rsid w:val="00C776A3"/>
    <w:rsid w:val="00C77991"/>
    <w:rsid w:val="00C80057"/>
    <w:rsid w:val="00C809E2"/>
    <w:rsid w:val="00C80A0E"/>
    <w:rsid w:val="00C80C86"/>
    <w:rsid w:val="00C80E7C"/>
    <w:rsid w:val="00C81277"/>
    <w:rsid w:val="00C812EE"/>
    <w:rsid w:val="00C816C8"/>
    <w:rsid w:val="00C8213F"/>
    <w:rsid w:val="00C82C48"/>
    <w:rsid w:val="00C82DAC"/>
    <w:rsid w:val="00C83007"/>
    <w:rsid w:val="00C83104"/>
    <w:rsid w:val="00C831D8"/>
    <w:rsid w:val="00C83B0F"/>
    <w:rsid w:val="00C8446D"/>
    <w:rsid w:val="00C844CB"/>
    <w:rsid w:val="00C84C84"/>
    <w:rsid w:val="00C84DAA"/>
    <w:rsid w:val="00C84ED2"/>
    <w:rsid w:val="00C852FD"/>
    <w:rsid w:val="00C854CF"/>
    <w:rsid w:val="00C85B28"/>
    <w:rsid w:val="00C85D91"/>
    <w:rsid w:val="00C8675E"/>
    <w:rsid w:val="00C8698B"/>
    <w:rsid w:val="00C8699E"/>
    <w:rsid w:val="00C8724B"/>
    <w:rsid w:val="00C873A0"/>
    <w:rsid w:val="00C87420"/>
    <w:rsid w:val="00C875A0"/>
    <w:rsid w:val="00C8797A"/>
    <w:rsid w:val="00C87F83"/>
    <w:rsid w:val="00C900B8"/>
    <w:rsid w:val="00C9017E"/>
    <w:rsid w:val="00C907F3"/>
    <w:rsid w:val="00C90C71"/>
    <w:rsid w:val="00C91206"/>
    <w:rsid w:val="00C91AF7"/>
    <w:rsid w:val="00C91D45"/>
    <w:rsid w:val="00C92013"/>
    <w:rsid w:val="00C92679"/>
    <w:rsid w:val="00C9268E"/>
    <w:rsid w:val="00C928D3"/>
    <w:rsid w:val="00C92AD3"/>
    <w:rsid w:val="00C92F07"/>
    <w:rsid w:val="00C9302C"/>
    <w:rsid w:val="00C931CF"/>
    <w:rsid w:val="00C93285"/>
    <w:rsid w:val="00C93572"/>
    <w:rsid w:val="00C938CF"/>
    <w:rsid w:val="00C93C7C"/>
    <w:rsid w:val="00C94381"/>
    <w:rsid w:val="00C943CB"/>
    <w:rsid w:val="00C9545A"/>
    <w:rsid w:val="00C955C1"/>
    <w:rsid w:val="00C95FB8"/>
    <w:rsid w:val="00C9624D"/>
    <w:rsid w:val="00C9624E"/>
    <w:rsid w:val="00C969DA"/>
    <w:rsid w:val="00CA03E5"/>
    <w:rsid w:val="00CA08F8"/>
    <w:rsid w:val="00CA0B3E"/>
    <w:rsid w:val="00CA0B8B"/>
    <w:rsid w:val="00CA0C10"/>
    <w:rsid w:val="00CA0CCC"/>
    <w:rsid w:val="00CA0D8D"/>
    <w:rsid w:val="00CA1769"/>
    <w:rsid w:val="00CA1BEB"/>
    <w:rsid w:val="00CA1D75"/>
    <w:rsid w:val="00CA29C2"/>
    <w:rsid w:val="00CA2C77"/>
    <w:rsid w:val="00CA318A"/>
    <w:rsid w:val="00CA33B9"/>
    <w:rsid w:val="00CA3CEA"/>
    <w:rsid w:val="00CA4154"/>
    <w:rsid w:val="00CA4331"/>
    <w:rsid w:val="00CA444F"/>
    <w:rsid w:val="00CA46A3"/>
    <w:rsid w:val="00CA5245"/>
    <w:rsid w:val="00CA558E"/>
    <w:rsid w:val="00CA5B4E"/>
    <w:rsid w:val="00CA6979"/>
    <w:rsid w:val="00CA6D3A"/>
    <w:rsid w:val="00CA6DDD"/>
    <w:rsid w:val="00CA6FEA"/>
    <w:rsid w:val="00CA71C6"/>
    <w:rsid w:val="00CA71F4"/>
    <w:rsid w:val="00CA72F6"/>
    <w:rsid w:val="00CA7B09"/>
    <w:rsid w:val="00CA7D5C"/>
    <w:rsid w:val="00CA7E57"/>
    <w:rsid w:val="00CA7E83"/>
    <w:rsid w:val="00CB0048"/>
    <w:rsid w:val="00CB07C4"/>
    <w:rsid w:val="00CB0C91"/>
    <w:rsid w:val="00CB0E7A"/>
    <w:rsid w:val="00CB114D"/>
    <w:rsid w:val="00CB1286"/>
    <w:rsid w:val="00CB129E"/>
    <w:rsid w:val="00CB13F7"/>
    <w:rsid w:val="00CB1F9C"/>
    <w:rsid w:val="00CB23DC"/>
    <w:rsid w:val="00CB23E0"/>
    <w:rsid w:val="00CB2C22"/>
    <w:rsid w:val="00CB2F2A"/>
    <w:rsid w:val="00CB3483"/>
    <w:rsid w:val="00CB3823"/>
    <w:rsid w:val="00CB3ADB"/>
    <w:rsid w:val="00CB3BB5"/>
    <w:rsid w:val="00CB4B3D"/>
    <w:rsid w:val="00CB4DD8"/>
    <w:rsid w:val="00CB4FA0"/>
    <w:rsid w:val="00CB5B1A"/>
    <w:rsid w:val="00CB5C51"/>
    <w:rsid w:val="00CB5F89"/>
    <w:rsid w:val="00CB5FD6"/>
    <w:rsid w:val="00CB653D"/>
    <w:rsid w:val="00CB6AFD"/>
    <w:rsid w:val="00CB6B22"/>
    <w:rsid w:val="00CB6CBF"/>
    <w:rsid w:val="00CB7DDC"/>
    <w:rsid w:val="00CB7F5F"/>
    <w:rsid w:val="00CB7F61"/>
    <w:rsid w:val="00CC03C9"/>
    <w:rsid w:val="00CC04D7"/>
    <w:rsid w:val="00CC0764"/>
    <w:rsid w:val="00CC0B44"/>
    <w:rsid w:val="00CC0F47"/>
    <w:rsid w:val="00CC12B9"/>
    <w:rsid w:val="00CC13F6"/>
    <w:rsid w:val="00CC1B39"/>
    <w:rsid w:val="00CC1B61"/>
    <w:rsid w:val="00CC1C1F"/>
    <w:rsid w:val="00CC1D25"/>
    <w:rsid w:val="00CC1DFB"/>
    <w:rsid w:val="00CC1EF8"/>
    <w:rsid w:val="00CC2110"/>
    <w:rsid w:val="00CC2125"/>
    <w:rsid w:val="00CC28C1"/>
    <w:rsid w:val="00CC3348"/>
    <w:rsid w:val="00CC3A07"/>
    <w:rsid w:val="00CC3F7F"/>
    <w:rsid w:val="00CC418E"/>
    <w:rsid w:val="00CC437E"/>
    <w:rsid w:val="00CC45C7"/>
    <w:rsid w:val="00CC4825"/>
    <w:rsid w:val="00CC4E7A"/>
    <w:rsid w:val="00CC513C"/>
    <w:rsid w:val="00CC5866"/>
    <w:rsid w:val="00CC6CC3"/>
    <w:rsid w:val="00CC7AC7"/>
    <w:rsid w:val="00CC7BFD"/>
    <w:rsid w:val="00CC7C47"/>
    <w:rsid w:val="00CD0192"/>
    <w:rsid w:val="00CD03F3"/>
    <w:rsid w:val="00CD0428"/>
    <w:rsid w:val="00CD0DF3"/>
    <w:rsid w:val="00CD11B0"/>
    <w:rsid w:val="00CD1405"/>
    <w:rsid w:val="00CD14C7"/>
    <w:rsid w:val="00CD158E"/>
    <w:rsid w:val="00CD1E98"/>
    <w:rsid w:val="00CD2170"/>
    <w:rsid w:val="00CD288B"/>
    <w:rsid w:val="00CD2890"/>
    <w:rsid w:val="00CD2A0C"/>
    <w:rsid w:val="00CD2C34"/>
    <w:rsid w:val="00CD2CEC"/>
    <w:rsid w:val="00CD2F4B"/>
    <w:rsid w:val="00CD2FF3"/>
    <w:rsid w:val="00CD3290"/>
    <w:rsid w:val="00CD36B6"/>
    <w:rsid w:val="00CD385F"/>
    <w:rsid w:val="00CD3CBD"/>
    <w:rsid w:val="00CD3CC0"/>
    <w:rsid w:val="00CD3D3C"/>
    <w:rsid w:val="00CD47AB"/>
    <w:rsid w:val="00CD4C64"/>
    <w:rsid w:val="00CD4FA8"/>
    <w:rsid w:val="00CD5127"/>
    <w:rsid w:val="00CD51E2"/>
    <w:rsid w:val="00CD55CE"/>
    <w:rsid w:val="00CD5B39"/>
    <w:rsid w:val="00CD612F"/>
    <w:rsid w:val="00CD63D2"/>
    <w:rsid w:val="00CD6480"/>
    <w:rsid w:val="00CD65F6"/>
    <w:rsid w:val="00CD6ADC"/>
    <w:rsid w:val="00CD78DE"/>
    <w:rsid w:val="00CD7A61"/>
    <w:rsid w:val="00CE04DD"/>
    <w:rsid w:val="00CE09B4"/>
    <w:rsid w:val="00CE0CF9"/>
    <w:rsid w:val="00CE0F68"/>
    <w:rsid w:val="00CE1030"/>
    <w:rsid w:val="00CE2246"/>
    <w:rsid w:val="00CE2792"/>
    <w:rsid w:val="00CE2908"/>
    <w:rsid w:val="00CE3143"/>
    <w:rsid w:val="00CE38C2"/>
    <w:rsid w:val="00CE3D78"/>
    <w:rsid w:val="00CE3DB5"/>
    <w:rsid w:val="00CE4747"/>
    <w:rsid w:val="00CE4C66"/>
    <w:rsid w:val="00CE505F"/>
    <w:rsid w:val="00CE55C7"/>
    <w:rsid w:val="00CE5D8C"/>
    <w:rsid w:val="00CE5DE6"/>
    <w:rsid w:val="00CE616F"/>
    <w:rsid w:val="00CE6274"/>
    <w:rsid w:val="00CE62B6"/>
    <w:rsid w:val="00CE6700"/>
    <w:rsid w:val="00CE6792"/>
    <w:rsid w:val="00CE6DD9"/>
    <w:rsid w:val="00CE71AC"/>
    <w:rsid w:val="00CE72C0"/>
    <w:rsid w:val="00CE744F"/>
    <w:rsid w:val="00CE74AD"/>
    <w:rsid w:val="00CF0665"/>
    <w:rsid w:val="00CF0815"/>
    <w:rsid w:val="00CF0FFE"/>
    <w:rsid w:val="00CF12EA"/>
    <w:rsid w:val="00CF1595"/>
    <w:rsid w:val="00CF1697"/>
    <w:rsid w:val="00CF18B0"/>
    <w:rsid w:val="00CF1BC1"/>
    <w:rsid w:val="00CF1F34"/>
    <w:rsid w:val="00CF2B8D"/>
    <w:rsid w:val="00CF2C28"/>
    <w:rsid w:val="00CF3071"/>
    <w:rsid w:val="00CF3398"/>
    <w:rsid w:val="00CF33E9"/>
    <w:rsid w:val="00CF3D3B"/>
    <w:rsid w:val="00CF3EA1"/>
    <w:rsid w:val="00CF456B"/>
    <w:rsid w:val="00CF4769"/>
    <w:rsid w:val="00CF50FD"/>
    <w:rsid w:val="00CF52EC"/>
    <w:rsid w:val="00CF5A22"/>
    <w:rsid w:val="00CF5B45"/>
    <w:rsid w:val="00CF634B"/>
    <w:rsid w:val="00CF6FD0"/>
    <w:rsid w:val="00CF6FEE"/>
    <w:rsid w:val="00CF74B6"/>
    <w:rsid w:val="00CF7FD6"/>
    <w:rsid w:val="00D004DE"/>
    <w:rsid w:val="00D00874"/>
    <w:rsid w:val="00D00895"/>
    <w:rsid w:val="00D00A29"/>
    <w:rsid w:val="00D00FCA"/>
    <w:rsid w:val="00D01810"/>
    <w:rsid w:val="00D018BF"/>
    <w:rsid w:val="00D02385"/>
    <w:rsid w:val="00D0246F"/>
    <w:rsid w:val="00D0262E"/>
    <w:rsid w:val="00D02BD6"/>
    <w:rsid w:val="00D02C6A"/>
    <w:rsid w:val="00D02F3E"/>
    <w:rsid w:val="00D02FAB"/>
    <w:rsid w:val="00D03144"/>
    <w:rsid w:val="00D0369F"/>
    <w:rsid w:val="00D0441F"/>
    <w:rsid w:val="00D05212"/>
    <w:rsid w:val="00D0546E"/>
    <w:rsid w:val="00D058E3"/>
    <w:rsid w:val="00D05CB3"/>
    <w:rsid w:val="00D05D90"/>
    <w:rsid w:val="00D05E06"/>
    <w:rsid w:val="00D05E20"/>
    <w:rsid w:val="00D060A7"/>
    <w:rsid w:val="00D06272"/>
    <w:rsid w:val="00D0671A"/>
    <w:rsid w:val="00D06C15"/>
    <w:rsid w:val="00D06CF7"/>
    <w:rsid w:val="00D06D13"/>
    <w:rsid w:val="00D06DDE"/>
    <w:rsid w:val="00D07337"/>
    <w:rsid w:val="00D07F50"/>
    <w:rsid w:val="00D108C4"/>
    <w:rsid w:val="00D110BD"/>
    <w:rsid w:val="00D112F5"/>
    <w:rsid w:val="00D12590"/>
    <w:rsid w:val="00D12702"/>
    <w:rsid w:val="00D12727"/>
    <w:rsid w:val="00D132FA"/>
    <w:rsid w:val="00D133A3"/>
    <w:rsid w:val="00D13675"/>
    <w:rsid w:val="00D13D78"/>
    <w:rsid w:val="00D13DC1"/>
    <w:rsid w:val="00D141E1"/>
    <w:rsid w:val="00D147B8"/>
    <w:rsid w:val="00D14C59"/>
    <w:rsid w:val="00D14D74"/>
    <w:rsid w:val="00D1574C"/>
    <w:rsid w:val="00D15C9C"/>
    <w:rsid w:val="00D15F5C"/>
    <w:rsid w:val="00D160F5"/>
    <w:rsid w:val="00D16BFE"/>
    <w:rsid w:val="00D17D64"/>
    <w:rsid w:val="00D17D6C"/>
    <w:rsid w:val="00D20292"/>
    <w:rsid w:val="00D2043B"/>
    <w:rsid w:val="00D209A9"/>
    <w:rsid w:val="00D209CD"/>
    <w:rsid w:val="00D20A0E"/>
    <w:rsid w:val="00D20B13"/>
    <w:rsid w:val="00D20C95"/>
    <w:rsid w:val="00D2144C"/>
    <w:rsid w:val="00D214D4"/>
    <w:rsid w:val="00D21551"/>
    <w:rsid w:val="00D21874"/>
    <w:rsid w:val="00D2204A"/>
    <w:rsid w:val="00D221D7"/>
    <w:rsid w:val="00D2222E"/>
    <w:rsid w:val="00D227EF"/>
    <w:rsid w:val="00D22AD0"/>
    <w:rsid w:val="00D22AE7"/>
    <w:rsid w:val="00D22CE7"/>
    <w:rsid w:val="00D2338D"/>
    <w:rsid w:val="00D23721"/>
    <w:rsid w:val="00D2396A"/>
    <w:rsid w:val="00D2404F"/>
    <w:rsid w:val="00D242A7"/>
    <w:rsid w:val="00D2463B"/>
    <w:rsid w:val="00D24641"/>
    <w:rsid w:val="00D246A8"/>
    <w:rsid w:val="00D2482E"/>
    <w:rsid w:val="00D25068"/>
    <w:rsid w:val="00D256D8"/>
    <w:rsid w:val="00D25B03"/>
    <w:rsid w:val="00D25B74"/>
    <w:rsid w:val="00D25C4C"/>
    <w:rsid w:val="00D25FC5"/>
    <w:rsid w:val="00D25FFE"/>
    <w:rsid w:val="00D26334"/>
    <w:rsid w:val="00D26D4C"/>
    <w:rsid w:val="00D27113"/>
    <w:rsid w:val="00D2720F"/>
    <w:rsid w:val="00D2754D"/>
    <w:rsid w:val="00D27582"/>
    <w:rsid w:val="00D276A4"/>
    <w:rsid w:val="00D27A5E"/>
    <w:rsid w:val="00D27A5F"/>
    <w:rsid w:val="00D27B27"/>
    <w:rsid w:val="00D27C84"/>
    <w:rsid w:val="00D27CF1"/>
    <w:rsid w:val="00D30349"/>
    <w:rsid w:val="00D30778"/>
    <w:rsid w:val="00D3088B"/>
    <w:rsid w:val="00D30A43"/>
    <w:rsid w:val="00D310A0"/>
    <w:rsid w:val="00D3140F"/>
    <w:rsid w:val="00D317F4"/>
    <w:rsid w:val="00D31B07"/>
    <w:rsid w:val="00D31D84"/>
    <w:rsid w:val="00D322E4"/>
    <w:rsid w:val="00D326CC"/>
    <w:rsid w:val="00D334A2"/>
    <w:rsid w:val="00D335D0"/>
    <w:rsid w:val="00D3398E"/>
    <w:rsid w:val="00D33AEE"/>
    <w:rsid w:val="00D33BE9"/>
    <w:rsid w:val="00D33BEE"/>
    <w:rsid w:val="00D33D88"/>
    <w:rsid w:val="00D34071"/>
    <w:rsid w:val="00D342B3"/>
    <w:rsid w:val="00D3463D"/>
    <w:rsid w:val="00D34BEC"/>
    <w:rsid w:val="00D34E98"/>
    <w:rsid w:val="00D3506C"/>
    <w:rsid w:val="00D357FF"/>
    <w:rsid w:val="00D35F6A"/>
    <w:rsid w:val="00D361F7"/>
    <w:rsid w:val="00D36510"/>
    <w:rsid w:val="00D3673B"/>
    <w:rsid w:val="00D36951"/>
    <w:rsid w:val="00D369FF"/>
    <w:rsid w:val="00D36D3D"/>
    <w:rsid w:val="00D3789D"/>
    <w:rsid w:val="00D40FD1"/>
    <w:rsid w:val="00D41440"/>
    <w:rsid w:val="00D41997"/>
    <w:rsid w:val="00D423D2"/>
    <w:rsid w:val="00D424C7"/>
    <w:rsid w:val="00D42511"/>
    <w:rsid w:val="00D4290D"/>
    <w:rsid w:val="00D42DD3"/>
    <w:rsid w:val="00D434AB"/>
    <w:rsid w:val="00D43A44"/>
    <w:rsid w:val="00D43B2A"/>
    <w:rsid w:val="00D440CF"/>
    <w:rsid w:val="00D448CE"/>
    <w:rsid w:val="00D44ECB"/>
    <w:rsid w:val="00D45278"/>
    <w:rsid w:val="00D452C5"/>
    <w:rsid w:val="00D454FA"/>
    <w:rsid w:val="00D45779"/>
    <w:rsid w:val="00D457B7"/>
    <w:rsid w:val="00D45A68"/>
    <w:rsid w:val="00D45E89"/>
    <w:rsid w:val="00D45F1E"/>
    <w:rsid w:val="00D462BC"/>
    <w:rsid w:val="00D46644"/>
    <w:rsid w:val="00D46C8E"/>
    <w:rsid w:val="00D47575"/>
    <w:rsid w:val="00D47A45"/>
    <w:rsid w:val="00D47D66"/>
    <w:rsid w:val="00D50258"/>
    <w:rsid w:val="00D503E9"/>
    <w:rsid w:val="00D504A9"/>
    <w:rsid w:val="00D50654"/>
    <w:rsid w:val="00D50F3D"/>
    <w:rsid w:val="00D51166"/>
    <w:rsid w:val="00D51CC7"/>
    <w:rsid w:val="00D5322B"/>
    <w:rsid w:val="00D5376C"/>
    <w:rsid w:val="00D537F8"/>
    <w:rsid w:val="00D53898"/>
    <w:rsid w:val="00D539A1"/>
    <w:rsid w:val="00D53A76"/>
    <w:rsid w:val="00D53A8A"/>
    <w:rsid w:val="00D53E4F"/>
    <w:rsid w:val="00D553FB"/>
    <w:rsid w:val="00D5646B"/>
    <w:rsid w:val="00D5691E"/>
    <w:rsid w:val="00D5723E"/>
    <w:rsid w:val="00D576D1"/>
    <w:rsid w:val="00D5778A"/>
    <w:rsid w:val="00D578A9"/>
    <w:rsid w:val="00D57988"/>
    <w:rsid w:val="00D57AD7"/>
    <w:rsid w:val="00D57B5C"/>
    <w:rsid w:val="00D57D22"/>
    <w:rsid w:val="00D57F6E"/>
    <w:rsid w:val="00D601E6"/>
    <w:rsid w:val="00D6022F"/>
    <w:rsid w:val="00D605FB"/>
    <w:rsid w:val="00D60C01"/>
    <w:rsid w:val="00D60D52"/>
    <w:rsid w:val="00D6155F"/>
    <w:rsid w:val="00D61763"/>
    <w:rsid w:val="00D617C2"/>
    <w:rsid w:val="00D6266C"/>
    <w:rsid w:val="00D63422"/>
    <w:rsid w:val="00D6357E"/>
    <w:rsid w:val="00D63580"/>
    <w:rsid w:val="00D63741"/>
    <w:rsid w:val="00D63B47"/>
    <w:rsid w:val="00D63D79"/>
    <w:rsid w:val="00D63E34"/>
    <w:rsid w:val="00D648D6"/>
    <w:rsid w:val="00D64F02"/>
    <w:rsid w:val="00D64FA9"/>
    <w:rsid w:val="00D65260"/>
    <w:rsid w:val="00D664E4"/>
    <w:rsid w:val="00D6652F"/>
    <w:rsid w:val="00D67085"/>
    <w:rsid w:val="00D6760F"/>
    <w:rsid w:val="00D67C81"/>
    <w:rsid w:val="00D67EAE"/>
    <w:rsid w:val="00D70445"/>
    <w:rsid w:val="00D70C80"/>
    <w:rsid w:val="00D70F16"/>
    <w:rsid w:val="00D70FD2"/>
    <w:rsid w:val="00D71394"/>
    <w:rsid w:val="00D71744"/>
    <w:rsid w:val="00D71D07"/>
    <w:rsid w:val="00D71D09"/>
    <w:rsid w:val="00D71DED"/>
    <w:rsid w:val="00D721B0"/>
    <w:rsid w:val="00D726B3"/>
    <w:rsid w:val="00D72A9A"/>
    <w:rsid w:val="00D730C8"/>
    <w:rsid w:val="00D7327F"/>
    <w:rsid w:val="00D732D2"/>
    <w:rsid w:val="00D735F1"/>
    <w:rsid w:val="00D7372F"/>
    <w:rsid w:val="00D73965"/>
    <w:rsid w:val="00D73CBC"/>
    <w:rsid w:val="00D74204"/>
    <w:rsid w:val="00D74D4A"/>
    <w:rsid w:val="00D7531F"/>
    <w:rsid w:val="00D75953"/>
    <w:rsid w:val="00D75A70"/>
    <w:rsid w:val="00D76349"/>
    <w:rsid w:val="00D7681C"/>
    <w:rsid w:val="00D76841"/>
    <w:rsid w:val="00D7692F"/>
    <w:rsid w:val="00D76A44"/>
    <w:rsid w:val="00D76B6B"/>
    <w:rsid w:val="00D77330"/>
    <w:rsid w:val="00D8022B"/>
    <w:rsid w:val="00D802E4"/>
    <w:rsid w:val="00D803CE"/>
    <w:rsid w:val="00D80505"/>
    <w:rsid w:val="00D815EF"/>
    <w:rsid w:val="00D81737"/>
    <w:rsid w:val="00D81974"/>
    <w:rsid w:val="00D81FA3"/>
    <w:rsid w:val="00D81FF1"/>
    <w:rsid w:val="00D826FD"/>
    <w:rsid w:val="00D8270E"/>
    <w:rsid w:val="00D82752"/>
    <w:rsid w:val="00D8289D"/>
    <w:rsid w:val="00D829EB"/>
    <w:rsid w:val="00D82EB6"/>
    <w:rsid w:val="00D832EF"/>
    <w:rsid w:val="00D83685"/>
    <w:rsid w:val="00D83FCF"/>
    <w:rsid w:val="00D84500"/>
    <w:rsid w:val="00D84F9E"/>
    <w:rsid w:val="00D855BD"/>
    <w:rsid w:val="00D856CB"/>
    <w:rsid w:val="00D858B8"/>
    <w:rsid w:val="00D85A83"/>
    <w:rsid w:val="00D86786"/>
    <w:rsid w:val="00D86D31"/>
    <w:rsid w:val="00D87117"/>
    <w:rsid w:val="00D876F5"/>
    <w:rsid w:val="00D8791E"/>
    <w:rsid w:val="00D87E09"/>
    <w:rsid w:val="00D902C5"/>
    <w:rsid w:val="00D909E2"/>
    <w:rsid w:val="00D90B2B"/>
    <w:rsid w:val="00D91455"/>
    <w:rsid w:val="00D915A8"/>
    <w:rsid w:val="00D91923"/>
    <w:rsid w:val="00D91A3B"/>
    <w:rsid w:val="00D92594"/>
    <w:rsid w:val="00D92C71"/>
    <w:rsid w:val="00D932F4"/>
    <w:rsid w:val="00D9350F"/>
    <w:rsid w:val="00D93753"/>
    <w:rsid w:val="00D937A1"/>
    <w:rsid w:val="00D9384B"/>
    <w:rsid w:val="00D941C0"/>
    <w:rsid w:val="00D943BA"/>
    <w:rsid w:val="00D94420"/>
    <w:rsid w:val="00D94581"/>
    <w:rsid w:val="00D9465B"/>
    <w:rsid w:val="00D952A6"/>
    <w:rsid w:val="00D9563A"/>
    <w:rsid w:val="00D95790"/>
    <w:rsid w:val="00D95CC3"/>
    <w:rsid w:val="00D962B5"/>
    <w:rsid w:val="00D964C0"/>
    <w:rsid w:val="00D9666C"/>
    <w:rsid w:val="00D96BD8"/>
    <w:rsid w:val="00D96DC4"/>
    <w:rsid w:val="00D971B8"/>
    <w:rsid w:val="00D9726E"/>
    <w:rsid w:val="00D97392"/>
    <w:rsid w:val="00D973CB"/>
    <w:rsid w:val="00D97EC3"/>
    <w:rsid w:val="00DA064E"/>
    <w:rsid w:val="00DA0F6A"/>
    <w:rsid w:val="00DA190D"/>
    <w:rsid w:val="00DA1BAE"/>
    <w:rsid w:val="00DA1C4D"/>
    <w:rsid w:val="00DA216D"/>
    <w:rsid w:val="00DA2298"/>
    <w:rsid w:val="00DA22B8"/>
    <w:rsid w:val="00DA2499"/>
    <w:rsid w:val="00DA2CF4"/>
    <w:rsid w:val="00DA2E77"/>
    <w:rsid w:val="00DA3167"/>
    <w:rsid w:val="00DA3EED"/>
    <w:rsid w:val="00DA4029"/>
    <w:rsid w:val="00DA4A75"/>
    <w:rsid w:val="00DA4DC3"/>
    <w:rsid w:val="00DA5134"/>
    <w:rsid w:val="00DA5DFD"/>
    <w:rsid w:val="00DA68BB"/>
    <w:rsid w:val="00DA6C30"/>
    <w:rsid w:val="00DA6F6E"/>
    <w:rsid w:val="00DA7261"/>
    <w:rsid w:val="00DA7304"/>
    <w:rsid w:val="00DA7485"/>
    <w:rsid w:val="00DA77A5"/>
    <w:rsid w:val="00DA7AEC"/>
    <w:rsid w:val="00DB0104"/>
    <w:rsid w:val="00DB0152"/>
    <w:rsid w:val="00DB0311"/>
    <w:rsid w:val="00DB04FE"/>
    <w:rsid w:val="00DB0631"/>
    <w:rsid w:val="00DB0FA6"/>
    <w:rsid w:val="00DB1002"/>
    <w:rsid w:val="00DB17A6"/>
    <w:rsid w:val="00DB23BF"/>
    <w:rsid w:val="00DB2981"/>
    <w:rsid w:val="00DB2DA8"/>
    <w:rsid w:val="00DB3196"/>
    <w:rsid w:val="00DB3367"/>
    <w:rsid w:val="00DB3902"/>
    <w:rsid w:val="00DB39A1"/>
    <w:rsid w:val="00DB3FEC"/>
    <w:rsid w:val="00DB4353"/>
    <w:rsid w:val="00DB4736"/>
    <w:rsid w:val="00DB4832"/>
    <w:rsid w:val="00DB484F"/>
    <w:rsid w:val="00DB4868"/>
    <w:rsid w:val="00DB5643"/>
    <w:rsid w:val="00DB5754"/>
    <w:rsid w:val="00DB6077"/>
    <w:rsid w:val="00DB68FF"/>
    <w:rsid w:val="00DB6DF9"/>
    <w:rsid w:val="00DB70DC"/>
    <w:rsid w:val="00DB7251"/>
    <w:rsid w:val="00DC0208"/>
    <w:rsid w:val="00DC04F6"/>
    <w:rsid w:val="00DC0BD0"/>
    <w:rsid w:val="00DC156C"/>
    <w:rsid w:val="00DC1C56"/>
    <w:rsid w:val="00DC1D90"/>
    <w:rsid w:val="00DC208E"/>
    <w:rsid w:val="00DC2238"/>
    <w:rsid w:val="00DC226A"/>
    <w:rsid w:val="00DC230C"/>
    <w:rsid w:val="00DC275C"/>
    <w:rsid w:val="00DC2B32"/>
    <w:rsid w:val="00DC2C38"/>
    <w:rsid w:val="00DC2D7F"/>
    <w:rsid w:val="00DC315B"/>
    <w:rsid w:val="00DC32CC"/>
    <w:rsid w:val="00DC3C57"/>
    <w:rsid w:val="00DC465D"/>
    <w:rsid w:val="00DC47C7"/>
    <w:rsid w:val="00DC488A"/>
    <w:rsid w:val="00DC49BE"/>
    <w:rsid w:val="00DC5161"/>
    <w:rsid w:val="00DC5501"/>
    <w:rsid w:val="00DC562E"/>
    <w:rsid w:val="00DC5AF9"/>
    <w:rsid w:val="00DC5F32"/>
    <w:rsid w:val="00DC605C"/>
    <w:rsid w:val="00DC6CF3"/>
    <w:rsid w:val="00DC7B4D"/>
    <w:rsid w:val="00DC7B91"/>
    <w:rsid w:val="00DD0492"/>
    <w:rsid w:val="00DD06D7"/>
    <w:rsid w:val="00DD0950"/>
    <w:rsid w:val="00DD0A1D"/>
    <w:rsid w:val="00DD10FF"/>
    <w:rsid w:val="00DD217C"/>
    <w:rsid w:val="00DD242B"/>
    <w:rsid w:val="00DD273C"/>
    <w:rsid w:val="00DD2EB1"/>
    <w:rsid w:val="00DD3F28"/>
    <w:rsid w:val="00DD3F3A"/>
    <w:rsid w:val="00DD4070"/>
    <w:rsid w:val="00DD43E7"/>
    <w:rsid w:val="00DD4537"/>
    <w:rsid w:val="00DD4749"/>
    <w:rsid w:val="00DD4D27"/>
    <w:rsid w:val="00DD4DC5"/>
    <w:rsid w:val="00DD4E15"/>
    <w:rsid w:val="00DD4F4B"/>
    <w:rsid w:val="00DD5857"/>
    <w:rsid w:val="00DD5BE1"/>
    <w:rsid w:val="00DD5E88"/>
    <w:rsid w:val="00DD60A1"/>
    <w:rsid w:val="00DD6A7E"/>
    <w:rsid w:val="00DD6C4E"/>
    <w:rsid w:val="00DD7302"/>
    <w:rsid w:val="00DD73D7"/>
    <w:rsid w:val="00DD7448"/>
    <w:rsid w:val="00DD785A"/>
    <w:rsid w:val="00DD7A5C"/>
    <w:rsid w:val="00DD7BB7"/>
    <w:rsid w:val="00DE01C2"/>
    <w:rsid w:val="00DE0672"/>
    <w:rsid w:val="00DE08E6"/>
    <w:rsid w:val="00DE0A4A"/>
    <w:rsid w:val="00DE0BED"/>
    <w:rsid w:val="00DE0C18"/>
    <w:rsid w:val="00DE0D33"/>
    <w:rsid w:val="00DE13F9"/>
    <w:rsid w:val="00DE14EF"/>
    <w:rsid w:val="00DE1879"/>
    <w:rsid w:val="00DE2325"/>
    <w:rsid w:val="00DE267A"/>
    <w:rsid w:val="00DE2926"/>
    <w:rsid w:val="00DE29F4"/>
    <w:rsid w:val="00DE2E18"/>
    <w:rsid w:val="00DE2E80"/>
    <w:rsid w:val="00DE3138"/>
    <w:rsid w:val="00DE362D"/>
    <w:rsid w:val="00DE37F8"/>
    <w:rsid w:val="00DE4468"/>
    <w:rsid w:val="00DE4967"/>
    <w:rsid w:val="00DE4B62"/>
    <w:rsid w:val="00DE4D7F"/>
    <w:rsid w:val="00DE4FCB"/>
    <w:rsid w:val="00DE5338"/>
    <w:rsid w:val="00DE5395"/>
    <w:rsid w:val="00DE57FB"/>
    <w:rsid w:val="00DE5960"/>
    <w:rsid w:val="00DE5EE3"/>
    <w:rsid w:val="00DE66BE"/>
    <w:rsid w:val="00DE683F"/>
    <w:rsid w:val="00DE760D"/>
    <w:rsid w:val="00DE7629"/>
    <w:rsid w:val="00DE7832"/>
    <w:rsid w:val="00DE7D7B"/>
    <w:rsid w:val="00DF031A"/>
    <w:rsid w:val="00DF0E36"/>
    <w:rsid w:val="00DF0EA7"/>
    <w:rsid w:val="00DF0F55"/>
    <w:rsid w:val="00DF110D"/>
    <w:rsid w:val="00DF173C"/>
    <w:rsid w:val="00DF1745"/>
    <w:rsid w:val="00DF1825"/>
    <w:rsid w:val="00DF1894"/>
    <w:rsid w:val="00DF18FC"/>
    <w:rsid w:val="00DF1BD7"/>
    <w:rsid w:val="00DF2652"/>
    <w:rsid w:val="00DF2824"/>
    <w:rsid w:val="00DF28AD"/>
    <w:rsid w:val="00DF2943"/>
    <w:rsid w:val="00DF2960"/>
    <w:rsid w:val="00DF2C9D"/>
    <w:rsid w:val="00DF3186"/>
    <w:rsid w:val="00DF3346"/>
    <w:rsid w:val="00DF33EB"/>
    <w:rsid w:val="00DF3F74"/>
    <w:rsid w:val="00DF455A"/>
    <w:rsid w:val="00DF4AF0"/>
    <w:rsid w:val="00DF561E"/>
    <w:rsid w:val="00DF5B90"/>
    <w:rsid w:val="00DF5D2B"/>
    <w:rsid w:val="00DF5F1B"/>
    <w:rsid w:val="00DF66DE"/>
    <w:rsid w:val="00DF709B"/>
    <w:rsid w:val="00DF7DF8"/>
    <w:rsid w:val="00E0018A"/>
    <w:rsid w:val="00E00CE5"/>
    <w:rsid w:val="00E00E8E"/>
    <w:rsid w:val="00E013F5"/>
    <w:rsid w:val="00E01F92"/>
    <w:rsid w:val="00E0231D"/>
    <w:rsid w:val="00E0244D"/>
    <w:rsid w:val="00E02825"/>
    <w:rsid w:val="00E02971"/>
    <w:rsid w:val="00E02A89"/>
    <w:rsid w:val="00E02BC7"/>
    <w:rsid w:val="00E02BE1"/>
    <w:rsid w:val="00E02D97"/>
    <w:rsid w:val="00E02DD0"/>
    <w:rsid w:val="00E0318A"/>
    <w:rsid w:val="00E03E0D"/>
    <w:rsid w:val="00E04546"/>
    <w:rsid w:val="00E04603"/>
    <w:rsid w:val="00E04747"/>
    <w:rsid w:val="00E04BB9"/>
    <w:rsid w:val="00E04F51"/>
    <w:rsid w:val="00E05295"/>
    <w:rsid w:val="00E05617"/>
    <w:rsid w:val="00E05630"/>
    <w:rsid w:val="00E05E00"/>
    <w:rsid w:val="00E06D7D"/>
    <w:rsid w:val="00E06DBB"/>
    <w:rsid w:val="00E0795C"/>
    <w:rsid w:val="00E10147"/>
    <w:rsid w:val="00E10149"/>
    <w:rsid w:val="00E10332"/>
    <w:rsid w:val="00E103F4"/>
    <w:rsid w:val="00E1070B"/>
    <w:rsid w:val="00E10A28"/>
    <w:rsid w:val="00E10CBE"/>
    <w:rsid w:val="00E10DE3"/>
    <w:rsid w:val="00E10E8A"/>
    <w:rsid w:val="00E10F20"/>
    <w:rsid w:val="00E11476"/>
    <w:rsid w:val="00E1182B"/>
    <w:rsid w:val="00E11EF1"/>
    <w:rsid w:val="00E122A6"/>
    <w:rsid w:val="00E12C0B"/>
    <w:rsid w:val="00E12C94"/>
    <w:rsid w:val="00E12D1C"/>
    <w:rsid w:val="00E130DE"/>
    <w:rsid w:val="00E13247"/>
    <w:rsid w:val="00E133E9"/>
    <w:rsid w:val="00E138E5"/>
    <w:rsid w:val="00E13B42"/>
    <w:rsid w:val="00E14376"/>
    <w:rsid w:val="00E143CE"/>
    <w:rsid w:val="00E14507"/>
    <w:rsid w:val="00E146B5"/>
    <w:rsid w:val="00E1472F"/>
    <w:rsid w:val="00E14B0B"/>
    <w:rsid w:val="00E14B67"/>
    <w:rsid w:val="00E14FE2"/>
    <w:rsid w:val="00E153D6"/>
    <w:rsid w:val="00E15978"/>
    <w:rsid w:val="00E15BA9"/>
    <w:rsid w:val="00E15D2E"/>
    <w:rsid w:val="00E16372"/>
    <w:rsid w:val="00E16C52"/>
    <w:rsid w:val="00E16CE7"/>
    <w:rsid w:val="00E16F2F"/>
    <w:rsid w:val="00E16FD6"/>
    <w:rsid w:val="00E174B3"/>
    <w:rsid w:val="00E176BB"/>
    <w:rsid w:val="00E17AC5"/>
    <w:rsid w:val="00E17AC6"/>
    <w:rsid w:val="00E17B3B"/>
    <w:rsid w:val="00E20124"/>
    <w:rsid w:val="00E20735"/>
    <w:rsid w:val="00E20BE7"/>
    <w:rsid w:val="00E20E4D"/>
    <w:rsid w:val="00E20ED6"/>
    <w:rsid w:val="00E21358"/>
    <w:rsid w:val="00E216E1"/>
    <w:rsid w:val="00E218D9"/>
    <w:rsid w:val="00E21B15"/>
    <w:rsid w:val="00E21E96"/>
    <w:rsid w:val="00E2249B"/>
    <w:rsid w:val="00E22A0D"/>
    <w:rsid w:val="00E230D8"/>
    <w:rsid w:val="00E237EB"/>
    <w:rsid w:val="00E246F8"/>
    <w:rsid w:val="00E24884"/>
    <w:rsid w:val="00E24D8E"/>
    <w:rsid w:val="00E2520D"/>
    <w:rsid w:val="00E2553B"/>
    <w:rsid w:val="00E256C2"/>
    <w:rsid w:val="00E25995"/>
    <w:rsid w:val="00E26BA7"/>
    <w:rsid w:val="00E26D13"/>
    <w:rsid w:val="00E270D0"/>
    <w:rsid w:val="00E2771E"/>
    <w:rsid w:val="00E27950"/>
    <w:rsid w:val="00E27BB7"/>
    <w:rsid w:val="00E27EDC"/>
    <w:rsid w:val="00E27F82"/>
    <w:rsid w:val="00E30374"/>
    <w:rsid w:val="00E304D5"/>
    <w:rsid w:val="00E30B33"/>
    <w:rsid w:val="00E30B49"/>
    <w:rsid w:val="00E30CB3"/>
    <w:rsid w:val="00E30D09"/>
    <w:rsid w:val="00E30DEF"/>
    <w:rsid w:val="00E313AE"/>
    <w:rsid w:val="00E31B1C"/>
    <w:rsid w:val="00E31DE7"/>
    <w:rsid w:val="00E324C8"/>
    <w:rsid w:val="00E32793"/>
    <w:rsid w:val="00E32C8E"/>
    <w:rsid w:val="00E333E7"/>
    <w:rsid w:val="00E33468"/>
    <w:rsid w:val="00E33BF4"/>
    <w:rsid w:val="00E33DCA"/>
    <w:rsid w:val="00E34007"/>
    <w:rsid w:val="00E34417"/>
    <w:rsid w:val="00E34948"/>
    <w:rsid w:val="00E34F75"/>
    <w:rsid w:val="00E35240"/>
    <w:rsid w:val="00E35450"/>
    <w:rsid w:val="00E35BD5"/>
    <w:rsid w:val="00E3619A"/>
    <w:rsid w:val="00E36BE7"/>
    <w:rsid w:val="00E36DE0"/>
    <w:rsid w:val="00E36F91"/>
    <w:rsid w:val="00E36FEA"/>
    <w:rsid w:val="00E37521"/>
    <w:rsid w:val="00E37569"/>
    <w:rsid w:val="00E37BED"/>
    <w:rsid w:val="00E37C49"/>
    <w:rsid w:val="00E37CD9"/>
    <w:rsid w:val="00E37D2F"/>
    <w:rsid w:val="00E40537"/>
    <w:rsid w:val="00E40738"/>
    <w:rsid w:val="00E40DD6"/>
    <w:rsid w:val="00E4100C"/>
    <w:rsid w:val="00E41642"/>
    <w:rsid w:val="00E41D00"/>
    <w:rsid w:val="00E41E30"/>
    <w:rsid w:val="00E4296C"/>
    <w:rsid w:val="00E431D3"/>
    <w:rsid w:val="00E4378A"/>
    <w:rsid w:val="00E439E5"/>
    <w:rsid w:val="00E43AF7"/>
    <w:rsid w:val="00E43D70"/>
    <w:rsid w:val="00E43FB6"/>
    <w:rsid w:val="00E44B81"/>
    <w:rsid w:val="00E44BD5"/>
    <w:rsid w:val="00E451B5"/>
    <w:rsid w:val="00E4580A"/>
    <w:rsid w:val="00E458F8"/>
    <w:rsid w:val="00E45AA4"/>
    <w:rsid w:val="00E45D3D"/>
    <w:rsid w:val="00E45E2C"/>
    <w:rsid w:val="00E45F24"/>
    <w:rsid w:val="00E4615B"/>
    <w:rsid w:val="00E46210"/>
    <w:rsid w:val="00E46649"/>
    <w:rsid w:val="00E466F3"/>
    <w:rsid w:val="00E46CBC"/>
    <w:rsid w:val="00E46FF1"/>
    <w:rsid w:val="00E47484"/>
    <w:rsid w:val="00E476D4"/>
    <w:rsid w:val="00E479BD"/>
    <w:rsid w:val="00E47B2C"/>
    <w:rsid w:val="00E47D03"/>
    <w:rsid w:val="00E50613"/>
    <w:rsid w:val="00E50B84"/>
    <w:rsid w:val="00E511FB"/>
    <w:rsid w:val="00E5155C"/>
    <w:rsid w:val="00E51560"/>
    <w:rsid w:val="00E515A6"/>
    <w:rsid w:val="00E518A8"/>
    <w:rsid w:val="00E51B6E"/>
    <w:rsid w:val="00E52371"/>
    <w:rsid w:val="00E523F4"/>
    <w:rsid w:val="00E524F2"/>
    <w:rsid w:val="00E52697"/>
    <w:rsid w:val="00E527ED"/>
    <w:rsid w:val="00E52874"/>
    <w:rsid w:val="00E52920"/>
    <w:rsid w:val="00E52968"/>
    <w:rsid w:val="00E5296E"/>
    <w:rsid w:val="00E5404F"/>
    <w:rsid w:val="00E54347"/>
    <w:rsid w:val="00E546F7"/>
    <w:rsid w:val="00E547C0"/>
    <w:rsid w:val="00E548BD"/>
    <w:rsid w:val="00E54B37"/>
    <w:rsid w:val="00E54D9A"/>
    <w:rsid w:val="00E55424"/>
    <w:rsid w:val="00E555F4"/>
    <w:rsid w:val="00E5575F"/>
    <w:rsid w:val="00E55B2C"/>
    <w:rsid w:val="00E55BB5"/>
    <w:rsid w:val="00E55DB9"/>
    <w:rsid w:val="00E55E5F"/>
    <w:rsid w:val="00E56A61"/>
    <w:rsid w:val="00E56D7E"/>
    <w:rsid w:val="00E60248"/>
    <w:rsid w:val="00E6066A"/>
    <w:rsid w:val="00E6077F"/>
    <w:rsid w:val="00E60854"/>
    <w:rsid w:val="00E60D26"/>
    <w:rsid w:val="00E61D10"/>
    <w:rsid w:val="00E6200E"/>
    <w:rsid w:val="00E620BB"/>
    <w:rsid w:val="00E62606"/>
    <w:rsid w:val="00E62880"/>
    <w:rsid w:val="00E62F0E"/>
    <w:rsid w:val="00E63674"/>
    <w:rsid w:val="00E64094"/>
    <w:rsid w:val="00E64898"/>
    <w:rsid w:val="00E64E50"/>
    <w:rsid w:val="00E65240"/>
    <w:rsid w:val="00E65437"/>
    <w:rsid w:val="00E65509"/>
    <w:rsid w:val="00E65603"/>
    <w:rsid w:val="00E65B7A"/>
    <w:rsid w:val="00E65E79"/>
    <w:rsid w:val="00E66968"/>
    <w:rsid w:val="00E66BA2"/>
    <w:rsid w:val="00E66D2F"/>
    <w:rsid w:val="00E67416"/>
    <w:rsid w:val="00E67460"/>
    <w:rsid w:val="00E70248"/>
    <w:rsid w:val="00E7028E"/>
    <w:rsid w:val="00E7124E"/>
    <w:rsid w:val="00E7149C"/>
    <w:rsid w:val="00E71741"/>
    <w:rsid w:val="00E718B6"/>
    <w:rsid w:val="00E718BF"/>
    <w:rsid w:val="00E718EF"/>
    <w:rsid w:val="00E71B43"/>
    <w:rsid w:val="00E71D57"/>
    <w:rsid w:val="00E72030"/>
    <w:rsid w:val="00E7217E"/>
    <w:rsid w:val="00E723BA"/>
    <w:rsid w:val="00E72484"/>
    <w:rsid w:val="00E72786"/>
    <w:rsid w:val="00E72994"/>
    <w:rsid w:val="00E72CB7"/>
    <w:rsid w:val="00E731B7"/>
    <w:rsid w:val="00E734AF"/>
    <w:rsid w:val="00E73581"/>
    <w:rsid w:val="00E742C5"/>
    <w:rsid w:val="00E748AC"/>
    <w:rsid w:val="00E74A79"/>
    <w:rsid w:val="00E74B5C"/>
    <w:rsid w:val="00E74BB9"/>
    <w:rsid w:val="00E75A0D"/>
    <w:rsid w:val="00E75C34"/>
    <w:rsid w:val="00E764F1"/>
    <w:rsid w:val="00E76D9E"/>
    <w:rsid w:val="00E779B4"/>
    <w:rsid w:val="00E80BB6"/>
    <w:rsid w:val="00E8157F"/>
    <w:rsid w:val="00E81C2C"/>
    <w:rsid w:val="00E820C7"/>
    <w:rsid w:val="00E833F7"/>
    <w:rsid w:val="00E8354D"/>
    <w:rsid w:val="00E83861"/>
    <w:rsid w:val="00E83BDF"/>
    <w:rsid w:val="00E83E0C"/>
    <w:rsid w:val="00E8451E"/>
    <w:rsid w:val="00E8452C"/>
    <w:rsid w:val="00E84761"/>
    <w:rsid w:val="00E84D7C"/>
    <w:rsid w:val="00E84FF3"/>
    <w:rsid w:val="00E85205"/>
    <w:rsid w:val="00E853CB"/>
    <w:rsid w:val="00E8545E"/>
    <w:rsid w:val="00E85636"/>
    <w:rsid w:val="00E856C6"/>
    <w:rsid w:val="00E85F18"/>
    <w:rsid w:val="00E861C6"/>
    <w:rsid w:val="00E8680A"/>
    <w:rsid w:val="00E86856"/>
    <w:rsid w:val="00E8702E"/>
    <w:rsid w:val="00E870D3"/>
    <w:rsid w:val="00E874F7"/>
    <w:rsid w:val="00E8757C"/>
    <w:rsid w:val="00E877EE"/>
    <w:rsid w:val="00E87A1D"/>
    <w:rsid w:val="00E87EF9"/>
    <w:rsid w:val="00E902EF"/>
    <w:rsid w:val="00E90826"/>
    <w:rsid w:val="00E90908"/>
    <w:rsid w:val="00E91168"/>
    <w:rsid w:val="00E916B5"/>
    <w:rsid w:val="00E918C3"/>
    <w:rsid w:val="00E91B60"/>
    <w:rsid w:val="00E91EAF"/>
    <w:rsid w:val="00E91EF5"/>
    <w:rsid w:val="00E920F9"/>
    <w:rsid w:val="00E926A5"/>
    <w:rsid w:val="00E92FE6"/>
    <w:rsid w:val="00E92FF3"/>
    <w:rsid w:val="00E93265"/>
    <w:rsid w:val="00E9332F"/>
    <w:rsid w:val="00E935F7"/>
    <w:rsid w:val="00E939A9"/>
    <w:rsid w:val="00E94420"/>
    <w:rsid w:val="00E94468"/>
    <w:rsid w:val="00E945AE"/>
    <w:rsid w:val="00E94F3C"/>
    <w:rsid w:val="00E95118"/>
    <w:rsid w:val="00E95207"/>
    <w:rsid w:val="00E95313"/>
    <w:rsid w:val="00E9556D"/>
    <w:rsid w:val="00E95A9E"/>
    <w:rsid w:val="00E95BD7"/>
    <w:rsid w:val="00E95C3A"/>
    <w:rsid w:val="00E95D83"/>
    <w:rsid w:val="00E96B36"/>
    <w:rsid w:val="00E96B9B"/>
    <w:rsid w:val="00E97003"/>
    <w:rsid w:val="00E975D3"/>
    <w:rsid w:val="00E975F3"/>
    <w:rsid w:val="00E97770"/>
    <w:rsid w:val="00E97B01"/>
    <w:rsid w:val="00E97CB1"/>
    <w:rsid w:val="00EA040D"/>
    <w:rsid w:val="00EA07B7"/>
    <w:rsid w:val="00EA0911"/>
    <w:rsid w:val="00EA0AA9"/>
    <w:rsid w:val="00EA0CB7"/>
    <w:rsid w:val="00EA0E3E"/>
    <w:rsid w:val="00EA1448"/>
    <w:rsid w:val="00EA17C3"/>
    <w:rsid w:val="00EA1848"/>
    <w:rsid w:val="00EA1A33"/>
    <w:rsid w:val="00EA1D7E"/>
    <w:rsid w:val="00EA1DCE"/>
    <w:rsid w:val="00EA200F"/>
    <w:rsid w:val="00EA2089"/>
    <w:rsid w:val="00EA21CE"/>
    <w:rsid w:val="00EA2B94"/>
    <w:rsid w:val="00EA2C8C"/>
    <w:rsid w:val="00EA2CAA"/>
    <w:rsid w:val="00EA34EC"/>
    <w:rsid w:val="00EA3864"/>
    <w:rsid w:val="00EA3A0D"/>
    <w:rsid w:val="00EA3B11"/>
    <w:rsid w:val="00EA3BE9"/>
    <w:rsid w:val="00EA3EEA"/>
    <w:rsid w:val="00EA445F"/>
    <w:rsid w:val="00EA4477"/>
    <w:rsid w:val="00EA4557"/>
    <w:rsid w:val="00EA4804"/>
    <w:rsid w:val="00EA4821"/>
    <w:rsid w:val="00EA4BF8"/>
    <w:rsid w:val="00EA4F83"/>
    <w:rsid w:val="00EA5132"/>
    <w:rsid w:val="00EA56EE"/>
    <w:rsid w:val="00EA56FC"/>
    <w:rsid w:val="00EA5B7B"/>
    <w:rsid w:val="00EA75D7"/>
    <w:rsid w:val="00EA7B08"/>
    <w:rsid w:val="00EA7E21"/>
    <w:rsid w:val="00EB00F2"/>
    <w:rsid w:val="00EB0786"/>
    <w:rsid w:val="00EB0AD8"/>
    <w:rsid w:val="00EB0C5E"/>
    <w:rsid w:val="00EB12F9"/>
    <w:rsid w:val="00EB15B6"/>
    <w:rsid w:val="00EB1A32"/>
    <w:rsid w:val="00EB27E6"/>
    <w:rsid w:val="00EB2BD2"/>
    <w:rsid w:val="00EB34D5"/>
    <w:rsid w:val="00EB350E"/>
    <w:rsid w:val="00EB415E"/>
    <w:rsid w:val="00EB4172"/>
    <w:rsid w:val="00EB437C"/>
    <w:rsid w:val="00EB4543"/>
    <w:rsid w:val="00EB4916"/>
    <w:rsid w:val="00EB4DBC"/>
    <w:rsid w:val="00EB4F2B"/>
    <w:rsid w:val="00EB5495"/>
    <w:rsid w:val="00EB57B8"/>
    <w:rsid w:val="00EB5888"/>
    <w:rsid w:val="00EB5C09"/>
    <w:rsid w:val="00EB5D9A"/>
    <w:rsid w:val="00EB629A"/>
    <w:rsid w:val="00EB6316"/>
    <w:rsid w:val="00EB6392"/>
    <w:rsid w:val="00EB667C"/>
    <w:rsid w:val="00EB667E"/>
    <w:rsid w:val="00EB6F25"/>
    <w:rsid w:val="00EB6F87"/>
    <w:rsid w:val="00EB74B9"/>
    <w:rsid w:val="00EB75C0"/>
    <w:rsid w:val="00EB78FE"/>
    <w:rsid w:val="00EB7CAD"/>
    <w:rsid w:val="00EB7CE6"/>
    <w:rsid w:val="00EB7DC9"/>
    <w:rsid w:val="00EC00C9"/>
    <w:rsid w:val="00EC03DD"/>
    <w:rsid w:val="00EC06B3"/>
    <w:rsid w:val="00EC0BDB"/>
    <w:rsid w:val="00EC1020"/>
    <w:rsid w:val="00EC14A0"/>
    <w:rsid w:val="00EC1A57"/>
    <w:rsid w:val="00EC1E3C"/>
    <w:rsid w:val="00EC2649"/>
    <w:rsid w:val="00EC2BED"/>
    <w:rsid w:val="00EC2C08"/>
    <w:rsid w:val="00EC2EF1"/>
    <w:rsid w:val="00EC33D3"/>
    <w:rsid w:val="00EC4187"/>
    <w:rsid w:val="00EC4236"/>
    <w:rsid w:val="00EC4390"/>
    <w:rsid w:val="00EC44B3"/>
    <w:rsid w:val="00EC498D"/>
    <w:rsid w:val="00EC52C0"/>
    <w:rsid w:val="00EC54AC"/>
    <w:rsid w:val="00EC5A22"/>
    <w:rsid w:val="00EC5B2A"/>
    <w:rsid w:val="00EC5D07"/>
    <w:rsid w:val="00EC62E8"/>
    <w:rsid w:val="00EC666F"/>
    <w:rsid w:val="00EC6862"/>
    <w:rsid w:val="00EC6946"/>
    <w:rsid w:val="00EC7340"/>
    <w:rsid w:val="00EC73CE"/>
    <w:rsid w:val="00EC7B0C"/>
    <w:rsid w:val="00EC7B4A"/>
    <w:rsid w:val="00EC7BE7"/>
    <w:rsid w:val="00EC7CD1"/>
    <w:rsid w:val="00EC7F95"/>
    <w:rsid w:val="00ED05AB"/>
    <w:rsid w:val="00ED09C3"/>
    <w:rsid w:val="00ED1021"/>
    <w:rsid w:val="00ED1268"/>
    <w:rsid w:val="00ED1398"/>
    <w:rsid w:val="00ED13E4"/>
    <w:rsid w:val="00ED15F4"/>
    <w:rsid w:val="00ED1C69"/>
    <w:rsid w:val="00ED2057"/>
    <w:rsid w:val="00ED25A7"/>
    <w:rsid w:val="00ED2CF3"/>
    <w:rsid w:val="00ED2FB1"/>
    <w:rsid w:val="00ED32FE"/>
    <w:rsid w:val="00ED3788"/>
    <w:rsid w:val="00ED3C59"/>
    <w:rsid w:val="00ED3D25"/>
    <w:rsid w:val="00ED3FE7"/>
    <w:rsid w:val="00ED4A2A"/>
    <w:rsid w:val="00ED555E"/>
    <w:rsid w:val="00ED571F"/>
    <w:rsid w:val="00ED57EA"/>
    <w:rsid w:val="00ED6340"/>
    <w:rsid w:val="00ED7D6C"/>
    <w:rsid w:val="00ED7FDD"/>
    <w:rsid w:val="00EE027B"/>
    <w:rsid w:val="00EE0475"/>
    <w:rsid w:val="00EE04F8"/>
    <w:rsid w:val="00EE07D3"/>
    <w:rsid w:val="00EE0CF4"/>
    <w:rsid w:val="00EE0FD0"/>
    <w:rsid w:val="00EE1404"/>
    <w:rsid w:val="00EE1AE0"/>
    <w:rsid w:val="00EE22AF"/>
    <w:rsid w:val="00EE233F"/>
    <w:rsid w:val="00EE244F"/>
    <w:rsid w:val="00EE2E2A"/>
    <w:rsid w:val="00EE3B09"/>
    <w:rsid w:val="00EE3C39"/>
    <w:rsid w:val="00EE3C84"/>
    <w:rsid w:val="00EE3DBC"/>
    <w:rsid w:val="00EE3EE4"/>
    <w:rsid w:val="00EE485A"/>
    <w:rsid w:val="00EE4FE1"/>
    <w:rsid w:val="00EE51E9"/>
    <w:rsid w:val="00EE58B3"/>
    <w:rsid w:val="00EE655F"/>
    <w:rsid w:val="00EE69A6"/>
    <w:rsid w:val="00EE6F9B"/>
    <w:rsid w:val="00EE7AD6"/>
    <w:rsid w:val="00EE7B93"/>
    <w:rsid w:val="00EF0171"/>
    <w:rsid w:val="00EF070C"/>
    <w:rsid w:val="00EF0A19"/>
    <w:rsid w:val="00EF1071"/>
    <w:rsid w:val="00EF14CF"/>
    <w:rsid w:val="00EF195D"/>
    <w:rsid w:val="00EF1988"/>
    <w:rsid w:val="00EF1AB4"/>
    <w:rsid w:val="00EF1B25"/>
    <w:rsid w:val="00EF2243"/>
    <w:rsid w:val="00EF27D1"/>
    <w:rsid w:val="00EF28C4"/>
    <w:rsid w:val="00EF29F6"/>
    <w:rsid w:val="00EF2ABC"/>
    <w:rsid w:val="00EF3157"/>
    <w:rsid w:val="00EF3515"/>
    <w:rsid w:val="00EF363A"/>
    <w:rsid w:val="00EF3FC0"/>
    <w:rsid w:val="00EF3FE7"/>
    <w:rsid w:val="00EF4455"/>
    <w:rsid w:val="00EF4531"/>
    <w:rsid w:val="00EF4674"/>
    <w:rsid w:val="00EF4747"/>
    <w:rsid w:val="00EF4A63"/>
    <w:rsid w:val="00EF4BF8"/>
    <w:rsid w:val="00EF4CEE"/>
    <w:rsid w:val="00EF5A6C"/>
    <w:rsid w:val="00EF5FD9"/>
    <w:rsid w:val="00EF61E0"/>
    <w:rsid w:val="00EF6403"/>
    <w:rsid w:val="00EF64F8"/>
    <w:rsid w:val="00EF6FD5"/>
    <w:rsid w:val="00EF7013"/>
    <w:rsid w:val="00EF72A3"/>
    <w:rsid w:val="00EF7492"/>
    <w:rsid w:val="00EF7D57"/>
    <w:rsid w:val="00EF7FDF"/>
    <w:rsid w:val="00F00202"/>
    <w:rsid w:val="00F004D5"/>
    <w:rsid w:val="00F01000"/>
    <w:rsid w:val="00F0165E"/>
    <w:rsid w:val="00F017DE"/>
    <w:rsid w:val="00F01AD1"/>
    <w:rsid w:val="00F02253"/>
    <w:rsid w:val="00F022E4"/>
    <w:rsid w:val="00F0258C"/>
    <w:rsid w:val="00F028E4"/>
    <w:rsid w:val="00F031F5"/>
    <w:rsid w:val="00F0329E"/>
    <w:rsid w:val="00F0392A"/>
    <w:rsid w:val="00F03C2E"/>
    <w:rsid w:val="00F03C60"/>
    <w:rsid w:val="00F03D99"/>
    <w:rsid w:val="00F04676"/>
    <w:rsid w:val="00F048F0"/>
    <w:rsid w:val="00F04A66"/>
    <w:rsid w:val="00F04F51"/>
    <w:rsid w:val="00F04F9F"/>
    <w:rsid w:val="00F05088"/>
    <w:rsid w:val="00F0516C"/>
    <w:rsid w:val="00F05455"/>
    <w:rsid w:val="00F059C1"/>
    <w:rsid w:val="00F05DC8"/>
    <w:rsid w:val="00F05E70"/>
    <w:rsid w:val="00F067A2"/>
    <w:rsid w:val="00F067E1"/>
    <w:rsid w:val="00F06949"/>
    <w:rsid w:val="00F06DD4"/>
    <w:rsid w:val="00F06EB6"/>
    <w:rsid w:val="00F070C9"/>
    <w:rsid w:val="00F075F6"/>
    <w:rsid w:val="00F07A1D"/>
    <w:rsid w:val="00F07F9D"/>
    <w:rsid w:val="00F10516"/>
    <w:rsid w:val="00F11049"/>
    <w:rsid w:val="00F1131D"/>
    <w:rsid w:val="00F1134F"/>
    <w:rsid w:val="00F11FB2"/>
    <w:rsid w:val="00F11FC5"/>
    <w:rsid w:val="00F12393"/>
    <w:rsid w:val="00F12567"/>
    <w:rsid w:val="00F1263A"/>
    <w:rsid w:val="00F1328A"/>
    <w:rsid w:val="00F13921"/>
    <w:rsid w:val="00F139FD"/>
    <w:rsid w:val="00F13A78"/>
    <w:rsid w:val="00F13EA1"/>
    <w:rsid w:val="00F14044"/>
    <w:rsid w:val="00F141A5"/>
    <w:rsid w:val="00F1449F"/>
    <w:rsid w:val="00F14524"/>
    <w:rsid w:val="00F14636"/>
    <w:rsid w:val="00F14783"/>
    <w:rsid w:val="00F14E45"/>
    <w:rsid w:val="00F15374"/>
    <w:rsid w:val="00F153F2"/>
    <w:rsid w:val="00F15696"/>
    <w:rsid w:val="00F15A8B"/>
    <w:rsid w:val="00F15ACD"/>
    <w:rsid w:val="00F16448"/>
    <w:rsid w:val="00F16B07"/>
    <w:rsid w:val="00F16DB3"/>
    <w:rsid w:val="00F1729E"/>
    <w:rsid w:val="00F172D9"/>
    <w:rsid w:val="00F17C74"/>
    <w:rsid w:val="00F201FF"/>
    <w:rsid w:val="00F2024B"/>
    <w:rsid w:val="00F20BDA"/>
    <w:rsid w:val="00F20C88"/>
    <w:rsid w:val="00F217B8"/>
    <w:rsid w:val="00F21FAA"/>
    <w:rsid w:val="00F22518"/>
    <w:rsid w:val="00F22619"/>
    <w:rsid w:val="00F232AC"/>
    <w:rsid w:val="00F2342B"/>
    <w:rsid w:val="00F2360D"/>
    <w:rsid w:val="00F24039"/>
    <w:rsid w:val="00F245F0"/>
    <w:rsid w:val="00F24837"/>
    <w:rsid w:val="00F248EA"/>
    <w:rsid w:val="00F2575F"/>
    <w:rsid w:val="00F260F8"/>
    <w:rsid w:val="00F2640C"/>
    <w:rsid w:val="00F26797"/>
    <w:rsid w:val="00F26940"/>
    <w:rsid w:val="00F26AC0"/>
    <w:rsid w:val="00F26CA2"/>
    <w:rsid w:val="00F26F16"/>
    <w:rsid w:val="00F27565"/>
    <w:rsid w:val="00F27683"/>
    <w:rsid w:val="00F27FE4"/>
    <w:rsid w:val="00F3008E"/>
    <w:rsid w:val="00F306E3"/>
    <w:rsid w:val="00F307B8"/>
    <w:rsid w:val="00F3081B"/>
    <w:rsid w:val="00F308AF"/>
    <w:rsid w:val="00F30A36"/>
    <w:rsid w:val="00F30C20"/>
    <w:rsid w:val="00F310D4"/>
    <w:rsid w:val="00F312E0"/>
    <w:rsid w:val="00F31473"/>
    <w:rsid w:val="00F3163D"/>
    <w:rsid w:val="00F31902"/>
    <w:rsid w:val="00F31B10"/>
    <w:rsid w:val="00F31D5A"/>
    <w:rsid w:val="00F31DE4"/>
    <w:rsid w:val="00F32393"/>
    <w:rsid w:val="00F324CD"/>
    <w:rsid w:val="00F32662"/>
    <w:rsid w:val="00F3271D"/>
    <w:rsid w:val="00F32E92"/>
    <w:rsid w:val="00F32FEF"/>
    <w:rsid w:val="00F332AF"/>
    <w:rsid w:val="00F3374A"/>
    <w:rsid w:val="00F33828"/>
    <w:rsid w:val="00F33871"/>
    <w:rsid w:val="00F33DE9"/>
    <w:rsid w:val="00F33E5A"/>
    <w:rsid w:val="00F34004"/>
    <w:rsid w:val="00F34190"/>
    <w:rsid w:val="00F3477E"/>
    <w:rsid w:val="00F34D17"/>
    <w:rsid w:val="00F356D3"/>
    <w:rsid w:val="00F35722"/>
    <w:rsid w:val="00F3576F"/>
    <w:rsid w:val="00F35B36"/>
    <w:rsid w:val="00F35FCB"/>
    <w:rsid w:val="00F3619A"/>
    <w:rsid w:val="00F3673C"/>
    <w:rsid w:val="00F36E6F"/>
    <w:rsid w:val="00F37077"/>
    <w:rsid w:val="00F374C9"/>
    <w:rsid w:val="00F375F2"/>
    <w:rsid w:val="00F37766"/>
    <w:rsid w:val="00F37FB7"/>
    <w:rsid w:val="00F4048B"/>
    <w:rsid w:val="00F40515"/>
    <w:rsid w:val="00F40720"/>
    <w:rsid w:val="00F4099B"/>
    <w:rsid w:val="00F40AAA"/>
    <w:rsid w:val="00F40BA7"/>
    <w:rsid w:val="00F41843"/>
    <w:rsid w:val="00F41AD2"/>
    <w:rsid w:val="00F41C6F"/>
    <w:rsid w:val="00F41DEC"/>
    <w:rsid w:val="00F41FA1"/>
    <w:rsid w:val="00F43385"/>
    <w:rsid w:val="00F436E6"/>
    <w:rsid w:val="00F4480D"/>
    <w:rsid w:val="00F44810"/>
    <w:rsid w:val="00F44E13"/>
    <w:rsid w:val="00F44F29"/>
    <w:rsid w:val="00F454E6"/>
    <w:rsid w:val="00F462BA"/>
    <w:rsid w:val="00F46690"/>
    <w:rsid w:val="00F467FA"/>
    <w:rsid w:val="00F46CB6"/>
    <w:rsid w:val="00F473A6"/>
    <w:rsid w:val="00F47970"/>
    <w:rsid w:val="00F47A1A"/>
    <w:rsid w:val="00F47ABF"/>
    <w:rsid w:val="00F47DE8"/>
    <w:rsid w:val="00F5059E"/>
    <w:rsid w:val="00F5099A"/>
    <w:rsid w:val="00F50FFA"/>
    <w:rsid w:val="00F51682"/>
    <w:rsid w:val="00F52B15"/>
    <w:rsid w:val="00F52CAB"/>
    <w:rsid w:val="00F52DBC"/>
    <w:rsid w:val="00F52DD7"/>
    <w:rsid w:val="00F52EE8"/>
    <w:rsid w:val="00F53119"/>
    <w:rsid w:val="00F53303"/>
    <w:rsid w:val="00F5414E"/>
    <w:rsid w:val="00F542C1"/>
    <w:rsid w:val="00F546B2"/>
    <w:rsid w:val="00F550FA"/>
    <w:rsid w:val="00F5581F"/>
    <w:rsid w:val="00F55857"/>
    <w:rsid w:val="00F55CE6"/>
    <w:rsid w:val="00F55E73"/>
    <w:rsid w:val="00F55EDA"/>
    <w:rsid w:val="00F55F45"/>
    <w:rsid w:val="00F5621A"/>
    <w:rsid w:val="00F565A7"/>
    <w:rsid w:val="00F56F0E"/>
    <w:rsid w:val="00F56FAB"/>
    <w:rsid w:val="00F57036"/>
    <w:rsid w:val="00F570B8"/>
    <w:rsid w:val="00F57133"/>
    <w:rsid w:val="00F57360"/>
    <w:rsid w:val="00F573A9"/>
    <w:rsid w:val="00F5764F"/>
    <w:rsid w:val="00F5767C"/>
    <w:rsid w:val="00F5799C"/>
    <w:rsid w:val="00F57EA6"/>
    <w:rsid w:val="00F60092"/>
    <w:rsid w:val="00F600A5"/>
    <w:rsid w:val="00F6032E"/>
    <w:rsid w:val="00F60336"/>
    <w:rsid w:val="00F60E97"/>
    <w:rsid w:val="00F61026"/>
    <w:rsid w:val="00F61156"/>
    <w:rsid w:val="00F612AB"/>
    <w:rsid w:val="00F613A7"/>
    <w:rsid w:val="00F615F1"/>
    <w:rsid w:val="00F61BA7"/>
    <w:rsid w:val="00F61FBA"/>
    <w:rsid w:val="00F61FD6"/>
    <w:rsid w:val="00F62A75"/>
    <w:rsid w:val="00F62B06"/>
    <w:rsid w:val="00F634D6"/>
    <w:rsid w:val="00F638AC"/>
    <w:rsid w:val="00F63BF9"/>
    <w:rsid w:val="00F64303"/>
    <w:rsid w:val="00F64CC3"/>
    <w:rsid w:val="00F65C2E"/>
    <w:rsid w:val="00F65CA1"/>
    <w:rsid w:val="00F65F4B"/>
    <w:rsid w:val="00F65FD1"/>
    <w:rsid w:val="00F66153"/>
    <w:rsid w:val="00F6669B"/>
    <w:rsid w:val="00F66913"/>
    <w:rsid w:val="00F670D2"/>
    <w:rsid w:val="00F679D9"/>
    <w:rsid w:val="00F67AFA"/>
    <w:rsid w:val="00F7017B"/>
    <w:rsid w:val="00F70257"/>
    <w:rsid w:val="00F70A0C"/>
    <w:rsid w:val="00F70C9D"/>
    <w:rsid w:val="00F70DE8"/>
    <w:rsid w:val="00F712E8"/>
    <w:rsid w:val="00F719F8"/>
    <w:rsid w:val="00F71AE0"/>
    <w:rsid w:val="00F71D99"/>
    <w:rsid w:val="00F72231"/>
    <w:rsid w:val="00F726FA"/>
    <w:rsid w:val="00F72EBE"/>
    <w:rsid w:val="00F7307B"/>
    <w:rsid w:val="00F734A2"/>
    <w:rsid w:val="00F735BB"/>
    <w:rsid w:val="00F7379A"/>
    <w:rsid w:val="00F74068"/>
    <w:rsid w:val="00F74CD9"/>
    <w:rsid w:val="00F74F7E"/>
    <w:rsid w:val="00F75174"/>
    <w:rsid w:val="00F7549A"/>
    <w:rsid w:val="00F754F5"/>
    <w:rsid w:val="00F75764"/>
    <w:rsid w:val="00F75813"/>
    <w:rsid w:val="00F75A1C"/>
    <w:rsid w:val="00F75FF6"/>
    <w:rsid w:val="00F7616F"/>
    <w:rsid w:val="00F761C8"/>
    <w:rsid w:val="00F76362"/>
    <w:rsid w:val="00F7748C"/>
    <w:rsid w:val="00F77C40"/>
    <w:rsid w:val="00F77D84"/>
    <w:rsid w:val="00F802A9"/>
    <w:rsid w:val="00F80670"/>
    <w:rsid w:val="00F80716"/>
    <w:rsid w:val="00F80A7B"/>
    <w:rsid w:val="00F80E5D"/>
    <w:rsid w:val="00F810D8"/>
    <w:rsid w:val="00F812D6"/>
    <w:rsid w:val="00F8197B"/>
    <w:rsid w:val="00F8228B"/>
    <w:rsid w:val="00F824CB"/>
    <w:rsid w:val="00F82619"/>
    <w:rsid w:val="00F82959"/>
    <w:rsid w:val="00F82B0F"/>
    <w:rsid w:val="00F82EB4"/>
    <w:rsid w:val="00F82FA2"/>
    <w:rsid w:val="00F8380B"/>
    <w:rsid w:val="00F8409D"/>
    <w:rsid w:val="00F84BC9"/>
    <w:rsid w:val="00F85150"/>
    <w:rsid w:val="00F851CE"/>
    <w:rsid w:val="00F85BAE"/>
    <w:rsid w:val="00F85CE4"/>
    <w:rsid w:val="00F85FC7"/>
    <w:rsid w:val="00F86D1B"/>
    <w:rsid w:val="00F86D9F"/>
    <w:rsid w:val="00F87031"/>
    <w:rsid w:val="00F87209"/>
    <w:rsid w:val="00F8762A"/>
    <w:rsid w:val="00F87AB8"/>
    <w:rsid w:val="00F87BAF"/>
    <w:rsid w:val="00F87E4A"/>
    <w:rsid w:val="00F900D6"/>
    <w:rsid w:val="00F90315"/>
    <w:rsid w:val="00F90E2A"/>
    <w:rsid w:val="00F90E78"/>
    <w:rsid w:val="00F91219"/>
    <w:rsid w:val="00F9228E"/>
    <w:rsid w:val="00F9280B"/>
    <w:rsid w:val="00F92BCA"/>
    <w:rsid w:val="00F92D3C"/>
    <w:rsid w:val="00F933DF"/>
    <w:rsid w:val="00F93716"/>
    <w:rsid w:val="00F93EDD"/>
    <w:rsid w:val="00F942F3"/>
    <w:rsid w:val="00F944E4"/>
    <w:rsid w:val="00F945A9"/>
    <w:rsid w:val="00F94CF1"/>
    <w:rsid w:val="00F94E5E"/>
    <w:rsid w:val="00F95CF0"/>
    <w:rsid w:val="00F95E70"/>
    <w:rsid w:val="00F95E9E"/>
    <w:rsid w:val="00F96C58"/>
    <w:rsid w:val="00F96C5E"/>
    <w:rsid w:val="00F974DC"/>
    <w:rsid w:val="00F97593"/>
    <w:rsid w:val="00F97A78"/>
    <w:rsid w:val="00F97E54"/>
    <w:rsid w:val="00FA02FA"/>
    <w:rsid w:val="00FA053B"/>
    <w:rsid w:val="00FA0B20"/>
    <w:rsid w:val="00FA173D"/>
    <w:rsid w:val="00FA1807"/>
    <w:rsid w:val="00FA1C1A"/>
    <w:rsid w:val="00FA1C86"/>
    <w:rsid w:val="00FA1E7F"/>
    <w:rsid w:val="00FA2196"/>
    <w:rsid w:val="00FA2434"/>
    <w:rsid w:val="00FA24E7"/>
    <w:rsid w:val="00FA29DB"/>
    <w:rsid w:val="00FA2CC7"/>
    <w:rsid w:val="00FA3688"/>
    <w:rsid w:val="00FA3A4F"/>
    <w:rsid w:val="00FA3A67"/>
    <w:rsid w:val="00FA3AE2"/>
    <w:rsid w:val="00FA3BBF"/>
    <w:rsid w:val="00FA4240"/>
    <w:rsid w:val="00FA4826"/>
    <w:rsid w:val="00FA499B"/>
    <w:rsid w:val="00FA513F"/>
    <w:rsid w:val="00FA5218"/>
    <w:rsid w:val="00FA531F"/>
    <w:rsid w:val="00FA5781"/>
    <w:rsid w:val="00FA5ABB"/>
    <w:rsid w:val="00FA5C10"/>
    <w:rsid w:val="00FA5DDA"/>
    <w:rsid w:val="00FA5E49"/>
    <w:rsid w:val="00FA6087"/>
    <w:rsid w:val="00FA6337"/>
    <w:rsid w:val="00FA67AE"/>
    <w:rsid w:val="00FA706B"/>
    <w:rsid w:val="00FA7117"/>
    <w:rsid w:val="00FA730C"/>
    <w:rsid w:val="00FB068E"/>
    <w:rsid w:val="00FB09AF"/>
    <w:rsid w:val="00FB0BE8"/>
    <w:rsid w:val="00FB108B"/>
    <w:rsid w:val="00FB2189"/>
    <w:rsid w:val="00FB2405"/>
    <w:rsid w:val="00FB25B0"/>
    <w:rsid w:val="00FB26E2"/>
    <w:rsid w:val="00FB2DAC"/>
    <w:rsid w:val="00FB2FCB"/>
    <w:rsid w:val="00FB3539"/>
    <w:rsid w:val="00FB3608"/>
    <w:rsid w:val="00FB379B"/>
    <w:rsid w:val="00FB3B01"/>
    <w:rsid w:val="00FB3BFC"/>
    <w:rsid w:val="00FB3CBD"/>
    <w:rsid w:val="00FB3D47"/>
    <w:rsid w:val="00FB3FB2"/>
    <w:rsid w:val="00FB4027"/>
    <w:rsid w:val="00FB405C"/>
    <w:rsid w:val="00FB5140"/>
    <w:rsid w:val="00FB5297"/>
    <w:rsid w:val="00FB5780"/>
    <w:rsid w:val="00FB5AE1"/>
    <w:rsid w:val="00FB5C59"/>
    <w:rsid w:val="00FB63A6"/>
    <w:rsid w:val="00FB6978"/>
    <w:rsid w:val="00FB6B1A"/>
    <w:rsid w:val="00FB7B34"/>
    <w:rsid w:val="00FC06A7"/>
    <w:rsid w:val="00FC086E"/>
    <w:rsid w:val="00FC099B"/>
    <w:rsid w:val="00FC0A55"/>
    <w:rsid w:val="00FC1074"/>
    <w:rsid w:val="00FC186D"/>
    <w:rsid w:val="00FC1884"/>
    <w:rsid w:val="00FC189F"/>
    <w:rsid w:val="00FC2200"/>
    <w:rsid w:val="00FC2A59"/>
    <w:rsid w:val="00FC2D60"/>
    <w:rsid w:val="00FC2D94"/>
    <w:rsid w:val="00FC3018"/>
    <w:rsid w:val="00FC326A"/>
    <w:rsid w:val="00FC32DF"/>
    <w:rsid w:val="00FC36D5"/>
    <w:rsid w:val="00FC371D"/>
    <w:rsid w:val="00FC3952"/>
    <w:rsid w:val="00FC3D73"/>
    <w:rsid w:val="00FC4165"/>
    <w:rsid w:val="00FC4742"/>
    <w:rsid w:val="00FC4C35"/>
    <w:rsid w:val="00FC5667"/>
    <w:rsid w:val="00FC5F0B"/>
    <w:rsid w:val="00FC6626"/>
    <w:rsid w:val="00FC6CBE"/>
    <w:rsid w:val="00FD00F0"/>
    <w:rsid w:val="00FD04AB"/>
    <w:rsid w:val="00FD0AFC"/>
    <w:rsid w:val="00FD0EFF"/>
    <w:rsid w:val="00FD13F3"/>
    <w:rsid w:val="00FD173B"/>
    <w:rsid w:val="00FD1D94"/>
    <w:rsid w:val="00FD1EAF"/>
    <w:rsid w:val="00FD2100"/>
    <w:rsid w:val="00FD238F"/>
    <w:rsid w:val="00FD25F5"/>
    <w:rsid w:val="00FD35C4"/>
    <w:rsid w:val="00FD38BE"/>
    <w:rsid w:val="00FD3A23"/>
    <w:rsid w:val="00FD3EB0"/>
    <w:rsid w:val="00FD436C"/>
    <w:rsid w:val="00FD446D"/>
    <w:rsid w:val="00FD4EDF"/>
    <w:rsid w:val="00FD4FD3"/>
    <w:rsid w:val="00FD5944"/>
    <w:rsid w:val="00FD5FF9"/>
    <w:rsid w:val="00FD6394"/>
    <w:rsid w:val="00FD66E6"/>
    <w:rsid w:val="00FD6788"/>
    <w:rsid w:val="00FD6EFB"/>
    <w:rsid w:val="00FD71DD"/>
    <w:rsid w:val="00FD7247"/>
    <w:rsid w:val="00FD774C"/>
    <w:rsid w:val="00FD7DE7"/>
    <w:rsid w:val="00FD7E72"/>
    <w:rsid w:val="00FE006F"/>
    <w:rsid w:val="00FE0592"/>
    <w:rsid w:val="00FE07A8"/>
    <w:rsid w:val="00FE0956"/>
    <w:rsid w:val="00FE0C93"/>
    <w:rsid w:val="00FE0E6C"/>
    <w:rsid w:val="00FE1241"/>
    <w:rsid w:val="00FE126B"/>
    <w:rsid w:val="00FE1617"/>
    <w:rsid w:val="00FE17BB"/>
    <w:rsid w:val="00FE180E"/>
    <w:rsid w:val="00FE1872"/>
    <w:rsid w:val="00FE272B"/>
    <w:rsid w:val="00FE3397"/>
    <w:rsid w:val="00FE341C"/>
    <w:rsid w:val="00FE3B88"/>
    <w:rsid w:val="00FE3CCB"/>
    <w:rsid w:val="00FE43EE"/>
    <w:rsid w:val="00FE5F01"/>
    <w:rsid w:val="00FE6CA6"/>
    <w:rsid w:val="00FE70C3"/>
    <w:rsid w:val="00FE7329"/>
    <w:rsid w:val="00FE747C"/>
    <w:rsid w:val="00FE75C9"/>
    <w:rsid w:val="00FE7618"/>
    <w:rsid w:val="00FE7770"/>
    <w:rsid w:val="00FE7B06"/>
    <w:rsid w:val="00FE7B27"/>
    <w:rsid w:val="00FE7CFB"/>
    <w:rsid w:val="00FF00E1"/>
    <w:rsid w:val="00FF0251"/>
    <w:rsid w:val="00FF0325"/>
    <w:rsid w:val="00FF0CAC"/>
    <w:rsid w:val="00FF113E"/>
    <w:rsid w:val="00FF15B8"/>
    <w:rsid w:val="00FF1609"/>
    <w:rsid w:val="00FF16EB"/>
    <w:rsid w:val="00FF172B"/>
    <w:rsid w:val="00FF1FA0"/>
    <w:rsid w:val="00FF2299"/>
    <w:rsid w:val="00FF26A8"/>
    <w:rsid w:val="00FF26E5"/>
    <w:rsid w:val="00FF29C3"/>
    <w:rsid w:val="00FF2A6B"/>
    <w:rsid w:val="00FF3647"/>
    <w:rsid w:val="00FF3DCF"/>
    <w:rsid w:val="00FF40F5"/>
    <w:rsid w:val="00FF45CB"/>
    <w:rsid w:val="00FF47AD"/>
    <w:rsid w:val="00FF492C"/>
    <w:rsid w:val="00FF4A21"/>
    <w:rsid w:val="00FF5711"/>
    <w:rsid w:val="00FF5AA3"/>
    <w:rsid w:val="00FF5AD8"/>
    <w:rsid w:val="00FF5CCB"/>
    <w:rsid w:val="00FF5DB7"/>
    <w:rsid w:val="00FF63E4"/>
    <w:rsid w:val="00FF640A"/>
    <w:rsid w:val="00FF66B3"/>
    <w:rsid w:val="00FF68A4"/>
    <w:rsid w:val="00FF6AD3"/>
    <w:rsid w:val="00FF6E23"/>
    <w:rsid w:val="00FF6FD6"/>
    <w:rsid w:val="00FF736A"/>
    <w:rsid w:val="00FF757D"/>
    <w:rsid w:val="00FF762A"/>
    <w:rsid w:val="00FF782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3B5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qFormat/>
    <w:rsid w:val="00963FAB"/>
    <w:pPr>
      <w:keepNext/>
      <w:widowControl/>
      <w:spacing w:before="120"/>
    </w:pPr>
    <w:rPr>
      <w:rFonts w:ascii="Arial Narrow" w:hAnsi="Arial Narrow"/>
      <w:b/>
      <w:bCs/>
      <w:sz w:val="20"/>
      <w:szCs w:val="18"/>
    </w:rPr>
  </w:style>
  <w:style w:type="character" w:customStyle="1" w:styleId="CaptionChar">
    <w:name w:val="Caption Char"/>
    <w:link w:val="Caption"/>
    <w:rsid w:val="00963FAB"/>
    <w:rPr>
      <w:rFonts w:ascii="Arial Narrow" w:hAnsi="Arial Narrow" w:cs="Arial"/>
      <w:b/>
      <w:bCs/>
      <w:snapToGrid w:val="0"/>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34"/>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550469"/>
    <w:pPr>
      <w:numPr>
        <w:numId w:val="1"/>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Summarybox1">
    <w:name w:val="Summary box1"/>
    <w:basedOn w:val="TableNormal"/>
    <w:next w:val="TableGrid"/>
    <w:uiPriority w:val="59"/>
    <w:rsid w:val="001263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7B2AA4"/>
    <w:pPr>
      <w:tabs>
        <w:tab w:val="left" w:pos="416"/>
        <w:tab w:val="left" w:pos="582"/>
      </w:tabs>
      <w:spacing w:line="360" w:lineRule="auto"/>
      <w:jc w:val="both"/>
    </w:pPr>
    <w:rPr>
      <w:rFonts w:ascii="Times" w:hAnsi="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next w:val="TableGrid"/>
    <w:uiPriority w:val="59"/>
    <w:rsid w:val="00EF72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
    <w:name w:val="Summary box3"/>
    <w:basedOn w:val="TableNormal"/>
    <w:next w:val="TableGrid"/>
    <w:uiPriority w:val="59"/>
    <w:rsid w:val="00126D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4">
    <w:name w:val="Summary box4"/>
    <w:basedOn w:val="TableNormal"/>
    <w:next w:val="TableGrid"/>
    <w:uiPriority w:val="59"/>
    <w:rsid w:val="008906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qFormat/>
    <w:rsid w:val="00E256C2"/>
    <w:pPr>
      <w:keepNext/>
      <w:widowControl/>
      <w:spacing w:before="40" w:after="40"/>
    </w:pPr>
    <w:rPr>
      <w:rFonts w:ascii="Arial Narrow" w:eastAsiaTheme="minorHAnsi" w:hAnsi="Arial Narrow" w:cstheme="minorBidi"/>
      <w:snapToGrid/>
      <w:sz w:val="20"/>
    </w:rPr>
  </w:style>
  <w:style w:type="table" w:customStyle="1" w:styleId="Summarybox5">
    <w:name w:val="Summary box5"/>
    <w:basedOn w:val="TableNormal"/>
    <w:next w:val="TableGrid"/>
    <w:uiPriority w:val="59"/>
    <w:rsid w:val="0093567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AC6E47"/>
    <w:rPr>
      <w:sz w:val="20"/>
      <w:szCs w:val="20"/>
    </w:rPr>
  </w:style>
  <w:style w:type="character" w:customStyle="1" w:styleId="FootnoteTextChar">
    <w:name w:val="Footnote Text Char"/>
    <w:basedOn w:val="DefaultParagraphFont"/>
    <w:link w:val="FootnoteText"/>
    <w:rsid w:val="00AC6E47"/>
    <w:rPr>
      <w:rFonts w:ascii="Calibri" w:hAnsi="Calibri" w:cs="Arial"/>
      <w:snapToGrid w:val="0"/>
      <w:lang w:eastAsia="en-US"/>
    </w:rPr>
  </w:style>
  <w:style w:type="character" w:styleId="FootnoteReference">
    <w:name w:val="footnote reference"/>
    <w:basedOn w:val="DefaultParagraphFont"/>
    <w:semiHidden/>
    <w:unhideWhenUsed/>
    <w:rsid w:val="00AC6E47"/>
    <w:rPr>
      <w:vertAlign w:val="superscript"/>
    </w:rPr>
  </w:style>
  <w:style w:type="table" w:customStyle="1" w:styleId="Summarybox6">
    <w:name w:val="Summary box6"/>
    <w:basedOn w:val="TableNormal"/>
    <w:next w:val="TableGrid"/>
    <w:uiPriority w:val="59"/>
    <w:rsid w:val="000664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7">
    <w:name w:val="Summary box7"/>
    <w:basedOn w:val="TableNormal"/>
    <w:next w:val="TableGrid"/>
    <w:uiPriority w:val="59"/>
    <w:rsid w:val="00972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8">
    <w:name w:val="Summary box8"/>
    <w:basedOn w:val="TableNormal"/>
    <w:next w:val="TableGrid"/>
    <w:uiPriority w:val="59"/>
    <w:rsid w:val="006A1B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9">
    <w:name w:val="Summary box9"/>
    <w:basedOn w:val="TableNormal"/>
    <w:next w:val="TableGrid"/>
    <w:uiPriority w:val="59"/>
    <w:rsid w:val="000541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0">
    <w:name w:val="Summary box10"/>
    <w:basedOn w:val="TableNormal"/>
    <w:next w:val="TableGrid"/>
    <w:uiPriority w:val="59"/>
    <w:rsid w:val="007705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1">
    <w:name w:val="Summary box11"/>
    <w:basedOn w:val="TableNormal"/>
    <w:next w:val="TableGrid"/>
    <w:uiPriority w:val="59"/>
    <w:rsid w:val="009D12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2">
    <w:name w:val="Summary box12"/>
    <w:basedOn w:val="TableNormal"/>
    <w:next w:val="TableGrid"/>
    <w:uiPriority w:val="59"/>
    <w:rsid w:val="00281E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3">
    <w:name w:val="Summary box13"/>
    <w:basedOn w:val="TableNormal"/>
    <w:next w:val="TableGrid"/>
    <w:uiPriority w:val="59"/>
    <w:rsid w:val="009B0A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4">
    <w:name w:val="Summary box14"/>
    <w:basedOn w:val="TableNormal"/>
    <w:next w:val="TableGrid"/>
    <w:uiPriority w:val="59"/>
    <w:rsid w:val="00941C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5">
    <w:name w:val="Summary box15"/>
    <w:basedOn w:val="TableNormal"/>
    <w:next w:val="TableGrid"/>
    <w:uiPriority w:val="59"/>
    <w:rsid w:val="001F3E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6">
    <w:name w:val="Summary box16"/>
    <w:basedOn w:val="TableNormal"/>
    <w:next w:val="TableGrid"/>
    <w:uiPriority w:val="59"/>
    <w:rsid w:val="00D0087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7">
    <w:name w:val="Summary box17"/>
    <w:basedOn w:val="TableNormal"/>
    <w:next w:val="TableGrid"/>
    <w:uiPriority w:val="59"/>
    <w:rsid w:val="00964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8">
    <w:name w:val="Summary box18"/>
    <w:basedOn w:val="TableNormal"/>
    <w:next w:val="TableGrid"/>
    <w:uiPriority w:val="59"/>
    <w:rsid w:val="00F370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9">
    <w:name w:val="Summary box19"/>
    <w:basedOn w:val="TableNormal"/>
    <w:next w:val="TableGrid"/>
    <w:uiPriority w:val="59"/>
    <w:rsid w:val="005142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0">
    <w:name w:val="Summary box20"/>
    <w:basedOn w:val="TableNormal"/>
    <w:next w:val="TableGrid"/>
    <w:uiPriority w:val="59"/>
    <w:rsid w:val="00863C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1">
    <w:name w:val="Summary box21"/>
    <w:basedOn w:val="TableNormal"/>
    <w:next w:val="TableGrid"/>
    <w:uiPriority w:val="59"/>
    <w:rsid w:val="005734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2">
    <w:name w:val="Summary box22"/>
    <w:basedOn w:val="TableNormal"/>
    <w:next w:val="TableGrid"/>
    <w:uiPriority w:val="59"/>
    <w:rsid w:val="00623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3">
    <w:name w:val="Summary box23"/>
    <w:basedOn w:val="TableNormal"/>
    <w:next w:val="TableGrid"/>
    <w:uiPriority w:val="59"/>
    <w:rsid w:val="0023614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4">
    <w:name w:val="Summary box24"/>
    <w:basedOn w:val="TableNormal"/>
    <w:next w:val="TableGrid"/>
    <w:uiPriority w:val="59"/>
    <w:rsid w:val="002C62B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5">
    <w:name w:val="Summary box25"/>
    <w:basedOn w:val="TableNormal"/>
    <w:next w:val="TableGrid"/>
    <w:uiPriority w:val="59"/>
    <w:rsid w:val="00346E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6">
    <w:name w:val="Summary box26"/>
    <w:basedOn w:val="TableNormal"/>
    <w:next w:val="TableGrid"/>
    <w:uiPriority w:val="59"/>
    <w:rsid w:val="00C53C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7">
    <w:name w:val="Summary box27"/>
    <w:basedOn w:val="TableNormal"/>
    <w:next w:val="TableGrid"/>
    <w:uiPriority w:val="59"/>
    <w:rsid w:val="002064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8">
    <w:name w:val="Summary box28"/>
    <w:basedOn w:val="TableNormal"/>
    <w:next w:val="TableGrid"/>
    <w:uiPriority w:val="59"/>
    <w:rsid w:val="005C2F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9">
    <w:name w:val="Summary box29"/>
    <w:basedOn w:val="TableNormal"/>
    <w:next w:val="TableGrid"/>
    <w:uiPriority w:val="59"/>
    <w:rsid w:val="007269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0">
    <w:name w:val="Summary box30"/>
    <w:basedOn w:val="TableNormal"/>
    <w:next w:val="TableGrid"/>
    <w:uiPriority w:val="59"/>
    <w:rsid w:val="002246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1">
    <w:name w:val="Summary box31"/>
    <w:basedOn w:val="TableNormal"/>
    <w:next w:val="TableGrid"/>
    <w:uiPriority w:val="59"/>
    <w:rsid w:val="003F64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uiPriority w:val="59"/>
    <w:rsid w:val="00470E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2">
    <w:name w:val="Summary box32"/>
    <w:basedOn w:val="TableNormal"/>
    <w:next w:val="TableGrid"/>
    <w:uiPriority w:val="59"/>
    <w:rsid w:val="00A245C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33">
    <w:name w:val="Summary box33"/>
    <w:basedOn w:val="TableNormal"/>
    <w:next w:val="TableGrid"/>
    <w:uiPriority w:val="59"/>
    <w:rsid w:val="00150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45068"/>
    <w:pPr>
      <w:jc w:val="center"/>
    </w:pPr>
    <w:rPr>
      <w:noProof/>
      <w:lang w:val="en-US"/>
    </w:rPr>
  </w:style>
  <w:style w:type="character" w:customStyle="1" w:styleId="EndNoteBibliographyTitleChar">
    <w:name w:val="EndNote Bibliography Title Char"/>
    <w:basedOn w:val="DefaultParagraphFont"/>
    <w:link w:val="EndNoteBibliographyTitle"/>
    <w:rsid w:val="00945068"/>
    <w:rPr>
      <w:rFonts w:ascii="Calibri" w:hAnsi="Calibri" w:cs="Arial"/>
      <w:noProof/>
      <w:snapToGrid w:val="0"/>
      <w:sz w:val="24"/>
      <w:szCs w:val="22"/>
      <w:lang w:val="en-US" w:eastAsia="en-US"/>
    </w:rPr>
  </w:style>
  <w:style w:type="paragraph" w:customStyle="1" w:styleId="EndNoteBibliography">
    <w:name w:val="EndNote Bibliography"/>
    <w:basedOn w:val="Normal"/>
    <w:link w:val="EndNoteBibliographyChar"/>
    <w:rsid w:val="00945068"/>
    <w:rPr>
      <w:noProof/>
      <w:lang w:val="en-US"/>
    </w:rPr>
  </w:style>
  <w:style w:type="character" w:customStyle="1" w:styleId="EndNoteBibliographyChar">
    <w:name w:val="EndNote Bibliography Char"/>
    <w:basedOn w:val="DefaultParagraphFont"/>
    <w:link w:val="EndNoteBibliography"/>
    <w:rsid w:val="00945068"/>
    <w:rPr>
      <w:rFonts w:ascii="Calibri" w:hAnsi="Calibri" w:cs="Arial"/>
      <w:noProof/>
      <w:snapToGrid w:val="0"/>
      <w:sz w:val="24"/>
      <w:szCs w:val="22"/>
      <w:lang w:val="en-US" w:eastAsia="en-US"/>
    </w:rPr>
  </w:style>
  <w:style w:type="character" w:styleId="PlaceholderText">
    <w:name w:val="Placeholder Text"/>
    <w:basedOn w:val="DefaultParagraphFont"/>
    <w:uiPriority w:val="99"/>
    <w:semiHidden/>
    <w:rsid w:val="00BE099F"/>
    <w:rPr>
      <w:color w:val="808080"/>
    </w:rPr>
  </w:style>
  <w:style w:type="paragraph" w:customStyle="1" w:styleId="Default">
    <w:name w:val="Default"/>
    <w:rsid w:val="004F5C4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5194">
      <w:bodyDiv w:val="1"/>
      <w:marLeft w:val="0"/>
      <w:marRight w:val="0"/>
      <w:marTop w:val="0"/>
      <w:marBottom w:val="0"/>
      <w:divBdr>
        <w:top w:val="none" w:sz="0" w:space="0" w:color="auto"/>
        <w:left w:val="none" w:sz="0" w:space="0" w:color="auto"/>
        <w:bottom w:val="none" w:sz="0" w:space="0" w:color="auto"/>
        <w:right w:val="none" w:sz="0" w:space="0" w:color="auto"/>
      </w:divBdr>
    </w:div>
    <w:div w:id="264459226">
      <w:bodyDiv w:val="1"/>
      <w:marLeft w:val="0"/>
      <w:marRight w:val="0"/>
      <w:marTop w:val="0"/>
      <w:marBottom w:val="0"/>
      <w:divBdr>
        <w:top w:val="none" w:sz="0" w:space="0" w:color="auto"/>
        <w:left w:val="none" w:sz="0" w:space="0" w:color="auto"/>
        <w:bottom w:val="none" w:sz="0" w:space="0" w:color="auto"/>
        <w:right w:val="none" w:sz="0" w:space="0" w:color="auto"/>
      </w:divBdr>
    </w:div>
    <w:div w:id="454909072">
      <w:bodyDiv w:val="1"/>
      <w:marLeft w:val="0"/>
      <w:marRight w:val="0"/>
      <w:marTop w:val="0"/>
      <w:marBottom w:val="0"/>
      <w:divBdr>
        <w:top w:val="none" w:sz="0" w:space="0" w:color="auto"/>
        <w:left w:val="none" w:sz="0" w:space="0" w:color="auto"/>
        <w:bottom w:val="none" w:sz="0" w:space="0" w:color="auto"/>
        <w:right w:val="none" w:sz="0" w:space="0" w:color="auto"/>
      </w:divBdr>
    </w:div>
    <w:div w:id="733091601">
      <w:bodyDiv w:val="1"/>
      <w:marLeft w:val="0"/>
      <w:marRight w:val="0"/>
      <w:marTop w:val="0"/>
      <w:marBottom w:val="0"/>
      <w:divBdr>
        <w:top w:val="none" w:sz="0" w:space="0" w:color="auto"/>
        <w:left w:val="none" w:sz="0" w:space="0" w:color="auto"/>
        <w:bottom w:val="none" w:sz="0" w:space="0" w:color="auto"/>
        <w:right w:val="none" w:sz="0" w:space="0" w:color="auto"/>
      </w:divBdr>
    </w:div>
    <w:div w:id="751707089">
      <w:bodyDiv w:val="1"/>
      <w:marLeft w:val="0"/>
      <w:marRight w:val="0"/>
      <w:marTop w:val="0"/>
      <w:marBottom w:val="0"/>
      <w:divBdr>
        <w:top w:val="none" w:sz="0" w:space="0" w:color="auto"/>
        <w:left w:val="none" w:sz="0" w:space="0" w:color="auto"/>
        <w:bottom w:val="none" w:sz="0" w:space="0" w:color="auto"/>
        <w:right w:val="none" w:sz="0" w:space="0" w:color="auto"/>
      </w:divBdr>
    </w:div>
    <w:div w:id="1698581337">
      <w:bodyDiv w:val="1"/>
      <w:marLeft w:val="0"/>
      <w:marRight w:val="0"/>
      <w:marTop w:val="0"/>
      <w:marBottom w:val="0"/>
      <w:divBdr>
        <w:top w:val="none" w:sz="0" w:space="0" w:color="auto"/>
        <w:left w:val="none" w:sz="0" w:space="0" w:color="auto"/>
        <w:bottom w:val="none" w:sz="0" w:space="0" w:color="auto"/>
        <w:right w:val="none" w:sz="0" w:space="0" w:color="auto"/>
      </w:divBdr>
    </w:div>
    <w:div w:id="1713067628">
      <w:bodyDiv w:val="1"/>
      <w:marLeft w:val="0"/>
      <w:marRight w:val="0"/>
      <w:marTop w:val="0"/>
      <w:marBottom w:val="0"/>
      <w:divBdr>
        <w:top w:val="none" w:sz="0" w:space="0" w:color="auto"/>
        <w:left w:val="none" w:sz="0" w:space="0" w:color="auto"/>
        <w:bottom w:val="none" w:sz="0" w:space="0" w:color="auto"/>
        <w:right w:val="none" w:sz="0" w:space="0" w:color="auto"/>
      </w:divBdr>
    </w:div>
    <w:div w:id="213983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ho.int/news-room/fact-sheets/detail/obesity-and-over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142-A706-40FA-8EF7-C6149696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8260</Words>
  <Characters>48690</Characters>
  <Application>Microsoft Office Word</Application>
  <DocSecurity>0</DocSecurity>
  <Lines>405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2019-02-21T20:24:00Z</dcterms:created>
  <dcterms:modified xsi:type="dcterms:W3CDTF">2019-02-25T03:44:00Z</dcterms:modified>
</cp:coreProperties>
</file>