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39" w:rsidRPr="00B03A99" w:rsidRDefault="005B724C" w:rsidP="00C61793">
      <w:pPr>
        <w:pStyle w:val="Title"/>
        <w:spacing w:before="120" w:after="160"/>
        <w:ind w:left="709" w:hanging="709"/>
        <w:rPr>
          <w:rFonts w:asciiTheme="minorHAnsi" w:hAnsiTheme="minorHAnsi"/>
          <w:sz w:val="36"/>
          <w:szCs w:val="36"/>
        </w:rPr>
      </w:pPr>
      <w:r w:rsidRPr="00B03A99">
        <w:rPr>
          <w:rFonts w:asciiTheme="minorHAnsi" w:hAnsiTheme="minorHAnsi"/>
          <w:sz w:val="36"/>
          <w:szCs w:val="36"/>
        </w:rPr>
        <w:t>7.11</w:t>
      </w:r>
      <w:r w:rsidR="006D6493" w:rsidRPr="00B03A99">
        <w:rPr>
          <w:rFonts w:asciiTheme="minorHAnsi" w:hAnsiTheme="minorHAnsi"/>
          <w:sz w:val="36"/>
          <w:szCs w:val="36"/>
        </w:rPr>
        <w:tab/>
      </w:r>
      <w:r w:rsidR="00507239" w:rsidRPr="00B03A99">
        <w:rPr>
          <w:rFonts w:asciiTheme="minorHAnsi" w:hAnsiTheme="minorHAnsi"/>
          <w:sz w:val="36"/>
          <w:szCs w:val="36"/>
        </w:rPr>
        <w:tab/>
        <w:t xml:space="preserve">SAPROPTERIN, </w:t>
      </w:r>
      <w:r w:rsidR="00C61793" w:rsidRPr="00B03A99">
        <w:rPr>
          <w:rFonts w:asciiTheme="minorHAnsi" w:hAnsiTheme="minorHAnsi"/>
          <w:sz w:val="36"/>
          <w:szCs w:val="36"/>
        </w:rPr>
        <w:br/>
      </w:r>
      <w:r w:rsidR="00507239" w:rsidRPr="00B03A99">
        <w:rPr>
          <w:rFonts w:asciiTheme="minorHAnsi" w:hAnsiTheme="minorHAnsi"/>
          <w:sz w:val="36"/>
          <w:szCs w:val="36"/>
        </w:rPr>
        <w:t xml:space="preserve">Tablet (soluble) containing sapropterin dihydrochloride </w:t>
      </w:r>
      <w:r w:rsidR="00507239" w:rsidRPr="00B03A99">
        <w:rPr>
          <w:rFonts w:asciiTheme="minorHAnsi" w:hAnsiTheme="minorHAnsi"/>
          <w:sz w:val="36"/>
          <w:szCs w:val="36"/>
        </w:rPr>
        <w:tab/>
        <w:t xml:space="preserve">100 mg, </w:t>
      </w:r>
      <w:r w:rsidR="00C61793" w:rsidRPr="00B03A99">
        <w:rPr>
          <w:rFonts w:asciiTheme="minorHAnsi" w:hAnsiTheme="minorHAnsi"/>
          <w:sz w:val="36"/>
          <w:szCs w:val="36"/>
        </w:rPr>
        <w:br/>
      </w:r>
      <w:proofErr w:type="spellStart"/>
      <w:r w:rsidR="00507239" w:rsidRPr="00B03A99">
        <w:rPr>
          <w:rFonts w:asciiTheme="minorHAnsi" w:hAnsiTheme="minorHAnsi"/>
          <w:sz w:val="36"/>
          <w:szCs w:val="36"/>
        </w:rPr>
        <w:t>Kuvan</w:t>
      </w:r>
      <w:proofErr w:type="spellEnd"/>
      <w:r w:rsidR="00507239" w:rsidRPr="00B03A99">
        <w:rPr>
          <w:rFonts w:asciiTheme="minorHAnsi" w:hAnsiTheme="minorHAnsi"/>
          <w:sz w:val="36"/>
          <w:szCs w:val="36"/>
        </w:rPr>
        <w:t xml:space="preserve">®, </w:t>
      </w:r>
      <w:r w:rsidR="00974C4B">
        <w:rPr>
          <w:rFonts w:asciiTheme="minorHAnsi" w:hAnsiTheme="minorHAnsi"/>
          <w:sz w:val="36"/>
          <w:szCs w:val="36"/>
        </w:rPr>
        <w:br/>
      </w:r>
      <w:proofErr w:type="spellStart"/>
      <w:r w:rsidR="00507239" w:rsidRPr="00B03A99">
        <w:rPr>
          <w:rFonts w:asciiTheme="minorHAnsi" w:hAnsiTheme="minorHAnsi"/>
          <w:sz w:val="36"/>
          <w:szCs w:val="36"/>
        </w:rPr>
        <w:t>BioMarin</w:t>
      </w:r>
      <w:proofErr w:type="spellEnd"/>
      <w:r w:rsidR="00507239" w:rsidRPr="00B03A99">
        <w:rPr>
          <w:rFonts w:asciiTheme="minorHAnsi" w:hAnsiTheme="minorHAnsi"/>
          <w:sz w:val="36"/>
          <w:szCs w:val="36"/>
        </w:rPr>
        <w:t xml:space="preserve"> Pharmaceutical Australia.</w:t>
      </w:r>
    </w:p>
    <w:p w:rsidR="008A50F1" w:rsidRPr="00B03A99" w:rsidRDefault="00CE10C4" w:rsidP="00507239">
      <w:pPr>
        <w:pStyle w:val="PBACHeading1"/>
        <w:spacing w:before="240" w:after="120"/>
        <w:ind w:left="709" w:hanging="709"/>
        <w:rPr>
          <w:rFonts w:asciiTheme="minorHAnsi" w:hAnsiTheme="minorHAnsi"/>
          <w:sz w:val="32"/>
          <w:szCs w:val="32"/>
        </w:rPr>
      </w:pPr>
      <w:r w:rsidRPr="00B03A99">
        <w:rPr>
          <w:rFonts w:asciiTheme="minorHAnsi" w:hAnsiTheme="minorHAnsi"/>
          <w:sz w:val="32"/>
          <w:szCs w:val="32"/>
        </w:rPr>
        <w:t xml:space="preserve">Purpose of </w:t>
      </w:r>
      <w:r w:rsidR="0004240E" w:rsidRPr="00B03A99">
        <w:rPr>
          <w:rFonts w:asciiTheme="minorHAnsi" w:hAnsiTheme="minorHAnsi"/>
          <w:sz w:val="32"/>
          <w:szCs w:val="32"/>
        </w:rPr>
        <w:t>Application</w:t>
      </w:r>
    </w:p>
    <w:p w:rsidR="00EF44A0" w:rsidRPr="00B03A99" w:rsidRDefault="00EF44A0" w:rsidP="007466A9">
      <w:pPr>
        <w:pStyle w:val="ListParagraph"/>
        <w:numPr>
          <w:ilvl w:val="1"/>
          <w:numId w:val="1"/>
        </w:numPr>
        <w:contextualSpacing w:val="0"/>
        <w:rPr>
          <w:szCs w:val="24"/>
        </w:rPr>
      </w:pPr>
      <w:r w:rsidRPr="00B03A99">
        <w:t>The mi</w:t>
      </w:r>
      <w:r w:rsidR="00FF2801" w:rsidRPr="00B03A99">
        <w:t xml:space="preserve">nor </w:t>
      </w:r>
      <w:r w:rsidR="00C3448C" w:rsidRPr="00B03A99">
        <w:t>re</w:t>
      </w:r>
      <w:r w:rsidR="00FF2801" w:rsidRPr="00B03A99">
        <w:t xml:space="preserve">submission </w:t>
      </w:r>
      <w:r w:rsidR="00BC46B7" w:rsidRPr="00B03A99">
        <w:t xml:space="preserve">requested Section 85, Authority required (in writing) listing for sapropterin for the treatment of </w:t>
      </w:r>
      <w:proofErr w:type="spellStart"/>
      <w:r w:rsidR="00BC46B7" w:rsidRPr="00B03A99">
        <w:t>hyperphenylalaninaemia</w:t>
      </w:r>
      <w:proofErr w:type="spellEnd"/>
      <w:r w:rsidR="00BC46B7" w:rsidRPr="00B03A99">
        <w:t xml:space="preserve"> (HPA) caused by phenylketonuria (PKU). </w:t>
      </w:r>
      <w:r w:rsidR="00507239" w:rsidRPr="00B03A99">
        <w:t>The minor resubmission attempted to address concerns raised in the previous resubmission, which was</w:t>
      </w:r>
      <w:r w:rsidR="004D65AF" w:rsidRPr="00B03A99">
        <w:t xml:space="preserve"> deferred </w:t>
      </w:r>
      <w:r w:rsidR="00507239" w:rsidRPr="00B03A99">
        <w:t>by the March 2018 PBAC.</w:t>
      </w:r>
    </w:p>
    <w:p w:rsidR="00507239" w:rsidRPr="00C51458" w:rsidRDefault="00507239" w:rsidP="007466A9">
      <w:pPr>
        <w:pStyle w:val="ListParagraph"/>
        <w:numPr>
          <w:ilvl w:val="1"/>
          <w:numId w:val="1"/>
        </w:numPr>
        <w:rPr>
          <w:rFonts w:cs="Calibri"/>
          <w:szCs w:val="24"/>
          <w:lang w:eastAsia="en-AU"/>
        </w:rPr>
      </w:pPr>
      <w:r w:rsidRPr="00B03A99">
        <w:t>The basis for the requested listing remained unchanged and was a cost-utility analysis compared with a strict / relaxed / abandoned phenylalanine (</w:t>
      </w:r>
      <w:proofErr w:type="spellStart"/>
      <w:r w:rsidRPr="00B03A99">
        <w:t>Phe</w:t>
      </w:r>
      <w:proofErr w:type="spellEnd"/>
      <w:r w:rsidRPr="00B03A99">
        <w:t xml:space="preserve">)-restricted diet and </w:t>
      </w:r>
      <w:proofErr w:type="spellStart"/>
      <w:r w:rsidRPr="00B03A99">
        <w:t>Phe</w:t>
      </w:r>
      <w:proofErr w:type="spellEnd"/>
      <w:r w:rsidRPr="00B03A99">
        <w:t>-free supplements</w:t>
      </w:r>
      <w:r w:rsidRPr="00C51458">
        <w:rPr>
          <w:rFonts w:cs="Calibri"/>
          <w:szCs w:val="24"/>
          <w:lang w:eastAsia="en-AU"/>
        </w:rPr>
        <w:t>.</w:t>
      </w:r>
    </w:p>
    <w:p w:rsidR="006A12A5" w:rsidRPr="00B03A99" w:rsidRDefault="006A12A5" w:rsidP="00507239">
      <w:pPr>
        <w:pStyle w:val="PBACHeading1"/>
        <w:spacing w:before="240" w:after="120"/>
        <w:ind w:left="709" w:hanging="709"/>
        <w:rPr>
          <w:rFonts w:asciiTheme="minorHAnsi" w:hAnsiTheme="minorHAnsi"/>
          <w:sz w:val="32"/>
          <w:szCs w:val="32"/>
        </w:rPr>
      </w:pPr>
      <w:r w:rsidRPr="00B03A99">
        <w:rPr>
          <w:rFonts w:asciiTheme="minorHAnsi" w:hAnsiTheme="minorHAnsi"/>
          <w:sz w:val="32"/>
          <w:szCs w:val="32"/>
        </w:rPr>
        <w:t>Requested listing</w:t>
      </w:r>
    </w:p>
    <w:p w:rsidR="00BC46B7" w:rsidRPr="00B03A99" w:rsidRDefault="009300CD" w:rsidP="007466A9">
      <w:pPr>
        <w:pStyle w:val="ListParagraph"/>
        <w:numPr>
          <w:ilvl w:val="1"/>
          <w:numId w:val="3"/>
        </w:numPr>
        <w:contextualSpacing w:val="0"/>
      </w:pPr>
      <w:r w:rsidRPr="00373CF7">
        <w:t>The resubmission made the following c</w:t>
      </w:r>
      <w:r w:rsidR="002A58BB" w:rsidRPr="00373CF7">
        <w:t xml:space="preserve">hanges </w:t>
      </w:r>
      <w:r w:rsidR="00ED2F4F" w:rsidRPr="00B03A99">
        <w:t xml:space="preserve">to the requested restriction </w:t>
      </w:r>
      <w:r w:rsidR="002A58BB" w:rsidRPr="00B03A99">
        <w:t>compared with the previous submission:</w:t>
      </w:r>
    </w:p>
    <w:p w:rsidR="00260BF3" w:rsidRPr="00B03A99" w:rsidRDefault="00260BF3" w:rsidP="00896DAD">
      <w:pPr>
        <w:pStyle w:val="ListParagraph"/>
      </w:pPr>
      <w:proofErr w:type="gramStart"/>
      <w:r w:rsidRPr="00B03A99">
        <w:t>an</w:t>
      </w:r>
      <w:proofErr w:type="gramEnd"/>
      <w:r w:rsidRPr="00B03A99">
        <w:t xml:space="preserve"> initial restriction was proposed seeking PBS-subsidised access to sapropterin for the purposes of </w:t>
      </w:r>
      <w:r w:rsidR="009A6932" w:rsidRPr="00B03A99">
        <w:t xml:space="preserve">initial </w:t>
      </w:r>
      <w:r w:rsidRPr="00B03A99">
        <w:t>responsiveness testing</w:t>
      </w:r>
      <w:r w:rsidR="00896DAD" w:rsidRPr="00B03A99">
        <w:t xml:space="preserve">. This was to address the DUSC’s previous concern that the process for sapropterin responsiveness testing was outside the PBS (Paragraph 2.6, PBAC </w:t>
      </w:r>
      <w:r w:rsidR="00354BD6">
        <w:t xml:space="preserve">Public Summary Document (PSD), </w:t>
      </w:r>
      <w:r w:rsidR="00896DAD" w:rsidRPr="00B03A99">
        <w:t>March 2018</w:t>
      </w:r>
      <w:r w:rsidR="00354BD6">
        <w:t xml:space="preserve"> meeting</w:t>
      </w:r>
      <w:r w:rsidR="00896DAD" w:rsidRPr="00B03A99">
        <w:t>)</w:t>
      </w:r>
      <w:r w:rsidR="009A6932" w:rsidRPr="00B03A99">
        <w:t>;</w:t>
      </w:r>
    </w:p>
    <w:p w:rsidR="00224675" w:rsidRPr="00B03A99" w:rsidRDefault="009A6932" w:rsidP="00224675">
      <w:pPr>
        <w:pStyle w:val="ListParagraph"/>
      </w:pPr>
      <w:proofErr w:type="gramStart"/>
      <w:r w:rsidRPr="00B03A99">
        <w:t>the</w:t>
      </w:r>
      <w:proofErr w:type="gramEnd"/>
      <w:r w:rsidRPr="00B03A99">
        <w:t xml:space="preserve"> </w:t>
      </w:r>
      <w:r w:rsidR="00325026" w:rsidRPr="00B03A99">
        <w:t>definition of</w:t>
      </w:r>
      <w:r w:rsidR="00224675" w:rsidRPr="00B03A99">
        <w:t xml:space="preserve"> initial response</w:t>
      </w:r>
      <w:r w:rsidR="00896DAD" w:rsidRPr="00B03A99">
        <w:t xml:space="preserve"> was </w:t>
      </w:r>
      <w:r w:rsidR="00224675" w:rsidRPr="00B03A99">
        <w:t xml:space="preserve">a </w:t>
      </w:r>
      <w:r w:rsidR="00896DAD" w:rsidRPr="00B03A99">
        <w:t>≥</w:t>
      </w:r>
      <w:r w:rsidR="00224675" w:rsidRPr="00B03A99">
        <w:t> </w:t>
      </w:r>
      <w:r w:rsidR="00896DAD" w:rsidRPr="00B03A99">
        <w:t xml:space="preserve">30% reduction in blood </w:t>
      </w:r>
      <w:proofErr w:type="spellStart"/>
      <w:r w:rsidR="00896DAD" w:rsidRPr="00B03A99">
        <w:t>Phe</w:t>
      </w:r>
      <w:proofErr w:type="spellEnd"/>
      <w:r w:rsidR="00896DAD" w:rsidRPr="00B03A99">
        <w:t xml:space="preserve"> levels from baseline in a sapropterin testing period of up to 28 days</w:t>
      </w:r>
      <w:r w:rsidR="00224675" w:rsidRPr="00B03A99">
        <w:t xml:space="preserve">. </w:t>
      </w:r>
      <w:r w:rsidR="00A51E0C" w:rsidRPr="00B03A99">
        <w:t xml:space="preserve">The resubmission </w:t>
      </w:r>
      <w:r w:rsidR="000660CF" w:rsidRPr="00B03A99">
        <w:t xml:space="preserve">appropriately excluded </w:t>
      </w:r>
      <w:r w:rsidR="00A51E0C" w:rsidRPr="00B03A99">
        <w:t>the alternative “</w:t>
      </w:r>
      <w:r w:rsidR="000C7DB6" w:rsidRPr="00B03A99">
        <w:t xml:space="preserve">… or </w:t>
      </w:r>
      <w:r w:rsidR="0056227A" w:rsidRPr="00B03A99">
        <w:t xml:space="preserve">attainment of </w:t>
      </w:r>
      <w:r w:rsidR="00224675" w:rsidRPr="00B03A99">
        <w:t xml:space="preserve">therapeutic blood </w:t>
      </w:r>
      <w:proofErr w:type="spellStart"/>
      <w:r w:rsidR="00224675" w:rsidRPr="00B03A99">
        <w:t>Phe</w:t>
      </w:r>
      <w:proofErr w:type="spellEnd"/>
      <w:r w:rsidR="00224675" w:rsidRPr="00B03A99">
        <w:t xml:space="preserve"> goals as defined for an individual patient by the treating physician</w:t>
      </w:r>
      <w:r w:rsidR="00A51E0C" w:rsidRPr="00B03A99">
        <w:t>”, which t</w:t>
      </w:r>
      <w:r w:rsidR="00224675" w:rsidRPr="00B03A99">
        <w:t xml:space="preserve">he PBAC </w:t>
      </w:r>
      <w:r w:rsidR="00A51E0C" w:rsidRPr="00B03A99">
        <w:t xml:space="preserve">previously </w:t>
      </w:r>
      <w:r w:rsidR="00224675" w:rsidRPr="00B03A99">
        <w:t>considered</w:t>
      </w:r>
      <w:r w:rsidR="00A51E0C" w:rsidRPr="00B03A99">
        <w:t xml:space="preserve"> to be </w:t>
      </w:r>
      <w:r w:rsidR="00224675" w:rsidRPr="00B03A99">
        <w:t>broad and subjective</w:t>
      </w:r>
      <w:r w:rsidR="00A51E0C" w:rsidRPr="00B03A99">
        <w:t xml:space="preserve"> (Paragraph 7.6, PBAC </w:t>
      </w:r>
      <w:r w:rsidR="00354BD6">
        <w:t xml:space="preserve">PSD, </w:t>
      </w:r>
      <w:r w:rsidR="00A51E0C" w:rsidRPr="00B03A99">
        <w:t>March 2018)</w:t>
      </w:r>
      <w:r w:rsidR="0056227A" w:rsidRPr="00B03A99">
        <w:t>;</w:t>
      </w:r>
    </w:p>
    <w:p w:rsidR="00260BF3" w:rsidRPr="00B03A99" w:rsidRDefault="0029528E" w:rsidP="00814818">
      <w:pPr>
        <w:pStyle w:val="ListParagraph"/>
      </w:pPr>
      <w:r w:rsidRPr="00B03A99">
        <w:t>a grandfathered restriction was proposed for continuing access</w:t>
      </w:r>
      <w:r w:rsidR="000C7DB6" w:rsidRPr="00B03A99">
        <w:t xml:space="preserve"> for</w:t>
      </w:r>
      <w:r w:rsidR="009A6932" w:rsidRPr="00B03A99">
        <w:t xml:space="preserve"> patients who are currently receiving sapropterin; and</w:t>
      </w:r>
    </w:p>
    <w:p w:rsidR="00325026" w:rsidRPr="00B03A99" w:rsidRDefault="00325026" w:rsidP="000660CF">
      <w:pPr>
        <w:pStyle w:val="ListParagraph"/>
        <w:ind w:left="1077" w:hanging="357"/>
        <w:contextualSpacing w:val="0"/>
      </w:pPr>
      <w:proofErr w:type="gramStart"/>
      <w:r w:rsidRPr="00B03A99">
        <w:t>patients</w:t>
      </w:r>
      <w:proofErr w:type="gramEnd"/>
      <w:r w:rsidRPr="00B03A99">
        <w:t xml:space="preserve"> must be under the age of 18 to commence treatment (i.e. </w:t>
      </w:r>
      <w:r w:rsidR="00090D58" w:rsidRPr="00B03A99">
        <w:t>s</w:t>
      </w:r>
      <w:r w:rsidRPr="00B03A99">
        <w:t>apropterin responsiveness testing must have been undertaken prior to the age of 18 years)</w:t>
      </w:r>
      <w:r w:rsidR="00ED2F4F" w:rsidRPr="00B03A99">
        <w:t>.</w:t>
      </w:r>
      <w:r w:rsidR="000660CF" w:rsidRPr="00B03A99">
        <w:t xml:space="preserve"> Once commenced, the resubmission proposed that patients could continue sapropterin through adulthood. This was to address the PBAC’s previous advice that commencement of sapropterin therapy should be restricted to children and adolescents (Paragraph 7.4, PBAC </w:t>
      </w:r>
      <w:r w:rsidR="00354BD6">
        <w:t>PSD,</w:t>
      </w:r>
      <w:r w:rsidR="00354BD6" w:rsidRPr="00B03A99">
        <w:t xml:space="preserve"> </w:t>
      </w:r>
      <w:proofErr w:type="gramStart"/>
      <w:r w:rsidR="000660CF" w:rsidRPr="00B03A99">
        <w:t>March</w:t>
      </w:r>
      <w:proofErr w:type="gramEnd"/>
      <w:r w:rsidR="000660CF" w:rsidRPr="00B03A99">
        <w:t xml:space="preserve"> 2018).</w:t>
      </w:r>
    </w:p>
    <w:p w:rsidR="0067747D" w:rsidRPr="00B03A99" w:rsidRDefault="00774327" w:rsidP="007466A9">
      <w:pPr>
        <w:pStyle w:val="ListParagraph"/>
        <w:numPr>
          <w:ilvl w:val="1"/>
          <w:numId w:val="3"/>
        </w:numPr>
      </w:pPr>
      <w:r>
        <w:t>The restrictions proposed by the minor resubmission are presented below.</w:t>
      </w:r>
    </w:p>
    <w:p w:rsidR="00C3448C" w:rsidRPr="00B03A99" w:rsidRDefault="00660E10" w:rsidP="00C51458">
      <w:pPr>
        <w:keepNext/>
        <w:spacing w:line="360" w:lineRule="auto"/>
        <w:jc w:val="both"/>
        <w:rPr>
          <w:rFonts w:asciiTheme="minorHAnsi" w:eastAsiaTheme="minorHAnsi" w:hAnsiTheme="minorHAnsi" w:cstheme="minorBidi"/>
          <w:szCs w:val="22"/>
          <w:u w:val="single"/>
          <w:lang w:eastAsia="en-US"/>
        </w:rPr>
      </w:pPr>
      <w:r w:rsidRPr="00B03A99">
        <w:rPr>
          <w:rFonts w:asciiTheme="minorHAnsi" w:eastAsiaTheme="minorHAnsi" w:hAnsiTheme="minorHAnsi" w:cstheme="minorBidi"/>
          <w:szCs w:val="22"/>
          <w:u w:val="single"/>
          <w:lang w:eastAsia="en-US"/>
        </w:rPr>
        <w:lastRenderedPageBreak/>
        <w:t xml:space="preserve">Initial restriction for </w:t>
      </w:r>
      <w:r w:rsidR="00C3448C" w:rsidRPr="00B03A99">
        <w:rPr>
          <w:rFonts w:asciiTheme="minorHAnsi" w:eastAsiaTheme="minorHAnsi" w:hAnsiTheme="minorHAnsi" w:cstheme="minorBidi"/>
          <w:szCs w:val="22"/>
          <w:u w:val="single"/>
          <w:lang w:eastAsia="en-US"/>
        </w:rPr>
        <w:t>sap</w:t>
      </w:r>
      <w:r w:rsidR="00774327">
        <w:rPr>
          <w:rFonts w:asciiTheme="minorHAnsi" w:eastAsiaTheme="minorHAnsi" w:hAnsiTheme="minorHAnsi" w:cstheme="minorBidi"/>
          <w:szCs w:val="22"/>
          <w:u w:val="single"/>
          <w:lang w:eastAsia="en-US"/>
        </w:rPr>
        <w:t>ropterin responsiveness testing (as proposed in minor resubmission)</w:t>
      </w:r>
    </w:p>
    <w:tbl>
      <w:tblPr>
        <w:tblW w:w="4897" w:type="pct"/>
        <w:tblInd w:w="108" w:type="dxa"/>
        <w:tblLook w:val="0000" w:firstRow="0" w:lastRow="0" w:firstColumn="0" w:lastColumn="0" w:noHBand="0" w:noVBand="0"/>
      </w:tblPr>
      <w:tblGrid>
        <w:gridCol w:w="2055"/>
        <w:gridCol w:w="1676"/>
        <w:gridCol w:w="709"/>
        <w:gridCol w:w="735"/>
        <w:gridCol w:w="1679"/>
        <w:gridCol w:w="802"/>
        <w:gridCol w:w="1347"/>
      </w:tblGrid>
      <w:tr w:rsidR="00C3448C" w:rsidRPr="00B03A99" w:rsidTr="00C15719">
        <w:trPr>
          <w:trHeight w:val="465"/>
        </w:trPr>
        <w:tc>
          <w:tcPr>
            <w:tcW w:w="2097" w:type="pct"/>
            <w:gridSpan w:val="2"/>
            <w:tcBorders>
              <w:bottom w:val="single" w:sz="4" w:space="0" w:color="auto"/>
            </w:tcBorders>
          </w:tcPr>
          <w:p w:rsidR="00C3448C" w:rsidRPr="00B03A99" w:rsidRDefault="00C3448C" w:rsidP="00660E10">
            <w:pPr>
              <w:keepNext/>
              <w:spacing w:before="40" w:after="40"/>
              <w:jc w:val="both"/>
              <w:rPr>
                <w:rFonts w:ascii="Arial Narrow" w:hAnsi="Arial Narrow" w:cs="Arial"/>
                <w:b/>
                <w:sz w:val="20"/>
                <w:szCs w:val="20"/>
              </w:rPr>
            </w:pPr>
            <w:r w:rsidRPr="00B03A99">
              <w:rPr>
                <w:rFonts w:ascii="Arial Narrow" w:hAnsi="Arial Narrow" w:cs="Arial"/>
                <w:b/>
                <w:sz w:val="20"/>
                <w:szCs w:val="20"/>
              </w:rPr>
              <w:t>Name, Restriction,</w:t>
            </w:r>
          </w:p>
          <w:p w:rsidR="00C3448C" w:rsidRPr="00B03A99" w:rsidRDefault="00C3448C" w:rsidP="00660E10">
            <w:pPr>
              <w:keepNext/>
              <w:spacing w:before="40" w:after="40"/>
              <w:jc w:val="both"/>
              <w:rPr>
                <w:rFonts w:ascii="Arial Narrow" w:hAnsi="Arial Narrow" w:cs="Arial"/>
                <w:b/>
                <w:sz w:val="20"/>
                <w:szCs w:val="20"/>
              </w:rPr>
            </w:pPr>
            <w:r w:rsidRPr="00B03A99">
              <w:rPr>
                <w:rFonts w:ascii="Arial Narrow" w:hAnsi="Arial Narrow" w:cs="Arial"/>
                <w:b/>
                <w:sz w:val="20"/>
                <w:szCs w:val="20"/>
              </w:rPr>
              <w:t>Manner of administration and form</w:t>
            </w:r>
          </w:p>
        </w:tc>
        <w:tc>
          <w:tcPr>
            <w:tcW w:w="406" w:type="pct"/>
            <w:tcBorders>
              <w:bottom w:val="single" w:sz="4" w:space="0" w:color="auto"/>
            </w:tcBorders>
          </w:tcPr>
          <w:p w:rsidR="00C3448C" w:rsidRPr="00B03A99" w:rsidRDefault="00C3448C" w:rsidP="00660E10">
            <w:pPr>
              <w:keepNext/>
              <w:spacing w:before="40" w:after="40"/>
              <w:jc w:val="both"/>
              <w:rPr>
                <w:rFonts w:ascii="Arial Narrow" w:hAnsi="Arial Narrow" w:cs="Arial"/>
                <w:b/>
                <w:sz w:val="20"/>
                <w:szCs w:val="20"/>
              </w:rPr>
            </w:pPr>
            <w:r w:rsidRPr="00B03A99">
              <w:rPr>
                <w:rFonts w:ascii="Arial Narrow" w:hAnsi="Arial Narrow" w:cs="Arial"/>
                <w:b/>
                <w:sz w:val="20"/>
                <w:szCs w:val="20"/>
              </w:rPr>
              <w:t>Max.</w:t>
            </w:r>
          </w:p>
          <w:p w:rsidR="00C3448C" w:rsidRPr="00B03A99" w:rsidRDefault="00C3448C" w:rsidP="00660E10">
            <w:pPr>
              <w:keepNext/>
              <w:spacing w:before="40" w:after="40"/>
              <w:jc w:val="both"/>
              <w:rPr>
                <w:rFonts w:ascii="Arial Narrow" w:hAnsi="Arial Narrow" w:cs="Arial"/>
                <w:b/>
                <w:sz w:val="20"/>
                <w:szCs w:val="20"/>
              </w:rPr>
            </w:pPr>
            <w:r w:rsidRPr="00B03A99">
              <w:rPr>
                <w:rFonts w:ascii="Arial Narrow" w:hAnsi="Arial Narrow" w:cs="Arial"/>
                <w:b/>
                <w:sz w:val="20"/>
                <w:szCs w:val="20"/>
              </w:rPr>
              <w:t>Qty</w:t>
            </w:r>
          </w:p>
        </w:tc>
        <w:tc>
          <w:tcPr>
            <w:tcW w:w="420" w:type="pct"/>
            <w:tcBorders>
              <w:bottom w:val="single" w:sz="4" w:space="0" w:color="auto"/>
            </w:tcBorders>
          </w:tcPr>
          <w:p w:rsidR="00C3448C" w:rsidRPr="00B03A99" w:rsidRDefault="00C3448C" w:rsidP="00660E10">
            <w:pPr>
              <w:keepNext/>
              <w:spacing w:before="40" w:after="40"/>
              <w:jc w:val="both"/>
              <w:rPr>
                <w:rFonts w:ascii="Arial Narrow" w:hAnsi="Arial Narrow" w:cs="Arial"/>
                <w:b/>
                <w:sz w:val="20"/>
                <w:szCs w:val="20"/>
              </w:rPr>
            </w:pPr>
            <w:r w:rsidRPr="00B03A99">
              <w:rPr>
                <w:rFonts w:ascii="Arial Narrow" w:hAnsi="Arial Narrow" w:cs="Arial"/>
                <w:b/>
                <w:sz w:val="20"/>
                <w:szCs w:val="20"/>
              </w:rPr>
              <w:t>№.of</w:t>
            </w:r>
          </w:p>
          <w:p w:rsidR="00C3448C" w:rsidRPr="00B03A99" w:rsidRDefault="00C3448C" w:rsidP="00660E10">
            <w:pPr>
              <w:keepNext/>
              <w:spacing w:before="40" w:after="40"/>
              <w:jc w:val="both"/>
              <w:rPr>
                <w:rFonts w:ascii="Arial Narrow" w:hAnsi="Arial Narrow" w:cs="Arial"/>
                <w:b/>
                <w:sz w:val="20"/>
                <w:szCs w:val="20"/>
              </w:rPr>
            </w:pPr>
            <w:r w:rsidRPr="00B03A99">
              <w:rPr>
                <w:rFonts w:ascii="Arial Narrow" w:hAnsi="Arial Narrow" w:cs="Arial"/>
                <w:b/>
                <w:sz w:val="20"/>
                <w:szCs w:val="20"/>
              </w:rPr>
              <w:t>Rpts</w:t>
            </w:r>
          </w:p>
        </w:tc>
        <w:tc>
          <w:tcPr>
            <w:tcW w:w="944" w:type="pct"/>
            <w:tcBorders>
              <w:bottom w:val="single" w:sz="4" w:space="0" w:color="auto"/>
            </w:tcBorders>
          </w:tcPr>
          <w:p w:rsidR="00C3448C" w:rsidRPr="00B03A99" w:rsidRDefault="00C3448C" w:rsidP="003E72B1">
            <w:pPr>
              <w:keepNext/>
              <w:spacing w:before="40" w:after="40"/>
              <w:rPr>
                <w:rFonts w:ascii="Arial Narrow" w:hAnsi="Arial Narrow" w:cs="Arial"/>
                <w:b/>
                <w:sz w:val="20"/>
                <w:szCs w:val="20"/>
              </w:rPr>
            </w:pPr>
            <w:r w:rsidRPr="00B03A99">
              <w:rPr>
                <w:rFonts w:ascii="Arial Narrow" w:hAnsi="Arial Narrow" w:cs="Arial"/>
                <w:b/>
                <w:sz w:val="20"/>
                <w:szCs w:val="20"/>
              </w:rPr>
              <w:t>Dispensed Price for Max. Qty</w:t>
            </w:r>
          </w:p>
        </w:tc>
        <w:tc>
          <w:tcPr>
            <w:tcW w:w="1133" w:type="pct"/>
            <w:gridSpan w:val="2"/>
            <w:tcBorders>
              <w:bottom w:val="single" w:sz="4" w:space="0" w:color="auto"/>
            </w:tcBorders>
          </w:tcPr>
          <w:p w:rsidR="00C3448C" w:rsidRPr="00C51458" w:rsidRDefault="00C3448C" w:rsidP="00660E10">
            <w:pPr>
              <w:keepNext/>
              <w:spacing w:before="40" w:after="40"/>
              <w:jc w:val="both"/>
              <w:rPr>
                <w:rFonts w:ascii="Arial Narrow" w:hAnsi="Arial Narrow" w:cs="Arial"/>
                <w:b/>
                <w:sz w:val="20"/>
                <w:szCs w:val="20"/>
              </w:rPr>
            </w:pPr>
            <w:r w:rsidRPr="00B03A99">
              <w:rPr>
                <w:rFonts w:ascii="Arial Narrow" w:hAnsi="Arial Narrow" w:cs="Arial"/>
                <w:b/>
                <w:sz w:val="20"/>
                <w:szCs w:val="20"/>
              </w:rPr>
              <w:t>Proprietary Name and Manufacturer</w:t>
            </w:r>
          </w:p>
        </w:tc>
      </w:tr>
      <w:tr w:rsidR="00DA4051" w:rsidRPr="00B03A99" w:rsidTr="00C15719">
        <w:trPr>
          <w:trHeight w:val="567"/>
        </w:trPr>
        <w:tc>
          <w:tcPr>
            <w:tcW w:w="2097" w:type="pct"/>
            <w:gridSpan w:val="2"/>
          </w:tcPr>
          <w:p w:rsidR="002A58BB" w:rsidRPr="00B03A99" w:rsidRDefault="002A58BB" w:rsidP="00660E10">
            <w:pPr>
              <w:keepNext/>
              <w:spacing w:before="40" w:after="40"/>
              <w:jc w:val="both"/>
              <w:rPr>
                <w:rFonts w:ascii="Arial Narrow" w:hAnsi="Arial Narrow" w:cs="Arial"/>
                <w:smallCaps/>
                <w:sz w:val="20"/>
                <w:szCs w:val="20"/>
              </w:rPr>
            </w:pPr>
            <w:r w:rsidRPr="00B03A99">
              <w:rPr>
                <w:rFonts w:ascii="Arial Narrow" w:hAnsi="Arial Narrow" w:cs="Arial"/>
                <w:smallCaps/>
                <w:sz w:val="20"/>
                <w:szCs w:val="20"/>
              </w:rPr>
              <w:t>SAPROPTERIN DIHYDROCHLORIDE</w:t>
            </w:r>
          </w:p>
          <w:p w:rsidR="00DA4051" w:rsidRPr="00B03A99" w:rsidRDefault="002A58BB" w:rsidP="00C15719">
            <w:pPr>
              <w:keepNext/>
              <w:spacing w:before="40" w:after="40"/>
              <w:jc w:val="both"/>
              <w:rPr>
                <w:rFonts w:ascii="Arial Narrow" w:hAnsi="Arial Narrow" w:cstheme="minorHAnsi"/>
                <w:color w:val="000000"/>
                <w:sz w:val="20"/>
                <w:szCs w:val="20"/>
              </w:rPr>
            </w:pPr>
            <w:r w:rsidRPr="00B03A99">
              <w:rPr>
                <w:rFonts w:ascii="Arial Narrow" w:hAnsi="Arial Narrow" w:cs="Arial"/>
                <w:smallCaps/>
                <w:sz w:val="20"/>
                <w:szCs w:val="20"/>
              </w:rPr>
              <w:t>100MG, SOLUBLE TABLETS, 30</w:t>
            </w:r>
          </w:p>
        </w:tc>
        <w:tc>
          <w:tcPr>
            <w:tcW w:w="406" w:type="pct"/>
          </w:tcPr>
          <w:p w:rsidR="00DA4051" w:rsidRPr="00B03A99" w:rsidRDefault="00DA4051" w:rsidP="00660E10">
            <w:pPr>
              <w:keepNext/>
              <w:spacing w:before="40" w:after="40"/>
              <w:jc w:val="both"/>
              <w:rPr>
                <w:rFonts w:ascii="Arial Narrow" w:hAnsi="Arial Narrow" w:cs="Arial"/>
                <w:sz w:val="20"/>
                <w:szCs w:val="20"/>
              </w:rPr>
            </w:pPr>
          </w:p>
          <w:p w:rsidR="00DA4051" w:rsidRPr="00B03A99" w:rsidRDefault="00DA4051" w:rsidP="00660E10">
            <w:pPr>
              <w:keepNext/>
              <w:spacing w:before="40" w:after="40"/>
              <w:jc w:val="both"/>
              <w:rPr>
                <w:rFonts w:ascii="Arial Narrow" w:hAnsi="Arial Narrow" w:cs="Arial"/>
                <w:sz w:val="20"/>
                <w:szCs w:val="20"/>
              </w:rPr>
            </w:pPr>
            <w:r w:rsidRPr="00B03A99">
              <w:rPr>
                <w:rFonts w:ascii="Arial Narrow" w:hAnsi="Arial Narrow" w:cs="Arial"/>
                <w:sz w:val="20"/>
                <w:szCs w:val="20"/>
              </w:rPr>
              <w:t>1</w:t>
            </w:r>
            <w:r w:rsidRPr="00C51458">
              <w:rPr>
                <w:rFonts w:ascii="Arial Narrow" w:hAnsi="Arial Narrow" w:cs="Arial"/>
                <w:strike/>
                <w:sz w:val="20"/>
                <w:szCs w:val="20"/>
              </w:rPr>
              <w:t>*</w:t>
            </w:r>
          </w:p>
        </w:tc>
        <w:tc>
          <w:tcPr>
            <w:tcW w:w="420" w:type="pct"/>
          </w:tcPr>
          <w:p w:rsidR="00DA4051" w:rsidRPr="00B03A99" w:rsidRDefault="00DA4051" w:rsidP="00660E10">
            <w:pPr>
              <w:keepNext/>
              <w:spacing w:before="40" w:after="40"/>
              <w:jc w:val="both"/>
              <w:rPr>
                <w:rFonts w:ascii="Arial Narrow" w:hAnsi="Arial Narrow" w:cs="Arial"/>
                <w:sz w:val="20"/>
                <w:szCs w:val="20"/>
              </w:rPr>
            </w:pPr>
          </w:p>
          <w:p w:rsidR="00DA4051" w:rsidRPr="00B03A99" w:rsidRDefault="00DA4051" w:rsidP="00660E10">
            <w:pPr>
              <w:keepNext/>
              <w:spacing w:before="40" w:after="40"/>
              <w:jc w:val="both"/>
              <w:rPr>
                <w:rFonts w:ascii="Arial Narrow" w:hAnsi="Arial Narrow" w:cs="Arial"/>
                <w:sz w:val="20"/>
                <w:szCs w:val="20"/>
              </w:rPr>
            </w:pPr>
            <w:r w:rsidRPr="00B03A99">
              <w:rPr>
                <w:rFonts w:ascii="Arial Narrow" w:hAnsi="Arial Narrow" w:cs="Arial"/>
                <w:sz w:val="20"/>
                <w:szCs w:val="20"/>
              </w:rPr>
              <w:t>0</w:t>
            </w:r>
          </w:p>
        </w:tc>
        <w:tc>
          <w:tcPr>
            <w:tcW w:w="944" w:type="pct"/>
          </w:tcPr>
          <w:p w:rsidR="0018633F" w:rsidRPr="00B03A99" w:rsidRDefault="0018633F" w:rsidP="0018633F">
            <w:pPr>
              <w:keepNext/>
              <w:spacing w:before="40" w:after="40"/>
              <w:jc w:val="both"/>
              <w:rPr>
                <w:rFonts w:ascii="Arial Narrow" w:hAnsi="Arial Narrow" w:cs="Arial"/>
                <w:sz w:val="20"/>
                <w:szCs w:val="20"/>
              </w:rPr>
            </w:pPr>
            <w:r w:rsidRPr="00B03A99">
              <w:rPr>
                <w:rFonts w:ascii="Arial Narrow" w:hAnsi="Arial Narrow" w:cs="Arial"/>
                <w:sz w:val="20"/>
                <w:szCs w:val="20"/>
              </w:rPr>
              <w:t>Published: $</w:t>
            </w:r>
            <w:r w:rsidR="00E916D8">
              <w:rPr>
                <w:rFonts w:ascii="Arial Narrow" w:hAnsi="Arial Narrow" w:cs="Arial"/>
                <w:noProof/>
                <w:color w:val="000000"/>
                <w:sz w:val="20"/>
                <w:szCs w:val="20"/>
                <w:highlight w:val="black"/>
              </w:rPr>
              <w:t>''''''''''''''''</w:t>
            </w:r>
          </w:p>
          <w:p w:rsidR="00DA4051" w:rsidRPr="00B03A99" w:rsidRDefault="0018633F" w:rsidP="0018633F">
            <w:pPr>
              <w:keepNext/>
              <w:spacing w:before="40" w:after="40"/>
              <w:jc w:val="both"/>
              <w:rPr>
                <w:rFonts w:ascii="Arial Narrow" w:hAnsi="Arial Narrow" w:cs="Arial"/>
                <w:sz w:val="20"/>
                <w:szCs w:val="20"/>
              </w:rPr>
            </w:pPr>
            <w:r w:rsidRPr="00B03A99">
              <w:rPr>
                <w:rFonts w:ascii="Arial Narrow" w:hAnsi="Arial Narrow" w:cs="Arial"/>
                <w:sz w:val="20"/>
                <w:szCs w:val="20"/>
              </w:rPr>
              <w:t>Effective: $</w:t>
            </w:r>
            <w:r w:rsidR="00E916D8">
              <w:rPr>
                <w:rFonts w:ascii="Arial Narrow" w:hAnsi="Arial Narrow" w:cs="Arial"/>
                <w:noProof/>
                <w:color w:val="000000"/>
                <w:sz w:val="20"/>
                <w:szCs w:val="20"/>
                <w:highlight w:val="black"/>
              </w:rPr>
              <w:t>'''''''''''''''''</w:t>
            </w:r>
          </w:p>
        </w:tc>
        <w:tc>
          <w:tcPr>
            <w:tcW w:w="377" w:type="pct"/>
          </w:tcPr>
          <w:p w:rsidR="00DA4051" w:rsidRPr="00B03A99" w:rsidRDefault="00DA4051" w:rsidP="00660E10">
            <w:pPr>
              <w:autoSpaceDE w:val="0"/>
              <w:autoSpaceDN w:val="0"/>
              <w:adjustRightInd w:val="0"/>
              <w:rPr>
                <w:rFonts w:ascii="Arial Narrow" w:hAnsi="Arial Narrow" w:cs="Arial"/>
                <w:sz w:val="20"/>
                <w:szCs w:val="20"/>
              </w:rPr>
            </w:pPr>
            <w:proofErr w:type="spellStart"/>
            <w:r w:rsidRPr="00B03A99">
              <w:rPr>
                <w:rFonts w:ascii="Arial Narrow" w:hAnsi="Arial Narrow" w:cs="Arial"/>
                <w:sz w:val="20"/>
                <w:szCs w:val="20"/>
              </w:rPr>
              <w:t>Kuvan</w:t>
            </w:r>
            <w:proofErr w:type="spellEnd"/>
            <w:r w:rsidR="00354BD6">
              <w:rPr>
                <w:rFonts w:ascii="Arial Narrow" w:hAnsi="Arial Narrow" w:cs="Arial"/>
                <w:sz w:val="20"/>
                <w:szCs w:val="20"/>
              </w:rPr>
              <w:t>®</w:t>
            </w:r>
          </w:p>
        </w:tc>
        <w:tc>
          <w:tcPr>
            <w:tcW w:w="756" w:type="pct"/>
          </w:tcPr>
          <w:p w:rsidR="00DA4051" w:rsidRPr="00B03A99" w:rsidRDefault="00DA4051" w:rsidP="003E72B1">
            <w:pPr>
              <w:keepNext/>
              <w:spacing w:before="40" w:after="40"/>
              <w:rPr>
                <w:rFonts w:ascii="Arial Narrow" w:hAnsi="Arial Narrow" w:cs="Arial"/>
                <w:sz w:val="20"/>
                <w:szCs w:val="20"/>
              </w:rPr>
            </w:pPr>
            <w:proofErr w:type="spellStart"/>
            <w:r w:rsidRPr="00B03A99">
              <w:rPr>
                <w:rFonts w:ascii="Arial Narrow" w:hAnsi="Arial Narrow" w:cs="Arial"/>
                <w:sz w:val="20"/>
                <w:szCs w:val="20"/>
              </w:rPr>
              <w:t>BioMarin</w:t>
            </w:r>
            <w:proofErr w:type="spellEnd"/>
            <w:r w:rsidRPr="00B03A99">
              <w:rPr>
                <w:rFonts w:ascii="Arial Narrow" w:hAnsi="Arial Narrow" w:cs="Arial"/>
                <w:sz w:val="20"/>
                <w:szCs w:val="20"/>
              </w:rPr>
              <w:t xml:space="preserve"> Pharmaceutical Australia Pty Ltd</w:t>
            </w:r>
          </w:p>
        </w:tc>
      </w:tr>
      <w:tr w:rsidR="00DA4051" w:rsidRPr="00B03A99" w:rsidTr="00C15719">
        <w:trPr>
          <w:trHeight w:val="77"/>
        </w:trPr>
        <w:tc>
          <w:tcPr>
            <w:tcW w:w="1154" w:type="pct"/>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Category/Program</w:t>
            </w:r>
          </w:p>
        </w:tc>
        <w:tc>
          <w:tcPr>
            <w:tcW w:w="3846" w:type="pct"/>
            <w:gridSpan w:val="6"/>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Section 85</w:t>
            </w:r>
          </w:p>
        </w:tc>
      </w:tr>
      <w:tr w:rsidR="00DA4051" w:rsidRPr="00B03A99" w:rsidTr="00C15719">
        <w:trPr>
          <w:trHeight w:val="170"/>
        </w:trPr>
        <w:tc>
          <w:tcPr>
            <w:tcW w:w="1154" w:type="pct"/>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Prescriber type</w:t>
            </w:r>
          </w:p>
        </w:tc>
        <w:tc>
          <w:tcPr>
            <w:tcW w:w="3846" w:type="pct"/>
            <w:gridSpan w:val="6"/>
            <w:tcBorders>
              <w:top w:val="single" w:sz="4" w:space="0" w:color="auto"/>
              <w:left w:val="single" w:sz="4" w:space="0" w:color="auto"/>
              <w:bottom w:val="single" w:sz="4" w:space="0" w:color="auto"/>
              <w:right w:val="single" w:sz="4" w:space="0" w:color="auto"/>
            </w:tcBorders>
          </w:tcPr>
          <w:p w:rsidR="00DA4051" w:rsidRPr="00B03A99" w:rsidRDefault="00DA4051" w:rsidP="00507AEE">
            <w:pPr>
              <w:keepNext/>
              <w:contextualSpacing/>
              <w:jc w:val="both"/>
              <w:rPr>
                <w:rFonts w:ascii="Arial Narrow" w:hAnsi="Arial Narrow" w:cstheme="minorHAnsi"/>
                <w:sz w:val="20"/>
                <w:szCs w:val="20"/>
              </w:rPr>
            </w:pPr>
            <w:r w:rsidRPr="00C51458">
              <w:rPr>
                <w:rFonts w:ascii="Arial Narrow" w:hAnsi="Arial Narrow" w:cstheme="minorHAnsi"/>
                <w:sz w:val="20"/>
                <w:szCs w:val="20"/>
              </w:rPr>
              <w:fldChar w:fldCharType="begin">
                <w:ffData>
                  <w:name w:val=""/>
                  <w:enabled/>
                  <w:calcOnExit w:val="0"/>
                  <w:checkBox>
                    <w:sizeAuto/>
                    <w:default w:val="1"/>
                  </w:checkBox>
                </w:ffData>
              </w:fldChar>
            </w:r>
            <w:r w:rsidRPr="00B03A99">
              <w:rPr>
                <w:rFonts w:ascii="Arial Narrow" w:hAnsi="Arial Narrow" w:cstheme="minorHAnsi"/>
                <w:sz w:val="20"/>
                <w:szCs w:val="20"/>
              </w:rPr>
              <w:instrText xml:space="preserve"> FORMCHECKBOX </w:instrText>
            </w:r>
            <w:r w:rsidR="004D0474">
              <w:rPr>
                <w:rFonts w:ascii="Arial Narrow" w:hAnsi="Arial Narrow" w:cstheme="minorHAnsi"/>
                <w:sz w:val="20"/>
                <w:szCs w:val="20"/>
              </w:rPr>
            </w:r>
            <w:r w:rsidR="004D0474">
              <w:rPr>
                <w:rFonts w:ascii="Arial Narrow" w:hAnsi="Arial Narrow" w:cstheme="minorHAnsi"/>
                <w:sz w:val="20"/>
                <w:szCs w:val="20"/>
              </w:rPr>
              <w:fldChar w:fldCharType="separate"/>
            </w:r>
            <w:r w:rsidRPr="00C51458">
              <w:rPr>
                <w:rFonts w:ascii="Arial Narrow" w:hAnsi="Arial Narrow" w:cstheme="minorHAnsi"/>
                <w:sz w:val="20"/>
                <w:szCs w:val="20"/>
              </w:rPr>
              <w:fldChar w:fldCharType="end"/>
            </w:r>
            <w:r w:rsidRPr="00B03A99">
              <w:rPr>
                <w:rFonts w:ascii="Arial Narrow" w:hAnsi="Arial Narrow" w:cstheme="minorHAnsi"/>
                <w:sz w:val="20"/>
                <w:szCs w:val="20"/>
              </w:rPr>
              <w:t xml:space="preserve">Medical Practitioners  </w:t>
            </w:r>
            <w:r w:rsidRPr="00C51458">
              <w:rPr>
                <w:rFonts w:ascii="Arial Narrow" w:eastAsia="Calibri" w:hAnsi="Arial Narrow" w:cstheme="minorHAnsi"/>
                <w:sz w:val="20"/>
                <w:szCs w:val="20"/>
                <w:lang w:eastAsia="en-US"/>
              </w:rPr>
              <w:fldChar w:fldCharType="begin">
                <w:ffData>
                  <w:name w:val="Check3"/>
                  <w:enabled/>
                  <w:calcOnExit w:val="0"/>
                  <w:checkBox>
                    <w:sizeAuto/>
                    <w:default w:val="1"/>
                  </w:checkBox>
                </w:ffData>
              </w:fldChar>
            </w:r>
            <w:r w:rsidRPr="00B03A99">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C51458">
              <w:rPr>
                <w:rFonts w:ascii="Arial Narrow" w:eastAsia="Calibri" w:hAnsi="Arial Narrow" w:cstheme="minorHAnsi"/>
                <w:sz w:val="20"/>
                <w:szCs w:val="20"/>
                <w:lang w:eastAsia="en-US"/>
              </w:rPr>
              <w:fldChar w:fldCharType="end"/>
            </w:r>
            <w:r w:rsidRPr="00B03A99">
              <w:rPr>
                <w:rFonts w:ascii="Arial Narrow" w:hAnsi="Arial Narrow" w:cstheme="minorHAnsi"/>
                <w:sz w:val="20"/>
                <w:szCs w:val="20"/>
              </w:rPr>
              <w:t>Nurse practitioners</w:t>
            </w:r>
          </w:p>
        </w:tc>
      </w:tr>
      <w:tr w:rsidR="00DA4051" w:rsidRPr="00B03A99" w:rsidTr="00C15719">
        <w:trPr>
          <w:trHeight w:val="249"/>
        </w:trPr>
        <w:tc>
          <w:tcPr>
            <w:tcW w:w="1154" w:type="pct"/>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Episodicity:</w:t>
            </w:r>
          </w:p>
        </w:tc>
        <w:tc>
          <w:tcPr>
            <w:tcW w:w="3846" w:type="pct"/>
            <w:gridSpan w:val="6"/>
            <w:tcBorders>
              <w:top w:val="single" w:sz="4" w:space="0" w:color="auto"/>
              <w:left w:val="single" w:sz="4" w:space="0" w:color="auto"/>
              <w:bottom w:val="single" w:sz="4" w:space="0" w:color="auto"/>
              <w:right w:val="single" w:sz="4" w:space="0" w:color="auto"/>
            </w:tcBorders>
          </w:tcPr>
          <w:p w:rsidR="00DA4051" w:rsidRPr="00774327" w:rsidRDefault="00DA4051" w:rsidP="00774327">
            <w:pPr>
              <w:keepNext/>
              <w:jc w:val="both"/>
              <w:rPr>
                <w:rFonts w:ascii="Arial Narrow" w:eastAsia="Calibri" w:hAnsi="Arial Narrow" w:cstheme="minorHAnsi"/>
                <w:sz w:val="20"/>
                <w:szCs w:val="20"/>
                <w:lang w:eastAsia="en-US"/>
              </w:rPr>
            </w:pPr>
            <w:r w:rsidRPr="00774327">
              <w:rPr>
                <w:rFonts w:ascii="Arial Narrow" w:eastAsia="Calibri" w:hAnsi="Arial Narrow" w:cstheme="minorHAnsi"/>
                <w:sz w:val="20"/>
                <w:szCs w:val="20"/>
                <w:lang w:eastAsia="en-US"/>
              </w:rPr>
              <w:t xml:space="preserve">Chronic </w:t>
            </w:r>
          </w:p>
        </w:tc>
      </w:tr>
      <w:tr w:rsidR="00DA4051" w:rsidRPr="00B03A99" w:rsidTr="00C15719">
        <w:trPr>
          <w:trHeight w:val="139"/>
        </w:trPr>
        <w:tc>
          <w:tcPr>
            <w:tcW w:w="1154" w:type="pct"/>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Condition:</w:t>
            </w:r>
          </w:p>
        </w:tc>
        <w:tc>
          <w:tcPr>
            <w:tcW w:w="3846" w:type="pct"/>
            <w:gridSpan w:val="6"/>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Hyperphenylalaninemia (HPA) due to phenylketonuria (PKU)</w:t>
            </w:r>
          </w:p>
        </w:tc>
      </w:tr>
      <w:tr w:rsidR="00DA4051" w:rsidRPr="00B03A99" w:rsidTr="00C15719">
        <w:trPr>
          <w:trHeight w:val="157"/>
        </w:trPr>
        <w:tc>
          <w:tcPr>
            <w:tcW w:w="1154" w:type="pct"/>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PBS Indication:</w:t>
            </w:r>
          </w:p>
        </w:tc>
        <w:tc>
          <w:tcPr>
            <w:tcW w:w="3846" w:type="pct"/>
            <w:gridSpan w:val="6"/>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Hyperphenylalaninemia (HPA) due to phenylketonuria (PKU)</w:t>
            </w:r>
          </w:p>
        </w:tc>
      </w:tr>
      <w:tr w:rsidR="00DA4051" w:rsidRPr="00B03A99" w:rsidTr="00C15719">
        <w:trPr>
          <w:trHeight w:val="157"/>
        </w:trPr>
        <w:tc>
          <w:tcPr>
            <w:tcW w:w="1154" w:type="pct"/>
            <w:tcBorders>
              <w:top w:val="single" w:sz="4" w:space="0" w:color="auto"/>
              <w:left w:val="single" w:sz="4" w:space="0" w:color="auto"/>
              <w:bottom w:val="single" w:sz="4" w:space="0" w:color="auto"/>
              <w:right w:val="single" w:sz="4" w:space="0" w:color="auto"/>
            </w:tcBorders>
          </w:tcPr>
          <w:p w:rsidR="00DA4051" w:rsidRPr="00B03A99" w:rsidRDefault="00DA4051"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 xml:space="preserve">Treatment phase: </w:t>
            </w:r>
          </w:p>
        </w:tc>
        <w:tc>
          <w:tcPr>
            <w:tcW w:w="3846" w:type="pct"/>
            <w:gridSpan w:val="6"/>
            <w:tcBorders>
              <w:top w:val="single" w:sz="4" w:space="0" w:color="auto"/>
              <w:left w:val="single" w:sz="4" w:space="0" w:color="auto"/>
              <w:bottom w:val="single" w:sz="4" w:space="0" w:color="auto"/>
              <w:right w:val="single" w:sz="4" w:space="0" w:color="auto"/>
            </w:tcBorders>
          </w:tcPr>
          <w:p w:rsidR="00DA4051" w:rsidRPr="00507AEE" w:rsidRDefault="00DA4051" w:rsidP="00774327">
            <w:pPr>
              <w:keepNext/>
              <w:jc w:val="both"/>
              <w:rPr>
                <w:rFonts w:ascii="Arial Narrow" w:eastAsia="Calibri" w:hAnsi="Arial Narrow" w:cstheme="minorHAnsi"/>
                <w:i/>
                <w:sz w:val="20"/>
                <w:szCs w:val="20"/>
                <w:lang w:eastAsia="en-US"/>
              </w:rPr>
            </w:pPr>
            <w:r w:rsidRPr="00B03A99">
              <w:rPr>
                <w:rFonts w:ascii="Arial Narrow" w:eastAsia="Calibri" w:hAnsi="Arial Narrow" w:cstheme="minorHAnsi"/>
                <w:sz w:val="20"/>
                <w:szCs w:val="20"/>
                <w:lang w:eastAsia="en-US"/>
              </w:rPr>
              <w:t xml:space="preserve">Initial </w:t>
            </w:r>
          </w:p>
        </w:tc>
      </w:tr>
      <w:tr w:rsidR="00DA4051" w:rsidRPr="00B03A99" w:rsidTr="00C15719">
        <w:trPr>
          <w:trHeight w:val="58"/>
        </w:trPr>
        <w:tc>
          <w:tcPr>
            <w:tcW w:w="1154" w:type="pct"/>
            <w:tcBorders>
              <w:top w:val="single" w:sz="4" w:space="0" w:color="auto"/>
              <w:left w:val="single" w:sz="4" w:space="0" w:color="auto"/>
              <w:bottom w:val="single" w:sz="4" w:space="0" w:color="auto"/>
              <w:right w:val="single" w:sz="4" w:space="0" w:color="auto"/>
            </w:tcBorders>
          </w:tcPr>
          <w:p w:rsidR="00DA4051" w:rsidRPr="00B03A99" w:rsidRDefault="00DA4051" w:rsidP="009F33A7">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Restriction:</w:t>
            </w:r>
          </w:p>
        </w:tc>
        <w:tc>
          <w:tcPr>
            <w:tcW w:w="3846" w:type="pct"/>
            <w:gridSpan w:val="6"/>
            <w:tcBorders>
              <w:top w:val="single" w:sz="4" w:space="0" w:color="auto"/>
              <w:left w:val="single" w:sz="4" w:space="0" w:color="auto"/>
              <w:bottom w:val="single" w:sz="4" w:space="0" w:color="auto"/>
              <w:right w:val="single" w:sz="4" w:space="0" w:color="auto"/>
            </w:tcBorders>
          </w:tcPr>
          <w:p w:rsidR="00D45F4A" w:rsidRPr="00B03A99" w:rsidRDefault="00DA4051" w:rsidP="00507AEE">
            <w:pPr>
              <w:keepNext/>
              <w:jc w:val="both"/>
              <w:rPr>
                <w:rFonts w:ascii="Arial Narrow" w:eastAsia="Calibri" w:hAnsi="Arial Narrow" w:cstheme="minorHAnsi"/>
                <w:sz w:val="20"/>
                <w:szCs w:val="20"/>
                <w:lang w:eastAsia="en-US"/>
              </w:rPr>
            </w:pPr>
            <w:r w:rsidRPr="00C51458">
              <w:rPr>
                <w:rFonts w:ascii="Arial Narrow" w:eastAsia="Calibri" w:hAnsi="Arial Narrow" w:cstheme="minorHAnsi"/>
                <w:sz w:val="20"/>
                <w:szCs w:val="20"/>
                <w:lang w:eastAsia="en-US"/>
              </w:rPr>
              <w:fldChar w:fldCharType="begin">
                <w:ffData>
                  <w:name w:val=""/>
                  <w:enabled/>
                  <w:calcOnExit w:val="0"/>
                  <w:checkBox>
                    <w:sizeAuto/>
                    <w:default w:val="1"/>
                  </w:checkBox>
                </w:ffData>
              </w:fldChar>
            </w:r>
            <w:r w:rsidRPr="00B03A99">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C51458">
              <w:rPr>
                <w:rFonts w:ascii="Arial Narrow" w:eastAsia="Calibri" w:hAnsi="Arial Narrow" w:cstheme="minorHAnsi"/>
                <w:sz w:val="20"/>
                <w:szCs w:val="20"/>
                <w:lang w:eastAsia="en-US"/>
              </w:rPr>
              <w:fldChar w:fldCharType="end"/>
            </w:r>
            <w:r w:rsidRPr="00B03A99">
              <w:rPr>
                <w:rFonts w:ascii="Arial Narrow" w:eastAsia="Calibri" w:hAnsi="Arial Narrow" w:cstheme="minorHAnsi"/>
                <w:sz w:val="20"/>
                <w:szCs w:val="20"/>
                <w:lang w:eastAsia="en-US"/>
              </w:rPr>
              <w:t>Authority Required - In Writing</w:t>
            </w:r>
          </w:p>
        </w:tc>
      </w:tr>
      <w:tr w:rsidR="00774327" w:rsidRPr="00B03A99" w:rsidTr="00C15719">
        <w:trPr>
          <w:trHeight w:val="360"/>
        </w:trPr>
        <w:tc>
          <w:tcPr>
            <w:tcW w:w="1154" w:type="pct"/>
            <w:tcBorders>
              <w:top w:val="single" w:sz="4" w:space="0" w:color="auto"/>
              <w:left w:val="single" w:sz="4" w:space="0" w:color="auto"/>
              <w:bottom w:val="single" w:sz="4" w:space="0" w:color="auto"/>
              <w:right w:val="single" w:sz="4" w:space="0" w:color="auto"/>
            </w:tcBorders>
          </w:tcPr>
          <w:p w:rsidR="00774327" w:rsidRPr="00B03A99" w:rsidRDefault="00774327"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Treatment criteria</w:t>
            </w:r>
          </w:p>
        </w:tc>
        <w:tc>
          <w:tcPr>
            <w:tcW w:w="3846" w:type="pct"/>
            <w:gridSpan w:val="6"/>
            <w:tcBorders>
              <w:top w:val="single" w:sz="4" w:space="0" w:color="auto"/>
              <w:left w:val="single" w:sz="4" w:space="0" w:color="auto"/>
              <w:bottom w:val="single" w:sz="4" w:space="0" w:color="auto"/>
              <w:right w:val="single" w:sz="4" w:space="0" w:color="auto"/>
            </w:tcBorders>
          </w:tcPr>
          <w:p w:rsidR="00774327" w:rsidRPr="00774327" w:rsidRDefault="00774327" w:rsidP="00E23065">
            <w:pPr>
              <w:keepNext/>
              <w:jc w:val="both"/>
              <w:rPr>
                <w:rFonts w:ascii="Arial Narrow" w:eastAsia="Calibri" w:hAnsi="Arial Narrow" w:cstheme="minorHAnsi"/>
                <w:sz w:val="20"/>
                <w:szCs w:val="20"/>
                <w:lang w:eastAsia="en-US"/>
              </w:rPr>
            </w:pPr>
            <w:r w:rsidRPr="00774327">
              <w:rPr>
                <w:rFonts w:ascii="Arial Narrow" w:eastAsia="Calibri" w:hAnsi="Arial Narrow" w:cstheme="minorHAnsi"/>
                <w:sz w:val="20"/>
                <w:szCs w:val="20"/>
              </w:rPr>
              <w:t>Must be treated by a metabolic physician, medical practitioner or a nurse practitioner, experienced in the treatment of phenylketonuria (PKU)</w:t>
            </w:r>
          </w:p>
        </w:tc>
      </w:tr>
      <w:tr w:rsidR="00774327" w:rsidRPr="00B03A99" w:rsidTr="00774327">
        <w:trPr>
          <w:trHeight w:val="245"/>
        </w:trPr>
        <w:tc>
          <w:tcPr>
            <w:tcW w:w="1154" w:type="pct"/>
            <w:tcBorders>
              <w:top w:val="single" w:sz="4" w:space="0" w:color="auto"/>
              <w:left w:val="single" w:sz="4" w:space="0" w:color="auto"/>
              <w:bottom w:val="single" w:sz="4" w:space="0" w:color="auto"/>
              <w:right w:val="single" w:sz="4" w:space="0" w:color="auto"/>
            </w:tcBorders>
          </w:tcPr>
          <w:p w:rsidR="00774327" w:rsidRPr="00B03A99" w:rsidRDefault="00774327"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Clinical criteria:</w:t>
            </w:r>
          </w:p>
        </w:tc>
        <w:tc>
          <w:tcPr>
            <w:tcW w:w="3846" w:type="pct"/>
            <w:gridSpan w:val="6"/>
            <w:tcBorders>
              <w:top w:val="single" w:sz="4" w:space="0" w:color="auto"/>
              <w:left w:val="single" w:sz="4" w:space="0" w:color="auto"/>
              <w:bottom w:val="single" w:sz="4" w:space="0" w:color="auto"/>
              <w:right w:val="single" w:sz="4" w:space="0" w:color="auto"/>
            </w:tcBorders>
          </w:tcPr>
          <w:p w:rsidR="00774327" w:rsidRPr="00774327" w:rsidRDefault="00774327" w:rsidP="00507AEE">
            <w:pPr>
              <w:keepNext/>
              <w:jc w:val="both"/>
              <w:rPr>
                <w:rFonts w:ascii="Arial Narrow" w:eastAsia="Calibri" w:hAnsi="Arial Narrow" w:cstheme="minorHAnsi"/>
                <w:sz w:val="20"/>
                <w:szCs w:val="20"/>
                <w:lang w:eastAsia="en-US"/>
              </w:rPr>
            </w:pPr>
            <w:r w:rsidRPr="00774327">
              <w:rPr>
                <w:rFonts w:ascii="Arial Narrow" w:eastAsia="Calibri" w:hAnsi="Arial Narrow" w:cstheme="minorHAnsi"/>
                <w:sz w:val="20"/>
                <w:szCs w:val="20"/>
              </w:rPr>
              <w:t xml:space="preserve">Patient must have hyperphenylalaninemia (HPA) due to phenylketonuria (PKU) </w:t>
            </w:r>
          </w:p>
        </w:tc>
      </w:tr>
      <w:tr w:rsidR="00774327" w:rsidRPr="00B03A99" w:rsidTr="00C15719">
        <w:trPr>
          <w:trHeight w:val="70"/>
        </w:trPr>
        <w:tc>
          <w:tcPr>
            <w:tcW w:w="1154" w:type="pct"/>
            <w:tcBorders>
              <w:top w:val="single" w:sz="4" w:space="0" w:color="auto"/>
              <w:left w:val="single" w:sz="4" w:space="0" w:color="auto"/>
              <w:bottom w:val="single" w:sz="4" w:space="0" w:color="auto"/>
              <w:right w:val="single" w:sz="4" w:space="0" w:color="auto"/>
            </w:tcBorders>
          </w:tcPr>
          <w:p w:rsidR="00774327" w:rsidRPr="00B03A99" w:rsidRDefault="00774327"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 xml:space="preserve">Population criteria: </w:t>
            </w:r>
          </w:p>
        </w:tc>
        <w:tc>
          <w:tcPr>
            <w:tcW w:w="3846" w:type="pct"/>
            <w:gridSpan w:val="6"/>
            <w:tcBorders>
              <w:top w:val="single" w:sz="4" w:space="0" w:color="auto"/>
              <w:left w:val="single" w:sz="4" w:space="0" w:color="auto"/>
              <w:bottom w:val="single" w:sz="4" w:space="0" w:color="auto"/>
              <w:right w:val="single" w:sz="4" w:space="0" w:color="auto"/>
            </w:tcBorders>
          </w:tcPr>
          <w:p w:rsidR="00774327" w:rsidRPr="00774327" w:rsidRDefault="00774327" w:rsidP="00507AEE">
            <w:pPr>
              <w:keepNext/>
              <w:jc w:val="both"/>
              <w:rPr>
                <w:rFonts w:ascii="Arial Narrow" w:eastAsia="Calibri" w:hAnsi="Arial Narrow" w:cstheme="minorHAnsi"/>
                <w:sz w:val="20"/>
                <w:szCs w:val="20"/>
                <w:lang w:eastAsia="en-US"/>
              </w:rPr>
            </w:pPr>
            <w:r w:rsidRPr="00774327">
              <w:rPr>
                <w:rFonts w:ascii="Arial Narrow" w:eastAsia="Calibri" w:hAnsi="Arial Narrow" w:cstheme="minorHAnsi"/>
                <w:sz w:val="20"/>
                <w:szCs w:val="20"/>
              </w:rPr>
              <w:t xml:space="preserve">The patient must be under the age of 18 years </w:t>
            </w:r>
          </w:p>
        </w:tc>
      </w:tr>
      <w:tr w:rsidR="00774327" w:rsidRPr="00B03A99" w:rsidTr="00C15719">
        <w:trPr>
          <w:trHeight w:val="360"/>
        </w:trPr>
        <w:tc>
          <w:tcPr>
            <w:tcW w:w="1154" w:type="pct"/>
            <w:tcBorders>
              <w:top w:val="single" w:sz="4" w:space="0" w:color="auto"/>
              <w:left w:val="single" w:sz="4" w:space="0" w:color="auto"/>
              <w:bottom w:val="single" w:sz="4" w:space="0" w:color="auto"/>
              <w:right w:val="single" w:sz="4" w:space="0" w:color="auto"/>
            </w:tcBorders>
          </w:tcPr>
          <w:p w:rsidR="00774327" w:rsidRPr="00B03A99" w:rsidRDefault="00774327" w:rsidP="00660E10">
            <w:pPr>
              <w:keepNext/>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Prescriber Instructions:</w:t>
            </w:r>
          </w:p>
        </w:tc>
        <w:tc>
          <w:tcPr>
            <w:tcW w:w="3846" w:type="pct"/>
            <w:gridSpan w:val="6"/>
            <w:tcBorders>
              <w:top w:val="single" w:sz="4" w:space="0" w:color="auto"/>
              <w:left w:val="single" w:sz="4" w:space="0" w:color="auto"/>
              <w:bottom w:val="single" w:sz="4" w:space="0" w:color="auto"/>
              <w:right w:val="single" w:sz="4" w:space="0" w:color="auto"/>
            </w:tcBorders>
          </w:tcPr>
          <w:p w:rsidR="00774327" w:rsidRPr="00774327" w:rsidRDefault="00774327" w:rsidP="00774327">
            <w:pPr>
              <w:keepNext/>
              <w:rPr>
                <w:rFonts w:ascii="Arial Narrow" w:eastAsia="Calibri" w:hAnsi="Arial Narrow" w:cstheme="minorHAnsi"/>
                <w:sz w:val="20"/>
                <w:szCs w:val="20"/>
              </w:rPr>
            </w:pPr>
            <w:r w:rsidRPr="00774327">
              <w:rPr>
                <w:rFonts w:ascii="Arial Narrow" w:eastAsia="Calibri" w:hAnsi="Arial Narrow" w:cstheme="minorHAnsi"/>
                <w:sz w:val="20"/>
                <w:szCs w:val="20"/>
              </w:rPr>
              <w:t>The authority application must be in writing and include a documented diagnosis of PKU.</w:t>
            </w:r>
          </w:p>
          <w:p w:rsidR="00774327" w:rsidRPr="00774327" w:rsidRDefault="00774327" w:rsidP="00774327">
            <w:pPr>
              <w:keepNext/>
              <w:rPr>
                <w:rFonts w:ascii="Arial Narrow" w:eastAsia="Calibri" w:hAnsi="Arial Narrow" w:cstheme="minorHAnsi"/>
                <w:sz w:val="20"/>
                <w:szCs w:val="20"/>
              </w:rPr>
            </w:pPr>
          </w:p>
          <w:p w:rsidR="00774327" w:rsidRPr="00774327" w:rsidRDefault="00774327" w:rsidP="00507AEE">
            <w:pPr>
              <w:keepNext/>
              <w:jc w:val="both"/>
              <w:rPr>
                <w:rFonts w:ascii="Arial Narrow" w:eastAsia="Calibri" w:hAnsi="Arial Narrow" w:cstheme="minorHAnsi"/>
                <w:sz w:val="20"/>
                <w:szCs w:val="20"/>
                <w:lang w:eastAsia="en-US"/>
              </w:rPr>
            </w:pPr>
            <w:r w:rsidRPr="00774327">
              <w:rPr>
                <w:rFonts w:ascii="Arial Narrow" w:eastAsia="Calibri" w:hAnsi="Arial Narrow" w:cstheme="minorHAnsi"/>
                <w:sz w:val="20"/>
                <w:szCs w:val="20"/>
              </w:rPr>
              <w:t xml:space="preserve">At the time of authority application, prescribers should request the appropriate number of packs, based on the prescribed dose and weight of the patient, to provide sufficient drug for up to one month of treatment. </w:t>
            </w:r>
          </w:p>
        </w:tc>
      </w:tr>
    </w:tbl>
    <w:p w:rsidR="00DA4051" w:rsidRPr="00774327" w:rsidRDefault="00DA4051" w:rsidP="00660E10">
      <w:pPr>
        <w:jc w:val="both"/>
        <w:rPr>
          <w:rFonts w:ascii="Arial Narrow" w:eastAsiaTheme="minorHAnsi" w:hAnsi="Arial Narrow" w:cstheme="minorHAnsi"/>
          <w:sz w:val="20"/>
          <w:szCs w:val="20"/>
          <w:lang w:eastAsia="en-US"/>
        </w:rPr>
      </w:pPr>
      <w:r w:rsidRPr="00774327">
        <w:rPr>
          <w:rFonts w:ascii="Arial Narrow" w:eastAsiaTheme="minorHAnsi" w:hAnsi="Arial Narrow" w:cstheme="minorHAnsi"/>
          <w:sz w:val="20"/>
          <w:szCs w:val="20"/>
          <w:lang w:eastAsia="en-US"/>
        </w:rPr>
        <w:t xml:space="preserve">* At the time of authority application, prescribers should request the appropriate number of packs, based on the prescribed dose and weight of the patient, to provide sufficient drug for up to one month of treatment. </w:t>
      </w:r>
    </w:p>
    <w:p w:rsidR="00FF4C97" w:rsidRDefault="00FF4C97">
      <w:pPr>
        <w:rPr>
          <w:rFonts w:ascii="Arial Narrow" w:eastAsiaTheme="minorHAnsi" w:hAnsi="Arial Narrow" w:cstheme="minorHAnsi"/>
          <w:sz w:val="20"/>
          <w:szCs w:val="20"/>
          <w:lang w:eastAsia="en-US"/>
        </w:rPr>
      </w:pPr>
      <w:r>
        <w:rPr>
          <w:rFonts w:ascii="Arial Narrow" w:eastAsiaTheme="minorHAnsi" w:hAnsi="Arial Narrow" w:cstheme="minorHAnsi"/>
          <w:sz w:val="20"/>
          <w:szCs w:val="20"/>
          <w:lang w:eastAsia="en-US"/>
        </w:rPr>
        <w:br w:type="page"/>
      </w:r>
    </w:p>
    <w:p w:rsidR="00C3448C" w:rsidRPr="00B03A99" w:rsidRDefault="00C3448C" w:rsidP="00507239">
      <w:pPr>
        <w:spacing w:line="360" w:lineRule="auto"/>
        <w:ind w:left="709" w:hanging="709"/>
        <w:jc w:val="both"/>
        <w:rPr>
          <w:rFonts w:ascii="Arial Narrow" w:eastAsiaTheme="minorHAnsi" w:hAnsi="Arial Narrow" w:cstheme="minorHAnsi"/>
          <w:sz w:val="20"/>
          <w:szCs w:val="20"/>
          <w:lang w:eastAsia="en-US"/>
        </w:rPr>
      </w:pPr>
    </w:p>
    <w:p w:rsidR="00660E10" w:rsidRPr="00774327" w:rsidRDefault="00660E10" w:rsidP="00660E10">
      <w:pPr>
        <w:keepNext/>
        <w:spacing w:line="360" w:lineRule="auto"/>
        <w:ind w:left="709" w:hanging="709"/>
        <w:jc w:val="both"/>
        <w:rPr>
          <w:rFonts w:asciiTheme="minorHAnsi" w:eastAsiaTheme="minorHAnsi" w:hAnsiTheme="minorHAnsi" w:cstheme="minorBidi"/>
          <w:szCs w:val="22"/>
          <w:u w:val="single"/>
          <w:lang w:eastAsia="en-US"/>
        </w:rPr>
      </w:pPr>
      <w:bookmarkStart w:id="0" w:name="_Ref518550006"/>
      <w:r w:rsidRPr="00774327">
        <w:rPr>
          <w:rFonts w:asciiTheme="minorHAnsi" w:eastAsiaTheme="minorHAnsi" w:hAnsiTheme="minorHAnsi" w:cstheme="minorBidi"/>
          <w:szCs w:val="22"/>
          <w:u w:val="single"/>
          <w:lang w:eastAsia="en-US"/>
        </w:rPr>
        <w:t>Continuing treatment</w:t>
      </w:r>
      <w:r w:rsidR="002A76DC" w:rsidRPr="00774327">
        <w:rPr>
          <w:rFonts w:asciiTheme="minorHAnsi" w:eastAsiaTheme="minorHAnsi" w:hAnsiTheme="minorHAnsi" w:cstheme="minorBidi"/>
          <w:szCs w:val="22"/>
          <w:u w:val="single"/>
          <w:lang w:eastAsia="en-US"/>
        </w:rPr>
        <w:t xml:space="preserve"> - continuing prescription </w:t>
      </w:r>
      <w:r w:rsidRPr="00774327">
        <w:rPr>
          <w:rFonts w:asciiTheme="minorHAnsi" w:eastAsiaTheme="minorHAnsi" w:hAnsiTheme="minorHAnsi" w:cstheme="minorBidi"/>
          <w:szCs w:val="22"/>
          <w:u w:val="single"/>
          <w:lang w:eastAsia="en-US"/>
        </w:rPr>
        <w:t xml:space="preserve">including grandfathered patients </w:t>
      </w:r>
    </w:p>
    <w:tbl>
      <w:tblPr>
        <w:tblW w:w="4897" w:type="pct"/>
        <w:tblInd w:w="108" w:type="dxa"/>
        <w:tblLook w:val="0000" w:firstRow="0" w:lastRow="0" w:firstColumn="0" w:lastColumn="0" w:noHBand="0" w:noVBand="0"/>
      </w:tblPr>
      <w:tblGrid>
        <w:gridCol w:w="2077"/>
        <w:gridCol w:w="1697"/>
        <w:gridCol w:w="730"/>
        <w:gridCol w:w="756"/>
        <w:gridCol w:w="1700"/>
        <w:gridCol w:w="682"/>
        <w:gridCol w:w="1361"/>
      </w:tblGrid>
      <w:tr w:rsidR="0029528E" w:rsidRPr="00B03A99" w:rsidTr="003E72B1">
        <w:trPr>
          <w:cantSplit/>
          <w:trHeight w:val="465"/>
        </w:trPr>
        <w:tc>
          <w:tcPr>
            <w:tcW w:w="2097" w:type="pct"/>
            <w:gridSpan w:val="2"/>
            <w:tcBorders>
              <w:bottom w:val="single" w:sz="4" w:space="0" w:color="auto"/>
            </w:tcBorders>
          </w:tcPr>
          <w:bookmarkEnd w:id="0"/>
          <w:p w:rsidR="0029528E" w:rsidRPr="00B03A99" w:rsidRDefault="0029528E" w:rsidP="00507239">
            <w:pPr>
              <w:keepNext/>
              <w:spacing w:before="40" w:after="40"/>
              <w:ind w:left="709" w:hanging="709"/>
              <w:jc w:val="both"/>
              <w:rPr>
                <w:rFonts w:ascii="Arial Narrow" w:hAnsi="Arial Narrow" w:cs="Arial"/>
                <w:b/>
                <w:sz w:val="20"/>
                <w:szCs w:val="20"/>
              </w:rPr>
            </w:pPr>
            <w:r w:rsidRPr="00B03A99">
              <w:rPr>
                <w:rFonts w:ascii="Arial Narrow" w:hAnsi="Arial Narrow" w:cs="Arial"/>
                <w:b/>
                <w:sz w:val="20"/>
                <w:szCs w:val="20"/>
              </w:rPr>
              <w:t>Name, Restriction,</w:t>
            </w:r>
          </w:p>
          <w:p w:rsidR="0029528E" w:rsidRPr="00B03A99" w:rsidRDefault="0029528E" w:rsidP="00507239">
            <w:pPr>
              <w:keepNext/>
              <w:spacing w:before="40" w:after="40"/>
              <w:ind w:left="709" w:hanging="709"/>
              <w:jc w:val="both"/>
              <w:rPr>
                <w:rFonts w:ascii="Arial Narrow" w:hAnsi="Arial Narrow" w:cs="Arial"/>
                <w:b/>
                <w:sz w:val="20"/>
                <w:szCs w:val="20"/>
              </w:rPr>
            </w:pPr>
            <w:r w:rsidRPr="00B03A99">
              <w:rPr>
                <w:rFonts w:ascii="Arial Narrow" w:hAnsi="Arial Narrow" w:cs="Arial"/>
                <w:b/>
                <w:sz w:val="20"/>
                <w:szCs w:val="20"/>
              </w:rPr>
              <w:t>Manner of administration and form</w:t>
            </w:r>
          </w:p>
        </w:tc>
        <w:tc>
          <w:tcPr>
            <w:tcW w:w="406" w:type="pct"/>
            <w:tcBorders>
              <w:bottom w:val="single" w:sz="4" w:space="0" w:color="auto"/>
            </w:tcBorders>
          </w:tcPr>
          <w:p w:rsidR="0029528E" w:rsidRPr="00B03A99" w:rsidRDefault="0029528E" w:rsidP="00507239">
            <w:pPr>
              <w:keepNext/>
              <w:spacing w:before="40" w:after="40"/>
              <w:ind w:left="709" w:hanging="709"/>
              <w:jc w:val="both"/>
              <w:rPr>
                <w:rFonts w:ascii="Arial Narrow" w:hAnsi="Arial Narrow" w:cs="Arial"/>
                <w:b/>
                <w:sz w:val="20"/>
                <w:szCs w:val="20"/>
              </w:rPr>
            </w:pPr>
            <w:r w:rsidRPr="00B03A99">
              <w:rPr>
                <w:rFonts w:ascii="Arial Narrow" w:hAnsi="Arial Narrow" w:cs="Arial"/>
                <w:b/>
                <w:sz w:val="20"/>
                <w:szCs w:val="20"/>
              </w:rPr>
              <w:t>Max.</w:t>
            </w:r>
          </w:p>
          <w:p w:rsidR="0029528E" w:rsidRPr="00B03A99" w:rsidRDefault="0029528E" w:rsidP="00507239">
            <w:pPr>
              <w:keepNext/>
              <w:spacing w:before="40" w:after="40"/>
              <w:ind w:left="709" w:hanging="709"/>
              <w:jc w:val="both"/>
              <w:rPr>
                <w:rFonts w:ascii="Arial Narrow" w:hAnsi="Arial Narrow" w:cs="Arial"/>
                <w:b/>
                <w:sz w:val="20"/>
                <w:szCs w:val="20"/>
              </w:rPr>
            </w:pPr>
            <w:r w:rsidRPr="00B03A99">
              <w:rPr>
                <w:rFonts w:ascii="Arial Narrow" w:hAnsi="Arial Narrow" w:cs="Arial"/>
                <w:b/>
                <w:sz w:val="20"/>
                <w:szCs w:val="20"/>
              </w:rPr>
              <w:t>Qty</w:t>
            </w:r>
          </w:p>
        </w:tc>
        <w:tc>
          <w:tcPr>
            <w:tcW w:w="420" w:type="pct"/>
            <w:tcBorders>
              <w:bottom w:val="single" w:sz="4" w:space="0" w:color="auto"/>
            </w:tcBorders>
          </w:tcPr>
          <w:p w:rsidR="0029528E" w:rsidRPr="00B03A99" w:rsidRDefault="0029528E" w:rsidP="00507239">
            <w:pPr>
              <w:keepNext/>
              <w:spacing w:before="40" w:after="40"/>
              <w:ind w:left="709" w:hanging="709"/>
              <w:jc w:val="both"/>
              <w:rPr>
                <w:rFonts w:ascii="Arial Narrow" w:hAnsi="Arial Narrow" w:cs="Arial"/>
                <w:b/>
                <w:sz w:val="20"/>
                <w:szCs w:val="20"/>
              </w:rPr>
            </w:pPr>
            <w:r w:rsidRPr="00B03A99">
              <w:rPr>
                <w:rFonts w:ascii="Arial Narrow" w:hAnsi="Arial Narrow" w:cs="Arial"/>
                <w:b/>
                <w:sz w:val="20"/>
                <w:szCs w:val="20"/>
              </w:rPr>
              <w:t>№.of</w:t>
            </w:r>
          </w:p>
          <w:p w:rsidR="0029528E" w:rsidRPr="00B03A99" w:rsidRDefault="0029528E" w:rsidP="00507239">
            <w:pPr>
              <w:keepNext/>
              <w:spacing w:before="40" w:after="40"/>
              <w:ind w:left="709" w:hanging="709"/>
              <w:jc w:val="both"/>
              <w:rPr>
                <w:rFonts w:ascii="Arial Narrow" w:hAnsi="Arial Narrow" w:cs="Arial"/>
                <w:b/>
                <w:sz w:val="20"/>
                <w:szCs w:val="20"/>
              </w:rPr>
            </w:pPr>
            <w:r w:rsidRPr="00B03A99">
              <w:rPr>
                <w:rFonts w:ascii="Arial Narrow" w:hAnsi="Arial Narrow" w:cs="Arial"/>
                <w:b/>
                <w:sz w:val="20"/>
                <w:szCs w:val="20"/>
              </w:rPr>
              <w:t>Rpts</w:t>
            </w:r>
          </w:p>
        </w:tc>
        <w:tc>
          <w:tcPr>
            <w:tcW w:w="944" w:type="pct"/>
            <w:tcBorders>
              <w:bottom w:val="single" w:sz="4" w:space="0" w:color="auto"/>
            </w:tcBorders>
          </w:tcPr>
          <w:p w:rsidR="0029528E" w:rsidRPr="00B03A99" w:rsidRDefault="0029528E" w:rsidP="005B5155">
            <w:pPr>
              <w:keepNext/>
              <w:spacing w:before="40" w:after="40"/>
              <w:rPr>
                <w:rFonts w:ascii="Arial Narrow" w:hAnsi="Arial Narrow" w:cs="Arial"/>
                <w:b/>
                <w:sz w:val="20"/>
                <w:szCs w:val="20"/>
              </w:rPr>
            </w:pPr>
            <w:r w:rsidRPr="00B03A99">
              <w:rPr>
                <w:rFonts w:ascii="Arial Narrow" w:hAnsi="Arial Narrow" w:cs="Arial"/>
                <w:b/>
                <w:sz w:val="20"/>
                <w:szCs w:val="20"/>
              </w:rPr>
              <w:t>Dispensed Price for Max. Qty</w:t>
            </w:r>
          </w:p>
        </w:tc>
        <w:tc>
          <w:tcPr>
            <w:tcW w:w="1133" w:type="pct"/>
            <w:gridSpan w:val="2"/>
            <w:tcBorders>
              <w:bottom w:val="single" w:sz="4" w:space="0" w:color="auto"/>
            </w:tcBorders>
          </w:tcPr>
          <w:p w:rsidR="0029528E" w:rsidRPr="00CA315A" w:rsidRDefault="0029528E" w:rsidP="005B5155">
            <w:pPr>
              <w:keepNext/>
              <w:tabs>
                <w:tab w:val="left" w:pos="0"/>
              </w:tabs>
              <w:spacing w:before="40" w:after="40"/>
              <w:rPr>
                <w:rFonts w:ascii="Arial Narrow" w:hAnsi="Arial Narrow" w:cs="Arial"/>
                <w:b/>
                <w:sz w:val="20"/>
                <w:szCs w:val="20"/>
              </w:rPr>
            </w:pPr>
            <w:r w:rsidRPr="00B03A99">
              <w:rPr>
                <w:rFonts w:ascii="Arial Narrow" w:hAnsi="Arial Narrow" w:cs="Arial"/>
                <w:b/>
                <w:sz w:val="20"/>
                <w:szCs w:val="20"/>
              </w:rPr>
              <w:t>Proprietary Name and Manufacturer</w:t>
            </w:r>
          </w:p>
        </w:tc>
      </w:tr>
      <w:tr w:rsidR="0029528E" w:rsidRPr="00B03A99" w:rsidTr="003E72B1">
        <w:trPr>
          <w:cantSplit/>
          <w:trHeight w:val="567"/>
        </w:trPr>
        <w:tc>
          <w:tcPr>
            <w:tcW w:w="2097" w:type="pct"/>
            <w:gridSpan w:val="2"/>
          </w:tcPr>
          <w:p w:rsidR="0029528E" w:rsidRPr="00B03A99" w:rsidRDefault="0029528E" w:rsidP="00507239">
            <w:pPr>
              <w:keepNext/>
              <w:spacing w:before="40" w:after="40"/>
              <w:ind w:left="709" w:hanging="709"/>
              <w:jc w:val="both"/>
              <w:rPr>
                <w:rFonts w:ascii="Arial Narrow" w:hAnsi="Arial Narrow" w:cs="Arial"/>
                <w:smallCaps/>
                <w:sz w:val="20"/>
                <w:szCs w:val="20"/>
              </w:rPr>
            </w:pPr>
            <w:r w:rsidRPr="00B03A99">
              <w:rPr>
                <w:rFonts w:ascii="Arial Narrow" w:hAnsi="Arial Narrow" w:cs="Arial"/>
                <w:smallCaps/>
                <w:sz w:val="20"/>
                <w:szCs w:val="20"/>
              </w:rPr>
              <w:t>SAPROPTERIN DIHYDROCHLORIDE</w:t>
            </w:r>
          </w:p>
          <w:p w:rsidR="0029528E" w:rsidRPr="00B03A99" w:rsidRDefault="0029528E" w:rsidP="00507239">
            <w:pPr>
              <w:keepNext/>
              <w:spacing w:before="40" w:after="40"/>
              <w:ind w:left="709" w:hanging="709"/>
              <w:jc w:val="both"/>
              <w:rPr>
                <w:rFonts w:ascii="Arial Narrow" w:hAnsi="Arial Narrow" w:cstheme="minorHAnsi"/>
                <w:color w:val="000000"/>
                <w:sz w:val="20"/>
                <w:szCs w:val="20"/>
              </w:rPr>
            </w:pPr>
            <w:r w:rsidRPr="00B03A99">
              <w:rPr>
                <w:rFonts w:ascii="Arial Narrow" w:hAnsi="Arial Narrow" w:cs="Arial"/>
                <w:smallCaps/>
                <w:sz w:val="20"/>
                <w:szCs w:val="20"/>
              </w:rPr>
              <w:t>100MG, SOLUBLE TABLETS, PACK OF 30</w:t>
            </w:r>
          </w:p>
        </w:tc>
        <w:tc>
          <w:tcPr>
            <w:tcW w:w="406" w:type="pct"/>
          </w:tcPr>
          <w:p w:rsidR="0029528E" w:rsidRPr="00B03A99" w:rsidRDefault="0029528E" w:rsidP="00507239">
            <w:pPr>
              <w:keepNext/>
              <w:spacing w:before="40" w:after="40"/>
              <w:ind w:left="709" w:hanging="709"/>
              <w:jc w:val="both"/>
              <w:rPr>
                <w:rFonts w:ascii="Arial Narrow" w:hAnsi="Arial Narrow" w:cs="Arial"/>
                <w:sz w:val="20"/>
                <w:szCs w:val="20"/>
              </w:rPr>
            </w:pPr>
          </w:p>
          <w:p w:rsidR="0029528E" w:rsidRPr="00B03A99" w:rsidRDefault="0029528E" w:rsidP="00507239">
            <w:pPr>
              <w:keepNext/>
              <w:spacing w:before="40" w:after="40"/>
              <w:ind w:left="709" w:hanging="709"/>
              <w:jc w:val="both"/>
              <w:rPr>
                <w:rFonts w:ascii="Arial Narrow" w:hAnsi="Arial Narrow" w:cs="Arial"/>
                <w:sz w:val="20"/>
                <w:szCs w:val="20"/>
              </w:rPr>
            </w:pPr>
            <w:r w:rsidRPr="00B03A99">
              <w:rPr>
                <w:rFonts w:ascii="Arial Narrow" w:hAnsi="Arial Narrow" w:cs="Arial"/>
                <w:sz w:val="20"/>
                <w:szCs w:val="20"/>
              </w:rPr>
              <w:t>1*</w:t>
            </w:r>
          </w:p>
        </w:tc>
        <w:tc>
          <w:tcPr>
            <w:tcW w:w="420" w:type="pct"/>
          </w:tcPr>
          <w:p w:rsidR="0029528E" w:rsidRPr="00B03A99" w:rsidRDefault="0029528E" w:rsidP="00507239">
            <w:pPr>
              <w:keepNext/>
              <w:spacing w:before="40" w:after="40"/>
              <w:ind w:left="709" w:hanging="709"/>
              <w:jc w:val="both"/>
              <w:rPr>
                <w:rFonts w:ascii="Arial Narrow" w:hAnsi="Arial Narrow" w:cs="Arial"/>
                <w:sz w:val="20"/>
                <w:szCs w:val="20"/>
              </w:rPr>
            </w:pPr>
          </w:p>
          <w:p w:rsidR="0029528E" w:rsidRPr="00B03A99" w:rsidRDefault="0029528E" w:rsidP="00507239">
            <w:pPr>
              <w:keepNext/>
              <w:spacing w:before="40" w:after="40"/>
              <w:ind w:left="709" w:hanging="709"/>
              <w:jc w:val="both"/>
              <w:rPr>
                <w:rFonts w:ascii="Arial Narrow" w:hAnsi="Arial Narrow" w:cs="Arial"/>
                <w:sz w:val="20"/>
                <w:szCs w:val="20"/>
              </w:rPr>
            </w:pPr>
            <w:r w:rsidRPr="00B03A99">
              <w:rPr>
                <w:rFonts w:ascii="Arial Narrow" w:hAnsi="Arial Narrow" w:cs="Arial"/>
                <w:sz w:val="20"/>
                <w:szCs w:val="20"/>
              </w:rPr>
              <w:t>5</w:t>
            </w:r>
          </w:p>
        </w:tc>
        <w:tc>
          <w:tcPr>
            <w:tcW w:w="944" w:type="pct"/>
          </w:tcPr>
          <w:p w:rsidR="0029528E" w:rsidRPr="00B03A99" w:rsidRDefault="0029528E" w:rsidP="005B5155">
            <w:pPr>
              <w:keepNext/>
              <w:spacing w:before="40" w:after="40"/>
              <w:jc w:val="both"/>
              <w:rPr>
                <w:rFonts w:ascii="Arial Narrow" w:hAnsi="Arial Narrow" w:cs="Arial"/>
                <w:sz w:val="20"/>
                <w:szCs w:val="20"/>
              </w:rPr>
            </w:pPr>
          </w:p>
          <w:p w:rsidR="0018633F" w:rsidRPr="00B03A99" w:rsidRDefault="0018633F" w:rsidP="0018633F">
            <w:pPr>
              <w:keepNext/>
              <w:spacing w:before="40" w:after="40"/>
              <w:jc w:val="both"/>
              <w:rPr>
                <w:rFonts w:ascii="Arial Narrow" w:hAnsi="Arial Narrow" w:cs="Arial"/>
                <w:sz w:val="20"/>
                <w:szCs w:val="20"/>
              </w:rPr>
            </w:pPr>
            <w:r w:rsidRPr="00B03A99">
              <w:rPr>
                <w:rFonts w:ascii="Arial Narrow" w:hAnsi="Arial Narrow" w:cs="Arial"/>
                <w:sz w:val="20"/>
                <w:szCs w:val="20"/>
              </w:rPr>
              <w:t>Published: $</w:t>
            </w:r>
            <w:r w:rsidR="00E916D8">
              <w:rPr>
                <w:rFonts w:ascii="Arial Narrow" w:hAnsi="Arial Narrow" w:cs="Arial"/>
                <w:noProof/>
                <w:color w:val="000000"/>
                <w:sz w:val="20"/>
                <w:szCs w:val="20"/>
                <w:highlight w:val="black"/>
              </w:rPr>
              <w:t>''''''''''''''''</w:t>
            </w:r>
          </w:p>
          <w:p w:rsidR="0029528E" w:rsidRPr="00B03A99" w:rsidRDefault="0018633F" w:rsidP="0018633F">
            <w:pPr>
              <w:keepNext/>
              <w:spacing w:before="40" w:after="40"/>
              <w:jc w:val="both"/>
              <w:rPr>
                <w:rFonts w:ascii="Arial Narrow" w:hAnsi="Arial Narrow" w:cs="Arial"/>
                <w:sz w:val="20"/>
                <w:szCs w:val="20"/>
              </w:rPr>
            </w:pPr>
            <w:r w:rsidRPr="00B03A99">
              <w:rPr>
                <w:rFonts w:ascii="Arial Narrow" w:hAnsi="Arial Narrow" w:cs="Arial"/>
                <w:sz w:val="20"/>
                <w:szCs w:val="20"/>
              </w:rPr>
              <w:t>Effective: $</w:t>
            </w:r>
            <w:r w:rsidR="00E916D8">
              <w:rPr>
                <w:rFonts w:ascii="Arial Narrow" w:hAnsi="Arial Narrow" w:cs="Arial"/>
                <w:noProof/>
                <w:color w:val="000000"/>
                <w:sz w:val="20"/>
                <w:szCs w:val="20"/>
                <w:highlight w:val="black"/>
              </w:rPr>
              <w:t>'''''''''''''''</w:t>
            </w:r>
          </w:p>
        </w:tc>
        <w:tc>
          <w:tcPr>
            <w:tcW w:w="377" w:type="pct"/>
          </w:tcPr>
          <w:p w:rsidR="0029528E" w:rsidRPr="00B03A99" w:rsidRDefault="0029528E" w:rsidP="00507239">
            <w:pPr>
              <w:autoSpaceDE w:val="0"/>
              <w:autoSpaceDN w:val="0"/>
              <w:adjustRightInd w:val="0"/>
              <w:ind w:left="709" w:hanging="709"/>
              <w:rPr>
                <w:rFonts w:ascii="Arial Narrow" w:hAnsi="Arial Narrow" w:cs="Arial"/>
                <w:sz w:val="20"/>
                <w:szCs w:val="20"/>
              </w:rPr>
            </w:pPr>
            <w:proofErr w:type="spellStart"/>
            <w:r w:rsidRPr="00B03A99">
              <w:rPr>
                <w:rFonts w:ascii="Arial Narrow" w:hAnsi="Arial Narrow" w:cs="Arial"/>
                <w:sz w:val="20"/>
                <w:szCs w:val="20"/>
              </w:rPr>
              <w:t>Kuvan</w:t>
            </w:r>
            <w:proofErr w:type="spellEnd"/>
          </w:p>
        </w:tc>
        <w:tc>
          <w:tcPr>
            <w:tcW w:w="756" w:type="pct"/>
          </w:tcPr>
          <w:p w:rsidR="0029528E" w:rsidRPr="00B03A99" w:rsidRDefault="0029528E" w:rsidP="003E72B1">
            <w:pPr>
              <w:keepNext/>
              <w:spacing w:before="40" w:after="40"/>
              <w:rPr>
                <w:rFonts w:ascii="Arial Narrow" w:hAnsi="Arial Narrow" w:cs="Arial"/>
                <w:sz w:val="20"/>
                <w:szCs w:val="20"/>
              </w:rPr>
            </w:pPr>
            <w:proofErr w:type="spellStart"/>
            <w:r w:rsidRPr="00B03A99">
              <w:rPr>
                <w:rFonts w:ascii="Arial Narrow" w:hAnsi="Arial Narrow" w:cs="Arial"/>
                <w:sz w:val="20"/>
                <w:szCs w:val="20"/>
              </w:rPr>
              <w:t>BioMarin</w:t>
            </w:r>
            <w:proofErr w:type="spellEnd"/>
            <w:r w:rsidRPr="00B03A99">
              <w:rPr>
                <w:rFonts w:ascii="Arial Narrow" w:hAnsi="Arial Narrow" w:cs="Arial"/>
                <w:sz w:val="20"/>
                <w:szCs w:val="20"/>
              </w:rPr>
              <w:t xml:space="preserve"> Pharmaceutical Australia Pty Ltd</w:t>
            </w:r>
          </w:p>
        </w:tc>
      </w:tr>
      <w:tr w:rsidR="00C3448C" w:rsidRPr="00B03A99" w:rsidTr="003E72B1">
        <w:trPr>
          <w:cantSplit/>
          <w:trHeight w:val="77"/>
        </w:trPr>
        <w:tc>
          <w:tcPr>
            <w:tcW w:w="1154" w:type="pct"/>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Category/Program</w:t>
            </w:r>
          </w:p>
        </w:tc>
        <w:tc>
          <w:tcPr>
            <w:tcW w:w="3846" w:type="pct"/>
            <w:gridSpan w:val="6"/>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Section 85</w:t>
            </w:r>
          </w:p>
        </w:tc>
      </w:tr>
      <w:tr w:rsidR="00C3448C" w:rsidRPr="00B03A99" w:rsidTr="003E72B1">
        <w:trPr>
          <w:cantSplit/>
          <w:trHeight w:val="170"/>
        </w:trPr>
        <w:tc>
          <w:tcPr>
            <w:tcW w:w="1154" w:type="pct"/>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Prescriber type</w:t>
            </w:r>
          </w:p>
        </w:tc>
        <w:tc>
          <w:tcPr>
            <w:tcW w:w="3846" w:type="pct"/>
            <w:gridSpan w:val="6"/>
            <w:tcBorders>
              <w:top w:val="single" w:sz="4" w:space="0" w:color="auto"/>
              <w:left w:val="single" w:sz="4" w:space="0" w:color="auto"/>
              <w:bottom w:val="single" w:sz="4" w:space="0" w:color="auto"/>
              <w:right w:val="single" w:sz="4" w:space="0" w:color="auto"/>
            </w:tcBorders>
          </w:tcPr>
          <w:p w:rsidR="00C3448C" w:rsidRPr="00B03A99" w:rsidRDefault="00C3448C" w:rsidP="00E23065">
            <w:pPr>
              <w:keepNext/>
              <w:ind w:left="709" w:hanging="709"/>
              <w:contextualSpacing/>
              <w:jc w:val="both"/>
              <w:rPr>
                <w:rFonts w:ascii="Arial Narrow" w:hAnsi="Arial Narrow" w:cstheme="minorHAnsi"/>
                <w:sz w:val="20"/>
                <w:szCs w:val="20"/>
              </w:rPr>
            </w:pPr>
            <w:r w:rsidRPr="00CA315A">
              <w:rPr>
                <w:rFonts w:ascii="Arial Narrow" w:hAnsi="Arial Narrow" w:cstheme="minorHAnsi"/>
                <w:sz w:val="20"/>
                <w:szCs w:val="20"/>
              </w:rPr>
              <w:fldChar w:fldCharType="begin">
                <w:ffData>
                  <w:name w:val=""/>
                  <w:enabled/>
                  <w:calcOnExit w:val="0"/>
                  <w:checkBox>
                    <w:sizeAuto/>
                    <w:default w:val="1"/>
                  </w:checkBox>
                </w:ffData>
              </w:fldChar>
            </w:r>
            <w:r w:rsidRPr="00B03A99">
              <w:rPr>
                <w:rFonts w:ascii="Arial Narrow" w:hAnsi="Arial Narrow" w:cstheme="minorHAnsi"/>
                <w:sz w:val="20"/>
                <w:szCs w:val="20"/>
              </w:rPr>
              <w:instrText xml:space="preserve"> FORMCHECKBOX </w:instrText>
            </w:r>
            <w:r w:rsidR="004D0474">
              <w:rPr>
                <w:rFonts w:ascii="Arial Narrow" w:hAnsi="Arial Narrow" w:cstheme="minorHAnsi"/>
                <w:sz w:val="20"/>
                <w:szCs w:val="20"/>
              </w:rPr>
            </w:r>
            <w:r w:rsidR="004D0474">
              <w:rPr>
                <w:rFonts w:ascii="Arial Narrow" w:hAnsi="Arial Narrow" w:cstheme="minorHAnsi"/>
                <w:sz w:val="20"/>
                <w:szCs w:val="20"/>
              </w:rPr>
              <w:fldChar w:fldCharType="separate"/>
            </w:r>
            <w:r w:rsidRPr="00CA315A">
              <w:rPr>
                <w:rFonts w:ascii="Arial Narrow" w:hAnsi="Arial Narrow" w:cstheme="minorHAnsi"/>
                <w:sz w:val="20"/>
                <w:szCs w:val="20"/>
              </w:rPr>
              <w:fldChar w:fldCharType="end"/>
            </w:r>
            <w:r w:rsidRPr="00B03A99">
              <w:rPr>
                <w:rFonts w:ascii="Arial Narrow" w:hAnsi="Arial Narrow" w:cstheme="minorHAnsi"/>
                <w:sz w:val="20"/>
                <w:szCs w:val="20"/>
              </w:rPr>
              <w:t xml:space="preserve">Medical Practitioners  </w:t>
            </w:r>
            <w:r w:rsidRPr="00CA315A">
              <w:rPr>
                <w:rFonts w:ascii="Arial Narrow" w:eastAsia="Calibri" w:hAnsi="Arial Narrow" w:cstheme="minorHAnsi"/>
                <w:sz w:val="20"/>
                <w:szCs w:val="20"/>
                <w:lang w:eastAsia="en-US"/>
              </w:rPr>
              <w:fldChar w:fldCharType="begin">
                <w:ffData>
                  <w:name w:val="Check3"/>
                  <w:enabled/>
                  <w:calcOnExit w:val="0"/>
                  <w:checkBox>
                    <w:sizeAuto/>
                    <w:default w:val="1"/>
                  </w:checkBox>
                </w:ffData>
              </w:fldChar>
            </w:r>
            <w:r w:rsidRPr="00B03A99">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CA315A">
              <w:rPr>
                <w:rFonts w:ascii="Arial Narrow" w:eastAsia="Calibri" w:hAnsi="Arial Narrow" w:cstheme="minorHAnsi"/>
                <w:sz w:val="20"/>
                <w:szCs w:val="20"/>
                <w:lang w:eastAsia="en-US"/>
              </w:rPr>
              <w:fldChar w:fldCharType="end"/>
            </w:r>
            <w:r w:rsidRPr="00B03A99">
              <w:rPr>
                <w:rFonts w:ascii="Arial Narrow" w:hAnsi="Arial Narrow" w:cstheme="minorHAnsi"/>
                <w:sz w:val="20"/>
                <w:szCs w:val="20"/>
              </w:rPr>
              <w:t>Nurse practitioners</w:t>
            </w:r>
          </w:p>
        </w:tc>
      </w:tr>
      <w:tr w:rsidR="00C3448C" w:rsidRPr="00B03A99" w:rsidTr="003E72B1">
        <w:trPr>
          <w:cantSplit/>
          <w:trHeight w:val="249"/>
        </w:trPr>
        <w:tc>
          <w:tcPr>
            <w:tcW w:w="1154" w:type="pct"/>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Episodicity:</w:t>
            </w:r>
          </w:p>
        </w:tc>
        <w:tc>
          <w:tcPr>
            <w:tcW w:w="3846" w:type="pct"/>
            <w:gridSpan w:val="6"/>
            <w:tcBorders>
              <w:top w:val="single" w:sz="4" w:space="0" w:color="auto"/>
              <w:left w:val="single" w:sz="4" w:space="0" w:color="auto"/>
              <w:bottom w:val="single" w:sz="4" w:space="0" w:color="auto"/>
              <w:right w:val="single" w:sz="4" w:space="0" w:color="auto"/>
            </w:tcBorders>
          </w:tcPr>
          <w:p w:rsidR="00C3448C" w:rsidRPr="00774327" w:rsidRDefault="00C3448C" w:rsidP="00507239">
            <w:pPr>
              <w:keepNext/>
              <w:ind w:left="709" w:hanging="709"/>
              <w:jc w:val="both"/>
              <w:rPr>
                <w:rFonts w:ascii="Arial Narrow" w:eastAsia="Calibri" w:hAnsi="Arial Narrow" w:cstheme="minorHAnsi"/>
                <w:sz w:val="20"/>
                <w:szCs w:val="20"/>
                <w:lang w:eastAsia="en-US"/>
              </w:rPr>
            </w:pPr>
            <w:r w:rsidRPr="00774327">
              <w:rPr>
                <w:rFonts w:ascii="Arial Narrow" w:eastAsia="Calibri" w:hAnsi="Arial Narrow" w:cstheme="minorHAnsi"/>
                <w:sz w:val="20"/>
                <w:szCs w:val="20"/>
                <w:lang w:eastAsia="en-US"/>
              </w:rPr>
              <w:t xml:space="preserve">Chronic </w:t>
            </w:r>
          </w:p>
        </w:tc>
      </w:tr>
      <w:tr w:rsidR="00C3448C" w:rsidRPr="00B03A99" w:rsidTr="003E72B1">
        <w:trPr>
          <w:cantSplit/>
          <w:trHeight w:val="139"/>
        </w:trPr>
        <w:tc>
          <w:tcPr>
            <w:tcW w:w="1154" w:type="pct"/>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Condition:</w:t>
            </w:r>
          </w:p>
        </w:tc>
        <w:tc>
          <w:tcPr>
            <w:tcW w:w="3846" w:type="pct"/>
            <w:gridSpan w:val="6"/>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Hyperphenylalaninemia (HPA) due to phenylketonuria (PKU)</w:t>
            </w:r>
          </w:p>
        </w:tc>
      </w:tr>
      <w:tr w:rsidR="00C3448C" w:rsidRPr="00B03A99" w:rsidTr="003E72B1">
        <w:trPr>
          <w:cantSplit/>
          <w:trHeight w:val="157"/>
        </w:trPr>
        <w:tc>
          <w:tcPr>
            <w:tcW w:w="1154" w:type="pct"/>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PBS Indication:</w:t>
            </w:r>
          </w:p>
        </w:tc>
        <w:tc>
          <w:tcPr>
            <w:tcW w:w="3846" w:type="pct"/>
            <w:gridSpan w:val="6"/>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Hyperphenylalaninemia (HPA) due to phenylketonuria (PKU)</w:t>
            </w:r>
          </w:p>
        </w:tc>
      </w:tr>
      <w:tr w:rsidR="00C3448C" w:rsidRPr="00B03A99" w:rsidTr="003E72B1">
        <w:trPr>
          <w:cantSplit/>
          <w:trHeight w:val="157"/>
        </w:trPr>
        <w:tc>
          <w:tcPr>
            <w:tcW w:w="1154" w:type="pct"/>
            <w:tcBorders>
              <w:top w:val="single" w:sz="4" w:space="0" w:color="auto"/>
              <w:left w:val="single" w:sz="4" w:space="0" w:color="auto"/>
              <w:bottom w:val="single" w:sz="4" w:space="0" w:color="auto"/>
              <w:right w:val="single" w:sz="4" w:space="0" w:color="auto"/>
            </w:tcBorders>
          </w:tcPr>
          <w:p w:rsidR="00C3448C" w:rsidRPr="00B03A99" w:rsidRDefault="00C3448C" w:rsidP="00507239">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 xml:space="preserve">Treatment phase: </w:t>
            </w:r>
          </w:p>
        </w:tc>
        <w:tc>
          <w:tcPr>
            <w:tcW w:w="3846" w:type="pct"/>
            <w:gridSpan w:val="6"/>
            <w:tcBorders>
              <w:top w:val="single" w:sz="4" w:space="0" w:color="auto"/>
              <w:left w:val="single" w:sz="4" w:space="0" w:color="auto"/>
              <w:bottom w:val="single" w:sz="4" w:space="0" w:color="auto"/>
              <w:right w:val="single" w:sz="4" w:space="0" w:color="auto"/>
            </w:tcBorders>
          </w:tcPr>
          <w:p w:rsidR="00C3448C" w:rsidRPr="00E23065" w:rsidRDefault="001A7E21" w:rsidP="001A7E21">
            <w:pPr>
              <w:keepNext/>
              <w:ind w:left="709" w:hanging="709"/>
              <w:jc w:val="both"/>
              <w:rPr>
                <w:rFonts w:ascii="Arial Narrow" w:eastAsia="Calibri" w:hAnsi="Arial Narrow" w:cstheme="minorHAnsi"/>
                <w:i/>
                <w:sz w:val="20"/>
                <w:szCs w:val="20"/>
                <w:lang w:eastAsia="en-US"/>
              </w:rPr>
            </w:pPr>
            <w:r>
              <w:rPr>
                <w:rFonts w:ascii="Arial Narrow" w:eastAsia="Calibri" w:hAnsi="Arial Narrow" w:cstheme="minorHAnsi"/>
                <w:sz w:val="20"/>
                <w:szCs w:val="20"/>
                <w:lang w:eastAsia="en-US"/>
              </w:rPr>
              <w:t>Co</w:t>
            </w:r>
            <w:r w:rsidR="00C3448C" w:rsidRPr="00B03A99">
              <w:rPr>
                <w:rFonts w:ascii="Arial Narrow" w:eastAsia="Calibri" w:hAnsi="Arial Narrow" w:cstheme="minorHAnsi"/>
                <w:sz w:val="20"/>
                <w:szCs w:val="20"/>
                <w:lang w:eastAsia="en-US"/>
              </w:rPr>
              <w:t xml:space="preserve">ntinuing </w:t>
            </w:r>
          </w:p>
        </w:tc>
      </w:tr>
      <w:tr w:rsidR="00C3448C" w:rsidRPr="00B03A99" w:rsidTr="003E72B1">
        <w:trPr>
          <w:cantSplit/>
          <w:trHeight w:val="121"/>
        </w:trPr>
        <w:tc>
          <w:tcPr>
            <w:tcW w:w="1154" w:type="pct"/>
            <w:tcBorders>
              <w:top w:val="single" w:sz="4" w:space="0" w:color="auto"/>
              <w:left w:val="single" w:sz="4" w:space="0" w:color="auto"/>
              <w:bottom w:val="single" w:sz="4" w:space="0" w:color="auto"/>
              <w:right w:val="single" w:sz="4" w:space="0" w:color="auto"/>
            </w:tcBorders>
          </w:tcPr>
          <w:p w:rsidR="00C3448C" w:rsidRPr="00B03A99" w:rsidRDefault="00C3448C" w:rsidP="009F33A7">
            <w:pPr>
              <w:keepNext/>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Restriction:</w:t>
            </w:r>
          </w:p>
        </w:tc>
        <w:tc>
          <w:tcPr>
            <w:tcW w:w="3846" w:type="pct"/>
            <w:gridSpan w:val="6"/>
            <w:tcBorders>
              <w:top w:val="single" w:sz="4" w:space="0" w:color="auto"/>
              <w:left w:val="single" w:sz="4" w:space="0" w:color="auto"/>
              <w:bottom w:val="single" w:sz="4" w:space="0" w:color="auto"/>
              <w:right w:val="single" w:sz="4" w:space="0" w:color="auto"/>
            </w:tcBorders>
          </w:tcPr>
          <w:p w:rsidR="00C3448C" w:rsidRPr="00B03A99" w:rsidRDefault="00C3448C" w:rsidP="009F33A7">
            <w:pPr>
              <w:keepNext/>
              <w:ind w:left="709" w:hanging="709"/>
              <w:jc w:val="both"/>
              <w:rPr>
                <w:rFonts w:ascii="Arial Narrow" w:eastAsia="Calibri" w:hAnsi="Arial Narrow" w:cstheme="minorHAnsi"/>
                <w:sz w:val="20"/>
                <w:szCs w:val="20"/>
                <w:lang w:eastAsia="en-US"/>
              </w:rPr>
            </w:pPr>
            <w:r w:rsidRPr="00CA315A">
              <w:rPr>
                <w:rFonts w:ascii="Arial Narrow" w:eastAsia="Calibri" w:hAnsi="Arial Narrow" w:cstheme="minorHAnsi"/>
                <w:sz w:val="20"/>
                <w:szCs w:val="20"/>
                <w:lang w:eastAsia="en-US"/>
              </w:rPr>
              <w:fldChar w:fldCharType="begin">
                <w:ffData>
                  <w:name w:val=""/>
                  <w:enabled/>
                  <w:calcOnExit w:val="0"/>
                  <w:checkBox>
                    <w:sizeAuto/>
                    <w:default w:val="1"/>
                  </w:checkBox>
                </w:ffData>
              </w:fldChar>
            </w:r>
            <w:r w:rsidRPr="00B03A99">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CA315A">
              <w:rPr>
                <w:rFonts w:ascii="Arial Narrow" w:eastAsia="Calibri" w:hAnsi="Arial Narrow" w:cstheme="minorHAnsi"/>
                <w:sz w:val="20"/>
                <w:szCs w:val="20"/>
                <w:lang w:eastAsia="en-US"/>
              </w:rPr>
              <w:fldChar w:fldCharType="end"/>
            </w:r>
            <w:r w:rsidRPr="00B03A99">
              <w:rPr>
                <w:rFonts w:ascii="Arial Narrow" w:eastAsia="Calibri" w:hAnsi="Arial Narrow" w:cstheme="minorHAnsi"/>
                <w:sz w:val="20"/>
                <w:szCs w:val="20"/>
                <w:lang w:eastAsia="en-US"/>
              </w:rPr>
              <w:t>Authority Required - In Writing</w:t>
            </w:r>
          </w:p>
        </w:tc>
      </w:tr>
      <w:tr w:rsidR="001A7E21" w:rsidRPr="00B03A99" w:rsidTr="003E72B1">
        <w:trPr>
          <w:cantSplit/>
          <w:trHeight w:val="360"/>
        </w:trPr>
        <w:tc>
          <w:tcPr>
            <w:tcW w:w="1154" w:type="pct"/>
            <w:tcBorders>
              <w:top w:val="single" w:sz="4" w:space="0" w:color="auto"/>
              <w:left w:val="single" w:sz="4" w:space="0" w:color="auto"/>
              <w:bottom w:val="single" w:sz="4" w:space="0" w:color="auto"/>
              <w:right w:val="single" w:sz="4" w:space="0" w:color="auto"/>
            </w:tcBorders>
          </w:tcPr>
          <w:p w:rsidR="001A7E21" w:rsidRPr="00B03A99" w:rsidRDefault="001A7E21" w:rsidP="00507239">
            <w:pPr>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Treatment criteria</w:t>
            </w:r>
          </w:p>
        </w:tc>
        <w:tc>
          <w:tcPr>
            <w:tcW w:w="3846" w:type="pct"/>
            <w:gridSpan w:val="6"/>
            <w:tcBorders>
              <w:top w:val="single" w:sz="4" w:space="0" w:color="auto"/>
              <w:left w:val="single" w:sz="4" w:space="0" w:color="auto"/>
              <w:bottom w:val="single" w:sz="4" w:space="0" w:color="auto"/>
              <w:right w:val="single" w:sz="4" w:space="0" w:color="auto"/>
            </w:tcBorders>
          </w:tcPr>
          <w:p w:rsidR="001A7E21" w:rsidRPr="001A7E21" w:rsidRDefault="001A7E21" w:rsidP="001A7E21">
            <w:pPr>
              <w:ind w:left="34"/>
              <w:jc w:val="both"/>
              <w:rPr>
                <w:rFonts w:ascii="Arial Narrow" w:eastAsia="Calibri" w:hAnsi="Arial Narrow" w:cstheme="minorHAnsi"/>
                <w:sz w:val="20"/>
                <w:szCs w:val="20"/>
                <w:lang w:eastAsia="en-US"/>
              </w:rPr>
            </w:pPr>
            <w:r w:rsidRPr="001A7E21">
              <w:rPr>
                <w:rFonts w:ascii="Arial Narrow" w:eastAsia="Calibri" w:hAnsi="Arial Narrow" w:cstheme="minorHAnsi"/>
                <w:sz w:val="20"/>
                <w:szCs w:val="20"/>
              </w:rPr>
              <w:t>Must be treated by a metabolic physician, medical practitioner or nurse practitioner, experienced in the treatment of phenylketonuria (PKU)</w:t>
            </w:r>
          </w:p>
        </w:tc>
      </w:tr>
      <w:tr w:rsidR="001A7E21" w:rsidRPr="00B03A99" w:rsidTr="003E72B1">
        <w:trPr>
          <w:cantSplit/>
          <w:trHeight w:val="360"/>
        </w:trPr>
        <w:tc>
          <w:tcPr>
            <w:tcW w:w="1154" w:type="pct"/>
            <w:tcBorders>
              <w:top w:val="single" w:sz="4" w:space="0" w:color="auto"/>
              <w:left w:val="single" w:sz="4" w:space="0" w:color="auto"/>
              <w:bottom w:val="single" w:sz="4" w:space="0" w:color="auto"/>
              <w:right w:val="single" w:sz="4" w:space="0" w:color="auto"/>
            </w:tcBorders>
          </w:tcPr>
          <w:p w:rsidR="001A7E21" w:rsidRPr="00B03A99" w:rsidRDefault="001A7E21" w:rsidP="00507239">
            <w:pPr>
              <w:ind w:left="709" w:hanging="709"/>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Clinical criteria:</w:t>
            </w:r>
          </w:p>
        </w:tc>
        <w:tc>
          <w:tcPr>
            <w:tcW w:w="3846" w:type="pct"/>
            <w:gridSpan w:val="6"/>
            <w:tcBorders>
              <w:top w:val="single" w:sz="4" w:space="0" w:color="auto"/>
              <w:left w:val="single" w:sz="4" w:space="0" w:color="auto"/>
              <w:bottom w:val="single" w:sz="4" w:space="0" w:color="auto"/>
              <w:right w:val="single" w:sz="4" w:space="0" w:color="auto"/>
            </w:tcBorders>
          </w:tcPr>
          <w:p w:rsidR="001A7E21" w:rsidRPr="001A7E21" w:rsidRDefault="001A7E21" w:rsidP="00A9642F">
            <w:pPr>
              <w:rPr>
                <w:rFonts w:ascii="Arial Narrow" w:eastAsia="Calibri" w:hAnsi="Arial Narrow" w:cstheme="minorHAnsi"/>
                <w:sz w:val="20"/>
                <w:szCs w:val="20"/>
              </w:rPr>
            </w:pPr>
            <w:r w:rsidRPr="001A7E21">
              <w:rPr>
                <w:rFonts w:ascii="Arial Narrow" w:eastAsia="Calibri" w:hAnsi="Arial Narrow" w:cstheme="minorHAnsi"/>
                <w:sz w:val="20"/>
                <w:szCs w:val="20"/>
              </w:rPr>
              <w:t>Patient must have hyperphenylalaninemia (HPA) due to phenylketonuria (PKU)</w:t>
            </w:r>
          </w:p>
          <w:p w:rsidR="001A7E21" w:rsidRPr="001A7E21" w:rsidRDefault="001A7E21" w:rsidP="00A9642F">
            <w:pPr>
              <w:rPr>
                <w:rFonts w:ascii="Arial Narrow" w:eastAsia="Calibri" w:hAnsi="Arial Narrow" w:cstheme="minorHAnsi"/>
                <w:sz w:val="20"/>
                <w:szCs w:val="20"/>
              </w:rPr>
            </w:pPr>
          </w:p>
          <w:p w:rsidR="001A7E21" w:rsidRPr="001A7E21" w:rsidRDefault="001A7E21" w:rsidP="00A9642F">
            <w:pPr>
              <w:rPr>
                <w:rFonts w:ascii="Arial Narrow" w:eastAsia="Calibri" w:hAnsi="Arial Narrow" w:cstheme="minorHAnsi"/>
                <w:sz w:val="20"/>
                <w:szCs w:val="20"/>
              </w:rPr>
            </w:pPr>
            <w:r w:rsidRPr="001A7E21">
              <w:rPr>
                <w:rFonts w:ascii="Arial Narrow" w:eastAsia="Calibri" w:hAnsi="Arial Narrow" w:cstheme="minorHAnsi"/>
                <w:sz w:val="20"/>
                <w:szCs w:val="20"/>
              </w:rPr>
              <w:t>AND</w:t>
            </w:r>
          </w:p>
          <w:p w:rsidR="001A7E21" w:rsidRPr="001A7E21" w:rsidRDefault="001A7E21" w:rsidP="00A9642F">
            <w:pPr>
              <w:rPr>
                <w:rFonts w:ascii="Arial Narrow" w:eastAsia="Calibri" w:hAnsi="Arial Narrow" w:cstheme="minorHAnsi"/>
                <w:sz w:val="20"/>
                <w:szCs w:val="20"/>
              </w:rPr>
            </w:pPr>
          </w:p>
          <w:p w:rsidR="001A7E21" w:rsidRPr="001A7E21" w:rsidRDefault="001A7E21" w:rsidP="00A9642F">
            <w:pPr>
              <w:rPr>
                <w:rFonts w:ascii="Arial Narrow" w:eastAsia="Calibri" w:hAnsi="Arial Narrow" w:cstheme="minorHAnsi"/>
                <w:sz w:val="20"/>
                <w:szCs w:val="20"/>
              </w:rPr>
            </w:pPr>
            <w:r w:rsidRPr="001A7E21">
              <w:rPr>
                <w:rFonts w:ascii="Arial Narrow" w:eastAsia="Calibri" w:hAnsi="Arial Narrow" w:cstheme="minorHAnsi"/>
                <w:sz w:val="20"/>
                <w:szCs w:val="20"/>
              </w:rPr>
              <w:t>Patient must have a demonstrated response to sapropterin</w:t>
            </w:r>
          </w:p>
          <w:p w:rsidR="001A7E21" w:rsidRPr="001A7E21" w:rsidRDefault="001A7E21" w:rsidP="00A9642F">
            <w:pPr>
              <w:rPr>
                <w:rFonts w:ascii="Arial Narrow" w:eastAsia="Calibri" w:hAnsi="Arial Narrow" w:cstheme="minorHAnsi"/>
                <w:sz w:val="20"/>
                <w:szCs w:val="20"/>
              </w:rPr>
            </w:pPr>
          </w:p>
          <w:p w:rsidR="001A7E21" w:rsidRPr="001A7E21" w:rsidRDefault="001A7E21" w:rsidP="00A9642F">
            <w:pPr>
              <w:rPr>
                <w:rFonts w:ascii="Arial Narrow" w:eastAsia="Calibri" w:hAnsi="Arial Narrow" w:cstheme="minorHAnsi"/>
                <w:sz w:val="20"/>
                <w:szCs w:val="20"/>
              </w:rPr>
            </w:pPr>
            <w:r w:rsidRPr="001A7E21">
              <w:rPr>
                <w:rFonts w:ascii="Arial Narrow" w:eastAsia="Calibri" w:hAnsi="Arial Narrow" w:cstheme="minorHAnsi"/>
                <w:sz w:val="20"/>
                <w:szCs w:val="20"/>
              </w:rPr>
              <w:t xml:space="preserve">AND </w:t>
            </w:r>
          </w:p>
          <w:p w:rsidR="001A7E21" w:rsidRPr="001A7E21" w:rsidRDefault="001A7E21" w:rsidP="00A9642F">
            <w:pPr>
              <w:rPr>
                <w:rFonts w:ascii="Arial Narrow" w:eastAsia="Calibri" w:hAnsi="Arial Narrow" w:cstheme="minorHAnsi"/>
                <w:sz w:val="20"/>
                <w:szCs w:val="20"/>
              </w:rPr>
            </w:pPr>
          </w:p>
          <w:p w:rsidR="001A7E21" w:rsidRPr="001A7E21" w:rsidRDefault="001A7E21" w:rsidP="00A9642F">
            <w:pPr>
              <w:rPr>
                <w:rFonts w:ascii="Arial Narrow" w:eastAsia="Calibri" w:hAnsi="Arial Narrow" w:cstheme="minorHAnsi"/>
                <w:sz w:val="20"/>
                <w:szCs w:val="20"/>
              </w:rPr>
            </w:pPr>
            <w:r w:rsidRPr="001A7E21">
              <w:rPr>
                <w:rFonts w:ascii="Arial Narrow" w:eastAsia="Calibri" w:hAnsi="Arial Narrow" w:cstheme="minorHAnsi"/>
                <w:sz w:val="20"/>
                <w:szCs w:val="20"/>
              </w:rPr>
              <w:t>Patient must have previously been issued with an authority prescription; OR</w:t>
            </w:r>
          </w:p>
          <w:p w:rsidR="001A7E21" w:rsidRPr="001A7E21" w:rsidRDefault="001A7E21" w:rsidP="001A7E21">
            <w:pPr>
              <w:ind w:left="98" w:hanging="98"/>
              <w:jc w:val="both"/>
              <w:rPr>
                <w:rFonts w:ascii="Arial Narrow" w:eastAsia="Calibri" w:hAnsi="Arial Narrow" w:cstheme="minorHAnsi"/>
                <w:sz w:val="20"/>
                <w:szCs w:val="20"/>
                <w:lang w:eastAsia="en-US"/>
              </w:rPr>
            </w:pPr>
            <w:r w:rsidRPr="001A7E21">
              <w:rPr>
                <w:rFonts w:ascii="Arial Narrow" w:eastAsia="Calibri" w:hAnsi="Arial Narrow" w:cstheme="minorHAnsi"/>
                <w:sz w:val="20"/>
                <w:szCs w:val="20"/>
              </w:rPr>
              <w:t>Patient must have accessed non-PBS subsidised treatment prior to [date of listing on the PBS]</w:t>
            </w:r>
          </w:p>
        </w:tc>
      </w:tr>
      <w:tr w:rsidR="001A7E21" w:rsidRPr="00B03A99" w:rsidTr="003E72B1">
        <w:trPr>
          <w:trHeight w:val="360"/>
        </w:trPr>
        <w:tc>
          <w:tcPr>
            <w:tcW w:w="1154" w:type="pct"/>
            <w:tcBorders>
              <w:top w:val="single" w:sz="4" w:space="0" w:color="auto"/>
              <w:left w:val="single" w:sz="4" w:space="0" w:color="auto"/>
              <w:bottom w:val="single" w:sz="4" w:space="0" w:color="auto"/>
              <w:right w:val="single" w:sz="4" w:space="0" w:color="auto"/>
            </w:tcBorders>
          </w:tcPr>
          <w:p w:rsidR="001A7E21" w:rsidRPr="00B03A99" w:rsidRDefault="001A7E21" w:rsidP="005B4892">
            <w:pPr>
              <w:jc w:val="both"/>
              <w:rPr>
                <w:rFonts w:ascii="Arial Narrow" w:eastAsia="Calibri" w:hAnsi="Arial Narrow" w:cstheme="minorHAnsi"/>
                <w:sz w:val="20"/>
                <w:szCs w:val="20"/>
                <w:lang w:eastAsia="en-US"/>
              </w:rPr>
            </w:pPr>
            <w:r w:rsidRPr="00B03A99">
              <w:rPr>
                <w:rFonts w:ascii="Arial Narrow" w:eastAsia="Calibri" w:hAnsi="Arial Narrow" w:cstheme="minorHAnsi"/>
                <w:sz w:val="20"/>
                <w:szCs w:val="20"/>
                <w:lang w:eastAsia="en-US"/>
              </w:rPr>
              <w:t>Prescriber Instructions:</w:t>
            </w:r>
          </w:p>
        </w:tc>
        <w:tc>
          <w:tcPr>
            <w:tcW w:w="3846" w:type="pct"/>
            <w:gridSpan w:val="6"/>
            <w:tcBorders>
              <w:top w:val="single" w:sz="4" w:space="0" w:color="auto"/>
              <w:left w:val="single" w:sz="4" w:space="0" w:color="auto"/>
              <w:bottom w:val="single" w:sz="4" w:space="0" w:color="auto"/>
              <w:right w:val="single" w:sz="4" w:space="0" w:color="auto"/>
            </w:tcBorders>
          </w:tcPr>
          <w:p w:rsidR="001A7E21" w:rsidRPr="001A7E21" w:rsidRDefault="001A7E21" w:rsidP="00A9642F">
            <w:pPr>
              <w:rPr>
                <w:rFonts w:ascii="Arial Narrow" w:eastAsia="Calibri" w:hAnsi="Arial Narrow" w:cstheme="minorHAnsi"/>
                <w:sz w:val="20"/>
                <w:szCs w:val="20"/>
              </w:rPr>
            </w:pPr>
            <w:r w:rsidRPr="001A7E21">
              <w:rPr>
                <w:rFonts w:ascii="Arial Narrow" w:eastAsia="Calibri" w:hAnsi="Arial Narrow" w:cstheme="minorHAnsi"/>
                <w:sz w:val="20"/>
                <w:szCs w:val="20"/>
              </w:rPr>
              <w:t xml:space="preserve">The authority application must be in writing. </w:t>
            </w:r>
          </w:p>
          <w:p w:rsidR="001A7E21" w:rsidRPr="001A7E21" w:rsidRDefault="001A7E21" w:rsidP="00A9642F">
            <w:pPr>
              <w:rPr>
                <w:rFonts w:ascii="Arial Narrow" w:eastAsia="Calibri" w:hAnsi="Arial Narrow" w:cstheme="minorHAnsi"/>
                <w:sz w:val="20"/>
                <w:szCs w:val="20"/>
              </w:rPr>
            </w:pPr>
          </w:p>
          <w:p w:rsidR="001A7E21" w:rsidRPr="001A7E21" w:rsidRDefault="001A7E21" w:rsidP="00A9642F">
            <w:pPr>
              <w:rPr>
                <w:rFonts w:ascii="Arial Narrow" w:eastAsia="Calibri" w:hAnsi="Arial Narrow" w:cstheme="minorHAnsi"/>
                <w:sz w:val="20"/>
                <w:szCs w:val="20"/>
              </w:rPr>
            </w:pPr>
            <w:r w:rsidRPr="001A7E21">
              <w:rPr>
                <w:rFonts w:ascii="Arial Narrow" w:eastAsia="Calibri" w:hAnsi="Arial Narrow" w:cstheme="minorHAnsi"/>
                <w:sz w:val="20"/>
                <w:szCs w:val="20"/>
              </w:rPr>
              <w:t xml:space="preserve">For the first authority application for continuing treatment, a documented response to sapropterin must be provided where a response is defined by a ≥ 30% reduction in blood phenylalanine levels from baseline (prior to sapropterin responsiveness testing) in a sapropterin testing period of up to 28 days. Sapropterin responsiveness testing must have been undertaken prior to the age of 18 years. </w:t>
            </w:r>
          </w:p>
          <w:p w:rsidR="001A7E21" w:rsidRPr="001A7E21" w:rsidRDefault="001A7E21" w:rsidP="00A9642F">
            <w:pPr>
              <w:rPr>
                <w:rFonts w:ascii="Arial Narrow" w:eastAsia="Calibri" w:hAnsi="Arial Narrow" w:cstheme="minorHAnsi"/>
                <w:sz w:val="20"/>
                <w:szCs w:val="20"/>
              </w:rPr>
            </w:pPr>
          </w:p>
          <w:p w:rsidR="001A7E21" w:rsidRPr="001A7E21" w:rsidRDefault="001A7E21" w:rsidP="00A9642F">
            <w:pPr>
              <w:rPr>
                <w:rFonts w:ascii="Arial Narrow" w:eastAsia="Calibri" w:hAnsi="Arial Narrow" w:cstheme="minorHAnsi"/>
                <w:sz w:val="20"/>
                <w:szCs w:val="20"/>
              </w:rPr>
            </w:pPr>
            <w:r w:rsidRPr="001A7E21">
              <w:rPr>
                <w:rFonts w:ascii="Arial Narrow" w:eastAsia="Calibri" w:hAnsi="Arial Narrow" w:cstheme="minorHAnsi"/>
                <w:sz w:val="20"/>
                <w:szCs w:val="20"/>
              </w:rPr>
              <w:t>For subsequent authority applications for continuing treatment, documentation of monthly blood test and attendance at 6-monthly visits must be provided.</w:t>
            </w:r>
          </w:p>
          <w:p w:rsidR="001A7E21" w:rsidRPr="001A7E21" w:rsidRDefault="001A7E21" w:rsidP="00A9642F">
            <w:pPr>
              <w:rPr>
                <w:rFonts w:ascii="Arial Narrow" w:eastAsia="Calibri" w:hAnsi="Arial Narrow" w:cstheme="minorHAnsi"/>
                <w:sz w:val="20"/>
                <w:szCs w:val="20"/>
              </w:rPr>
            </w:pPr>
          </w:p>
          <w:p w:rsidR="001A7E21" w:rsidRPr="001A7E21" w:rsidRDefault="001A7E21" w:rsidP="001A7E21">
            <w:pPr>
              <w:ind w:firstLine="34"/>
              <w:jc w:val="both"/>
              <w:rPr>
                <w:rFonts w:ascii="Arial Narrow" w:eastAsia="Calibri" w:hAnsi="Arial Narrow" w:cstheme="minorHAnsi"/>
                <w:i/>
                <w:sz w:val="20"/>
                <w:szCs w:val="20"/>
                <w:lang w:eastAsia="en-US"/>
              </w:rPr>
            </w:pPr>
            <w:r w:rsidRPr="001A7E21">
              <w:rPr>
                <w:rFonts w:ascii="Arial Narrow" w:eastAsia="Calibri" w:hAnsi="Arial Narrow" w:cstheme="minorHAnsi"/>
                <w:sz w:val="20"/>
                <w:szCs w:val="20"/>
              </w:rPr>
              <w:t xml:space="preserve">At the time of authority application, prescribers should request the appropriate number of packs, based on the prescribed dose and weight of the patient, to provide sufficient drug for up to one month of treatment. Up to a maximum of 5 repeats will be authorised. </w:t>
            </w:r>
          </w:p>
        </w:tc>
      </w:tr>
    </w:tbl>
    <w:p w:rsidR="00857374" w:rsidRPr="002A7B6E" w:rsidRDefault="00C3448C" w:rsidP="00857374">
      <w:pPr>
        <w:jc w:val="both"/>
        <w:rPr>
          <w:rFonts w:ascii="Arial Narrow" w:eastAsiaTheme="minorHAnsi" w:hAnsi="Arial Narrow" w:cstheme="minorHAnsi"/>
          <w:sz w:val="20"/>
          <w:szCs w:val="20"/>
          <w:lang w:eastAsia="en-US"/>
        </w:rPr>
      </w:pPr>
      <w:r w:rsidRPr="001A7E21">
        <w:rPr>
          <w:rFonts w:ascii="Arial Narrow" w:eastAsiaTheme="minorHAnsi" w:hAnsi="Arial Narrow" w:cstheme="minorHAnsi"/>
          <w:sz w:val="20"/>
          <w:szCs w:val="20"/>
          <w:lang w:eastAsia="en-US"/>
        </w:rPr>
        <w:t>* At the time of authority application, prescribers should request the appropriate number of packs, based on the prescribed dose and weight of the patient, to provide sufficient drug for up to one month of treatment</w:t>
      </w:r>
    </w:p>
    <w:p w:rsidR="0029528E" w:rsidRPr="00B03A99" w:rsidRDefault="00CF5C7C" w:rsidP="00A9642F">
      <w:pPr>
        <w:pStyle w:val="Heading2"/>
        <w:rPr>
          <w:rFonts w:eastAsiaTheme="majorEastAsia"/>
          <w:lang w:eastAsia="en-US"/>
        </w:rPr>
      </w:pPr>
      <w:r w:rsidRPr="00B03A99">
        <w:rPr>
          <w:rFonts w:eastAsiaTheme="majorEastAsia"/>
          <w:lang w:eastAsia="en-US"/>
        </w:rPr>
        <w:t>B</w:t>
      </w:r>
      <w:r w:rsidR="00DA5F19" w:rsidRPr="00B03A99">
        <w:rPr>
          <w:rFonts w:eastAsiaTheme="majorEastAsia"/>
          <w:lang w:eastAsia="en-US"/>
        </w:rPr>
        <w:t xml:space="preserve">lood </w:t>
      </w:r>
      <w:proofErr w:type="spellStart"/>
      <w:r w:rsidR="00DA5F19" w:rsidRPr="00B03A99">
        <w:rPr>
          <w:rFonts w:eastAsiaTheme="majorEastAsia"/>
          <w:lang w:eastAsia="en-US"/>
        </w:rPr>
        <w:t>Phe</w:t>
      </w:r>
      <w:proofErr w:type="spellEnd"/>
      <w:r w:rsidR="00DA5F19" w:rsidRPr="00B03A99">
        <w:rPr>
          <w:rFonts w:eastAsiaTheme="majorEastAsia"/>
          <w:lang w:eastAsia="en-US"/>
        </w:rPr>
        <w:t xml:space="preserve"> levels required </w:t>
      </w:r>
      <w:r w:rsidRPr="00B03A99">
        <w:rPr>
          <w:rFonts w:eastAsiaTheme="majorEastAsia"/>
          <w:lang w:eastAsia="en-US"/>
        </w:rPr>
        <w:t>to be eligible for initial responsiveness testing</w:t>
      </w:r>
    </w:p>
    <w:p w:rsidR="00814818" w:rsidRPr="00B03A99" w:rsidRDefault="002C1625" w:rsidP="007466A9">
      <w:pPr>
        <w:pStyle w:val="ListParagraph"/>
        <w:numPr>
          <w:ilvl w:val="1"/>
          <w:numId w:val="3"/>
        </w:numPr>
        <w:contextualSpacing w:val="0"/>
      </w:pPr>
      <w:r w:rsidRPr="00B03A99">
        <w:t xml:space="preserve">The </w:t>
      </w:r>
      <w:r w:rsidR="00F816E9" w:rsidRPr="00B03A99">
        <w:t xml:space="preserve">restriction proposed in the </w:t>
      </w:r>
      <w:r w:rsidR="00D45F4A" w:rsidRPr="00B03A99">
        <w:t>re</w:t>
      </w:r>
      <w:r w:rsidR="00F816E9" w:rsidRPr="00B03A99">
        <w:t xml:space="preserve">submission did not </w:t>
      </w:r>
      <w:r w:rsidRPr="00B03A99">
        <w:t>specify the</w:t>
      </w:r>
      <w:r w:rsidR="005E5299" w:rsidRPr="00B03A99">
        <w:t xml:space="preserve"> blood </w:t>
      </w:r>
      <w:proofErr w:type="spellStart"/>
      <w:r w:rsidR="003923D8" w:rsidRPr="00B03A99">
        <w:t>Phe</w:t>
      </w:r>
      <w:proofErr w:type="spellEnd"/>
      <w:r w:rsidR="003923D8" w:rsidRPr="00B03A99">
        <w:t xml:space="preserve"> </w:t>
      </w:r>
      <w:r w:rsidR="005E5299" w:rsidRPr="00B03A99">
        <w:t>levels required</w:t>
      </w:r>
      <w:r w:rsidRPr="00B03A99">
        <w:t xml:space="preserve"> to commence sapropterin.</w:t>
      </w:r>
      <w:r w:rsidR="008A1CC2" w:rsidRPr="00B03A99">
        <w:t xml:space="preserve"> </w:t>
      </w:r>
      <w:r w:rsidR="00E322D8">
        <w:t>T</w:t>
      </w:r>
      <w:r w:rsidR="00814818" w:rsidRPr="00B03A99">
        <w:t xml:space="preserve">here does not appear to be a firm consensus regarding the blood </w:t>
      </w:r>
      <w:proofErr w:type="spellStart"/>
      <w:r w:rsidR="00814818" w:rsidRPr="00B03A99">
        <w:t>Phe</w:t>
      </w:r>
      <w:proofErr w:type="spellEnd"/>
      <w:r w:rsidR="00814818" w:rsidRPr="00B03A99">
        <w:t xml:space="preserve"> levels at which sapropterin should be commenced, with recommendations varying from &gt;</w:t>
      </w:r>
      <w:r w:rsidR="00857374" w:rsidRPr="00B03A99">
        <w:t> </w:t>
      </w:r>
      <w:r w:rsidR="00814818" w:rsidRPr="00B03A99">
        <w:t xml:space="preserve">360 </w:t>
      </w:r>
      <w:proofErr w:type="spellStart"/>
      <w:r w:rsidR="00814818" w:rsidRPr="00B03A99">
        <w:t>μmol</w:t>
      </w:r>
      <w:proofErr w:type="spellEnd"/>
      <w:r w:rsidR="00814818" w:rsidRPr="00B03A99">
        <w:t>/L to &gt;</w:t>
      </w:r>
      <w:r w:rsidR="00857374" w:rsidRPr="00B03A99">
        <w:t> </w:t>
      </w:r>
      <w:r w:rsidR="00814818" w:rsidRPr="00B03A99">
        <w:t xml:space="preserve">600 </w:t>
      </w:r>
      <w:proofErr w:type="spellStart"/>
      <w:r w:rsidR="00814818" w:rsidRPr="00B03A99">
        <w:t>μmol</w:t>
      </w:r>
      <w:proofErr w:type="spellEnd"/>
      <w:r w:rsidR="00814818" w:rsidRPr="00B03A99">
        <w:t xml:space="preserve">/L, as outlined below. </w:t>
      </w:r>
      <w:r w:rsidR="00F816E9" w:rsidRPr="00B03A99">
        <w:t>It wa</w:t>
      </w:r>
      <w:r w:rsidR="007446D8" w:rsidRPr="00B03A99">
        <w:t xml:space="preserve">s also unclear whether different thresholds should be used depending on when the blood </w:t>
      </w:r>
      <w:proofErr w:type="spellStart"/>
      <w:r w:rsidR="007446D8" w:rsidRPr="00B03A99">
        <w:lastRenderedPageBreak/>
        <w:t>Phe</w:t>
      </w:r>
      <w:proofErr w:type="spellEnd"/>
      <w:r w:rsidR="007446D8" w:rsidRPr="00B03A99">
        <w:t xml:space="preserve"> level is measured (e.g. at diagnosis versus prevalent patients on dietary management).</w:t>
      </w:r>
    </w:p>
    <w:p w:rsidR="005E5299" w:rsidRPr="00B03A99" w:rsidRDefault="008A1CC2" w:rsidP="00194806">
      <w:pPr>
        <w:pStyle w:val="ListParagraph"/>
        <w:numPr>
          <w:ilvl w:val="0"/>
          <w:numId w:val="7"/>
        </w:numPr>
        <w:ind w:left="1077" w:hanging="357"/>
        <w:contextualSpacing w:val="0"/>
      </w:pPr>
      <w:r w:rsidRPr="00B03A99">
        <w:t>The Australian guidelines</w:t>
      </w:r>
      <w:r w:rsidR="00404CDB" w:rsidRPr="00B03A99">
        <w:t xml:space="preserve"> for ‘BH4 in the Management of PKU’</w:t>
      </w:r>
      <w:r w:rsidR="00404CDB" w:rsidRPr="00B03A99">
        <w:rPr>
          <w:rStyle w:val="FootnoteReference"/>
        </w:rPr>
        <w:footnoteReference w:id="1"/>
      </w:r>
      <w:r w:rsidRPr="00B03A99">
        <w:t xml:space="preserve"> </w:t>
      </w:r>
      <w:r w:rsidR="00BD399C" w:rsidRPr="00B03A99">
        <w:t>(</w:t>
      </w:r>
      <w:r w:rsidR="00C1761C" w:rsidRPr="00373CF7">
        <w:t xml:space="preserve">sapropterin is a synthetic form of tetrahydrobiopterin (BH4), and the term BH4 also includes </w:t>
      </w:r>
      <w:r w:rsidR="008A1DF5" w:rsidRPr="00373CF7">
        <w:t>other</w:t>
      </w:r>
      <w:r w:rsidR="00C1761C" w:rsidRPr="00B03A99">
        <w:t xml:space="preserve"> formulations)</w:t>
      </w:r>
      <w:r w:rsidR="00BD399C" w:rsidRPr="00B03A99">
        <w:t xml:space="preserve"> </w:t>
      </w:r>
      <w:r w:rsidR="00AD7983" w:rsidRPr="00B03A99">
        <w:t xml:space="preserve">recommended that patients with </w:t>
      </w:r>
      <w:proofErr w:type="spellStart"/>
      <w:r w:rsidR="00AD7983" w:rsidRPr="00B03A99">
        <w:t>Phe</w:t>
      </w:r>
      <w:proofErr w:type="spellEnd"/>
      <w:r w:rsidR="00AD7983" w:rsidRPr="00B03A99">
        <w:t xml:space="preserve"> blood levels of 600-1200 µ</w:t>
      </w:r>
      <w:proofErr w:type="spellStart"/>
      <w:r w:rsidR="00AD7983" w:rsidRPr="00B03A99">
        <w:t>mol</w:t>
      </w:r>
      <w:proofErr w:type="spellEnd"/>
      <w:r w:rsidR="00AD7983" w:rsidRPr="00B03A99">
        <w:t xml:space="preserve">/L at diagnosis should be tested for sapropterin responsiveness. This was based on </w:t>
      </w:r>
      <w:r w:rsidRPr="00B03A99">
        <w:t xml:space="preserve">the results of </w:t>
      </w:r>
      <w:r w:rsidR="007303F6" w:rsidRPr="00B03A99">
        <w:t xml:space="preserve">a </w:t>
      </w:r>
      <w:r w:rsidRPr="00B03A99">
        <w:t>Delphi panel which</w:t>
      </w:r>
      <w:r w:rsidR="00EB3FD7" w:rsidRPr="00B03A99">
        <w:t xml:space="preserve"> also</w:t>
      </w:r>
      <w:r w:rsidRPr="00B03A99">
        <w:t xml:space="preserve"> found that</w:t>
      </w:r>
      <w:r w:rsidR="00AD7983" w:rsidRPr="00B03A99">
        <w:t xml:space="preserve"> patients with </w:t>
      </w:r>
      <w:proofErr w:type="spellStart"/>
      <w:r w:rsidR="005E5299" w:rsidRPr="00B03A99">
        <w:t>Phe</w:t>
      </w:r>
      <w:proofErr w:type="spellEnd"/>
      <w:r w:rsidR="005E5299" w:rsidRPr="00B03A99">
        <w:t xml:space="preserve"> blood levels ≤</w:t>
      </w:r>
      <w:r w:rsidR="00857374" w:rsidRPr="00B03A99">
        <w:t> </w:t>
      </w:r>
      <w:r w:rsidR="005E5299" w:rsidRPr="00B03A99">
        <w:t>360 µ</w:t>
      </w:r>
      <w:proofErr w:type="spellStart"/>
      <w:r w:rsidR="005E5299" w:rsidRPr="00B03A99">
        <w:t>mol</w:t>
      </w:r>
      <w:proofErr w:type="spellEnd"/>
      <w:r w:rsidR="005E5299" w:rsidRPr="00B03A99">
        <w:t xml:space="preserve">/L at diagnosis </w:t>
      </w:r>
      <w:r w:rsidR="0005627E" w:rsidRPr="00B03A99">
        <w:t>do not require</w:t>
      </w:r>
      <w:r w:rsidRPr="00B03A99">
        <w:t xml:space="preserve"> treatment</w:t>
      </w:r>
      <w:r w:rsidR="00EB3FD7" w:rsidRPr="00B03A99">
        <w:t>,</w:t>
      </w:r>
      <w:r w:rsidR="00AD7983" w:rsidRPr="00B03A99">
        <w:t xml:space="preserve"> but did not reach </w:t>
      </w:r>
      <w:r w:rsidR="005E5299" w:rsidRPr="00B03A99">
        <w:t>consensus regarding</w:t>
      </w:r>
      <w:r w:rsidR="00AD7983" w:rsidRPr="00B03A99">
        <w:t xml:space="preserve"> whether or not </w:t>
      </w:r>
      <w:r w:rsidR="005E5299" w:rsidRPr="00B03A99">
        <w:t xml:space="preserve">patients </w:t>
      </w:r>
      <w:r w:rsidR="00AD7983" w:rsidRPr="00B03A99">
        <w:t xml:space="preserve">with </w:t>
      </w:r>
      <w:proofErr w:type="spellStart"/>
      <w:r w:rsidR="00AD7983" w:rsidRPr="00B03A99">
        <w:t>Phe</w:t>
      </w:r>
      <w:proofErr w:type="spellEnd"/>
      <w:r w:rsidR="00AD7983" w:rsidRPr="00B03A99">
        <w:t xml:space="preserve"> blood levels of 360 to 600 µ</w:t>
      </w:r>
      <w:proofErr w:type="spellStart"/>
      <w:r w:rsidR="00AD7983" w:rsidRPr="00B03A99">
        <w:t>mol</w:t>
      </w:r>
      <w:proofErr w:type="spellEnd"/>
      <w:r w:rsidR="00AD7983" w:rsidRPr="00B03A99">
        <w:t xml:space="preserve">/L should be tested </w:t>
      </w:r>
      <w:r w:rsidR="0005627E" w:rsidRPr="00B03A99">
        <w:t>for sapropterin responsiveness</w:t>
      </w:r>
      <w:r w:rsidR="00AD7983" w:rsidRPr="00B03A99">
        <w:t>.</w:t>
      </w:r>
      <w:r w:rsidR="0005627E" w:rsidRPr="00B03A99">
        <w:t xml:space="preserve"> </w:t>
      </w:r>
    </w:p>
    <w:p w:rsidR="00F57302" w:rsidRPr="00B03A99" w:rsidRDefault="00F57302" w:rsidP="00194806">
      <w:pPr>
        <w:pStyle w:val="ListParagraph"/>
        <w:numPr>
          <w:ilvl w:val="0"/>
          <w:numId w:val="7"/>
        </w:numPr>
        <w:ind w:left="1077" w:hanging="357"/>
        <w:contextualSpacing w:val="0"/>
      </w:pPr>
      <w:r w:rsidRPr="00B03A99">
        <w:t xml:space="preserve">On the other hand, the ‘Australasian consensus guidelines for the management of phenylketonuria (PKU) throughout the lifespan’ </w:t>
      </w:r>
      <w:r w:rsidRPr="00B03A99">
        <w:rPr>
          <w:rStyle w:val="FootnoteReference"/>
        </w:rPr>
        <w:footnoteReference w:id="2"/>
      </w:r>
      <w:r w:rsidRPr="00B03A99">
        <w:t xml:space="preserve"> state that “Patients with a blood </w:t>
      </w:r>
      <w:proofErr w:type="spellStart"/>
      <w:r w:rsidRPr="00B03A99">
        <w:t>Phe</w:t>
      </w:r>
      <w:proofErr w:type="spellEnd"/>
      <w:r w:rsidRPr="00B03A99">
        <w:t xml:space="preserve"> level above 360</w:t>
      </w:r>
      <w:r w:rsidR="00CC5768" w:rsidRPr="00B03A99">
        <w:t>μmol/L should be treated as PKU</w:t>
      </w:r>
      <w:r w:rsidRPr="00373CF7">
        <w:t xml:space="preserve">”, though this is </w:t>
      </w:r>
      <w:r w:rsidR="0056227A" w:rsidRPr="00373CF7">
        <w:t>in the context of</w:t>
      </w:r>
      <w:r w:rsidRPr="00B03A99">
        <w:t xml:space="preserve"> dietary treatment rather than sapropterin treatment.</w:t>
      </w:r>
    </w:p>
    <w:p w:rsidR="00DA5F19" w:rsidRPr="00B03A99" w:rsidRDefault="00DA5F19" w:rsidP="00194806">
      <w:pPr>
        <w:pStyle w:val="ListParagraph"/>
        <w:numPr>
          <w:ilvl w:val="0"/>
          <w:numId w:val="7"/>
        </w:numPr>
        <w:ind w:left="1077" w:hanging="357"/>
        <w:contextualSpacing w:val="0"/>
      </w:pPr>
      <w:r w:rsidRPr="00B03A99">
        <w:t xml:space="preserve">Correspondence received for the previous submission outlined that in one Australian Centre babies who are diagnosed with PKU with </w:t>
      </w:r>
      <w:proofErr w:type="spellStart"/>
      <w:r w:rsidRPr="00B03A99">
        <w:t>Phe</w:t>
      </w:r>
      <w:proofErr w:type="spellEnd"/>
      <w:r w:rsidRPr="00B03A99">
        <w:t xml:space="preserve"> levels &gt;</w:t>
      </w:r>
      <w:r w:rsidR="00857374" w:rsidRPr="00B03A99">
        <w:t> </w:t>
      </w:r>
      <w:r w:rsidRPr="00B03A99">
        <w:t xml:space="preserve">400 </w:t>
      </w:r>
      <w:proofErr w:type="spellStart"/>
      <w:r w:rsidRPr="00B03A99">
        <w:t>μmol</w:t>
      </w:r>
      <w:proofErr w:type="spellEnd"/>
      <w:r w:rsidRPr="00B03A99">
        <w:t>/L at newborn screening are tested for sapropterin responsiveness.</w:t>
      </w:r>
    </w:p>
    <w:p w:rsidR="00814818" w:rsidRPr="00B03A99" w:rsidRDefault="00814818" w:rsidP="00194806">
      <w:pPr>
        <w:pStyle w:val="ListParagraph"/>
        <w:numPr>
          <w:ilvl w:val="0"/>
          <w:numId w:val="7"/>
        </w:numPr>
        <w:ind w:left="1077" w:hanging="357"/>
        <w:contextualSpacing w:val="0"/>
      </w:pPr>
      <w:r w:rsidRPr="00B03A99">
        <w:t xml:space="preserve">In the financial estimates, the minor resubmission estimated that the eligible population comprised patients with blood </w:t>
      </w:r>
      <w:proofErr w:type="spellStart"/>
      <w:r w:rsidRPr="00B03A99">
        <w:t>Phe</w:t>
      </w:r>
      <w:proofErr w:type="spellEnd"/>
      <w:r w:rsidRPr="00B03A99">
        <w:t xml:space="preserve"> levels &gt; 300 µ</w:t>
      </w:r>
      <w:proofErr w:type="spellStart"/>
      <w:r w:rsidRPr="00B03A99">
        <w:t>mol</w:t>
      </w:r>
      <w:proofErr w:type="spellEnd"/>
      <w:r w:rsidRPr="00B03A99">
        <w:t>/L, though the resubmission stated this was a proxy for patients with &gt; 360 µ</w:t>
      </w:r>
      <w:proofErr w:type="spellStart"/>
      <w:r w:rsidRPr="00B03A99">
        <w:t>mol</w:t>
      </w:r>
      <w:proofErr w:type="spellEnd"/>
      <w:r w:rsidRPr="00B03A99">
        <w:t xml:space="preserve">/L. </w:t>
      </w:r>
    </w:p>
    <w:p w:rsidR="00F816E9" w:rsidRPr="00B03A99" w:rsidRDefault="00F816E9" w:rsidP="00B5606B">
      <w:pPr>
        <w:pStyle w:val="ListParagraph"/>
        <w:numPr>
          <w:ilvl w:val="1"/>
          <w:numId w:val="3"/>
        </w:numPr>
        <w:contextualSpacing w:val="0"/>
      </w:pPr>
      <w:r w:rsidRPr="00B03A99">
        <w:t>The PBAC considered that</w:t>
      </w:r>
      <w:r w:rsidR="00971BC2" w:rsidRPr="00B03A99">
        <w:t>, on balance, the PBS restriction should require</w:t>
      </w:r>
      <w:r w:rsidR="00CF5C7C" w:rsidRPr="00B03A99">
        <w:t>: newborn</w:t>
      </w:r>
      <w:r w:rsidR="00971BC2" w:rsidRPr="00B03A99">
        <w:t xml:space="preserve"> patients to have </w:t>
      </w:r>
      <w:proofErr w:type="spellStart"/>
      <w:r w:rsidR="00971BC2" w:rsidRPr="00B03A99">
        <w:t>Phe</w:t>
      </w:r>
      <w:proofErr w:type="spellEnd"/>
      <w:r w:rsidR="00971BC2" w:rsidRPr="00B03A99">
        <w:t xml:space="preserve"> levels &gt; 3</w:t>
      </w:r>
      <w:r w:rsidR="00CF5C7C" w:rsidRPr="00B03A99">
        <w:t>6</w:t>
      </w:r>
      <w:r w:rsidR="00971BC2" w:rsidRPr="00B03A99">
        <w:t>0 µ</w:t>
      </w:r>
      <w:proofErr w:type="spellStart"/>
      <w:r w:rsidR="00971BC2" w:rsidRPr="00B03A99">
        <w:t>mol</w:t>
      </w:r>
      <w:proofErr w:type="spellEnd"/>
      <w:r w:rsidR="00971BC2" w:rsidRPr="00B03A99">
        <w:t>/L</w:t>
      </w:r>
      <w:r w:rsidR="00CF5C7C" w:rsidRPr="00B03A99">
        <w:t xml:space="preserve"> at diagnosis</w:t>
      </w:r>
      <w:r w:rsidR="003C0A93" w:rsidRPr="00B03A99">
        <w:t>;</w:t>
      </w:r>
      <w:r w:rsidR="00CF5C7C" w:rsidRPr="00B03A99">
        <w:t xml:space="preserve"> and </w:t>
      </w:r>
      <w:r w:rsidR="008A1DF5" w:rsidRPr="00B03A99">
        <w:t xml:space="preserve">all other </w:t>
      </w:r>
      <w:r w:rsidR="00CF5C7C" w:rsidRPr="00B03A99">
        <w:t xml:space="preserve">patients to have </w:t>
      </w:r>
      <w:proofErr w:type="spellStart"/>
      <w:r w:rsidR="00CF5C7C" w:rsidRPr="00B03A99">
        <w:t>Phe</w:t>
      </w:r>
      <w:proofErr w:type="spellEnd"/>
      <w:r w:rsidR="00CF5C7C" w:rsidRPr="00B03A99">
        <w:t xml:space="preserve"> levels &gt; </w:t>
      </w:r>
      <w:r w:rsidR="00CF5C7C" w:rsidRPr="00373CF7">
        <w:t>600 µ</w:t>
      </w:r>
      <w:proofErr w:type="spellStart"/>
      <w:r w:rsidR="00CF5C7C" w:rsidRPr="00373CF7">
        <w:t>mol</w:t>
      </w:r>
      <w:proofErr w:type="spellEnd"/>
      <w:r w:rsidR="00CF5C7C" w:rsidRPr="00373CF7">
        <w:t>/L</w:t>
      </w:r>
      <w:r w:rsidR="00361D8E" w:rsidRPr="00373CF7">
        <w:t xml:space="preserve"> during a stable period of disease</w:t>
      </w:r>
      <w:r w:rsidR="00CF5C7C" w:rsidRPr="00373CF7">
        <w:t xml:space="preserve">. </w:t>
      </w:r>
    </w:p>
    <w:p w:rsidR="00A418E6" w:rsidRPr="00B03A99" w:rsidRDefault="00A418E6" w:rsidP="003C0A93">
      <w:pPr>
        <w:pStyle w:val="ListParagraph"/>
        <w:numPr>
          <w:ilvl w:val="1"/>
          <w:numId w:val="3"/>
        </w:numPr>
        <w:contextualSpacing w:val="0"/>
      </w:pPr>
      <w:r w:rsidRPr="00B03A99">
        <w:t xml:space="preserve">The PBAC noted that the ASIEM guidelines for ‘BH4 in </w:t>
      </w:r>
      <w:r w:rsidR="00A92CF4" w:rsidRPr="00B03A99">
        <w:t>the management of PKU’ state that before conducting</w:t>
      </w:r>
      <w:r w:rsidRPr="00B03A99">
        <w:t xml:space="preserve"> initial responsiveness testing, patients/carers should be assessed: for their ability to comply with the sapropterin protocol; expectations of sapropterin; </w:t>
      </w:r>
      <w:r w:rsidR="003C0A93" w:rsidRPr="00B03A99">
        <w:t xml:space="preserve">ability to comply with PKU diet; and (for prevalent patients) </w:t>
      </w:r>
      <w:r w:rsidRPr="00B03A99">
        <w:t>recent clinic visit history</w:t>
      </w:r>
      <w:r w:rsidR="00A800BC" w:rsidRPr="00B03A99">
        <w:t xml:space="preserve"> and</w:t>
      </w:r>
      <w:r w:rsidRPr="00B03A99">
        <w:t xml:space="preserve"> current dietary </w:t>
      </w:r>
      <w:proofErr w:type="spellStart"/>
      <w:r w:rsidRPr="00B03A99">
        <w:t>Phe</w:t>
      </w:r>
      <w:proofErr w:type="spellEnd"/>
      <w:r w:rsidRPr="00B03A99">
        <w:t xml:space="preserve"> tolerance. The guidelines also recommend that for continuing treatment, patients</w:t>
      </w:r>
      <w:r w:rsidR="003C0A93" w:rsidRPr="00B03A99">
        <w:t>/carers</w:t>
      </w:r>
      <w:r w:rsidRPr="00B03A99">
        <w:t xml:space="preserve"> should be “assessed with regards to their compliance and cooperation </w:t>
      </w:r>
      <w:r w:rsidR="003C0A93" w:rsidRPr="00B03A99">
        <w:t xml:space="preserve">… </w:t>
      </w:r>
      <w:r w:rsidRPr="00B03A99">
        <w:t>with sapropterin therapy including ability to adhere to ongoing monitoring requirements and dietary recommendations”.</w:t>
      </w:r>
      <w:r w:rsidR="003C0A93" w:rsidRPr="00B03A99">
        <w:t xml:space="preserve"> T</w:t>
      </w:r>
      <w:r w:rsidRPr="00B03A99">
        <w:t>he PBAC consider</w:t>
      </w:r>
      <w:r w:rsidR="00A110CD" w:rsidRPr="00B03A99">
        <w:t>e</w:t>
      </w:r>
      <w:r w:rsidRPr="00B03A99">
        <w:t xml:space="preserve">d that it may be appropriate to incorporate </w:t>
      </w:r>
      <w:r w:rsidR="003C0A93" w:rsidRPr="00B03A99">
        <w:t>these elements into the PBS restriction</w:t>
      </w:r>
      <w:r w:rsidRPr="00B03A99">
        <w:t>.</w:t>
      </w:r>
    </w:p>
    <w:p w:rsidR="00E34193" w:rsidRPr="00373CF7" w:rsidRDefault="000E01AF" w:rsidP="00A9642F">
      <w:pPr>
        <w:pStyle w:val="Heading2"/>
        <w:rPr>
          <w:rFonts w:eastAsiaTheme="majorEastAsia"/>
          <w:lang w:eastAsia="en-US"/>
        </w:rPr>
      </w:pPr>
      <w:r w:rsidRPr="00B03A99">
        <w:rPr>
          <w:rFonts w:eastAsiaTheme="majorEastAsia"/>
          <w:lang w:eastAsia="en-US"/>
        </w:rPr>
        <w:lastRenderedPageBreak/>
        <w:t xml:space="preserve">Identification of responsive patients: </w:t>
      </w:r>
      <w:r w:rsidR="00E34193" w:rsidRPr="00B03A99">
        <w:rPr>
          <w:rFonts w:eastAsiaTheme="majorEastAsia"/>
          <w:lang w:eastAsia="en-US"/>
        </w:rPr>
        <w:t xml:space="preserve">Initial responsiveness testing </w:t>
      </w:r>
      <w:r w:rsidR="006605D1" w:rsidRPr="00373CF7">
        <w:rPr>
          <w:rFonts w:eastAsiaTheme="majorEastAsia"/>
          <w:lang w:eastAsia="en-US"/>
        </w:rPr>
        <w:t>protocol</w:t>
      </w:r>
      <w:r w:rsidRPr="00373CF7">
        <w:rPr>
          <w:rFonts w:eastAsiaTheme="majorEastAsia"/>
          <w:lang w:eastAsia="en-US"/>
        </w:rPr>
        <w:t xml:space="preserve"> </w:t>
      </w:r>
    </w:p>
    <w:p w:rsidR="00FE0D2F" w:rsidRPr="00B03A99" w:rsidRDefault="00CC5768" w:rsidP="00F4439D">
      <w:pPr>
        <w:pStyle w:val="ListParagraph"/>
        <w:numPr>
          <w:ilvl w:val="1"/>
          <w:numId w:val="3"/>
        </w:numPr>
        <w:contextualSpacing w:val="0"/>
      </w:pPr>
      <w:r w:rsidRPr="00B03A99">
        <w:t xml:space="preserve">The March 2018 PBAC considered that insufficient evidence had been presented for the Committee to be confident that the sapropterin responsiveness test proposed by the resubmission would identify truly responsive patients in terms of correctly identifying patients who are, and patients who are not, responsive. In particular, the PBAC considered that it would be difficult to distinguish true responsiveness from fluctuations in </w:t>
      </w:r>
      <w:proofErr w:type="spellStart"/>
      <w:r w:rsidRPr="00B03A99">
        <w:t>Phe</w:t>
      </w:r>
      <w:proofErr w:type="spellEnd"/>
      <w:r w:rsidRPr="00B03A99">
        <w:t xml:space="preserve"> levels due to other causes such as changes in diet or intercurrent illness, particularly given the high underlying variability in </w:t>
      </w:r>
      <w:proofErr w:type="spellStart"/>
      <w:r w:rsidRPr="00B03A99">
        <w:t>Phe</w:t>
      </w:r>
      <w:proofErr w:type="spellEnd"/>
      <w:r w:rsidRPr="00B03A99">
        <w:t xml:space="preserve"> levels and the long period of testing </w:t>
      </w:r>
      <w:r w:rsidR="00FE0D2F" w:rsidRPr="00B03A99">
        <w:t xml:space="preserve">that had been </w:t>
      </w:r>
      <w:r w:rsidRPr="00B03A99">
        <w:t>proposed (four weeks)</w:t>
      </w:r>
      <w:r w:rsidR="00F4439D" w:rsidRPr="00B03A99">
        <w:t xml:space="preserve"> </w:t>
      </w:r>
      <w:r w:rsidRPr="00B03A99">
        <w:t xml:space="preserve">(Paragraph 7.7, March 2018 PBAC </w:t>
      </w:r>
      <w:r w:rsidR="002A7B6E">
        <w:t>PSD</w:t>
      </w:r>
      <w:r w:rsidRPr="00B03A99">
        <w:t xml:space="preserve">). </w:t>
      </w:r>
    </w:p>
    <w:p w:rsidR="001E2D9D" w:rsidRPr="00B03A99" w:rsidRDefault="00CC5768" w:rsidP="001E2D9D">
      <w:pPr>
        <w:pStyle w:val="ListParagraph"/>
        <w:numPr>
          <w:ilvl w:val="1"/>
          <w:numId w:val="3"/>
        </w:numPr>
        <w:contextualSpacing w:val="0"/>
      </w:pPr>
      <w:r w:rsidRPr="00B03A99">
        <w:t>The</w:t>
      </w:r>
      <w:r w:rsidR="00FE0D2F" w:rsidRPr="00B03A99">
        <w:t xml:space="preserve"> PBAC considered that the</w:t>
      </w:r>
      <w:r w:rsidRPr="00B03A99">
        <w:t xml:space="preserve">se </w:t>
      </w:r>
      <w:r w:rsidR="00FE0D2F" w:rsidRPr="00B03A99">
        <w:t>we</w:t>
      </w:r>
      <w:r w:rsidRPr="00B03A99">
        <w:t xml:space="preserve">re particular issues in light of the four week initial testing period outlined in the Product </w:t>
      </w:r>
      <w:r w:rsidR="00971BC2" w:rsidRPr="00B03A99">
        <w:t xml:space="preserve">Information and proposed in the resubmission </w:t>
      </w:r>
      <w:r w:rsidRPr="00B03A99">
        <w:t xml:space="preserve">(e.g. it is not possible to monitor whether dietary </w:t>
      </w:r>
      <w:proofErr w:type="spellStart"/>
      <w:r w:rsidRPr="00B03A99">
        <w:t>Phe</w:t>
      </w:r>
      <w:proofErr w:type="spellEnd"/>
      <w:r w:rsidRPr="00B03A99">
        <w:t xml:space="preserve"> intake is maintained at a constant level during this period</w:t>
      </w:r>
      <w:r w:rsidR="00A92CF4" w:rsidRPr="00B03A99">
        <w:t>, and there may be high intra</w:t>
      </w:r>
      <w:r w:rsidR="003C0A93" w:rsidRPr="00B03A99">
        <w:t>-</w:t>
      </w:r>
      <w:r w:rsidR="00A92CF4" w:rsidRPr="00B03A99">
        <w:t xml:space="preserve">patient variability in </w:t>
      </w:r>
      <w:proofErr w:type="spellStart"/>
      <w:r w:rsidR="00A92CF4" w:rsidRPr="00B03A99">
        <w:t>Phe</w:t>
      </w:r>
      <w:proofErr w:type="spellEnd"/>
      <w:r w:rsidR="00A92CF4" w:rsidRPr="00B03A99">
        <w:t xml:space="preserve"> levels over such a time period</w:t>
      </w:r>
      <w:r w:rsidRPr="00B03A99">
        <w:t>)</w:t>
      </w:r>
      <w:r w:rsidR="00971BC2" w:rsidRPr="00B03A99">
        <w:t>. Thus</w:t>
      </w:r>
      <w:r w:rsidR="00FE0D2F" w:rsidRPr="00B03A99">
        <w:t xml:space="preserve">, </w:t>
      </w:r>
      <w:r w:rsidR="00F7019E" w:rsidRPr="00B03A99">
        <w:t xml:space="preserve">the </w:t>
      </w:r>
      <w:r w:rsidR="00971BC2" w:rsidRPr="00B03A99">
        <w:t xml:space="preserve">PBAC considered that the </w:t>
      </w:r>
      <w:r w:rsidR="00F7019E" w:rsidRPr="00B03A99">
        <w:t xml:space="preserve">specificity of a four week initial testing period </w:t>
      </w:r>
      <w:r w:rsidR="00FE0D2F" w:rsidRPr="00B03A99">
        <w:t xml:space="preserve">remained </w:t>
      </w:r>
      <w:r w:rsidR="00F7019E" w:rsidRPr="00B03A99">
        <w:t>unclear.</w:t>
      </w:r>
    </w:p>
    <w:p w:rsidR="00CC5768" w:rsidRPr="00B03A99" w:rsidRDefault="00FE0D2F" w:rsidP="00CC5768">
      <w:pPr>
        <w:pStyle w:val="ListParagraph"/>
        <w:numPr>
          <w:ilvl w:val="1"/>
          <w:numId w:val="3"/>
        </w:numPr>
        <w:contextualSpacing w:val="0"/>
      </w:pPr>
      <w:r w:rsidRPr="00B03A99">
        <w:t>The PBAC noted that s</w:t>
      </w:r>
      <w:r w:rsidR="00CC5768" w:rsidRPr="00B03A99">
        <w:t>horter protocols for initial responsiveness testing ha</w:t>
      </w:r>
      <w:r w:rsidR="00D1325D" w:rsidRPr="00B03A99">
        <w:t>d</w:t>
      </w:r>
      <w:r w:rsidR="00CC5768" w:rsidRPr="00B03A99">
        <w:t xml:space="preserve"> been </w:t>
      </w:r>
      <w:r w:rsidR="00D1325D" w:rsidRPr="00B03A99">
        <w:t>outlined</w:t>
      </w:r>
      <w:r w:rsidR="00CC5768" w:rsidRPr="00B03A99">
        <w:t xml:space="preserve"> in guidelines</w:t>
      </w:r>
      <w:r w:rsidR="00EB3FD7" w:rsidRPr="00B03A99">
        <w:t xml:space="preserve">. For example, </w:t>
      </w:r>
      <w:r w:rsidR="00CC5768" w:rsidRPr="00B03A99">
        <w:t xml:space="preserve">the Australian guidelines for ‘BH4 in the Management of PKU’ discuss testing over: a 24 hour period comprising a loading test performed shortly after the results of newborn screening are available; and a </w:t>
      </w:r>
      <w:r w:rsidR="003C0A93" w:rsidRPr="00B03A99">
        <w:t>7-day</w:t>
      </w:r>
      <w:r w:rsidR="00CC5768" w:rsidRPr="00B03A99">
        <w:t xml:space="preserve"> period, incorporating a pre-test </w:t>
      </w:r>
      <w:proofErr w:type="spellStart"/>
      <w:r w:rsidR="00CC5768" w:rsidRPr="00B03A99">
        <w:t>Phe</w:t>
      </w:r>
      <w:proofErr w:type="spellEnd"/>
      <w:r w:rsidR="00CC5768" w:rsidRPr="00B03A99">
        <w:t xml:space="preserve"> load, in patients aged 2-18 years. </w:t>
      </w:r>
    </w:p>
    <w:p w:rsidR="00CC5768" w:rsidRPr="00B03A99" w:rsidRDefault="00CC5768" w:rsidP="00CC5768">
      <w:pPr>
        <w:pStyle w:val="ListParagraph"/>
        <w:numPr>
          <w:ilvl w:val="1"/>
          <w:numId w:val="3"/>
        </w:numPr>
        <w:contextualSpacing w:val="0"/>
        <w:rPr>
          <w:rFonts w:ascii="Arial" w:hAnsi="Arial" w:cs="Arial"/>
        </w:rPr>
      </w:pPr>
      <w:r w:rsidRPr="00373CF7">
        <w:t xml:space="preserve">The resubmission reported that, across different studies, </w:t>
      </w:r>
      <w:r w:rsidR="00A92CF4" w:rsidRPr="00373CF7">
        <w:t xml:space="preserve">higher response rates were reported in </w:t>
      </w:r>
      <w:r w:rsidRPr="00B03A99">
        <w:t xml:space="preserve">those studies that used a longer duration of responsiveness testing (28 days duration) </w:t>
      </w:r>
      <w:r w:rsidR="00A92CF4" w:rsidRPr="00B03A99">
        <w:t>compared with those studies that</w:t>
      </w:r>
      <w:r w:rsidRPr="00B03A99">
        <w:t xml:space="preserve"> used a shorter duration (7 or 8 days). Further, the resubmission stated that in the ENDURE study, 64% of patients achieved a response at 7 days, with an additional 10% of patients achieving a response between Day 8 and 28. The resubmission also noted that, in ENDURE, response rates fluctuated over the 28 day period, with </w:t>
      </w:r>
      <w:r w:rsidR="00E916D8">
        <w:rPr>
          <w:noProof/>
          <w:color w:val="000000"/>
          <w:highlight w:val="black"/>
        </w:rPr>
        <w:t>'''''</w:t>
      </w:r>
      <w:r w:rsidRPr="00974C4B">
        <w:t>%</w:t>
      </w:r>
      <w:r w:rsidRPr="009A3DC0">
        <w:t xml:space="preserve"> </w:t>
      </w:r>
      <w:r w:rsidRPr="00B03A99">
        <w:t xml:space="preserve">of patients having achieved a response (i.e. reduction ≥ 30% since baseline) at Day 28, although 75% experienced a response at any time within the 28 day period. This is shown in the figure below. This may be indicative of the background fluctuations in blood </w:t>
      </w:r>
      <w:proofErr w:type="spellStart"/>
      <w:r w:rsidRPr="00B03A99">
        <w:t>Phe</w:t>
      </w:r>
      <w:proofErr w:type="spellEnd"/>
      <w:r w:rsidRPr="00B03A99">
        <w:t xml:space="preserve"> levels, e.g. due to diet or intercurrent illness.</w:t>
      </w:r>
    </w:p>
    <w:p w:rsidR="00CC5768" w:rsidRPr="00B03A99" w:rsidRDefault="00CC5768" w:rsidP="00CC5768">
      <w:pPr>
        <w:keepNext/>
        <w:keepLines/>
        <w:rPr>
          <w:rFonts w:ascii="Arial Narrow" w:hAnsi="Arial Narrow"/>
          <w:b/>
          <w:sz w:val="20"/>
          <w:szCs w:val="20"/>
        </w:rPr>
      </w:pPr>
      <w:r w:rsidRPr="00B03A99">
        <w:rPr>
          <w:rFonts w:ascii="Arial Narrow" w:hAnsi="Arial Narrow"/>
          <w:b/>
          <w:sz w:val="20"/>
          <w:szCs w:val="20"/>
        </w:rPr>
        <w:lastRenderedPageBreak/>
        <w:t>Figure 1: Time course of response in ENDURE</w:t>
      </w:r>
    </w:p>
    <w:p w:rsidR="00CC5768" w:rsidRPr="00B03A99" w:rsidRDefault="00E916D8" w:rsidP="00CC5768">
      <w:pPr>
        <w:pStyle w:val="Tabletext"/>
        <w:keepNext/>
        <w:keepLines/>
      </w:pPr>
      <w:r>
        <w:rPr>
          <w:noProof/>
          <w:lang w:eastAsia="en-AU"/>
        </w:rPr>
        <w:drawing>
          <wp:inline distT="0" distB="0" distL="0" distR="0">
            <wp:extent cx="4373880" cy="2552700"/>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73880" cy="2552700"/>
                    </a:xfrm>
                    <a:prstGeom prst="rect">
                      <a:avLst/>
                    </a:prstGeom>
                  </pic:spPr>
                </pic:pic>
              </a:graphicData>
            </a:graphic>
          </wp:inline>
        </w:drawing>
      </w:r>
    </w:p>
    <w:p w:rsidR="00CC5768" w:rsidRPr="00373CF7" w:rsidRDefault="00CC5768" w:rsidP="00CC5768">
      <w:pPr>
        <w:keepNext/>
        <w:keepLines/>
        <w:rPr>
          <w:rFonts w:ascii="Arial Narrow" w:hAnsi="Arial Narrow"/>
          <w:sz w:val="18"/>
          <w:szCs w:val="18"/>
        </w:rPr>
      </w:pPr>
      <w:r w:rsidRPr="00373CF7">
        <w:rPr>
          <w:rFonts w:ascii="Arial Narrow" w:hAnsi="Arial Narrow"/>
          <w:sz w:val="18"/>
          <w:szCs w:val="18"/>
        </w:rPr>
        <w:t>Source: Figure 1-3, p14 of the minor resubmission</w:t>
      </w:r>
    </w:p>
    <w:p w:rsidR="00CC5768" w:rsidRPr="00373CF7" w:rsidRDefault="00CC5768" w:rsidP="008F1E2B">
      <w:pPr>
        <w:keepNext/>
        <w:keepLines/>
        <w:spacing w:after="240"/>
        <w:rPr>
          <w:rFonts w:ascii="Arial Narrow" w:hAnsi="Arial Narrow"/>
          <w:sz w:val="18"/>
          <w:szCs w:val="18"/>
        </w:rPr>
      </w:pPr>
      <w:r w:rsidRPr="00373CF7">
        <w:rPr>
          <w:rFonts w:ascii="Arial Narrow" w:hAnsi="Arial Narrow"/>
          <w:sz w:val="18"/>
          <w:szCs w:val="18"/>
        </w:rPr>
        <w:t xml:space="preserve">Notes: n = 59 patients for all time points except Day 21 and </w:t>
      </w:r>
      <w:r w:rsidRPr="009A3DC0">
        <w:rPr>
          <w:rFonts w:ascii="Arial Narrow" w:hAnsi="Arial Narrow"/>
          <w:sz w:val="18"/>
          <w:szCs w:val="18"/>
        </w:rPr>
        <w:t>Day 28 (</w:t>
      </w:r>
      <w:r w:rsidRPr="00E3376E">
        <w:rPr>
          <w:rFonts w:ascii="Arial Narrow" w:hAnsi="Arial Narrow"/>
          <w:sz w:val="18"/>
          <w:szCs w:val="18"/>
        </w:rPr>
        <w:t xml:space="preserve">n = </w:t>
      </w:r>
      <w:r w:rsidR="00E916D8">
        <w:rPr>
          <w:rFonts w:ascii="Arial Narrow" w:hAnsi="Arial Narrow"/>
          <w:noProof/>
          <w:color w:val="000000"/>
          <w:sz w:val="18"/>
          <w:szCs w:val="18"/>
          <w:highlight w:val="black"/>
        </w:rPr>
        <w:t>'''''''</w:t>
      </w:r>
      <w:r w:rsidRPr="009A3DC0">
        <w:rPr>
          <w:rFonts w:ascii="Arial Narrow" w:hAnsi="Arial Narrow"/>
          <w:sz w:val="18"/>
          <w:szCs w:val="18"/>
        </w:rPr>
        <w:t>)</w:t>
      </w:r>
    </w:p>
    <w:p w:rsidR="00D52BDE" w:rsidRPr="00B03A99" w:rsidRDefault="00A92CF4" w:rsidP="00B304B1">
      <w:pPr>
        <w:pStyle w:val="ListParagraph"/>
        <w:numPr>
          <w:ilvl w:val="1"/>
          <w:numId w:val="3"/>
        </w:numPr>
        <w:contextualSpacing w:val="0"/>
        <w:rPr>
          <w:rFonts w:cstheme="minorHAnsi"/>
          <w:snapToGrid w:val="0"/>
        </w:rPr>
      </w:pPr>
      <w:r w:rsidRPr="00B03A99">
        <w:rPr>
          <w:rFonts w:cstheme="minorHAnsi"/>
          <w:szCs w:val="24"/>
        </w:rPr>
        <w:t xml:space="preserve">Given the high intra-patient variability in </w:t>
      </w:r>
      <w:proofErr w:type="spellStart"/>
      <w:r w:rsidRPr="00B03A99">
        <w:rPr>
          <w:rFonts w:cstheme="minorHAnsi"/>
          <w:szCs w:val="24"/>
        </w:rPr>
        <w:t>Phe</w:t>
      </w:r>
      <w:proofErr w:type="spellEnd"/>
      <w:r w:rsidRPr="00B03A99">
        <w:rPr>
          <w:rFonts w:cstheme="minorHAnsi"/>
          <w:szCs w:val="24"/>
        </w:rPr>
        <w:t xml:space="preserve"> levels, t</w:t>
      </w:r>
      <w:r w:rsidR="00971BC2" w:rsidRPr="00B03A99">
        <w:rPr>
          <w:rFonts w:cstheme="minorHAnsi"/>
          <w:szCs w:val="24"/>
        </w:rPr>
        <w:t xml:space="preserve">he PBAC considered that the PBS restriction should require a 24-hour testing period in newborns and a </w:t>
      </w:r>
      <w:r w:rsidR="00E814E3" w:rsidRPr="00B03A99">
        <w:rPr>
          <w:rFonts w:cstheme="minorHAnsi"/>
          <w:szCs w:val="24"/>
        </w:rPr>
        <w:t>7</w:t>
      </w:r>
      <w:r w:rsidR="00DB1362" w:rsidRPr="00B03A99">
        <w:rPr>
          <w:rFonts w:cstheme="minorHAnsi"/>
          <w:szCs w:val="24"/>
        </w:rPr>
        <w:t>-</w:t>
      </w:r>
      <w:r w:rsidR="00E814E3" w:rsidRPr="00B03A99">
        <w:rPr>
          <w:rFonts w:cstheme="minorHAnsi"/>
          <w:szCs w:val="24"/>
        </w:rPr>
        <w:t>day</w:t>
      </w:r>
      <w:r w:rsidR="00971BC2" w:rsidRPr="00B03A99">
        <w:rPr>
          <w:rFonts w:cstheme="minorHAnsi"/>
          <w:szCs w:val="24"/>
        </w:rPr>
        <w:t xml:space="preserve"> testing period in children and adolescents. The PBAC noted that the shorter responsiveness testing periods may reduce the number of people who achieve a response (</w:t>
      </w:r>
      <w:r w:rsidR="00E814E3" w:rsidRPr="00B03A99">
        <w:rPr>
          <w:rFonts w:cstheme="minorHAnsi"/>
          <w:szCs w:val="24"/>
        </w:rPr>
        <w:t>as shown</w:t>
      </w:r>
      <w:r w:rsidR="00971BC2" w:rsidRPr="00B03A99">
        <w:rPr>
          <w:rFonts w:cstheme="minorHAnsi"/>
          <w:szCs w:val="24"/>
        </w:rPr>
        <w:t xml:space="preserve"> Figure 1), but in the absence of a more robust method for identifying patients who are truly responsive, this would provide greater certainty that those patients accessing sapropterin under the PBS are “truly responsive”. The PBAC considered this </w:t>
      </w:r>
      <w:r w:rsidR="00CF5C7C" w:rsidRPr="00B03A99">
        <w:rPr>
          <w:rFonts w:cstheme="minorHAnsi"/>
          <w:szCs w:val="24"/>
        </w:rPr>
        <w:t xml:space="preserve">was necessary to </w:t>
      </w:r>
      <w:r w:rsidR="00971BC2" w:rsidRPr="00B03A99">
        <w:rPr>
          <w:rFonts w:cstheme="minorHAnsi"/>
          <w:szCs w:val="24"/>
        </w:rPr>
        <w:t xml:space="preserve">provide </w:t>
      </w:r>
      <w:r w:rsidRPr="00B03A99">
        <w:rPr>
          <w:rFonts w:cstheme="minorHAnsi"/>
          <w:szCs w:val="24"/>
        </w:rPr>
        <w:t>increase</w:t>
      </w:r>
      <w:r w:rsidR="00E814E3" w:rsidRPr="00B03A99">
        <w:rPr>
          <w:rFonts w:cstheme="minorHAnsi"/>
          <w:szCs w:val="24"/>
        </w:rPr>
        <w:t>d</w:t>
      </w:r>
      <w:r w:rsidRPr="00B03A99">
        <w:rPr>
          <w:rFonts w:cstheme="minorHAnsi"/>
          <w:szCs w:val="24"/>
        </w:rPr>
        <w:t xml:space="preserve"> confidence</w:t>
      </w:r>
      <w:r w:rsidR="00971BC2" w:rsidRPr="00B03A99">
        <w:rPr>
          <w:rFonts w:cstheme="minorHAnsi"/>
          <w:szCs w:val="24"/>
        </w:rPr>
        <w:t xml:space="preserve"> </w:t>
      </w:r>
      <w:r w:rsidR="004D7E2D" w:rsidRPr="00B03A99">
        <w:rPr>
          <w:rFonts w:cstheme="minorHAnsi"/>
          <w:szCs w:val="24"/>
        </w:rPr>
        <w:t>as to</w:t>
      </w:r>
      <w:r w:rsidR="00971BC2" w:rsidRPr="00B03A99">
        <w:rPr>
          <w:rFonts w:cstheme="minorHAnsi"/>
          <w:szCs w:val="24"/>
        </w:rPr>
        <w:t xml:space="preserve"> the incremental effectiveness</w:t>
      </w:r>
      <w:r w:rsidR="00B304B1" w:rsidRPr="00B03A99">
        <w:rPr>
          <w:rFonts w:cstheme="minorHAnsi"/>
          <w:szCs w:val="24"/>
        </w:rPr>
        <w:t xml:space="preserve"> that would be achieved in clinical practice</w:t>
      </w:r>
      <w:r w:rsidR="00971BC2" w:rsidRPr="00B03A99">
        <w:rPr>
          <w:rFonts w:cstheme="minorHAnsi"/>
          <w:szCs w:val="24"/>
        </w:rPr>
        <w:t xml:space="preserve">. </w:t>
      </w:r>
    </w:p>
    <w:p w:rsidR="00F55377" w:rsidRPr="00B03A99" w:rsidRDefault="000E01AF" w:rsidP="00A9642F">
      <w:pPr>
        <w:pStyle w:val="Heading2"/>
        <w:rPr>
          <w:rFonts w:eastAsiaTheme="majorEastAsia"/>
          <w:lang w:eastAsia="en-US"/>
        </w:rPr>
      </w:pPr>
      <w:r w:rsidRPr="00B03A99">
        <w:rPr>
          <w:rFonts w:eastAsiaTheme="majorEastAsia"/>
          <w:lang w:eastAsia="en-US"/>
        </w:rPr>
        <w:t xml:space="preserve">Identification of responsive patients: </w:t>
      </w:r>
      <w:r w:rsidR="00BD399C" w:rsidRPr="00B03A99">
        <w:rPr>
          <w:rFonts w:eastAsiaTheme="majorEastAsia"/>
          <w:lang w:eastAsia="en-US"/>
        </w:rPr>
        <w:t xml:space="preserve">Assessment of initial response </w:t>
      </w:r>
      <w:r w:rsidR="00F55377" w:rsidRPr="00B03A99">
        <w:rPr>
          <w:rFonts w:eastAsiaTheme="majorEastAsia"/>
          <w:lang w:eastAsia="en-US"/>
        </w:rPr>
        <w:t xml:space="preserve">and basis for threshold of ≥ 30% reduction in blood </w:t>
      </w:r>
      <w:proofErr w:type="spellStart"/>
      <w:r w:rsidR="00F55377" w:rsidRPr="00B03A99">
        <w:rPr>
          <w:rFonts w:eastAsiaTheme="majorEastAsia"/>
          <w:lang w:eastAsia="en-US"/>
        </w:rPr>
        <w:t>Phe</w:t>
      </w:r>
      <w:proofErr w:type="spellEnd"/>
      <w:r w:rsidR="00F55377" w:rsidRPr="00B03A99">
        <w:rPr>
          <w:rFonts w:eastAsiaTheme="majorEastAsia"/>
          <w:lang w:eastAsia="en-US"/>
        </w:rPr>
        <w:t xml:space="preserve"> levels </w:t>
      </w:r>
    </w:p>
    <w:p w:rsidR="00F55377" w:rsidRPr="00B03A99" w:rsidRDefault="00F55377" w:rsidP="007466A9">
      <w:pPr>
        <w:pStyle w:val="ListParagraph"/>
        <w:keepNext/>
        <w:keepLines/>
        <w:numPr>
          <w:ilvl w:val="1"/>
          <w:numId w:val="3"/>
        </w:numPr>
        <w:contextualSpacing w:val="0"/>
        <w:rPr>
          <w:rFonts w:cstheme="minorHAnsi"/>
          <w:szCs w:val="24"/>
        </w:rPr>
      </w:pPr>
      <w:r w:rsidRPr="00B03A99">
        <w:rPr>
          <w:rFonts w:cstheme="minorHAnsi"/>
          <w:szCs w:val="24"/>
        </w:rPr>
        <w:t>The</w:t>
      </w:r>
      <w:r w:rsidR="00A553B6" w:rsidRPr="00B03A99">
        <w:rPr>
          <w:rFonts w:cstheme="minorHAnsi"/>
          <w:szCs w:val="24"/>
        </w:rPr>
        <w:t xml:space="preserve"> minor</w:t>
      </w:r>
      <w:r w:rsidRPr="00B03A99">
        <w:rPr>
          <w:rFonts w:cstheme="minorHAnsi"/>
          <w:szCs w:val="24"/>
        </w:rPr>
        <w:t xml:space="preserve"> resubmission proposed that response to sapropterin would be defined as a ≥ 30% reduction in blood </w:t>
      </w:r>
      <w:proofErr w:type="spellStart"/>
      <w:r w:rsidRPr="00B03A99">
        <w:rPr>
          <w:rFonts w:cstheme="minorHAnsi"/>
          <w:szCs w:val="24"/>
        </w:rPr>
        <w:t>Phe</w:t>
      </w:r>
      <w:proofErr w:type="spellEnd"/>
      <w:r w:rsidRPr="00B03A99">
        <w:rPr>
          <w:rFonts w:cstheme="minorHAnsi"/>
          <w:szCs w:val="24"/>
        </w:rPr>
        <w:t xml:space="preserve"> levels from baseline (prior to sapropterin responsiveness testing) in a sapropterin testing period of up to 28 days.</w:t>
      </w:r>
    </w:p>
    <w:p w:rsidR="00F55377" w:rsidRPr="00B03A99" w:rsidRDefault="00F55377" w:rsidP="007466A9">
      <w:pPr>
        <w:pStyle w:val="ListParagraph"/>
        <w:numPr>
          <w:ilvl w:val="1"/>
          <w:numId w:val="3"/>
        </w:numPr>
        <w:contextualSpacing w:val="0"/>
        <w:rPr>
          <w:rFonts w:cstheme="minorHAnsi"/>
          <w:szCs w:val="24"/>
        </w:rPr>
      </w:pPr>
      <w:r w:rsidRPr="00B03A99">
        <w:rPr>
          <w:rFonts w:cstheme="minorHAnsi"/>
          <w:szCs w:val="24"/>
        </w:rPr>
        <w:t xml:space="preserve">Compared with the previous submission, the definition of responsiveness proposed in the resubmission appropriately removed a subjective assessment of “…attainment of the therapeutic blood phenylalanine goals defined for an individual patient …” (in line with Paragraph 7.6 of the March 2018 PBAC </w:t>
      </w:r>
      <w:r w:rsidR="002A7B6E">
        <w:rPr>
          <w:rFonts w:cstheme="minorHAnsi"/>
          <w:szCs w:val="24"/>
        </w:rPr>
        <w:t>PSD</w:t>
      </w:r>
      <w:r w:rsidRPr="00B03A99">
        <w:rPr>
          <w:rFonts w:cstheme="minorHAnsi"/>
          <w:szCs w:val="24"/>
        </w:rPr>
        <w:t xml:space="preserve">). </w:t>
      </w:r>
    </w:p>
    <w:p w:rsidR="002D1AA8" w:rsidRPr="00B03A99" w:rsidRDefault="00415E57" w:rsidP="007466A9">
      <w:pPr>
        <w:pStyle w:val="ListParagraph"/>
        <w:numPr>
          <w:ilvl w:val="1"/>
          <w:numId w:val="3"/>
        </w:numPr>
        <w:contextualSpacing w:val="0"/>
        <w:rPr>
          <w:rFonts w:cstheme="minorHAnsi"/>
          <w:szCs w:val="24"/>
        </w:rPr>
      </w:pPr>
      <w:r w:rsidRPr="00B03A99">
        <w:rPr>
          <w:rFonts w:cstheme="minorHAnsi"/>
          <w:szCs w:val="24"/>
        </w:rPr>
        <w:t xml:space="preserve">The </w:t>
      </w:r>
      <w:r w:rsidR="00A7751F" w:rsidRPr="00B03A99">
        <w:rPr>
          <w:rFonts w:cstheme="minorHAnsi"/>
          <w:szCs w:val="24"/>
        </w:rPr>
        <w:t xml:space="preserve">March 2018 </w:t>
      </w:r>
      <w:r w:rsidRPr="00B03A99">
        <w:rPr>
          <w:rFonts w:cstheme="minorHAnsi"/>
          <w:szCs w:val="24"/>
        </w:rPr>
        <w:t>PBAC</w:t>
      </w:r>
      <w:r w:rsidR="00A7751F" w:rsidRPr="00B03A99">
        <w:rPr>
          <w:rFonts w:cstheme="minorHAnsi"/>
          <w:szCs w:val="24"/>
        </w:rPr>
        <w:t xml:space="preserve"> had requested </w:t>
      </w:r>
      <w:r w:rsidRPr="00B03A99">
        <w:rPr>
          <w:rFonts w:cstheme="minorHAnsi"/>
          <w:szCs w:val="24"/>
        </w:rPr>
        <w:t>additional information as to the underlying basis for th</w:t>
      </w:r>
      <w:r w:rsidR="006E0020" w:rsidRPr="00B03A99">
        <w:rPr>
          <w:rFonts w:cstheme="minorHAnsi"/>
          <w:szCs w:val="24"/>
        </w:rPr>
        <w:t xml:space="preserve">e use of a </w:t>
      </w:r>
      <w:r w:rsidRPr="00B03A99">
        <w:rPr>
          <w:rFonts w:cstheme="minorHAnsi"/>
          <w:szCs w:val="24"/>
        </w:rPr>
        <w:t xml:space="preserve">target </w:t>
      </w:r>
      <w:r w:rsidR="006E0020" w:rsidRPr="00B03A99">
        <w:rPr>
          <w:rFonts w:cstheme="minorHAnsi"/>
          <w:szCs w:val="24"/>
        </w:rPr>
        <w:t xml:space="preserve">threshold </w:t>
      </w:r>
      <w:r w:rsidR="008C7DFD" w:rsidRPr="00B03A99">
        <w:rPr>
          <w:rFonts w:cstheme="minorHAnsi"/>
          <w:szCs w:val="24"/>
        </w:rPr>
        <w:t xml:space="preserve">of a 30% reduction in </w:t>
      </w:r>
      <w:proofErr w:type="spellStart"/>
      <w:r w:rsidR="008C7DFD" w:rsidRPr="00B03A99">
        <w:rPr>
          <w:rFonts w:cstheme="minorHAnsi"/>
          <w:szCs w:val="24"/>
        </w:rPr>
        <w:t>Phe</w:t>
      </w:r>
      <w:proofErr w:type="spellEnd"/>
      <w:r w:rsidR="008C7DFD" w:rsidRPr="00B03A99">
        <w:rPr>
          <w:rFonts w:cstheme="minorHAnsi"/>
          <w:szCs w:val="24"/>
        </w:rPr>
        <w:t xml:space="preserve"> levels </w:t>
      </w:r>
      <w:r w:rsidR="001F63A4" w:rsidRPr="00B03A99">
        <w:rPr>
          <w:rFonts w:cstheme="minorHAnsi"/>
          <w:szCs w:val="24"/>
        </w:rPr>
        <w:t xml:space="preserve">and whether the 30% reduction was relevant regardless of baseline </w:t>
      </w:r>
      <w:proofErr w:type="spellStart"/>
      <w:r w:rsidR="001F63A4" w:rsidRPr="00B03A99">
        <w:rPr>
          <w:rFonts w:cstheme="minorHAnsi"/>
          <w:szCs w:val="24"/>
        </w:rPr>
        <w:t>Phe</w:t>
      </w:r>
      <w:proofErr w:type="spellEnd"/>
      <w:r w:rsidR="001F63A4" w:rsidRPr="00B03A99">
        <w:rPr>
          <w:rFonts w:cstheme="minorHAnsi"/>
          <w:szCs w:val="24"/>
        </w:rPr>
        <w:t xml:space="preserve"> levels </w:t>
      </w:r>
      <w:r w:rsidR="006E0020" w:rsidRPr="00B03A99">
        <w:rPr>
          <w:rFonts w:cstheme="minorHAnsi"/>
          <w:szCs w:val="24"/>
        </w:rPr>
        <w:t xml:space="preserve">(Paragraph 2.5, </w:t>
      </w:r>
      <w:r w:rsidR="006E0020" w:rsidRPr="00B03A99">
        <w:t xml:space="preserve">March 2018 PBAC </w:t>
      </w:r>
      <w:r w:rsidR="002A7B6E">
        <w:t>PSD</w:t>
      </w:r>
      <w:r w:rsidR="006E0020" w:rsidRPr="00B03A99">
        <w:t>).</w:t>
      </w:r>
      <w:r w:rsidR="006E0020" w:rsidRPr="00B03A99">
        <w:rPr>
          <w:rFonts w:cstheme="minorHAnsi"/>
          <w:szCs w:val="24"/>
        </w:rPr>
        <w:t xml:space="preserve"> </w:t>
      </w:r>
      <w:r w:rsidRPr="00B03A99">
        <w:rPr>
          <w:rFonts w:cstheme="minorHAnsi"/>
          <w:szCs w:val="24"/>
        </w:rPr>
        <w:t xml:space="preserve">The </w:t>
      </w:r>
      <w:r w:rsidR="00A553B6" w:rsidRPr="00B03A99">
        <w:rPr>
          <w:rFonts w:cstheme="minorHAnsi"/>
          <w:szCs w:val="24"/>
        </w:rPr>
        <w:t xml:space="preserve">minor </w:t>
      </w:r>
      <w:r w:rsidRPr="00B03A99">
        <w:rPr>
          <w:rFonts w:cstheme="minorHAnsi"/>
          <w:szCs w:val="24"/>
        </w:rPr>
        <w:t>resubmission stated that</w:t>
      </w:r>
      <w:r w:rsidR="002D5B20" w:rsidRPr="00B03A99">
        <w:rPr>
          <w:rFonts w:cstheme="minorHAnsi"/>
          <w:szCs w:val="24"/>
        </w:rPr>
        <w:t xml:space="preserve"> the basis was historical </w:t>
      </w:r>
      <w:r w:rsidR="007C2D62" w:rsidRPr="00B03A99">
        <w:rPr>
          <w:rFonts w:cstheme="minorHAnsi"/>
          <w:szCs w:val="24"/>
        </w:rPr>
        <w:t xml:space="preserve">with </w:t>
      </w:r>
      <w:r w:rsidR="002D5B20" w:rsidRPr="00B03A99">
        <w:rPr>
          <w:rFonts w:cstheme="minorHAnsi"/>
          <w:szCs w:val="24"/>
        </w:rPr>
        <w:t xml:space="preserve">no </w:t>
      </w:r>
      <w:r w:rsidR="00A553B6" w:rsidRPr="00B03A99">
        <w:rPr>
          <w:rFonts w:cstheme="minorHAnsi"/>
          <w:szCs w:val="24"/>
        </w:rPr>
        <w:t>rationale</w:t>
      </w:r>
      <w:r w:rsidR="002D5B20" w:rsidRPr="00B03A99">
        <w:rPr>
          <w:rFonts w:cstheme="minorHAnsi"/>
          <w:szCs w:val="24"/>
        </w:rPr>
        <w:t xml:space="preserve"> provided in early publications</w:t>
      </w:r>
      <w:r w:rsidR="007C2D62" w:rsidRPr="00B03A99">
        <w:rPr>
          <w:rFonts w:cstheme="minorHAnsi"/>
          <w:szCs w:val="24"/>
        </w:rPr>
        <w:t>,</w:t>
      </w:r>
      <w:r w:rsidR="002D5B20" w:rsidRPr="00B03A99">
        <w:rPr>
          <w:rFonts w:cstheme="minorHAnsi"/>
          <w:szCs w:val="24"/>
        </w:rPr>
        <w:t xml:space="preserve"> </w:t>
      </w:r>
      <w:r w:rsidR="00A553B6" w:rsidRPr="00B03A99">
        <w:rPr>
          <w:rFonts w:cstheme="minorHAnsi"/>
          <w:szCs w:val="24"/>
        </w:rPr>
        <w:t xml:space="preserve">but </w:t>
      </w:r>
      <w:r w:rsidR="006E0020" w:rsidRPr="00B03A99">
        <w:rPr>
          <w:rFonts w:cstheme="minorHAnsi"/>
          <w:szCs w:val="24"/>
        </w:rPr>
        <w:t xml:space="preserve">that this threshold </w:t>
      </w:r>
      <w:r w:rsidR="00A553B6" w:rsidRPr="00B03A99">
        <w:rPr>
          <w:rFonts w:cstheme="minorHAnsi"/>
          <w:szCs w:val="24"/>
        </w:rPr>
        <w:t xml:space="preserve">has been </w:t>
      </w:r>
      <w:r w:rsidR="007C2D62" w:rsidRPr="00B03A99">
        <w:rPr>
          <w:rFonts w:cstheme="minorHAnsi"/>
          <w:szCs w:val="24"/>
        </w:rPr>
        <w:t>a</w:t>
      </w:r>
      <w:r w:rsidR="002D5B20" w:rsidRPr="00B03A99">
        <w:rPr>
          <w:rFonts w:cstheme="minorHAnsi"/>
          <w:szCs w:val="24"/>
        </w:rPr>
        <w:t>ccepte</w:t>
      </w:r>
      <w:r w:rsidR="007C2D62" w:rsidRPr="00B03A99">
        <w:rPr>
          <w:rFonts w:cstheme="minorHAnsi"/>
          <w:szCs w:val="24"/>
        </w:rPr>
        <w:t>d</w:t>
      </w:r>
      <w:r w:rsidR="002D5B20" w:rsidRPr="00B03A99">
        <w:rPr>
          <w:rFonts w:cstheme="minorHAnsi"/>
          <w:szCs w:val="24"/>
        </w:rPr>
        <w:t xml:space="preserve"> in studies and guidelines</w:t>
      </w:r>
      <w:r w:rsidR="00A7751F" w:rsidRPr="00B03A99">
        <w:rPr>
          <w:rFonts w:cstheme="minorHAnsi"/>
          <w:szCs w:val="24"/>
        </w:rPr>
        <w:t>. For example,</w:t>
      </w:r>
      <w:r w:rsidR="002D5B20" w:rsidRPr="00B03A99">
        <w:rPr>
          <w:rFonts w:cstheme="minorHAnsi"/>
          <w:szCs w:val="24"/>
        </w:rPr>
        <w:t xml:space="preserve"> the Australian and European guidelines state that a target of 30% reduction in blood </w:t>
      </w:r>
      <w:proofErr w:type="spellStart"/>
      <w:r w:rsidR="002D5B20" w:rsidRPr="00B03A99">
        <w:rPr>
          <w:rFonts w:cstheme="minorHAnsi"/>
          <w:szCs w:val="24"/>
        </w:rPr>
        <w:t>Phe</w:t>
      </w:r>
      <w:proofErr w:type="spellEnd"/>
      <w:r w:rsidR="002D5B20" w:rsidRPr="00B03A99">
        <w:rPr>
          <w:rFonts w:cstheme="minorHAnsi"/>
          <w:szCs w:val="24"/>
        </w:rPr>
        <w:t xml:space="preserve"> appears to be an adequate compromise between sensitivity </w:t>
      </w:r>
      <w:r w:rsidR="002D5B20" w:rsidRPr="00B03A99">
        <w:rPr>
          <w:rFonts w:cstheme="minorHAnsi"/>
          <w:szCs w:val="24"/>
        </w:rPr>
        <w:lastRenderedPageBreak/>
        <w:t>and specificity</w:t>
      </w:r>
      <w:r w:rsidR="00B4225B" w:rsidRPr="00B03A99">
        <w:rPr>
          <w:rFonts w:cstheme="minorHAnsi"/>
          <w:szCs w:val="24"/>
        </w:rPr>
        <w:t>, though the Australian guidelines acknowledge that this target is arbitrary</w:t>
      </w:r>
      <w:r w:rsidR="00774B9D" w:rsidRPr="00B03A99">
        <w:rPr>
          <w:rFonts w:cstheme="minorHAnsi"/>
          <w:szCs w:val="24"/>
        </w:rPr>
        <w:t>. Further</w:t>
      </w:r>
      <w:r w:rsidR="002D5B20" w:rsidRPr="00B03A99">
        <w:rPr>
          <w:rFonts w:cstheme="minorHAnsi"/>
          <w:szCs w:val="24"/>
        </w:rPr>
        <w:t xml:space="preserve">, </w:t>
      </w:r>
      <w:r w:rsidR="00233A06" w:rsidRPr="00B03A99">
        <w:rPr>
          <w:rFonts w:cstheme="minorHAnsi"/>
          <w:szCs w:val="24"/>
        </w:rPr>
        <w:t>the Australian guidelines for ‘BH4 in the Management of PKU’ report</w:t>
      </w:r>
      <w:r w:rsidR="00A7751F" w:rsidRPr="00B03A99">
        <w:rPr>
          <w:rFonts w:cstheme="minorHAnsi"/>
          <w:szCs w:val="24"/>
        </w:rPr>
        <w:t>ed</w:t>
      </w:r>
      <w:r w:rsidR="00233A06" w:rsidRPr="00B03A99">
        <w:rPr>
          <w:rFonts w:cstheme="minorHAnsi"/>
          <w:szCs w:val="24"/>
        </w:rPr>
        <w:t xml:space="preserve"> that </w:t>
      </w:r>
      <w:r w:rsidR="002D5B20" w:rsidRPr="00B03A99">
        <w:rPr>
          <w:rFonts w:cstheme="minorHAnsi"/>
          <w:szCs w:val="24"/>
        </w:rPr>
        <w:t xml:space="preserve">there was a 95% agreement in a Delphi survey of Australasian PKU experts that a ≥ 30% reduction in blood </w:t>
      </w:r>
      <w:proofErr w:type="spellStart"/>
      <w:r w:rsidR="002D5B20" w:rsidRPr="00B03A99">
        <w:rPr>
          <w:rFonts w:cstheme="minorHAnsi"/>
          <w:szCs w:val="24"/>
        </w:rPr>
        <w:t>Phe</w:t>
      </w:r>
      <w:proofErr w:type="spellEnd"/>
      <w:r w:rsidR="002D5B20" w:rsidRPr="00B03A99">
        <w:rPr>
          <w:rFonts w:cstheme="minorHAnsi"/>
          <w:szCs w:val="24"/>
        </w:rPr>
        <w:t xml:space="preserve"> levels was a clinically significant response to BH4 therapy.</w:t>
      </w:r>
      <w:r w:rsidR="001F63A4" w:rsidRPr="00B03A99">
        <w:rPr>
          <w:rFonts w:cstheme="minorHAnsi"/>
          <w:szCs w:val="24"/>
        </w:rPr>
        <w:t xml:space="preserve"> </w:t>
      </w:r>
    </w:p>
    <w:p w:rsidR="005E5299" w:rsidRPr="00B03A99" w:rsidRDefault="007E5FCA" w:rsidP="007466A9">
      <w:pPr>
        <w:pStyle w:val="ListParagraph"/>
        <w:numPr>
          <w:ilvl w:val="1"/>
          <w:numId w:val="3"/>
        </w:numPr>
        <w:contextualSpacing w:val="0"/>
        <w:rPr>
          <w:rFonts w:cstheme="minorHAnsi"/>
          <w:szCs w:val="24"/>
        </w:rPr>
      </w:pPr>
      <w:r w:rsidRPr="00B03A99">
        <w:rPr>
          <w:rFonts w:cstheme="minorHAnsi"/>
          <w:szCs w:val="24"/>
        </w:rPr>
        <w:t>The</w:t>
      </w:r>
      <w:r w:rsidR="001F63A4" w:rsidRPr="00B03A99">
        <w:rPr>
          <w:rFonts w:cstheme="minorHAnsi"/>
          <w:szCs w:val="24"/>
        </w:rPr>
        <w:t xml:space="preserve"> </w:t>
      </w:r>
      <w:r w:rsidR="00CF5C7C" w:rsidRPr="00B03A99">
        <w:rPr>
          <w:rFonts w:cstheme="minorHAnsi"/>
          <w:szCs w:val="24"/>
        </w:rPr>
        <w:t xml:space="preserve">PBAC considered </w:t>
      </w:r>
      <w:r w:rsidR="00003929" w:rsidRPr="00B03A99">
        <w:rPr>
          <w:rFonts w:cstheme="minorHAnsi"/>
          <w:szCs w:val="24"/>
        </w:rPr>
        <w:t>that a ≥ </w:t>
      </w:r>
      <w:r w:rsidR="001F63A4" w:rsidRPr="00B03A99">
        <w:rPr>
          <w:rFonts w:cstheme="minorHAnsi"/>
          <w:szCs w:val="24"/>
        </w:rPr>
        <w:t xml:space="preserve">30% reduction in blood </w:t>
      </w:r>
      <w:proofErr w:type="spellStart"/>
      <w:r w:rsidR="001F63A4" w:rsidRPr="00B03A99">
        <w:rPr>
          <w:rFonts w:cstheme="minorHAnsi"/>
          <w:szCs w:val="24"/>
        </w:rPr>
        <w:t>Phe</w:t>
      </w:r>
      <w:proofErr w:type="spellEnd"/>
      <w:r w:rsidR="001F63A4" w:rsidRPr="00B03A99">
        <w:rPr>
          <w:rFonts w:cstheme="minorHAnsi"/>
          <w:szCs w:val="24"/>
        </w:rPr>
        <w:t xml:space="preserve"> levels is consistent with </w:t>
      </w:r>
      <w:r w:rsidR="00A7751F" w:rsidRPr="00B03A99">
        <w:rPr>
          <w:rFonts w:cstheme="minorHAnsi"/>
          <w:szCs w:val="24"/>
        </w:rPr>
        <w:t xml:space="preserve">the guidelines and </w:t>
      </w:r>
      <w:r w:rsidR="001F63A4" w:rsidRPr="00B03A99">
        <w:rPr>
          <w:rFonts w:cstheme="minorHAnsi"/>
          <w:szCs w:val="24"/>
        </w:rPr>
        <w:t>clinical data presented in the previous submission</w:t>
      </w:r>
      <w:r w:rsidR="00DA4218" w:rsidRPr="00B03A99">
        <w:rPr>
          <w:rFonts w:cstheme="minorHAnsi"/>
          <w:szCs w:val="24"/>
        </w:rPr>
        <w:t>, and represents a reasonable balance between sensitivity and specificity</w:t>
      </w:r>
      <w:r w:rsidR="003C4162" w:rsidRPr="00B03A99">
        <w:rPr>
          <w:rFonts w:cstheme="minorHAnsi"/>
          <w:szCs w:val="24"/>
        </w:rPr>
        <w:t>.</w:t>
      </w:r>
      <w:r w:rsidR="00CF5C7C" w:rsidRPr="00B03A99">
        <w:rPr>
          <w:rFonts w:cstheme="minorHAnsi"/>
          <w:szCs w:val="24"/>
        </w:rPr>
        <w:t xml:space="preserve"> </w:t>
      </w:r>
    </w:p>
    <w:p w:rsidR="00E34193" w:rsidRPr="00B03A99" w:rsidRDefault="00E34193" w:rsidP="00A9642F">
      <w:pPr>
        <w:pStyle w:val="Heading2"/>
        <w:rPr>
          <w:rFonts w:eastAsiaTheme="majorEastAsia"/>
          <w:lang w:eastAsia="en-US"/>
        </w:rPr>
      </w:pPr>
      <w:r w:rsidRPr="00B03A99">
        <w:rPr>
          <w:rFonts w:eastAsiaTheme="majorEastAsia"/>
          <w:lang w:eastAsia="en-US"/>
        </w:rPr>
        <w:t xml:space="preserve">Assessment of continuing response </w:t>
      </w:r>
    </w:p>
    <w:p w:rsidR="001D4070" w:rsidRPr="00B03A99" w:rsidRDefault="001D4070" w:rsidP="007466A9">
      <w:pPr>
        <w:pStyle w:val="ListParagraph"/>
        <w:numPr>
          <w:ilvl w:val="1"/>
          <w:numId w:val="3"/>
        </w:numPr>
        <w:contextualSpacing w:val="0"/>
        <w:rPr>
          <w:rFonts w:cstheme="minorHAnsi"/>
          <w:szCs w:val="24"/>
        </w:rPr>
      </w:pPr>
      <w:r w:rsidRPr="00B03A99">
        <w:rPr>
          <w:rFonts w:cstheme="minorHAnsi"/>
          <w:szCs w:val="24"/>
        </w:rPr>
        <w:t xml:space="preserve">The previous submission proposed that evidence of sustained benefit would need to be provided every six months for continuing access. That is, the proposed continuing restriction </w:t>
      </w:r>
      <w:r w:rsidR="000E01AF" w:rsidRPr="00B03A99">
        <w:rPr>
          <w:rFonts w:cstheme="minorHAnsi"/>
          <w:szCs w:val="24"/>
        </w:rPr>
        <w:t xml:space="preserve">had previously </w:t>
      </w:r>
      <w:r w:rsidRPr="00B03A99">
        <w:rPr>
          <w:rFonts w:cstheme="minorHAnsi"/>
          <w:szCs w:val="24"/>
        </w:rPr>
        <w:t xml:space="preserve">included the instruction that “the authority application must … include documentation of blood </w:t>
      </w:r>
      <w:proofErr w:type="spellStart"/>
      <w:r w:rsidR="001D5ECA" w:rsidRPr="00B03A99">
        <w:rPr>
          <w:rFonts w:cstheme="minorHAnsi"/>
          <w:szCs w:val="24"/>
        </w:rPr>
        <w:t>Phe</w:t>
      </w:r>
      <w:proofErr w:type="spellEnd"/>
      <w:r w:rsidR="001D5ECA" w:rsidRPr="00B03A99">
        <w:rPr>
          <w:rFonts w:cstheme="minorHAnsi"/>
          <w:szCs w:val="24"/>
        </w:rPr>
        <w:t xml:space="preserve"> </w:t>
      </w:r>
      <w:r w:rsidRPr="00B03A99">
        <w:rPr>
          <w:rFonts w:cstheme="minorHAnsi"/>
          <w:szCs w:val="24"/>
        </w:rPr>
        <w:t xml:space="preserve">levels within the target range, or a maintenance of blood </w:t>
      </w:r>
      <w:proofErr w:type="spellStart"/>
      <w:r w:rsidR="001D5ECA" w:rsidRPr="00B03A99">
        <w:rPr>
          <w:rFonts w:cstheme="minorHAnsi"/>
          <w:szCs w:val="24"/>
        </w:rPr>
        <w:t>Phe</w:t>
      </w:r>
      <w:proofErr w:type="spellEnd"/>
      <w:r w:rsidRPr="00B03A99">
        <w:rPr>
          <w:rFonts w:cstheme="minorHAnsi"/>
          <w:szCs w:val="24"/>
        </w:rPr>
        <w:t xml:space="preserve"> levels achieved at sapropterin responsiveness testing”. </w:t>
      </w:r>
    </w:p>
    <w:p w:rsidR="00DA4218" w:rsidRPr="00B03A99" w:rsidRDefault="001D4070" w:rsidP="007466A9">
      <w:pPr>
        <w:pStyle w:val="ListParagraph"/>
        <w:numPr>
          <w:ilvl w:val="1"/>
          <w:numId w:val="3"/>
        </w:numPr>
        <w:contextualSpacing w:val="0"/>
        <w:rPr>
          <w:rFonts w:cstheme="minorHAnsi"/>
          <w:szCs w:val="24"/>
        </w:rPr>
      </w:pPr>
      <w:r w:rsidRPr="00B03A99">
        <w:rPr>
          <w:rFonts w:cstheme="minorHAnsi"/>
          <w:szCs w:val="24"/>
        </w:rPr>
        <w:t xml:space="preserve">However, </w:t>
      </w:r>
      <w:r w:rsidR="001E2D3D" w:rsidRPr="00B03A99">
        <w:rPr>
          <w:rFonts w:cstheme="minorHAnsi"/>
          <w:szCs w:val="24"/>
        </w:rPr>
        <w:t xml:space="preserve">the minor resubmission’s proposed continuing restriction </w:t>
      </w:r>
      <w:r w:rsidR="00CF5C7C" w:rsidRPr="00B03A99">
        <w:rPr>
          <w:rFonts w:cstheme="minorHAnsi"/>
          <w:szCs w:val="24"/>
        </w:rPr>
        <w:t>wa</w:t>
      </w:r>
      <w:r w:rsidR="001E2D3D" w:rsidRPr="00B03A99">
        <w:rPr>
          <w:rFonts w:cstheme="minorHAnsi"/>
          <w:szCs w:val="24"/>
        </w:rPr>
        <w:t>s less stringent in terms of assessing continuing response, stating</w:t>
      </w:r>
      <w:r w:rsidR="007C3447" w:rsidRPr="00B03A99">
        <w:rPr>
          <w:rFonts w:cstheme="minorHAnsi"/>
          <w:szCs w:val="24"/>
        </w:rPr>
        <w:t xml:space="preserve"> “For subsequent authority applications for continuing treatment, documentation of monthly blood test and attendance at 6-monthly visits must be provided”. </w:t>
      </w:r>
      <w:r w:rsidR="001E2D3D" w:rsidRPr="00B03A99">
        <w:rPr>
          <w:rFonts w:cstheme="minorHAnsi"/>
          <w:szCs w:val="24"/>
        </w:rPr>
        <w:t>T</w:t>
      </w:r>
      <w:r w:rsidR="007C3447" w:rsidRPr="00B03A99">
        <w:rPr>
          <w:rFonts w:cstheme="minorHAnsi"/>
          <w:szCs w:val="24"/>
        </w:rPr>
        <w:t>he proposed restriction d</w:t>
      </w:r>
      <w:r w:rsidR="00CF5C7C" w:rsidRPr="00B03A99">
        <w:rPr>
          <w:rFonts w:cstheme="minorHAnsi"/>
          <w:szCs w:val="24"/>
        </w:rPr>
        <w:t>id</w:t>
      </w:r>
      <w:r w:rsidR="007C3447" w:rsidRPr="00B03A99">
        <w:rPr>
          <w:rFonts w:cstheme="minorHAnsi"/>
          <w:szCs w:val="24"/>
        </w:rPr>
        <w:t xml:space="preserve"> not specify particular levels at which blood </w:t>
      </w:r>
      <w:proofErr w:type="spellStart"/>
      <w:r w:rsidR="006E0020" w:rsidRPr="00B03A99">
        <w:rPr>
          <w:rFonts w:cstheme="minorHAnsi"/>
          <w:szCs w:val="24"/>
        </w:rPr>
        <w:t>Phe</w:t>
      </w:r>
      <w:proofErr w:type="spellEnd"/>
      <w:r w:rsidR="007C3447" w:rsidRPr="00B03A99">
        <w:rPr>
          <w:rFonts w:cstheme="minorHAnsi"/>
          <w:szCs w:val="24"/>
        </w:rPr>
        <w:t xml:space="preserve"> should be maintained in order to demonstrate a continuing response. </w:t>
      </w:r>
    </w:p>
    <w:p w:rsidR="00367253" w:rsidRPr="00B03A99" w:rsidRDefault="00A93F29" w:rsidP="00367253">
      <w:pPr>
        <w:pStyle w:val="ListParagraph"/>
        <w:numPr>
          <w:ilvl w:val="1"/>
          <w:numId w:val="1"/>
        </w:numPr>
        <w:contextualSpacing w:val="0"/>
        <w:rPr>
          <w:rFonts w:cstheme="minorHAnsi"/>
          <w:szCs w:val="24"/>
        </w:rPr>
      </w:pPr>
      <w:r w:rsidRPr="00B03A99">
        <w:rPr>
          <w:rFonts w:cstheme="minorHAnsi"/>
          <w:szCs w:val="24"/>
        </w:rPr>
        <w:t xml:space="preserve">The PBAC noted that </w:t>
      </w:r>
      <w:r w:rsidR="008835C5" w:rsidRPr="00B03A99">
        <w:rPr>
          <w:rFonts w:cstheme="minorHAnsi"/>
          <w:szCs w:val="24"/>
        </w:rPr>
        <w:t xml:space="preserve">there do not appear to be any guidelines that specify particular levels at which blood </w:t>
      </w:r>
      <w:proofErr w:type="spellStart"/>
      <w:r w:rsidR="008835C5" w:rsidRPr="00B03A99">
        <w:rPr>
          <w:rFonts w:cstheme="minorHAnsi"/>
          <w:szCs w:val="24"/>
        </w:rPr>
        <w:t>Phe</w:t>
      </w:r>
      <w:proofErr w:type="spellEnd"/>
      <w:r w:rsidR="008835C5" w:rsidRPr="00B03A99">
        <w:rPr>
          <w:rFonts w:cstheme="minorHAnsi"/>
          <w:szCs w:val="24"/>
        </w:rPr>
        <w:t xml:space="preserve"> should be maintained for continued access to sapropterin. </w:t>
      </w:r>
      <w:r w:rsidR="00367253" w:rsidRPr="00B03A99">
        <w:rPr>
          <w:rFonts w:cstheme="minorHAnsi"/>
          <w:szCs w:val="24"/>
        </w:rPr>
        <w:t xml:space="preserve">The PBAC considered that any continuation requirements based on </w:t>
      </w:r>
      <w:proofErr w:type="spellStart"/>
      <w:r w:rsidR="00367253" w:rsidRPr="00B03A99">
        <w:rPr>
          <w:rFonts w:cstheme="minorHAnsi"/>
          <w:szCs w:val="24"/>
        </w:rPr>
        <w:t>Phe</w:t>
      </w:r>
      <w:proofErr w:type="spellEnd"/>
      <w:r w:rsidR="00367253" w:rsidRPr="00B03A99">
        <w:rPr>
          <w:rFonts w:cstheme="minorHAnsi"/>
          <w:szCs w:val="24"/>
        </w:rPr>
        <w:t xml:space="preserve"> levels would potentially be confounded by intra-patient variability. Thus, the PBAC considered that the risk of use in patients not continuing to respond would be better managed through a Risk Sharing Arrangement, rather than PBS restriction criteria. </w:t>
      </w:r>
    </w:p>
    <w:p w:rsidR="00DA4218" w:rsidRPr="00B03A99" w:rsidRDefault="008835C5" w:rsidP="008835C5">
      <w:pPr>
        <w:pStyle w:val="ListParagraph"/>
        <w:numPr>
          <w:ilvl w:val="1"/>
          <w:numId w:val="3"/>
        </w:numPr>
        <w:contextualSpacing w:val="0"/>
        <w:rPr>
          <w:rFonts w:cstheme="minorHAnsi"/>
          <w:szCs w:val="24"/>
        </w:rPr>
      </w:pPr>
      <w:r w:rsidRPr="00B03A99">
        <w:rPr>
          <w:rFonts w:cstheme="minorHAnsi"/>
          <w:szCs w:val="24"/>
        </w:rPr>
        <w:t xml:space="preserve">For continuing treatment, </w:t>
      </w:r>
      <w:r w:rsidR="00A110CD" w:rsidRPr="00B03A99">
        <w:rPr>
          <w:rFonts w:cstheme="minorHAnsi"/>
          <w:szCs w:val="24"/>
        </w:rPr>
        <w:t>the Australian guidelines for ‘BH4 in the Management of PKU’ specify that blood monitoring should occur at the same frequency as the other patients with PKU</w:t>
      </w:r>
      <w:r w:rsidRPr="00B03A99">
        <w:rPr>
          <w:rFonts w:cstheme="minorHAnsi"/>
          <w:szCs w:val="24"/>
        </w:rPr>
        <w:t>, and th</w:t>
      </w:r>
      <w:r w:rsidR="00C771E4" w:rsidRPr="00B03A99">
        <w:rPr>
          <w:rFonts w:cstheme="minorHAnsi"/>
          <w:szCs w:val="24"/>
        </w:rPr>
        <w:t xml:space="preserve">at </w:t>
      </w:r>
      <w:r w:rsidR="00A110CD" w:rsidRPr="00B03A99">
        <w:rPr>
          <w:rFonts w:cstheme="minorHAnsi"/>
          <w:szCs w:val="24"/>
        </w:rPr>
        <w:t>patients</w:t>
      </w:r>
      <w:r w:rsidRPr="00B03A99">
        <w:rPr>
          <w:rFonts w:cstheme="minorHAnsi"/>
          <w:szCs w:val="24"/>
        </w:rPr>
        <w:t>/carers</w:t>
      </w:r>
      <w:r w:rsidR="00A110CD" w:rsidRPr="00B03A99">
        <w:rPr>
          <w:rFonts w:cstheme="minorHAnsi"/>
          <w:szCs w:val="24"/>
        </w:rPr>
        <w:t xml:space="preserve"> should be “assessed with regards to their compliance and cooperation </w:t>
      </w:r>
      <w:r w:rsidRPr="00B03A99">
        <w:rPr>
          <w:rFonts w:cstheme="minorHAnsi"/>
          <w:szCs w:val="24"/>
        </w:rPr>
        <w:t xml:space="preserve">… </w:t>
      </w:r>
      <w:r w:rsidR="00A110CD" w:rsidRPr="00B03A99">
        <w:rPr>
          <w:rFonts w:cstheme="minorHAnsi"/>
          <w:szCs w:val="24"/>
        </w:rPr>
        <w:t>with sapropterin therapy including ability to adhere to ongoing monitoring requirements and dietary recommendations” and that</w:t>
      </w:r>
      <w:r w:rsidR="00DA4218" w:rsidRPr="00B03A99">
        <w:rPr>
          <w:rFonts w:cstheme="minorHAnsi"/>
          <w:szCs w:val="24"/>
        </w:rPr>
        <w:t xml:space="preserve"> </w:t>
      </w:r>
      <w:r w:rsidR="00A110CD" w:rsidRPr="00B03A99">
        <w:rPr>
          <w:rFonts w:cstheme="minorHAnsi"/>
          <w:szCs w:val="24"/>
        </w:rPr>
        <w:t>“</w:t>
      </w:r>
      <w:r w:rsidR="00DA4218" w:rsidRPr="00B03A99">
        <w:rPr>
          <w:rFonts w:cstheme="minorHAnsi"/>
          <w:szCs w:val="24"/>
        </w:rPr>
        <w:t xml:space="preserve">long-term supplementation and ongoing evaluation </w:t>
      </w:r>
      <w:r w:rsidR="00A110CD" w:rsidRPr="00B03A99">
        <w:rPr>
          <w:rFonts w:cstheme="minorHAnsi"/>
          <w:szCs w:val="24"/>
        </w:rPr>
        <w:t xml:space="preserve">are </w:t>
      </w:r>
      <w:r w:rsidR="00DA4218" w:rsidRPr="00B03A99">
        <w:rPr>
          <w:rFonts w:cstheme="minorHAnsi"/>
          <w:szCs w:val="24"/>
        </w:rPr>
        <w:t>required to demonstrate true responsiveness</w:t>
      </w:r>
      <w:r w:rsidRPr="00B03A99">
        <w:rPr>
          <w:rFonts w:cstheme="minorHAnsi"/>
          <w:szCs w:val="24"/>
        </w:rPr>
        <w:t>”</w:t>
      </w:r>
      <w:r w:rsidR="00DA4218" w:rsidRPr="00B03A99">
        <w:rPr>
          <w:rFonts w:cstheme="minorHAnsi"/>
          <w:szCs w:val="24"/>
        </w:rPr>
        <w:t xml:space="preserve">. </w:t>
      </w:r>
    </w:p>
    <w:p w:rsidR="00C771E4" w:rsidRPr="00B03A99" w:rsidRDefault="00C771E4" w:rsidP="00C771E4">
      <w:pPr>
        <w:pStyle w:val="ListParagraph"/>
        <w:numPr>
          <w:ilvl w:val="1"/>
          <w:numId w:val="3"/>
        </w:numPr>
        <w:contextualSpacing w:val="0"/>
        <w:rPr>
          <w:rFonts w:cstheme="minorHAnsi"/>
          <w:szCs w:val="24"/>
        </w:rPr>
      </w:pPr>
      <w:r w:rsidRPr="00373CF7">
        <w:rPr>
          <w:rFonts w:cstheme="minorHAnsi"/>
          <w:szCs w:val="24"/>
        </w:rPr>
        <w:t>The PBAC considered that regular routine follow-up was necessary to ensure that sapropterin is not used as a replacement to diet</w:t>
      </w:r>
      <w:r w:rsidR="00A110CD" w:rsidRPr="00373CF7">
        <w:rPr>
          <w:rFonts w:cstheme="minorHAnsi"/>
          <w:szCs w:val="24"/>
        </w:rPr>
        <w:t xml:space="preserve">, and that a requirement around this should be included in the PBS restriction. The PBAC </w:t>
      </w:r>
      <w:r w:rsidRPr="00B03A99">
        <w:rPr>
          <w:rFonts w:cstheme="minorHAnsi"/>
          <w:szCs w:val="24"/>
        </w:rPr>
        <w:t>acknowledged that the degree of follow-up depends on patient age and disease severity</w:t>
      </w:r>
      <w:r w:rsidR="00A110CD" w:rsidRPr="00B03A99">
        <w:rPr>
          <w:rFonts w:cstheme="minorHAnsi"/>
          <w:szCs w:val="24"/>
        </w:rPr>
        <w:t xml:space="preserve">, but considered that a requirement for </w:t>
      </w:r>
      <w:r w:rsidR="00CA315A">
        <w:rPr>
          <w:rFonts w:cstheme="minorHAnsi"/>
          <w:szCs w:val="24"/>
        </w:rPr>
        <w:t>regular</w:t>
      </w:r>
      <w:r w:rsidR="00A110CD" w:rsidRPr="00B03A99">
        <w:rPr>
          <w:rFonts w:cstheme="minorHAnsi"/>
          <w:szCs w:val="24"/>
        </w:rPr>
        <w:t xml:space="preserve"> blood tests and 6-monthly visits was reasonable</w:t>
      </w:r>
      <w:r w:rsidRPr="00B03A99">
        <w:rPr>
          <w:rFonts w:cstheme="minorHAnsi"/>
          <w:szCs w:val="24"/>
        </w:rPr>
        <w:t xml:space="preserve">. </w:t>
      </w:r>
    </w:p>
    <w:p w:rsidR="00E34193" w:rsidRPr="00373CF7" w:rsidRDefault="00E34193" w:rsidP="00CB5EAD">
      <w:pPr>
        <w:pStyle w:val="Heading2"/>
        <w:rPr>
          <w:rFonts w:eastAsiaTheme="majorEastAsia"/>
          <w:lang w:eastAsia="en-US"/>
        </w:rPr>
      </w:pPr>
      <w:r w:rsidRPr="00373CF7">
        <w:rPr>
          <w:rFonts w:eastAsiaTheme="majorEastAsia"/>
          <w:lang w:eastAsia="en-US"/>
        </w:rPr>
        <w:lastRenderedPageBreak/>
        <w:t>Age: Continuation once patients turn 18</w:t>
      </w:r>
    </w:p>
    <w:p w:rsidR="00722158" w:rsidRPr="00B03A99" w:rsidRDefault="00E34193" w:rsidP="007466A9">
      <w:pPr>
        <w:pStyle w:val="ListParagraph"/>
        <w:numPr>
          <w:ilvl w:val="1"/>
          <w:numId w:val="3"/>
        </w:numPr>
        <w:contextualSpacing w:val="0"/>
        <w:rPr>
          <w:rFonts w:cstheme="minorHAnsi"/>
          <w:szCs w:val="24"/>
        </w:rPr>
      </w:pPr>
      <w:r w:rsidRPr="00373CF7">
        <w:rPr>
          <w:rFonts w:cstheme="minorHAnsi"/>
          <w:szCs w:val="24"/>
        </w:rPr>
        <w:t xml:space="preserve">In its previous consideration, the PBAC </w:t>
      </w:r>
      <w:r w:rsidR="00415E57" w:rsidRPr="00B03A99">
        <w:rPr>
          <w:rFonts w:cstheme="minorHAnsi"/>
          <w:szCs w:val="24"/>
        </w:rPr>
        <w:t>“</w:t>
      </w:r>
      <w:r w:rsidRPr="00B03A99">
        <w:rPr>
          <w:rFonts w:cstheme="minorHAnsi"/>
          <w:szCs w:val="24"/>
        </w:rPr>
        <w:t>considered that commencement of sapropterin therapy should be restricted to children and adolescents</w:t>
      </w:r>
      <w:r w:rsidR="00415E57" w:rsidRPr="00B03A99">
        <w:rPr>
          <w:rFonts w:cstheme="minorHAnsi"/>
          <w:szCs w:val="24"/>
        </w:rPr>
        <w:t>”</w:t>
      </w:r>
      <w:r w:rsidRPr="00B03A99">
        <w:rPr>
          <w:rFonts w:cstheme="minorHAnsi"/>
          <w:szCs w:val="24"/>
        </w:rPr>
        <w:t xml:space="preserve"> (Para</w:t>
      </w:r>
      <w:r w:rsidR="00C95632" w:rsidRPr="00B03A99">
        <w:rPr>
          <w:rFonts w:cstheme="minorHAnsi"/>
          <w:szCs w:val="24"/>
        </w:rPr>
        <w:t>graph</w:t>
      </w:r>
      <w:r w:rsidRPr="00B03A99">
        <w:rPr>
          <w:rFonts w:cstheme="minorHAnsi"/>
          <w:szCs w:val="24"/>
        </w:rPr>
        <w:t xml:space="preserve"> 7.4</w:t>
      </w:r>
      <w:r w:rsidR="00C95632" w:rsidRPr="00B03A99">
        <w:rPr>
          <w:rFonts w:cstheme="minorHAnsi"/>
          <w:szCs w:val="24"/>
        </w:rPr>
        <w:t xml:space="preserve">, March 2018 PBAC </w:t>
      </w:r>
      <w:r w:rsidR="002A7B6E">
        <w:rPr>
          <w:rFonts w:cstheme="minorHAnsi"/>
          <w:szCs w:val="24"/>
        </w:rPr>
        <w:t>PSD</w:t>
      </w:r>
      <w:r w:rsidRPr="00B03A99">
        <w:rPr>
          <w:rFonts w:cstheme="minorHAnsi"/>
          <w:szCs w:val="24"/>
        </w:rPr>
        <w:t>).</w:t>
      </w:r>
      <w:r w:rsidR="00C95632" w:rsidRPr="00B03A99">
        <w:rPr>
          <w:rFonts w:cstheme="minorHAnsi"/>
          <w:szCs w:val="24"/>
        </w:rPr>
        <w:t xml:space="preserve"> </w:t>
      </w:r>
      <w:r w:rsidRPr="00B03A99">
        <w:rPr>
          <w:rFonts w:cstheme="minorHAnsi"/>
          <w:szCs w:val="24"/>
        </w:rPr>
        <w:t xml:space="preserve">The </w:t>
      </w:r>
      <w:r w:rsidR="00415E57" w:rsidRPr="00B03A99">
        <w:rPr>
          <w:rFonts w:cstheme="minorHAnsi"/>
          <w:szCs w:val="24"/>
        </w:rPr>
        <w:t xml:space="preserve">proposed </w:t>
      </w:r>
      <w:r w:rsidRPr="00B03A99">
        <w:rPr>
          <w:rFonts w:cstheme="minorHAnsi"/>
          <w:szCs w:val="24"/>
        </w:rPr>
        <w:t>restriction would allow continuation once a person turn</w:t>
      </w:r>
      <w:r w:rsidR="00415E57" w:rsidRPr="00B03A99">
        <w:rPr>
          <w:rFonts w:cstheme="minorHAnsi"/>
          <w:szCs w:val="24"/>
        </w:rPr>
        <w:t>s</w:t>
      </w:r>
      <w:r w:rsidRPr="00B03A99">
        <w:rPr>
          <w:rFonts w:cstheme="minorHAnsi"/>
          <w:szCs w:val="24"/>
        </w:rPr>
        <w:t xml:space="preserve"> 18 years of age, </w:t>
      </w:r>
      <w:r w:rsidR="00415E57" w:rsidRPr="00B03A99">
        <w:rPr>
          <w:rFonts w:cstheme="minorHAnsi"/>
          <w:szCs w:val="24"/>
        </w:rPr>
        <w:t xml:space="preserve">provided </w:t>
      </w:r>
      <w:r w:rsidRPr="00B03A99">
        <w:rPr>
          <w:rFonts w:cstheme="minorHAnsi"/>
          <w:szCs w:val="24"/>
        </w:rPr>
        <w:t>they had commenced</w:t>
      </w:r>
      <w:r w:rsidR="007C14B1" w:rsidRPr="00B03A99">
        <w:rPr>
          <w:rFonts w:cstheme="minorHAnsi"/>
          <w:szCs w:val="24"/>
        </w:rPr>
        <w:t xml:space="preserve"> sapropterin </w:t>
      </w:r>
      <w:r w:rsidRPr="00B03A99">
        <w:rPr>
          <w:rFonts w:cstheme="minorHAnsi"/>
          <w:szCs w:val="24"/>
        </w:rPr>
        <w:t>prior to the age of 18</w:t>
      </w:r>
      <w:r w:rsidR="008622BF" w:rsidRPr="00B03A99">
        <w:rPr>
          <w:rFonts w:cstheme="minorHAnsi"/>
          <w:szCs w:val="24"/>
        </w:rPr>
        <w:t xml:space="preserve">. </w:t>
      </w:r>
    </w:p>
    <w:p w:rsidR="00E34193" w:rsidRPr="00B03A99" w:rsidRDefault="00601D84" w:rsidP="007466A9">
      <w:pPr>
        <w:pStyle w:val="ListParagraph"/>
        <w:numPr>
          <w:ilvl w:val="1"/>
          <w:numId w:val="3"/>
        </w:numPr>
        <w:contextualSpacing w:val="0"/>
        <w:rPr>
          <w:rFonts w:cstheme="minorHAnsi"/>
          <w:szCs w:val="24"/>
        </w:rPr>
      </w:pPr>
      <w:r w:rsidRPr="00B03A99">
        <w:rPr>
          <w:rFonts w:cstheme="minorHAnsi"/>
          <w:szCs w:val="24"/>
        </w:rPr>
        <w:t>T</w:t>
      </w:r>
      <w:r w:rsidR="00722158" w:rsidRPr="00B03A99">
        <w:rPr>
          <w:rFonts w:cstheme="minorHAnsi"/>
          <w:szCs w:val="24"/>
        </w:rPr>
        <w:t xml:space="preserve">he minor resubmission provided correspondence from the </w:t>
      </w:r>
      <w:r w:rsidR="00326FBD" w:rsidRPr="00B03A99">
        <w:rPr>
          <w:rFonts w:cstheme="minorHAnsi"/>
          <w:szCs w:val="24"/>
        </w:rPr>
        <w:t xml:space="preserve">Metabolic Dietary Disorders Association </w:t>
      </w:r>
      <w:r w:rsidR="00951FA1" w:rsidRPr="00B03A99">
        <w:rPr>
          <w:rFonts w:cstheme="minorHAnsi"/>
          <w:szCs w:val="24"/>
        </w:rPr>
        <w:t>(MD</w:t>
      </w:r>
      <w:r w:rsidR="00F35BDB" w:rsidRPr="00B03A99">
        <w:rPr>
          <w:rFonts w:cstheme="minorHAnsi"/>
          <w:szCs w:val="24"/>
        </w:rPr>
        <w:t>D</w:t>
      </w:r>
      <w:r w:rsidR="00951FA1" w:rsidRPr="00B03A99">
        <w:rPr>
          <w:rFonts w:cstheme="minorHAnsi"/>
          <w:szCs w:val="24"/>
        </w:rPr>
        <w:t>A)</w:t>
      </w:r>
      <w:r w:rsidRPr="00B03A99">
        <w:rPr>
          <w:rFonts w:cstheme="minorHAnsi"/>
          <w:szCs w:val="24"/>
        </w:rPr>
        <w:t xml:space="preserve">, who considered that continuity of sapropterin treatment for paediatric patients after they turn 18 years of age was critical and stated that without certainty of ongoing access to sapropterin treatment, the MDDA would discourage parents and patients from commencing sapropterin treatment. It stated that patients treated with sapropterin may not be able to adhere to the strict </w:t>
      </w:r>
      <w:proofErr w:type="spellStart"/>
      <w:r w:rsidRPr="00B03A99">
        <w:rPr>
          <w:rFonts w:cstheme="minorHAnsi"/>
          <w:szCs w:val="24"/>
        </w:rPr>
        <w:t>Phe</w:t>
      </w:r>
      <w:proofErr w:type="spellEnd"/>
      <w:r w:rsidRPr="00B03A99">
        <w:rPr>
          <w:rFonts w:cstheme="minorHAnsi"/>
          <w:szCs w:val="24"/>
        </w:rPr>
        <w:t xml:space="preserve">-restricted diet necessary to maintain blood </w:t>
      </w:r>
      <w:proofErr w:type="spellStart"/>
      <w:r w:rsidRPr="00B03A99">
        <w:rPr>
          <w:rFonts w:cstheme="minorHAnsi"/>
          <w:szCs w:val="24"/>
        </w:rPr>
        <w:t>Phe</w:t>
      </w:r>
      <w:proofErr w:type="spellEnd"/>
      <w:r w:rsidRPr="00B03A99">
        <w:rPr>
          <w:rFonts w:cstheme="minorHAnsi"/>
          <w:szCs w:val="24"/>
        </w:rPr>
        <w:t xml:space="preserve"> levels in the therapeutic range without sapropterin.</w:t>
      </w:r>
      <w:r w:rsidR="00F1364E" w:rsidRPr="00B03A99">
        <w:rPr>
          <w:rFonts w:cstheme="minorHAnsi"/>
          <w:szCs w:val="24"/>
        </w:rPr>
        <w:t xml:space="preserve"> Further, it stated that managing a strict </w:t>
      </w:r>
      <w:proofErr w:type="spellStart"/>
      <w:r w:rsidR="00F1364E" w:rsidRPr="00B03A99">
        <w:rPr>
          <w:rFonts w:cstheme="minorHAnsi"/>
          <w:szCs w:val="24"/>
        </w:rPr>
        <w:t>Phe</w:t>
      </w:r>
      <w:proofErr w:type="spellEnd"/>
      <w:r w:rsidR="00F1364E" w:rsidRPr="00B03A99">
        <w:rPr>
          <w:rFonts w:cstheme="minorHAnsi"/>
          <w:szCs w:val="24"/>
        </w:rPr>
        <w:t>-restricted diet is especially challenging during adolescence and adulthood when parental control over diet diminishes, and while lifestyle changes occur such as transitioning to secondary to tertiary education, independent living, and commencing work. The MDDA also stated that patients are vulnerable to poor management or becoming lost to treatment at 18 years of age when they transition from paediatric to adult health services.</w:t>
      </w:r>
    </w:p>
    <w:p w:rsidR="005D5DC5" w:rsidRPr="00B03A99" w:rsidRDefault="00057745" w:rsidP="005D5DC5">
      <w:pPr>
        <w:pStyle w:val="ListParagraph"/>
        <w:numPr>
          <w:ilvl w:val="1"/>
          <w:numId w:val="1"/>
        </w:numPr>
        <w:contextualSpacing w:val="0"/>
        <w:rPr>
          <w:rFonts w:cstheme="minorHAnsi"/>
          <w:szCs w:val="24"/>
        </w:rPr>
      </w:pPr>
      <w:r w:rsidRPr="00B03A99">
        <w:rPr>
          <w:rFonts w:cstheme="minorHAnsi"/>
          <w:szCs w:val="24"/>
        </w:rPr>
        <w:t xml:space="preserve">The PBAC </w:t>
      </w:r>
      <w:r w:rsidR="00361D8E" w:rsidRPr="00B03A99">
        <w:rPr>
          <w:rFonts w:cstheme="minorHAnsi"/>
          <w:szCs w:val="24"/>
        </w:rPr>
        <w:t xml:space="preserve">recalled that it had previously considered </w:t>
      </w:r>
      <w:r w:rsidRPr="00B03A99">
        <w:rPr>
          <w:rFonts w:cstheme="minorHAnsi"/>
          <w:szCs w:val="24"/>
        </w:rPr>
        <w:t xml:space="preserve">that the benefits of sapropterin in terms of improved neurological function were likely to be greatest during the development period for children and adolescents, and that the cost-effectiveness was likely more favourable in children compared with those aged </w:t>
      </w:r>
      <w:r w:rsidR="00681227" w:rsidRPr="00B03A99">
        <w:rPr>
          <w:rFonts w:cstheme="minorHAnsi"/>
          <w:szCs w:val="24"/>
        </w:rPr>
        <w:t>≥</w:t>
      </w:r>
      <w:r w:rsidR="00912B70" w:rsidRPr="00B03A99">
        <w:rPr>
          <w:rFonts w:cstheme="minorHAnsi"/>
          <w:szCs w:val="24"/>
        </w:rPr>
        <w:t xml:space="preserve"> </w:t>
      </w:r>
      <w:r w:rsidRPr="00B03A99">
        <w:rPr>
          <w:rFonts w:cstheme="minorHAnsi"/>
          <w:szCs w:val="24"/>
        </w:rPr>
        <w:t xml:space="preserve">18 years. </w:t>
      </w:r>
      <w:r w:rsidR="005D5DC5" w:rsidRPr="00B03A99">
        <w:rPr>
          <w:rFonts w:cstheme="minorHAnsi"/>
          <w:szCs w:val="24"/>
        </w:rPr>
        <w:t xml:space="preserve">The PBAC noted that the pre-PBAC response had proposed a mechanism that may help improve the cost-effectiveness and reduce the financial impact of continuing patients aged ≥ 18 years (discussed in ‘Estimated PBS usage &amp; financial implications’ below). </w:t>
      </w:r>
    </w:p>
    <w:p w:rsidR="00057745" w:rsidRPr="00B03A99" w:rsidRDefault="005D5DC5" w:rsidP="005D5DC5">
      <w:pPr>
        <w:pStyle w:val="ListParagraph"/>
        <w:numPr>
          <w:ilvl w:val="1"/>
          <w:numId w:val="3"/>
        </w:numPr>
        <w:contextualSpacing w:val="0"/>
        <w:rPr>
          <w:rFonts w:cstheme="minorHAnsi"/>
          <w:szCs w:val="24"/>
        </w:rPr>
      </w:pPr>
      <w:r w:rsidRPr="00B03A99">
        <w:rPr>
          <w:rFonts w:cstheme="minorHAnsi"/>
          <w:szCs w:val="24"/>
        </w:rPr>
        <w:t>In light of the revised RSA proposal</w:t>
      </w:r>
      <w:r w:rsidRPr="00CA315A">
        <w:rPr>
          <w:rFonts w:eastAsia="Times New Roman" w:cs="Arial"/>
          <w:bCs/>
          <w:snapToGrid w:val="0"/>
        </w:rPr>
        <w:t xml:space="preserve"> and the risks of ceasing treatment once commenced</w:t>
      </w:r>
      <w:r w:rsidRPr="00B03A99">
        <w:rPr>
          <w:rFonts w:cstheme="minorHAnsi"/>
          <w:szCs w:val="24"/>
        </w:rPr>
        <w:t>, the PBAC considered that it would be appropriate to allow patients who commenced PBS-subsidised sapropterin prior to the age of 18 years to continue thereafter.</w:t>
      </w:r>
    </w:p>
    <w:p w:rsidR="005D5DC5" w:rsidRPr="00373CF7" w:rsidRDefault="005D5DC5" w:rsidP="005D5DC5">
      <w:pPr>
        <w:pStyle w:val="ListParagraph"/>
        <w:numPr>
          <w:ilvl w:val="1"/>
          <w:numId w:val="3"/>
        </w:numPr>
        <w:contextualSpacing w:val="0"/>
        <w:rPr>
          <w:rFonts w:cstheme="minorHAnsi"/>
          <w:szCs w:val="24"/>
        </w:rPr>
      </w:pPr>
      <w:r w:rsidRPr="00373CF7">
        <w:rPr>
          <w:rFonts w:cstheme="minorHAnsi"/>
          <w:szCs w:val="24"/>
        </w:rPr>
        <w:t>The PBAC noted that the financial estimates did not include grandfathering of patients aged over 18 (i.e. the resubmission assumed that only patients under the age of 18 would be eligible to access PBS-subsidised sapropterin through the grandfathering restriction) and considered this was appropriate and consistent with its recommendation that only patients who commenced PBS-subsidised sapropterin prior to the age of 18 years could continue thereafter.</w:t>
      </w:r>
    </w:p>
    <w:p w:rsidR="00415E57" w:rsidRPr="00B03A99" w:rsidRDefault="00454217" w:rsidP="00CB5EAD">
      <w:pPr>
        <w:pStyle w:val="Heading2"/>
        <w:rPr>
          <w:rFonts w:eastAsiaTheme="majorEastAsia"/>
          <w:lang w:eastAsia="en-US"/>
        </w:rPr>
      </w:pPr>
      <w:r w:rsidRPr="00373CF7">
        <w:rPr>
          <w:rFonts w:eastAsiaTheme="majorEastAsia"/>
          <w:lang w:eastAsia="en-US"/>
        </w:rPr>
        <w:lastRenderedPageBreak/>
        <w:t>Grandfathering restriction</w:t>
      </w:r>
    </w:p>
    <w:p w:rsidR="00897BBA" w:rsidRPr="00B03A99" w:rsidRDefault="00454217" w:rsidP="00B92AB8">
      <w:pPr>
        <w:pStyle w:val="ListParagraph"/>
        <w:keepNext/>
        <w:keepLines/>
        <w:numPr>
          <w:ilvl w:val="1"/>
          <w:numId w:val="3"/>
        </w:numPr>
        <w:contextualSpacing w:val="0"/>
        <w:rPr>
          <w:rFonts w:cstheme="minorHAnsi"/>
          <w:szCs w:val="24"/>
        </w:rPr>
      </w:pPr>
      <w:r w:rsidRPr="00B03A99">
        <w:rPr>
          <w:rFonts w:cstheme="minorHAnsi"/>
          <w:szCs w:val="24"/>
        </w:rPr>
        <w:t xml:space="preserve">The resubmission proposed a combined restriction for continuing therapy and grandfathered patients. </w:t>
      </w:r>
      <w:r w:rsidR="00897BBA" w:rsidRPr="00B03A99">
        <w:rPr>
          <w:rFonts w:cstheme="minorHAnsi"/>
          <w:szCs w:val="24"/>
        </w:rPr>
        <w:t>However, the</w:t>
      </w:r>
      <w:r w:rsidRPr="00B03A99">
        <w:rPr>
          <w:rFonts w:cstheme="minorHAnsi"/>
          <w:szCs w:val="24"/>
        </w:rPr>
        <w:t xml:space="preserve"> Secretariat has proposed a separate restriction for grandfathered patients given</w:t>
      </w:r>
      <w:r w:rsidR="00897BBA" w:rsidRPr="00B03A99">
        <w:rPr>
          <w:rFonts w:cstheme="minorHAnsi"/>
          <w:szCs w:val="24"/>
        </w:rPr>
        <w:t xml:space="preserve"> such</w:t>
      </w:r>
      <w:r w:rsidRPr="00B03A99">
        <w:rPr>
          <w:rFonts w:cstheme="minorHAnsi"/>
          <w:szCs w:val="24"/>
        </w:rPr>
        <w:t xml:space="preserve"> </w:t>
      </w:r>
      <w:r w:rsidR="00897BBA" w:rsidRPr="00B03A99">
        <w:rPr>
          <w:rFonts w:cstheme="minorHAnsi"/>
          <w:szCs w:val="24"/>
        </w:rPr>
        <w:t xml:space="preserve">patients would </w:t>
      </w:r>
      <w:r w:rsidRPr="00B03A99">
        <w:rPr>
          <w:rFonts w:cstheme="minorHAnsi"/>
          <w:szCs w:val="24"/>
        </w:rPr>
        <w:t xml:space="preserve">be required to </w:t>
      </w:r>
      <w:r w:rsidR="00897BBA" w:rsidRPr="00B03A99">
        <w:rPr>
          <w:rFonts w:cstheme="minorHAnsi"/>
          <w:szCs w:val="24"/>
        </w:rPr>
        <w:t>have previously met</w:t>
      </w:r>
      <w:r w:rsidRPr="00B03A99">
        <w:rPr>
          <w:rFonts w:cstheme="minorHAnsi"/>
          <w:szCs w:val="24"/>
        </w:rPr>
        <w:t xml:space="preserve"> the initial criteria (i.e. blood </w:t>
      </w:r>
      <w:proofErr w:type="spellStart"/>
      <w:r w:rsidR="00071131" w:rsidRPr="00B03A99">
        <w:rPr>
          <w:rFonts w:cstheme="minorHAnsi"/>
          <w:szCs w:val="24"/>
        </w:rPr>
        <w:t>Phe</w:t>
      </w:r>
      <w:proofErr w:type="spellEnd"/>
      <w:r w:rsidR="00071131" w:rsidRPr="00B03A99">
        <w:rPr>
          <w:rFonts w:cstheme="minorHAnsi"/>
          <w:szCs w:val="24"/>
        </w:rPr>
        <w:t xml:space="preserve"> </w:t>
      </w:r>
      <w:r w:rsidR="00361D8E" w:rsidRPr="00B03A99">
        <w:rPr>
          <w:rFonts w:cstheme="minorHAnsi"/>
          <w:szCs w:val="24"/>
        </w:rPr>
        <w:t>levels above a particular threshold</w:t>
      </w:r>
      <w:r w:rsidR="00897BBA" w:rsidRPr="00B03A99">
        <w:rPr>
          <w:rFonts w:cstheme="minorHAnsi"/>
          <w:szCs w:val="24"/>
        </w:rPr>
        <w:t xml:space="preserve"> </w:t>
      </w:r>
      <w:r w:rsidRPr="00B03A99">
        <w:rPr>
          <w:rFonts w:cstheme="minorHAnsi"/>
          <w:szCs w:val="24"/>
        </w:rPr>
        <w:t xml:space="preserve">and </w:t>
      </w:r>
      <w:r w:rsidR="00897BBA" w:rsidRPr="00B03A99">
        <w:rPr>
          <w:rFonts w:cstheme="minorHAnsi"/>
          <w:szCs w:val="24"/>
        </w:rPr>
        <w:t xml:space="preserve">that sapropterin therapy must have been commenced when the patient was under the age of 18 years). </w:t>
      </w:r>
    </w:p>
    <w:p w:rsidR="00454217" w:rsidRPr="00B03A99" w:rsidRDefault="000660CF" w:rsidP="007466A9">
      <w:pPr>
        <w:pStyle w:val="ListParagraph"/>
        <w:numPr>
          <w:ilvl w:val="1"/>
          <w:numId w:val="3"/>
        </w:numPr>
        <w:contextualSpacing w:val="0"/>
        <w:rPr>
          <w:rFonts w:cstheme="minorHAnsi"/>
          <w:szCs w:val="24"/>
        </w:rPr>
      </w:pPr>
      <w:r w:rsidRPr="00B03A99">
        <w:rPr>
          <w:rFonts w:cstheme="minorHAnsi"/>
          <w:szCs w:val="24"/>
        </w:rPr>
        <w:t xml:space="preserve">The resubmission proposed that grandfathered patients would not need to re-demonstrate sapropterin responsiveness, irrespective of when response testing was conducted. </w:t>
      </w:r>
    </w:p>
    <w:p w:rsidR="00E80878" w:rsidRPr="00373CF7" w:rsidRDefault="00E80878" w:rsidP="00CB5EAD">
      <w:pPr>
        <w:pStyle w:val="Heading2"/>
        <w:rPr>
          <w:rFonts w:eastAsiaTheme="majorEastAsia"/>
          <w:lang w:eastAsia="en-US"/>
        </w:rPr>
      </w:pPr>
      <w:r w:rsidRPr="00373CF7">
        <w:rPr>
          <w:rFonts w:eastAsiaTheme="majorEastAsia"/>
          <w:lang w:eastAsia="en-US"/>
        </w:rPr>
        <w:t>Other issues</w:t>
      </w:r>
    </w:p>
    <w:p w:rsidR="00B66CD2" w:rsidRPr="00B03A99" w:rsidRDefault="00393D7E" w:rsidP="00B66CD2">
      <w:pPr>
        <w:pStyle w:val="ListParagraph"/>
        <w:numPr>
          <w:ilvl w:val="1"/>
          <w:numId w:val="3"/>
        </w:numPr>
        <w:contextualSpacing w:val="0"/>
        <w:rPr>
          <w:rFonts w:cstheme="minorHAnsi"/>
          <w:szCs w:val="24"/>
        </w:rPr>
      </w:pPr>
      <w:r w:rsidRPr="00373CF7">
        <w:rPr>
          <w:rFonts w:cstheme="minorHAnsi"/>
          <w:szCs w:val="24"/>
        </w:rPr>
        <w:t>The proposed</w:t>
      </w:r>
      <w:r w:rsidR="00E80878" w:rsidRPr="00B03A99">
        <w:rPr>
          <w:rFonts w:cstheme="minorHAnsi"/>
          <w:szCs w:val="24"/>
        </w:rPr>
        <w:t xml:space="preserve"> initial and continuing </w:t>
      </w:r>
      <w:r w:rsidRPr="00B03A99">
        <w:rPr>
          <w:rFonts w:cstheme="minorHAnsi"/>
          <w:szCs w:val="24"/>
        </w:rPr>
        <w:t>r</w:t>
      </w:r>
      <w:r w:rsidR="00E80878" w:rsidRPr="00B03A99">
        <w:rPr>
          <w:rFonts w:cstheme="minorHAnsi"/>
          <w:szCs w:val="24"/>
        </w:rPr>
        <w:t xml:space="preserve">estrictions </w:t>
      </w:r>
      <w:r w:rsidRPr="00B03A99">
        <w:rPr>
          <w:rFonts w:cstheme="minorHAnsi"/>
          <w:szCs w:val="24"/>
        </w:rPr>
        <w:t xml:space="preserve">both </w:t>
      </w:r>
      <w:r w:rsidR="00E80878" w:rsidRPr="00B03A99">
        <w:rPr>
          <w:rFonts w:cstheme="minorHAnsi"/>
          <w:szCs w:val="24"/>
        </w:rPr>
        <w:t xml:space="preserve">state that the patient “Must be treated by a metabolic physician, medical practitioner or a nurse practitioner, experienced in the treatment of phenylketonuria (PKU)”. </w:t>
      </w:r>
      <w:r w:rsidR="003B0B28">
        <w:rPr>
          <w:rFonts w:cstheme="minorHAnsi"/>
          <w:szCs w:val="24"/>
        </w:rPr>
        <w:t xml:space="preserve">The pre-PBAC response </w:t>
      </w:r>
      <w:r w:rsidR="00B66CD2" w:rsidRPr="00B03A99">
        <w:rPr>
          <w:rFonts w:cstheme="minorHAnsi"/>
          <w:szCs w:val="24"/>
        </w:rPr>
        <w:t>stated that patients with PKU are managed predominantly by nurse practitioners at metabolic clinics, and that general practitioners do not manage PKU. As such, the PBAC considered that the restriction should allow prescribing by metabolic physicians or nurse practitioners experienced in the treatment of PKU.</w:t>
      </w:r>
    </w:p>
    <w:p w:rsidR="00FC3C66" w:rsidRPr="00B03A99" w:rsidRDefault="00FC3C66" w:rsidP="007466A9">
      <w:pPr>
        <w:pStyle w:val="ListParagraph"/>
        <w:numPr>
          <w:ilvl w:val="1"/>
          <w:numId w:val="3"/>
        </w:numPr>
        <w:contextualSpacing w:val="0"/>
        <w:rPr>
          <w:rFonts w:cstheme="minorHAnsi"/>
          <w:szCs w:val="24"/>
        </w:rPr>
      </w:pPr>
      <w:r w:rsidRPr="00373CF7">
        <w:rPr>
          <w:rFonts w:cstheme="minorHAnsi"/>
          <w:snapToGrid w:val="0"/>
        </w:rPr>
        <w:t xml:space="preserve">The minor resubmission proposed that </w:t>
      </w:r>
      <w:r w:rsidR="00B66CD2" w:rsidRPr="00373CF7">
        <w:rPr>
          <w:rFonts w:cstheme="minorHAnsi"/>
          <w:snapToGrid w:val="0"/>
        </w:rPr>
        <w:t xml:space="preserve">both </w:t>
      </w:r>
      <w:r w:rsidRPr="00373CF7">
        <w:rPr>
          <w:rFonts w:cstheme="minorHAnsi"/>
          <w:snapToGrid w:val="0"/>
        </w:rPr>
        <w:t xml:space="preserve">the initial and continuing restrictions be Authority Required – In Writing. </w:t>
      </w:r>
    </w:p>
    <w:p w:rsidR="00C23577" w:rsidRPr="00B03A99" w:rsidRDefault="00C23577" w:rsidP="007466A9">
      <w:pPr>
        <w:pStyle w:val="ListParagraph"/>
        <w:numPr>
          <w:ilvl w:val="1"/>
          <w:numId w:val="3"/>
        </w:numPr>
        <w:contextualSpacing w:val="0"/>
        <w:rPr>
          <w:rFonts w:cstheme="minorHAnsi"/>
          <w:snapToGrid w:val="0"/>
          <w:szCs w:val="24"/>
        </w:rPr>
      </w:pPr>
      <w:r w:rsidRPr="00B03A99">
        <w:rPr>
          <w:rFonts w:cstheme="minorHAnsi"/>
          <w:snapToGrid w:val="0"/>
          <w:szCs w:val="24"/>
        </w:rPr>
        <w:t>The request</w:t>
      </w:r>
      <w:r w:rsidRPr="00373CF7">
        <w:rPr>
          <w:rFonts w:cstheme="minorHAnsi"/>
          <w:snapToGrid w:val="0"/>
          <w:szCs w:val="24"/>
        </w:rPr>
        <w:t xml:space="preserve">ed restriction is </w:t>
      </w:r>
      <w:r w:rsidRPr="00373CF7">
        <w:rPr>
          <w:rFonts w:cstheme="minorHAnsi"/>
          <w:szCs w:val="24"/>
        </w:rPr>
        <w:t>considered</w:t>
      </w:r>
      <w:r w:rsidRPr="00B03A99">
        <w:rPr>
          <w:rFonts w:cstheme="minorHAnsi"/>
          <w:snapToGrid w:val="0"/>
          <w:szCs w:val="24"/>
        </w:rPr>
        <w:t xml:space="preserve"> to be complex </w:t>
      </w:r>
      <w:r w:rsidR="00CF07F4" w:rsidRPr="00B03A99">
        <w:rPr>
          <w:rFonts w:cstheme="minorHAnsi"/>
          <w:snapToGrid w:val="0"/>
          <w:szCs w:val="24"/>
        </w:rPr>
        <w:t>given the need for</w:t>
      </w:r>
      <w:r w:rsidR="00C95632" w:rsidRPr="00B03A99">
        <w:rPr>
          <w:rFonts w:cstheme="minorHAnsi"/>
          <w:snapToGrid w:val="0"/>
          <w:szCs w:val="24"/>
        </w:rPr>
        <w:t xml:space="preserve"> criteria </w:t>
      </w:r>
      <w:r w:rsidR="00CF07F4" w:rsidRPr="00B03A99">
        <w:rPr>
          <w:rFonts w:cstheme="minorHAnsi"/>
          <w:snapToGrid w:val="0"/>
          <w:szCs w:val="24"/>
        </w:rPr>
        <w:t xml:space="preserve">for </w:t>
      </w:r>
      <w:r w:rsidRPr="00B03A99">
        <w:rPr>
          <w:rFonts w:cstheme="minorHAnsi"/>
          <w:snapToGrid w:val="0"/>
          <w:szCs w:val="24"/>
        </w:rPr>
        <w:t>assess</w:t>
      </w:r>
      <w:r w:rsidR="00FA556C" w:rsidRPr="00B03A99">
        <w:rPr>
          <w:rFonts w:cstheme="minorHAnsi"/>
          <w:snapToGrid w:val="0"/>
          <w:szCs w:val="24"/>
        </w:rPr>
        <w:t>ing</w:t>
      </w:r>
      <w:r w:rsidRPr="00B03A99">
        <w:rPr>
          <w:rFonts w:cstheme="minorHAnsi"/>
          <w:snapToGrid w:val="0"/>
          <w:szCs w:val="24"/>
        </w:rPr>
        <w:t xml:space="preserve"> </w:t>
      </w:r>
      <w:r w:rsidR="00C95632" w:rsidRPr="00B03A99">
        <w:rPr>
          <w:rFonts w:cstheme="minorHAnsi"/>
          <w:snapToGrid w:val="0"/>
          <w:szCs w:val="24"/>
        </w:rPr>
        <w:t xml:space="preserve">initial and continuing </w:t>
      </w:r>
      <w:r w:rsidRPr="00B03A99">
        <w:rPr>
          <w:rFonts w:cstheme="minorHAnsi"/>
          <w:snapToGrid w:val="0"/>
          <w:szCs w:val="24"/>
        </w:rPr>
        <w:t>response.</w:t>
      </w:r>
    </w:p>
    <w:p w:rsidR="00EF2836" w:rsidRPr="00373CF7" w:rsidRDefault="00EF2836" w:rsidP="008E340B">
      <w:pPr>
        <w:pStyle w:val="PBACHeading1"/>
        <w:numPr>
          <w:ilvl w:val="0"/>
          <w:numId w:val="0"/>
        </w:numPr>
        <w:spacing w:before="200"/>
        <w:ind w:left="720"/>
        <w:outlineLvl w:val="9"/>
        <w:rPr>
          <w:rFonts w:asciiTheme="minorHAnsi" w:eastAsiaTheme="minorHAnsi" w:hAnsiTheme="minorHAnsi" w:cstheme="minorBidi"/>
          <w:b w:val="0"/>
          <w:i/>
          <w:snapToGrid/>
          <w:sz w:val="24"/>
        </w:rPr>
      </w:pPr>
      <w:r w:rsidRPr="00373CF7">
        <w:rPr>
          <w:rFonts w:asciiTheme="minorHAnsi" w:eastAsiaTheme="minorHAnsi" w:hAnsiTheme="minorHAnsi" w:cstheme="minorBidi"/>
          <w:b w:val="0"/>
          <w:i/>
          <w:snapToGrid/>
          <w:sz w:val="24"/>
        </w:rPr>
        <w:t xml:space="preserve">For more detail on PBAC’s view, see section </w:t>
      </w:r>
      <w:r w:rsidR="00367253" w:rsidRPr="00373CF7">
        <w:rPr>
          <w:rFonts w:asciiTheme="minorHAnsi" w:eastAsiaTheme="minorHAnsi" w:hAnsiTheme="minorHAnsi" w:cstheme="minorBidi"/>
          <w:b w:val="0"/>
          <w:i/>
          <w:snapToGrid/>
          <w:sz w:val="24"/>
        </w:rPr>
        <w:t>6</w:t>
      </w:r>
      <w:r w:rsidRPr="00373CF7">
        <w:rPr>
          <w:rFonts w:asciiTheme="minorHAnsi" w:eastAsiaTheme="minorHAnsi" w:hAnsiTheme="minorHAnsi" w:cstheme="minorBidi"/>
          <w:b w:val="0"/>
          <w:i/>
          <w:snapToGrid/>
          <w:sz w:val="24"/>
        </w:rPr>
        <w:t xml:space="preserve"> PBAC outcome.</w:t>
      </w:r>
    </w:p>
    <w:p w:rsidR="00C603D4" w:rsidRPr="00B03A99" w:rsidRDefault="00CE10C4" w:rsidP="00507239">
      <w:pPr>
        <w:pStyle w:val="PBACHeading1"/>
        <w:spacing w:before="240" w:after="120"/>
        <w:ind w:left="709" w:hanging="709"/>
        <w:rPr>
          <w:rFonts w:asciiTheme="minorHAnsi" w:hAnsiTheme="minorHAnsi"/>
          <w:sz w:val="32"/>
          <w:szCs w:val="32"/>
        </w:rPr>
      </w:pPr>
      <w:r w:rsidRPr="00B03A99">
        <w:rPr>
          <w:rFonts w:asciiTheme="minorHAnsi" w:hAnsiTheme="minorHAnsi"/>
          <w:sz w:val="32"/>
          <w:szCs w:val="32"/>
        </w:rPr>
        <w:t>Background</w:t>
      </w:r>
    </w:p>
    <w:p w:rsidR="00507239" w:rsidRPr="00B03A99" w:rsidRDefault="00507239" w:rsidP="007466A9">
      <w:pPr>
        <w:pStyle w:val="ListParagraph"/>
        <w:numPr>
          <w:ilvl w:val="1"/>
          <w:numId w:val="3"/>
        </w:numPr>
        <w:contextualSpacing w:val="0"/>
      </w:pPr>
      <w:r w:rsidRPr="00B03A99">
        <w:t xml:space="preserve">Sapropterin was TGA registered on 21 October 2010 for “the treatment of HPA in sapropterin-responsive adult and paediatric patients with phenylketonuria (PKU) or tetrahydrobiopterin (BH4) deficiency”. </w:t>
      </w:r>
    </w:p>
    <w:p w:rsidR="00507239" w:rsidRPr="00B03A99" w:rsidRDefault="00507239" w:rsidP="007466A9">
      <w:pPr>
        <w:pStyle w:val="ListParagraph"/>
        <w:numPr>
          <w:ilvl w:val="1"/>
          <w:numId w:val="3"/>
        </w:numPr>
        <w:contextualSpacing w:val="0"/>
      </w:pPr>
      <w:r w:rsidRPr="00B03A99">
        <w:t>The PBAC has considered sapropterin for the treatment of PKU twice previously:</w:t>
      </w:r>
    </w:p>
    <w:p w:rsidR="00507239" w:rsidRPr="00B03A99" w:rsidRDefault="00507239" w:rsidP="003E72B1">
      <w:pPr>
        <w:pStyle w:val="ListParagraph"/>
        <w:ind w:left="1077" w:hanging="357"/>
      </w:pPr>
      <w:r w:rsidRPr="00B03A99">
        <w:t xml:space="preserve">The first submission (requesting listing for both PKU and BH4 deficiency) was considered at the November 2011 PBAC meeting.  </w:t>
      </w:r>
    </w:p>
    <w:p w:rsidR="00507239" w:rsidRPr="00B03A99" w:rsidRDefault="004D65AF" w:rsidP="003E72B1">
      <w:pPr>
        <w:pStyle w:val="ListParagraph"/>
        <w:ind w:left="1077" w:hanging="357"/>
        <w:contextualSpacing w:val="0"/>
      </w:pPr>
      <w:r w:rsidRPr="00B03A99">
        <w:t xml:space="preserve">A resubmission was considered in March 2018 </w:t>
      </w:r>
      <w:r w:rsidR="001F4CE7" w:rsidRPr="00B03A99">
        <w:t>at</w:t>
      </w:r>
      <w:r w:rsidRPr="00B03A99">
        <w:t xml:space="preserve"> which the PBAC deferred making a decision</w:t>
      </w:r>
      <w:r w:rsidR="00CC0F8E" w:rsidRPr="00B03A99">
        <w:t>.</w:t>
      </w:r>
    </w:p>
    <w:p w:rsidR="008A1956" w:rsidRPr="00B03A99" w:rsidRDefault="006A12A5" w:rsidP="007466A9">
      <w:pPr>
        <w:pStyle w:val="ListParagraph"/>
        <w:numPr>
          <w:ilvl w:val="1"/>
          <w:numId w:val="3"/>
        </w:numPr>
        <w:contextualSpacing w:val="0"/>
      </w:pPr>
      <w:r w:rsidRPr="00B03A99">
        <w:t>R</w:t>
      </w:r>
      <w:r w:rsidR="00614159" w:rsidRPr="00B03A99">
        <w:t>elevant detail</w:t>
      </w:r>
      <w:r w:rsidR="004D65AF" w:rsidRPr="00B03A99">
        <w:t>s compared with the March 2018 resubmission are provided in the table below.</w:t>
      </w:r>
      <w:r w:rsidR="00A804F3" w:rsidRPr="00B03A99">
        <w:t xml:space="preserve"> </w:t>
      </w:r>
    </w:p>
    <w:p w:rsidR="00A804F3" w:rsidRPr="00B03A99" w:rsidRDefault="00A804F3" w:rsidP="00A804F3">
      <w:pPr>
        <w:keepNext/>
        <w:jc w:val="both"/>
        <w:rPr>
          <w:rFonts w:ascii="Arial Narrow" w:hAnsi="Arial Narrow" w:cs="Arial"/>
          <w:b/>
          <w:bCs/>
          <w:snapToGrid w:val="0"/>
          <w:color w:val="000000" w:themeColor="text1"/>
          <w:sz w:val="20"/>
          <w:szCs w:val="18"/>
          <w:lang w:eastAsia="en-US"/>
        </w:rPr>
      </w:pPr>
      <w:r w:rsidRPr="00B03A99">
        <w:rPr>
          <w:rFonts w:ascii="Arial Narrow" w:hAnsi="Arial Narrow" w:cs="Arial"/>
          <w:b/>
          <w:bCs/>
          <w:snapToGrid w:val="0"/>
          <w:color w:val="000000" w:themeColor="text1"/>
          <w:sz w:val="20"/>
          <w:szCs w:val="18"/>
          <w:lang w:eastAsia="en-US"/>
        </w:rPr>
        <w:lastRenderedPageBreak/>
        <w:t xml:space="preserve">Table </w:t>
      </w:r>
      <w:r w:rsidRPr="00CC188B">
        <w:rPr>
          <w:rFonts w:ascii="Arial Narrow" w:hAnsi="Arial Narrow" w:cs="Arial"/>
          <w:b/>
          <w:bCs/>
          <w:snapToGrid w:val="0"/>
          <w:color w:val="000000" w:themeColor="text1"/>
          <w:sz w:val="20"/>
          <w:szCs w:val="18"/>
          <w:lang w:eastAsia="en-US"/>
        </w:rPr>
        <w:t>1</w:t>
      </w:r>
      <w:r w:rsidRPr="00B03A99">
        <w:rPr>
          <w:rFonts w:ascii="Arial Narrow" w:hAnsi="Arial Narrow" w:cs="Arial"/>
          <w:b/>
          <w:bCs/>
          <w:snapToGrid w:val="0"/>
          <w:color w:val="000000" w:themeColor="text1"/>
          <w:sz w:val="20"/>
          <w:szCs w:val="18"/>
          <w:lang w:eastAsia="en-US"/>
        </w:rPr>
        <w:t>: Summary of the March 2018 submission and the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4"/>
        <w:gridCol w:w="5210"/>
        <w:gridCol w:w="2958"/>
      </w:tblGrid>
      <w:tr w:rsidR="00A804F3" w:rsidRPr="00B03A99" w:rsidTr="00FF6B58">
        <w:trPr>
          <w:cantSplit/>
          <w:trHeight w:val="220"/>
          <w:tblHeader/>
        </w:trPr>
        <w:tc>
          <w:tcPr>
            <w:tcW w:w="548" w:type="pct"/>
          </w:tcPr>
          <w:p w:rsidR="00A804F3" w:rsidRPr="00373CF7" w:rsidRDefault="00A804F3" w:rsidP="00A804F3">
            <w:pPr>
              <w:keepNext/>
              <w:rPr>
                <w:rFonts w:ascii="Arial Narrow" w:hAnsi="Arial Narrow"/>
                <w:sz w:val="20"/>
                <w:szCs w:val="20"/>
              </w:rPr>
            </w:pPr>
          </w:p>
        </w:tc>
        <w:tc>
          <w:tcPr>
            <w:tcW w:w="2839" w:type="pct"/>
            <w:vAlign w:val="center"/>
          </w:tcPr>
          <w:p w:rsidR="00A804F3" w:rsidRPr="00373CF7" w:rsidRDefault="00A804F3" w:rsidP="00A804F3">
            <w:pPr>
              <w:keepNext/>
              <w:jc w:val="center"/>
              <w:rPr>
                <w:rFonts w:ascii="Arial Narrow" w:hAnsi="Arial Narrow"/>
                <w:b/>
                <w:sz w:val="20"/>
                <w:szCs w:val="20"/>
              </w:rPr>
            </w:pPr>
            <w:r w:rsidRPr="00373CF7">
              <w:rPr>
                <w:rFonts w:ascii="Arial Narrow" w:hAnsi="Arial Narrow"/>
                <w:b/>
                <w:sz w:val="20"/>
                <w:szCs w:val="20"/>
              </w:rPr>
              <w:t>March 2018 submission</w:t>
            </w:r>
          </w:p>
        </w:tc>
        <w:tc>
          <w:tcPr>
            <w:tcW w:w="1613" w:type="pct"/>
          </w:tcPr>
          <w:p w:rsidR="00A804F3" w:rsidRPr="00B03A99" w:rsidRDefault="00A804F3" w:rsidP="00A804F3">
            <w:pPr>
              <w:keepNext/>
              <w:jc w:val="center"/>
              <w:rPr>
                <w:rFonts w:ascii="Arial Narrow" w:hAnsi="Arial Narrow"/>
                <w:b/>
                <w:sz w:val="20"/>
                <w:szCs w:val="20"/>
              </w:rPr>
            </w:pPr>
            <w:r w:rsidRPr="00B03A99">
              <w:rPr>
                <w:rFonts w:ascii="Arial Narrow" w:hAnsi="Arial Narrow"/>
                <w:b/>
                <w:sz w:val="20"/>
                <w:szCs w:val="20"/>
              </w:rPr>
              <w:t>Current resubmission</w:t>
            </w:r>
          </w:p>
        </w:tc>
      </w:tr>
      <w:tr w:rsidR="00A804F3" w:rsidRPr="00B03A99" w:rsidTr="00FF6B58">
        <w:trPr>
          <w:cantSplit/>
          <w:trHeight w:val="525"/>
        </w:trPr>
        <w:tc>
          <w:tcPr>
            <w:tcW w:w="548" w:type="pct"/>
            <w:shd w:val="clear" w:color="auto" w:fill="auto"/>
          </w:tcPr>
          <w:p w:rsidR="00A804F3" w:rsidRPr="00B03A99" w:rsidRDefault="00A804F3" w:rsidP="00A804F3">
            <w:pPr>
              <w:rPr>
                <w:rFonts w:ascii="Arial Narrow" w:hAnsi="Arial Narrow"/>
                <w:sz w:val="20"/>
                <w:szCs w:val="20"/>
              </w:rPr>
            </w:pPr>
            <w:r w:rsidRPr="00B03A99">
              <w:rPr>
                <w:rFonts w:ascii="Arial Narrow" w:hAnsi="Arial Narrow"/>
                <w:sz w:val="20"/>
                <w:szCs w:val="20"/>
              </w:rPr>
              <w:t>Requested PBS listing</w:t>
            </w:r>
          </w:p>
        </w:tc>
        <w:tc>
          <w:tcPr>
            <w:tcW w:w="2839" w:type="pct"/>
            <w:shd w:val="clear" w:color="auto" w:fill="auto"/>
          </w:tcPr>
          <w:p w:rsidR="00A804F3" w:rsidRPr="00B03A99" w:rsidRDefault="00A804F3" w:rsidP="00A804F3">
            <w:pPr>
              <w:rPr>
                <w:rFonts w:ascii="Arial Narrow" w:hAnsi="Arial Narrow"/>
                <w:sz w:val="20"/>
                <w:szCs w:val="20"/>
              </w:rPr>
            </w:pPr>
            <w:r w:rsidRPr="00B03A99">
              <w:rPr>
                <w:rFonts w:ascii="Arial Narrow" w:hAnsi="Arial Narrow"/>
                <w:sz w:val="20"/>
                <w:szCs w:val="20"/>
              </w:rPr>
              <w:t>• No age criteria were proposed.</w:t>
            </w:r>
          </w:p>
          <w:p w:rsidR="00A804F3" w:rsidRPr="00B03A99" w:rsidRDefault="00A804F3" w:rsidP="00A804F3">
            <w:pPr>
              <w:rPr>
                <w:rFonts w:ascii="Arial Narrow" w:hAnsi="Arial Narrow"/>
                <w:sz w:val="20"/>
              </w:rPr>
            </w:pPr>
            <w:r w:rsidRPr="00B03A99">
              <w:rPr>
                <w:rFonts w:ascii="Arial Narrow" w:hAnsi="Arial Narrow"/>
                <w:sz w:val="20"/>
                <w:szCs w:val="20"/>
              </w:rPr>
              <w:t xml:space="preserve">• </w:t>
            </w:r>
            <w:r w:rsidRPr="00B03A99">
              <w:rPr>
                <w:rFonts w:ascii="Arial Narrow" w:hAnsi="Arial Narrow"/>
                <w:sz w:val="20"/>
              </w:rPr>
              <w:t>Sponsor would provide access to sapropterin for the purpose of sapropterin responsiveness testing.</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Initial responsiveness based on either a ≥ 30% reduction in blood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levels or attainment of therapeutic blood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goals as defined for an individual patient.</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Continuing response: evidence of sustained benefit would need to be provided every six months (documentation of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leve</w:t>
            </w:r>
            <w:r w:rsidR="00313F39" w:rsidRPr="00B03A99">
              <w:rPr>
                <w:rFonts w:ascii="Arial Narrow" w:hAnsi="Arial Narrow"/>
                <w:sz w:val="20"/>
                <w:szCs w:val="20"/>
              </w:rPr>
              <w:t xml:space="preserve">ls within the target range, or </w:t>
            </w:r>
            <w:r w:rsidRPr="00B03A99">
              <w:rPr>
                <w:rFonts w:ascii="Arial Narrow" w:hAnsi="Arial Narrow"/>
                <w:sz w:val="20"/>
                <w:szCs w:val="20"/>
              </w:rPr>
              <w:t xml:space="preserve">maintenance of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levels achieved at sapropterin responsiveness testing).</w:t>
            </w:r>
          </w:p>
          <w:p w:rsidR="00A804F3" w:rsidRPr="00B03A99" w:rsidRDefault="00A804F3" w:rsidP="00A804F3">
            <w:pPr>
              <w:rPr>
                <w:rFonts w:ascii="Arial Narrow" w:hAnsi="Arial Narrow"/>
                <w:sz w:val="20"/>
                <w:szCs w:val="20"/>
              </w:rPr>
            </w:pPr>
            <w:r w:rsidRPr="00B03A99">
              <w:rPr>
                <w:rFonts w:ascii="Arial Narrow" w:hAnsi="Arial Narrow"/>
                <w:sz w:val="20"/>
                <w:szCs w:val="20"/>
              </w:rPr>
              <w:t>• No grandfathering arrangements proposed.</w:t>
            </w:r>
          </w:p>
          <w:p w:rsidR="00A804F3" w:rsidRPr="00B03A99" w:rsidRDefault="00A804F3" w:rsidP="00864DD5">
            <w:pPr>
              <w:rPr>
                <w:rFonts w:ascii="Arial Narrow" w:hAnsi="Arial Narrow"/>
                <w:sz w:val="20"/>
                <w:szCs w:val="20"/>
              </w:rPr>
            </w:pPr>
            <w:r w:rsidRPr="00B03A99">
              <w:rPr>
                <w:rFonts w:ascii="Arial Narrow" w:hAnsi="Arial Narrow"/>
                <w:sz w:val="20"/>
              </w:rPr>
              <w:t>The PBAC considered the greatest benefits would be experienced in children and adolescents (Para 7.1) and noted a number of issues with the proposed restrictions, such as accessing sapropterin for the purpose of responsiveness testing, grandfathering requirements, auditing requirements and assessing continuing response (Para 7.8).</w:t>
            </w:r>
          </w:p>
        </w:tc>
        <w:tc>
          <w:tcPr>
            <w:tcW w:w="1613"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 Patients must be aged &lt; 18 years to commence, and can continue through adulthood.</w:t>
            </w:r>
          </w:p>
          <w:p w:rsidR="00A804F3" w:rsidRPr="00B03A99" w:rsidRDefault="00A804F3" w:rsidP="00A804F3">
            <w:pPr>
              <w:rPr>
                <w:rFonts w:ascii="Arial Narrow" w:hAnsi="Arial Narrow"/>
                <w:sz w:val="20"/>
                <w:szCs w:val="20"/>
              </w:rPr>
            </w:pPr>
            <w:r w:rsidRPr="00B03A99">
              <w:rPr>
                <w:rFonts w:ascii="Arial Narrow" w:hAnsi="Arial Narrow"/>
                <w:sz w:val="20"/>
                <w:szCs w:val="20"/>
              </w:rPr>
              <w:t>• An initial restriction was proposed seeking PBS-subsidised access to sapropterin for the purposes of initial responsiveness testing.</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Initial responsiveness based only on a ≥ 30% reduction in blood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levels.</w:t>
            </w:r>
          </w:p>
          <w:p w:rsidR="00A804F3" w:rsidRPr="00B03A99" w:rsidRDefault="00A804F3" w:rsidP="00A804F3">
            <w:pPr>
              <w:rPr>
                <w:rFonts w:ascii="Arial Narrow" w:hAnsi="Arial Narrow"/>
                <w:sz w:val="20"/>
                <w:szCs w:val="20"/>
              </w:rPr>
            </w:pPr>
            <w:r w:rsidRPr="00B03A99">
              <w:rPr>
                <w:rFonts w:ascii="Arial Narrow" w:hAnsi="Arial Narrow"/>
                <w:sz w:val="20"/>
                <w:szCs w:val="20"/>
              </w:rPr>
              <w:t>• Continuing response: documentation of monthly blood test and attendance at 6-monthly visits must be provided</w:t>
            </w:r>
          </w:p>
          <w:p w:rsidR="00A804F3" w:rsidRPr="00B03A99" w:rsidRDefault="00A804F3" w:rsidP="00A804F3">
            <w:pPr>
              <w:rPr>
                <w:rFonts w:ascii="Arial Narrow" w:hAnsi="Arial Narrow"/>
                <w:sz w:val="20"/>
                <w:szCs w:val="20"/>
              </w:rPr>
            </w:pPr>
            <w:r w:rsidRPr="00B03A99">
              <w:rPr>
                <w:rFonts w:ascii="Arial Narrow" w:hAnsi="Arial Narrow"/>
                <w:sz w:val="20"/>
                <w:szCs w:val="20"/>
              </w:rPr>
              <w:t>• A grandfathered restriction was proposed.</w:t>
            </w:r>
          </w:p>
        </w:tc>
      </w:tr>
      <w:tr w:rsidR="00A804F3" w:rsidRPr="00B03A99" w:rsidTr="00FF6B58">
        <w:trPr>
          <w:cantSplit/>
          <w:trHeight w:val="422"/>
        </w:trPr>
        <w:tc>
          <w:tcPr>
            <w:tcW w:w="548"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Requested effective DPMQ</w:t>
            </w:r>
          </w:p>
        </w:tc>
        <w:tc>
          <w:tcPr>
            <w:tcW w:w="2839" w:type="pct"/>
          </w:tcPr>
          <w:p w:rsidR="00A804F3" w:rsidRPr="00B03A99" w:rsidRDefault="00A804F3" w:rsidP="00A804F3">
            <w:pPr>
              <w:rPr>
                <w:rFonts w:ascii="Arial Narrow" w:hAnsi="Arial Narrow"/>
                <w:sz w:val="20"/>
              </w:rPr>
            </w:pPr>
            <w:r w:rsidRPr="00B03A99">
              <w:rPr>
                <w:rFonts w:ascii="Arial Narrow" w:hAnsi="Arial Narrow"/>
                <w:sz w:val="20"/>
              </w:rPr>
              <w:t xml:space="preserve"> $</w:t>
            </w:r>
            <w:r w:rsidR="00E916D8">
              <w:rPr>
                <w:rFonts w:ascii="Arial Narrow" w:hAnsi="Arial Narrow"/>
                <w:noProof/>
                <w:color w:val="000000"/>
                <w:sz w:val="20"/>
                <w:highlight w:val="black"/>
              </w:rPr>
              <w:t>'''''''''''''''</w:t>
            </w:r>
          </w:p>
        </w:tc>
        <w:tc>
          <w:tcPr>
            <w:tcW w:w="1613" w:type="pct"/>
          </w:tcPr>
          <w:p w:rsidR="00A804F3" w:rsidRPr="00B03A99" w:rsidRDefault="00A804F3" w:rsidP="00A804F3">
            <w:pPr>
              <w:rPr>
                <w:rFonts w:ascii="Arial Narrow" w:hAnsi="Arial Narrow"/>
                <w:sz w:val="20"/>
              </w:rPr>
            </w:pPr>
            <w:r w:rsidRPr="00B03A99">
              <w:rPr>
                <w:rFonts w:ascii="Arial Narrow" w:hAnsi="Arial Narrow"/>
                <w:sz w:val="20"/>
              </w:rPr>
              <w:t>Unchanged</w:t>
            </w:r>
          </w:p>
        </w:tc>
      </w:tr>
      <w:tr w:rsidR="00A804F3" w:rsidRPr="00B03A99" w:rsidTr="00FF6B58">
        <w:trPr>
          <w:cantSplit/>
          <w:trHeight w:val="860"/>
        </w:trPr>
        <w:tc>
          <w:tcPr>
            <w:tcW w:w="548"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Comparator</w:t>
            </w:r>
          </w:p>
        </w:tc>
        <w:tc>
          <w:tcPr>
            <w:tcW w:w="2839" w:type="pct"/>
          </w:tcPr>
          <w:p w:rsidR="00A804F3" w:rsidRPr="00B03A99" w:rsidRDefault="00A804F3" w:rsidP="00A804F3">
            <w:pPr>
              <w:rPr>
                <w:rFonts w:ascii="Arial Narrow" w:hAnsi="Arial Narrow"/>
                <w:sz w:val="20"/>
              </w:rPr>
            </w:pPr>
            <w:r w:rsidRPr="00B03A99">
              <w:rPr>
                <w:rFonts w:ascii="Arial Narrow" w:hAnsi="Arial Narrow"/>
                <w:sz w:val="20"/>
              </w:rPr>
              <w:t xml:space="preserve">• Placebo + a relaxed or abandoned diet’ for individuals with poorly-controlled blood </w:t>
            </w:r>
            <w:proofErr w:type="spellStart"/>
            <w:r w:rsidRPr="00B03A99">
              <w:rPr>
                <w:rFonts w:ascii="Arial Narrow" w:hAnsi="Arial Narrow"/>
                <w:sz w:val="20"/>
              </w:rPr>
              <w:t>Phe</w:t>
            </w:r>
            <w:proofErr w:type="spellEnd"/>
            <w:r w:rsidRPr="00B03A99">
              <w:rPr>
                <w:rFonts w:ascii="Arial Narrow" w:hAnsi="Arial Narrow"/>
                <w:sz w:val="20"/>
              </w:rPr>
              <w:t xml:space="preserve">-levels; and </w:t>
            </w:r>
          </w:p>
          <w:p w:rsidR="00A804F3" w:rsidRPr="00B03A99" w:rsidRDefault="00A804F3" w:rsidP="00A804F3">
            <w:pPr>
              <w:rPr>
                <w:rFonts w:ascii="Arial Narrow" w:hAnsi="Arial Narrow"/>
                <w:sz w:val="20"/>
              </w:rPr>
            </w:pPr>
            <w:r w:rsidRPr="00B03A99">
              <w:rPr>
                <w:rFonts w:ascii="Arial Narrow" w:hAnsi="Arial Narrow"/>
                <w:sz w:val="20"/>
              </w:rPr>
              <w:t xml:space="preserve">• ‘A strict </w:t>
            </w:r>
            <w:proofErr w:type="spellStart"/>
            <w:r w:rsidRPr="00B03A99">
              <w:rPr>
                <w:rFonts w:ascii="Arial Narrow" w:hAnsi="Arial Narrow"/>
                <w:sz w:val="20"/>
              </w:rPr>
              <w:t>Phe</w:t>
            </w:r>
            <w:proofErr w:type="spellEnd"/>
            <w:r w:rsidRPr="00B03A99">
              <w:rPr>
                <w:rFonts w:ascii="Arial Narrow" w:hAnsi="Arial Narrow"/>
                <w:sz w:val="20"/>
              </w:rPr>
              <w:t xml:space="preserve">-restricted diet’ for those with well-controlled blood </w:t>
            </w:r>
            <w:proofErr w:type="spellStart"/>
            <w:r w:rsidRPr="00B03A99">
              <w:rPr>
                <w:rFonts w:ascii="Arial Narrow" w:hAnsi="Arial Narrow"/>
                <w:sz w:val="20"/>
              </w:rPr>
              <w:t>Phe</w:t>
            </w:r>
            <w:proofErr w:type="spellEnd"/>
            <w:r w:rsidRPr="00B03A99">
              <w:rPr>
                <w:rFonts w:ascii="Arial Narrow" w:hAnsi="Arial Narrow"/>
                <w:sz w:val="20"/>
              </w:rPr>
              <w:t xml:space="preserve"> levels.</w:t>
            </w:r>
          </w:p>
          <w:p w:rsidR="00A804F3" w:rsidRPr="00B03A99" w:rsidRDefault="00A804F3" w:rsidP="00A804F3">
            <w:r w:rsidRPr="00B03A99">
              <w:rPr>
                <w:rFonts w:ascii="Arial Narrow" w:hAnsi="Arial Narrow"/>
                <w:sz w:val="20"/>
              </w:rPr>
              <w:t>The PBAC considered this was not informative because these were not two distinct sub-populations (Para 7.9).</w:t>
            </w:r>
          </w:p>
        </w:tc>
        <w:tc>
          <w:tcPr>
            <w:tcW w:w="1613" w:type="pct"/>
          </w:tcPr>
          <w:p w:rsidR="00A804F3" w:rsidRPr="00B03A99" w:rsidRDefault="00A804F3" w:rsidP="00A804F3">
            <w:r w:rsidRPr="00B03A99">
              <w:rPr>
                <w:rFonts w:ascii="Arial Narrow" w:hAnsi="Arial Narrow"/>
                <w:sz w:val="20"/>
              </w:rPr>
              <w:t>Unchanged</w:t>
            </w:r>
          </w:p>
        </w:tc>
      </w:tr>
      <w:tr w:rsidR="00A804F3" w:rsidRPr="00B03A99" w:rsidTr="00FF6B58">
        <w:trPr>
          <w:cantSplit/>
          <w:trHeight w:val="860"/>
        </w:trPr>
        <w:tc>
          <w:tcPr>
            <w:tcW w:w="548" w:type="pct"/>
          </w:tcPr>
          <w:p w:rsidR="00A804F3" w:rsidRPr="00B03A99" w:rsidRDefault="00A804F3" w:rsidP="00A804F3">
            <w:pPr>
              <w:rPr>
                <w:rFonts w:ascii="Arial Narrow" w:hAnsi="Arial Narrow"/>
                <w:sz w:val="20"/>
                <w:szCs w:val="20"/>
                <w:highlight w:val="yellow"/>
              </w:rPr>
            </w:pPr>
            <w:r w:rsidRPr="00B03A99">
              <w:rPr>
                <w:rFonts w:ascii="Arial Narrow" w:hAnsi="Arial Narrow"/>
                <w:sz w:val="20"/>
                <w:szCs w:val="20"/>
              </w:rPr>
              <w:t>Key effectiveness data</w:t>
            </w:r>
          </w:p>
        </w:tc>
        <w:tc>
          <w:tcPr>
            <w:tcW w:w="2839" w:type="pct"/>
          </w:tcPr>
          <w:p w:rsidR="00A804F3" w:rsidRPr="00B03A99" w:rsidRDefault="00A804F3" w:rsidP="00A804F3">
            <w:pPr>
              <w:rPr>
                <w:rFonts w:ascii="Arial Narrow" w:hAnsi="Arial Narrow"/>
                <w:sz w:val="20"/>
                <w:szCs w:val="20"/>
              </w:rPr>
            </w:pPr>
            <w:r w:rsidRPr="00B03A99">
              <w:rPr>
                <w:rFonts w:ascii="Arial Narrow" w:hAnsi="Arial Narrow"/>
                <w:sz w:val="20"/>
              </w:rPr>
              <w:t xml:space="preserve">• </w:t>
            </w:r>
            <w:r w:rsidRPr="00B03A99">
              <w:rPr>
                <w:rFonts w:ascii="Arial Narrow" w:hAnsi="Arial Narrow"/>
                <w:sz w:val="20"/>
                <w:szCs w:val="20"/>
              </w:rPr>
              <w:t xml:space="preserve">Response to sapropterin (≥30% reduction in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levels) ranged from 20% (PKU-001) to 75% (ENDURE). </w:t>
            </w:r>
          </w:p>
          <w:p w:rsidR="00A804F3" w:rsidRPr="00B03A99" w:rsidRDefault="00A804F3" w:rsidP="00A804F3">
            <w:pPr>
              <w:rPr>
                <w:rFonts w:ascii="Arial Narrow" w:hAnsi="Arial Narrow"/>
                <w:sz w:val="20"/>
                <w:szCs w:val="20"/>
                <w:u w:val="single"/>
              </w:rPr>
            </w:pPr>
            <w:r w:rsidRPr="00B03A99">
              <w:rPr>
                <w:rFonts w:ascii="Arial Narrow" w:hAnsi="Arial Narrow"/>
                <w:sz w:val="20"/>
                <w:szCs w:val="20"/>
                <w:u w:val="single"/>
              </w:rPr>
              <w:t>Among patients not adhering to a strict diet:</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w:t>
            </w:r>
            <w:proofErr w:type="gramStart"/>
            <w:r w:rsidRPr="00B03A99">
              <w:rPr>
                <w:rFonts w:ascii="Arial Narrow" w:hAnsi="Arial Narrow"/>
                <w:sz w:val="20"/>
                <w:szCs w:val="20"/>
              </w:rPr>
              <w:t>a</w:t>
            </w:r>
            <w:proofErr w:type="gramEnd"/>
            <w:r w:rsidRPr="00B03A99">
              <w:rPr>
                <w:rFonts w:ascii="Arial Narrow" w:hAnsi="Arial Narrow"/>
                <w:sz w:val="20"/>
                <w:szCs w:val="20"/>
              </w:rPr>
              <w:t xml:space="preserve"> 245 </w:t>
            </w:r>
            <w:proofErr w:type="spellStart"/>
            <w:r w:rsidRPr="00B03A99">
              <w:rPr>
                <w:rFonts w:ascii="Arial Narrow" w:hAnsi="Arial Narrow"/>
                <w:sz w:val="20"/>
                <w:szCs w:val="20"/>
              </w:rPr>
              <w:t>μmol</w:t>
            </w:r>
            <w:proofErr w:type="spellEnd"/>
            <w:r w:rsidRPr="00B03A99">
              <w:rPr>
                <w:rFonts w:ascii="Arial Narrow" w:hAnsi="Arial Narrow"/>
                <w:sz w:val="20"/>
                <w:szCs w:val="20"/>
              </w:rPr>
              <w:t xml:space="preserve">/L reduction in blood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levels over a 6 week duration (PKU-003).</w:t>
            </w:r>
          </w:p>
          <w:p w:rsidR="00A804F3" w:rsidRPr="00B03A99" w:rsidRDefault="00A804F3" w:rsidP="00A804F3">
            <w:pPr>
              <w:rPr>
                <w:rFonts w:ascii="Arial Narrow" w:hAnsi="Arial Narrow"/>
                <w:sz w:val="20"/>
                <w:szCs w:val="20"/>
                <w:u w:val="single"/>
              </w:rPr>
            </w:pPr>
            <w:r w:rsidRPr="00B03A99">
              <w:rPr>
                <w:rFonts w:ascii="Arial Narrow" w:hAnsi="Arial Narrow"/>
                <w:sz w:val="20"/>
                <w:szCs w:val="20"/>
                <w:u w:val="single"/>
              </w:rPr>
              <w:t>Among patients who were adhering to a strict diet:</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a 17.7 mg increase in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tolerance over 6 weeks;</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w:t>
            </w:r>
            <w:proofErr w:type="gramStart"/>
            <w:r w:rsidRPr="00B03A99">
              <w:rPr>
                <w:rFonts w:ascii="Arial Narrow" w:hAnsi="Arial Narrow"/>
                <w:sz w:val="20"/>
                <w:szCs w:val="20"/>
              </w:rPr>
              <w:t>a</w:t>
            </w:r>
            <w:proofErr w:type="gramEnd"/>
            <w:r w:rsidRPr="00B03A99">
              <w:rPr>
                <w:rFonts w:ascii="Arial Narrow" w:hAnsi="Arial Narrow"/>
                <w:sz w:val="20"/>
                <w:szCs w:val="20"/>
              </w:rPr>
              <w:t xml:space="preserve"> 30.5 mg increase in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tolerance over 26 weeks.</w:t>
            </w:r>
          </w:p>
        </w:tc>
        <w:tc>
          <w:tcPr>
            <w:tcW w:w="1613" w:type="pct"/>
          </w:tcPr>
          <w:p w:rsidR="00A804F3" w:rsidRPr="00B03A99" w:rsidRDefault="00A804F3" w:rsidP="00A804F3">
            <w:r w:rsidRPr="00B03A99">
              <w:rPr>
                <w:rFonts w:ascii="Arial Narrow" w:hAnsi="Arial Narrow"/>
                <w:sz w:val="20"/>
              </w:rPr>
              <w:t>Unchanged</w:t>
            </w:r>
          </w:p>
        </w:tc>
      </w:tr>
      <w:tr w:rsidR="00A804F3" w:rsidRPr="00B03A99" w:rsidTr="00FF6B58">
        <w:trPr>
          <w:cantSplit/>
          <w:trHeight w:val="860"/>
        </w:trPr>
        <w:tc>
          <w:tcPr>
            <w:tcW w:w="548"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Clinical claim</w:t>
            </w:r>
          </w:p>
        </w:tc>
        <w:tc>
          <w:tcPr>
            <w:tcW w:w="2839"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Superior comparative effectiveness and non-inferior comparative safety versus either a relaxed or strict </w:t>
            </w:r>
            <w:proofErr w:type="spellStart"/>
            <w:r w:rsidRPr="00B03A99">
              <w:rPr>
                <w:rFonts w:ascii="Arial Narrow" w:hAnsi="Arial Narrow"/>
                <w:sz w:val="20"/>
                <w:szCs w:val="20"/>
              </w:rPr>
              <w:t>Phe</w:t>
            </w:r>
            <w:proofErr w:type="spellEnd"/>
            <w:r w:rsidRPr="00B03A99">
              <w:rPr>
                <w:rFonts w:ascii="Arial Narrow" w:hAnsi="Arial Narrow"/>
                <w:sz w:val="20"/>
                <w:szCs w:val="20"/>
              </w:rPr>
              <w:t>-restricted diet. The PBAC considered these claims were reasonable (</w:t>
            </w:r>
            <w:r w:rsidRPr="00B03A99">
              <w:rPr>
                <w:rFonts w:ascii="Arial Narrow" w:hAnsi="Arial Narrow"/>
                <w:sz w:val="20"/>
              </w:rPr>
              <w:t>Para</w:t>
            </w:r>
            <w:r w:rsidRPr="00B03A99">
              <w:rPr>
                <w:rFonts w:ascii="Arial Narrow" w:hAnsi="Arial Narrow"/>
                <w:sz w:val="20"/>
                <w:szCs w:val="20"/>
              </w:rPr>
              <w:t xml:space="preserve"> 7.10 and 7.11).</w:t>
            </w:r>
          </w:p>
        </w:tc>
        <w:tc>
          <w:tcPr>
            <w:tcW w:w="1613" w:type="pct"/>
          </w:tcPr>
          <w:p w:rsidR="00A804F3" w:rsidRPr="00B03A99" w:rsidRDefault="00A804F3" w:rsidP="00A804F3">
            <w:r w:rsidRPr="00B03A99">
              <w:rPr>
                <w:rFonts w:ascii="Arial Narrow" w:hAnsi="Arial Narrow"/>
                <w:sz w:val="20"/>
              </w:rPr>
              <w:t>Unchanged</w:t>
            </w:r>
          </w:p>
        </w:tc>
      </w:tr>
      <w:tr w:rsidR="00A804F3" w:rsidRPr="00B03A99" w:rsidTr="00FF6B58">
        <w:trPr>
          <w:cantSplit/>
          <w:trHeight w:val="860"/>
        </w:trPr>
        <w:tc>
          <w:tcPr>
            <w:tcW w:w="548" w:type="pct"/>
          </w:tcPr>
          <w:p w:rsidR="00A804F3" w:rsidRPr="00B03A99" w:rsidRDefault="00A804F3" w:rsidP="00A804F3">
            <w:pPr>
              <w:rPr>
                <w:rFonts w:ascii="Arial Narrow" w:hAnsi="Arial Narrow"/>
                <w:sz w:val="20"/>
                <w:szCs w:val="20"/>
                <w:highlight w:val="yellow"/>
              </w:rPr>
            </w:pPr>
            <w:r w:rsidRPr="00B03A99">
              <w:rPr>
                <w:rFonts w:ascii="Arial Narrow" w:hAnsi="Arial Narrow"/>
                <w:sz w:val="20"/>
                <w:szCs w:val="20"/>
              </w:rPr>
              <w:lastRenderedPageBreak/>
              <w:t>Economic evaluation</w:t>
            </w:r>
          </w:p>
        </w:tc>
        <w:tc>
          <w:tcPr>
            <w:tcW w:w="2839"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Cost-effectiveness analysis against: ‘placebo + a relaxed or abandoned diet’ for individuals with poorly-controlled blood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-levels; ‘a strict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-restricted diet’ for those with well-controlled blood </w:t>
            </w:r>
            <w:proofErr w:type="spellStart"/>
            <w:r w:rsidRPr="00B03A99">
              <w:rPr>
                <w:rFonts w:ascii="Arial Narrow" w:hAnsi="Arial Narrow"/>
                <w:sz w:val="20"/>
                <w:szCs w:val="20"/>
              </w:rPr>
              <w:t>Phe</w:t>
            </w:r>
            <w:proofErr w:type="spellEnd"/>
            <w:r w:rsidRPr="00B03A99">
              <w:rPr>
                <w:rFonts w:ascii="Arial Narrow" w:hAnsi="Arial Narrow"/>
                <w:sz w:val="20"/>
                <w:szCs w:val="20"/>
              </w:rPr>
              <w:t xml:space="preserve"> levels.</w:t>
            </w:r>
          </w:p>
          <w:p w:rsidR="00A804F3" w:rsidRPr="00B03A99" w:rsidRDefault="00A804F3" w:rsidP="00A804F3">
            <w:pPr>
              <w:rPr>
                <w:rFonts w:ascii="Arial Narrow" w:hAnsi="Arial Narrow"/>
                <w:sz w:val="20"/>
                <w:szCs w:val="20"/>
              </w:rPr>
            </w:pPr>
            <w:r w:rsidRPr="00B03A99">
              <w:rPr>
                <w:rFonts w:ascii="Arial Narrow" w:hAnsi="Arial Narrow"/>
                <w:sz w:val="20"/>
                <w:szCs w:val="20"/>
              </w:rPr>
              <w:t>• Separate ICERs were calculated for each of the subpopulations; these were combined in a weighted analysis for the base-case economic evaluation.</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ICERs for each age between 0 and 17 years and one for ≥ 18 years, with a one year time horizon for each age group. </w:t>
            </w:r>
          </w:p>
          <w:p w:rsidR="00A804F3" w:rsidRPr="00B03A99" w:rsidRDefault="00A804F3" w:rsidP="00A804F3">
            <w:pPr>
              <w:rPr>
                <w:rFonts w:ascii="Arial Narrow" w:hAnsi="Arial Narrow"/>
                <w:sz w:val="20"/>
                <w:szCs w:val="20"/>
              </w:rPr>
            </w:pPr>
            <w:r w:rsidRPr="00B03A99">
              <w:rPr>
                <w:rFonts w:ascii="Arial Narrow" w:hAnsi="Arial Narrow"/>
                <w:sz w:val="20"/>
                <w:szCs w:val="20"/>
              </w:rPr>
              <w:t>• The ICER ranged from $</w:t>
            </w:r>
            <w:r w:rsidR="00E916D8">
              <w:rPr>
                <w:rFonts w:ascii="Arial Narrow" w:hAnsi="Arial Narrow"/>
                <w:noProof/>
                <w:color w:val="000000"/>
                <w:sz w:val="20"/>
                <w:szCs w:val="20"/>
                <w:highlight w:val="black"/>
              </w:rPr>
              <w:t>'''''''''''''''</w:t>
            </w:r>
            <w:r w:rsidRPr="00B03A99">
              <w:rPr>
                <w:rFonts w:ascii="Arial Narrow" w:hAnsi="Arial Narrow"/>
                <w:sz w:val="20"/>
                <w:szCs w:val="20"/>
              </w:rPr>
              <w:t>/QALY for patients aged &lt; 1 year to $</w:t>
            </w:r>
            <w:r w:rsidR="00E916D8">
              <w:rPr>
                <w:rFonts w:ascii="Arial Narrow" w:hAnsi="Arial Narrow"/>
                <w:noProof/>
                <w:color w:val="000000"/>
                <w:sz w:val="20"/>
                <w:szCs w:val="20"/>
                <w:highlight w:val="black"/>
              </w:rPr>
              <w:t>''''''''''''''''''</w:t>
            </w:r>
            <w:r w:rsidRPr="00B03A99">
              <w:rPr>
                <w:rFonts w:ascii="Arial Narrow" w:hAnsi="Arial Narrow"/>
                <w:sz w:val="20"/>
                <w:szCs w:val="20"/>
              </w:rPr>
              <w:t>/QALY for those aged 16 years.</w:t>
            </w:r>
          </w:p>
          <w:p w:rsidR="00A804F3" w:rsidRPr="00B03A99" w:rsidRDefault="00A804F3" w:rsidP="00A804F3">
            <w:pPr>
              <w:rPr>
                <w:rFonts w:ascii="Arial Narrow" w:hAnsi="Arial Narrow"/>
                <w:sz w:val="20"/>
                <w:szCs w:val="20"/>
              </w:rPr>
            </w:pPr>
          </w:p>
          <w:p w:rsidR="00A804F3" w:rsidRPr="00B03A99" w:rsidRDefault="00A804F3" w:rsidP="00A804F3">
            <w:pPr>
              <w:rPr>
                <w:rFonts w:ascii="Arial Narrow" w:hAnsi="Arial Narrow"/>
                <w:sz w:val="20"/>
                <w:szCs w:val="20"/>
              </w:rPr>
            </w:pPr>
            <w:r w:rsidRPr="00B03A99">
              <w:rPr>
                <w:rFonts w:ascii="Arial Narrow" w:hAnsi="Arial Narrow"/>
                <w:sz w:val="20"/>
                <w:szCs w:val="20"/>
              </w:rPr>
              <w:t>“The PBAC considered that the resulting ICER for patients aged 18 years and over… was unacceptably high. The PBAC noted the ICERs for patients under 18 years of age were generally lower…  While the PBAC considered that the ICERs were high in children and adolescents, the Committee considered that the clinically significant outcomes in younger patients may not have been fully captured in the economic evaluation (Para 7.13).</w:t>
            </w:r>
          </w:p>
        </w:tc>
        <w:tc>
          <w:tcPr>
            <w:tcW w:w="1613"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The DPMQ of </w:t>
            </w:r>
            <w:proofErr w:type="spellStart"/>
            <w:r w:rsidRPr="00B03A99">
              <w:rPr>
                <w:rFonts w:ascii="Arial Narrow" w:hAnsi="Arial Narrow"/>
                <w:sz w:val="20"/>
                <w:szCs w:val="20"/>
              </w:rPr>
              <w:t>Phe</w:t>
            </w:r>
            <w:proofErr w:type="spellEnd"/>
            <w:r w:rsidRPr="00B03A99">
              <w:rPr>
                <w:rFonts w:ascii="Arial Narrow" w:hAnsi="Arial Narrow"/>
                <w:sz w:val="20"/>
                <w:szCs w:val="20"/>
              </w:rPr>
              <w:t>-free amino acid supplements (PKU Cooler) was updated.</w:t>
            </w:r>
          </w:p>
          <w:p w:rsidR="00A804F3" w:rsidRPr="00B03A99" w:rsidRDefault="00A804F3" w:rsidP="00A804F3">
            <w:pPr>
              <w:rPr>
                <w:rFonts w:ascii="Arial Narrow" w:hAnsi="Arial Narrow"/>
                <w:sz w:val="20"/>
                <w:szCs w:val="20"/>
              </w:rPr>
            </w:pPr>
            <w:r w:rsidRPr="00B03A99">
              <w:rPr>
                <w:rFonts w:ascii="Arial Narrow" w:hAnsi="Arial Narrow"/>
                <w:sz w:val="20"/>
                <w:szCs w:val="20"/>
              </w:rPr>
              <w:t>• The annual cost of sapropterin was updated to remove rounding.</w:t>
            </w:r>
          </w:p>
          <w:p w:rsidR="00A804F3" w:rsidRPr="00B03A99" w:rsidRDefault="00A804F3" w:rsidP="00A804F3">
            <w:pPr>
              <w:rPr>
                <w:rFonts w:ascii="Arial Narrow" w:hAnsi="Arial Narrow"/>
                <w:sz w:val="20"/>
                <w:szCs w:val="20"/>
              </w:rPr>
            </w:pPr>
            <w:r w:rsidRPr="00B03A99">
              <w:rPr>
                <w:rFonts w:ascii="Arial Narrow" w:hAnsi="Arial Narrow"/>
                <w:sz w:val="20"/>
                <w:szCs w:val="20"/>
              </w:rPr>
              <w:t>The ICER ranged from $</w:t>
            </w:r>
            <w:r w:rsidR="00E916D8">
              <w:rPr>
                <w:rFonts w:ascii="Arial Narrow" w:hAnsi="Arial Narrow"/>
                <w:noProof/>
                <w:color w:val="000000"/>
                <w:sz w:val="20"/>
                <w:szCs w:val="20"/>
                <w:highlight w:val="black"/>
              </w:rPr>
              <w:t>'''''''''''''''''</w:t>
            </w:r>
            <w:r w:rsidRPr="00B03A99">
              <w:rPr>
                <w:rFonts w:ascii="Arial Narrow" w:hAnsi="Arial Narrow"/>
                <w:sz w:val="20"/>
                <w:szCs w:val="20"/>
              </w:rPr>
              <w:t>/QALY for patients aged less than one year to $</w:t>
            </w:r>
            <w:r w:rsidR="00E916D8">
              <w:rPr>
                <w:rFonts w:ascii="Arial Narrow" w:hAnsi="Arial Narrow"/>
                <w:noProof/>
                <w:color w:val="000000"/>
                <w:sz w:val="20"/>
                <w:szCs w:val="20"/>
                <w:highlight w:val="black"/>
              </w:rPr>
              <w:t>'''''''''''''''''''''</w:t>
            </w:r>
            <w:r w:rsidRPr="00B03A99">
              <w:rPr>
                <w:rFonts w:ascii="Arial Narrow" w:hAnsi="Arial Narrow"/>
                <w:sz w:val="20"/>
                <w:szCs w:val="20"/>
              </w:rPr>
              <w:t xml:space="preserve">/QALY for those aged 17 years. </w:t>
            </w:r>
          </w:p>
          <w:p w:rsidR="00A804F3" w:rsidRPr="00B03A99" w:rsidRDefault="00A804F3" w:rsidP="00A804F3">
            <w:pPr>
              <w:rPr>
                <w:rFonts w:ascii="Arial Narrow" w:hAnsi="Arial Narrow"/>
                <w:sz w:val="20"/>
                <w:szCs w:val="20"/>
              </w:rPr>
            </w:pPr>
          </w:p>
          <w:p w:rsidR="00A804F3" w:rsidRPr="00B03A99" w:rsidRDefault="00A804F3" w:rsidP="00A804F3">
            <w:pPr>
              <w:rPr>
                <w:rFonts w:ascii="Arial Narrow" w:hAnsi="Arial Narrow"/>
                <w:sz w:val="20"/>
                <w:szCs w:val="20"/>
              </w:rPr>
            </w:pPr>
            <w:r w:rsidRPr="00B03A99">
              <w:rPr>
                <w:rFonts w:ascii="Arial Narrow" w:hAnsi="Arial Narrow"/>
                <w:sz w:val="20"/>
                <w:szCs w:val="20"/>
              </w:rPr>
              <w:t>Calculated a single weighted average ICER (taking account of the revised age criteria) across all age groups for each individual year of listing for the 6-year period from 2019 to 2024. The average ICER over the 6 years was $</w:t>
            </w:r>
            <w:r w:rsidR="00E916D8">
              <w:rPr>
                <w:rFonts w:ascii="Arial Narrow" w:hAnsi="Arial Narrow"/>
                <w:noProof/>
                <w:color w:val="000000"/>
                <w:sz w:val="20"/>
                <w:szCs w:val="20"/>
                <w:highlight w:val="black"/>
              </w:rPr>
              <w:t>'''''''''''''''''''</w:t>
            </w:r>
            <w:r w:rsidRPr="00B03A99">
              <w:rPr>
                <w:rFonts w:ascii="Arial Narrow" w:hAnsi="Arial Narrow"/>
                <w:sz w:val="20"/>
                <w:szCs w:val="20"/>
              </w:rPr>
              <w:t>/QALY.</w:t>
            </w:r>
          </w:p>
        </w:tc>
      </w:tr>
      <w:tr w:rsidR="00A804F3" w:rsidRPr="00B03A99" w:rsidTr="00FF6B58">
        <w:trPr>
          <w:cantSplit/>
          <w:trHeight w:val="416"/>
        </w:trPr>
        <w:tc>
          <w:tcPr>
            <w:tcW w:w="548" w:type="pct"/>
          </w:tcPr>
          <w:p w:rsidR="00A804F3" w:rsidRPr="00B03A99" w:rsidRDefault="00A804F3" w:rsidP="00A804F3">
            <w:pPr>
              <w:rPr>
                <w:rFonts w:ascii="Arial Narrow" w:hAnsi="Arial Narrow"/>
                <w:sz w:val="20"/>
                <w:szCs w:val="20"/>
                <w:highlight w:val="yellow"/>
              </w:rPr>
            </w:pPr>
            <w:r w:rsidRPr="00B03A99">
              <w:rPr>
                <w:rFonts w:ascii="Arial Narrow" w:hAnsi="Arial Narrow"/>
                <w:sz w:val="20"/>
                <w:szCs w:val="20"/>
              </w:rPr>
              <w:t>Number of patients</w:t>
            </w:r>
          </w:p>
        </w:tc>
        <w:tc>
          <w:tcPr>
            <w:tcW w:w="2839" w:type="pct"/>
          </w:tcPr>
          <w:p w:rsidR="00A804F3" w:rsidRPr="00B03A99" w:rsidRDefault="00E916D8" w:rsidP="00A804F3">
            <w:pPr>
              <w:rPr>
                <w:rFonts w:ascii="Arial Narrow" w:hAnsi="Arial Narrow"/>
                <w:sz w:val="20"/>
                <w:szCs w:val="20"/>
              </w:rPr>
            </w:pPr>
            <w:r>
              <w:rPr>
                <w:rFonts w:ascii="Arial Narrow" w:hAnsi="Arial Narrow"/>
                <w:noProof/>
                <w:color w:val="000000"/>
                <w:sz w:val="20"/>
                <w:szCs w:val="20"/>
                <w:highlight w:val="black"/>
              </w:rPr>
              <w:t>'''''''''</w:t>
            </w:r>
            <w:r w:rsidR="00A804F3" w:rsidRPr="00B03A99">
              <w:rPr>
                <w:rFonts w:ascii="Arial Narrow" w:hAnsi="Arial Narrow"/>
                <w:sz w:val="20"/>
                <w:szCs w:val="20"/>
              </w:rPr>
              <w:t xml:space="preserve"> in Year 1, increasing to </w:t>
            </w:r>
            <w:r>
              <w:rPr>
                <w:rFonts w:ascii="Arial Narrow" w:hAnsi="Arial Narrow"/>
                <w:noProof/>
                <w:color w:val="000000"/>
                <w:sz w:val="20"/>
                <w:szCs w:val="20"/>
                <w:highlight w:val="black"/>
              </w:rPr>
              <w:t>'''''''''</w:t>
            </w:r>
            <w:r w:rsidR="00A804F3" w:rsidRPr="00B03A99">
              <w:rPr>
                <w:rFonts w:ascii="Arial Narrow" w:hAnsi="Arial Narrow"/>
                <w:sz w:val="20"/>
                <w:szCs w:val="20"/>
              </w:rPr>
              <w:t xml:space="preserve"> in Year 6 (maintenance only).</w:t>
            </w:r>
          </w:p>
        </w:tc>
        <w:tc>
          <w:tcPr>
            <w:tcW w:w="1613" w:type="pct"/>
          </w:tcPr>
          <w:p w:rsidR="00A804F3" w:rsidRPr="00B03A99" w:rsidRDefault="00E916D8" w:rsidP="00A804F3">
            <w:pPr>
              <w:rPr>
                <w:rFonts w:ascii="Arial Narrow" w:hAnsi="Arial Narrow"/>
                <w:sz w:val="20"/>
                <w:szCs w:val="20"/>
              </w:rPr>
            </w:pPr>
            <w:r>
              <w:rPr>
                <w:rFonts w:ascii="Arial Narrow" w:hAnsi="Arial Narrow"/>
                <w:noProof/>
                <w:color w:val="000000"/>
                <w:sz w:val="20"/>
                <w:szCs w:val="20"/>
                <w:highlight w:val="black"/>
              </w:rPr>
              <w:t>''''''''''</w:t>
            </w:r>
            <w:r w:rsidR="00A804F3" w:rsidRPr="00B03A99">
              <w:rPr>
                <w:rFonts w:ascii="Arial Narrow" w:hAnsi="Arial Narrow"/>
                <w:sz w:val="20"/>
                <w:szCs w:val="20"/>
              </w:rPr>
              <w:t xml:space="preserve"> in Year 1, increasing to </w:t>
            </w:r>
            <w:r>
              <w:rPr>
                <w:rFonts w:ascii="Arial Narrow" w:hAnsi="Arial Narrow"/>
                <w:noProof/>
                <w:color w:val="000000"/>
                <w:sz w:val="20"/>
                <w:szCs w:val="20"/>
                <w:highlight w:val="black"/>
              </w:rPr>
              <w:t>'''''''''</w:t>
            </w:r>
            <w:r w:rsidR="008C6DE8" w:rsidRPr="00B03A99">
              <w:rPr>
                <w:rFonts w:ascii="Arial Narrow" w:hAnsi="Arial Narrow"/>
                <w:sz w:val="20"/>
                <w:szCs w:val="20"/>
              </w:rPr>
              <w:t xml:space="preserve"> in Year 6 (maintenance only), reduced in the pre-PBAC response to </w:t>
            </w:r>
            <w:r>
              <w:rPr>
                <w:rFonts w:ascii="Arial Narrow" w:hAnsi="Arial Narrow"/>
                <w:noProof/>
                <w:color w:val="000000"/>
                <w:sz w:val="20"/>
                <w:szCs w:val="20"/>
                <w:highlight w:val="black"/>
              </w:rPr>
              <w:t>'''''''''</w:t>
            </w:r>
            <w:r w:rsidR="008C6DE8" w:rsidRPr="00B03A99">
              <w:rPr>
                <w:rFonts w:ascii="Arial Narrow" w:hAnsi="Arial Narrow"/>
                <w:sz w:val="20"/>
                <w:szCs w:val="20"/>
              </w:rPr>
              <w:t xml:space="preserve"> in Year 1 and </w:t>
            </w:r>
            <w:r>
              <w:rPr>
                <w:rFonts w:ascii="Arial Narrow" w:hAnsi="Arial Narrow"/>
                <w:noProof/>
                <w:color w:val="000000"/>
                <w:sz w:val="20"/>
                <w:szCs w:val="20"/>
                <w:highlight w:val="black"/>
              </w:rPr>
              <w:t>''''''''''</w:t>
            </w:r>
            <w:r w:rsidR="008C6DE8" w:rsidRPr="00B03A99">
              <w:rPr>
                <w:rFonts w:ascii="Arial Narrow" w:hAnsi="Arial Narrow"/>
                <w:sz w:val="20"/>
                <w:szCs w:val="20"/>
              </w:rPr>
              <w:t xml:space="preserve"> in Year 6.</w:t>
            </w:r>
          </w:p>
          <w:p w:rsidR="00A804F3" w:rsidRPr="00B03A99" w:rsidRDefault="00A804F3" w:rsidP="00A804F3">
            <w:pPr>
              <w:rPr>
                <w:rFonts w:ascii="Arial Narrow" w:hAnsi="Arial Narrow"/>
                <w:sz w:val="20"/>
                <w:szCs w:val="20"/>
              </w:rPr>
            </w:pPr>
            <w:r w:rsidRPr="00B03A99">
              <w:rPr>
                <w:rFonts w:ascii="Arial Narrow" w:hAnsi="Arial Narrow"/>
                <w:sz w:val="20"/>
                <w:szCs w:val="20"/>
              </w:rPr>
              <w:t>Higher in Year 1 due to higher uptake rate, lower in Year 6 due to exclusion of patients aged ≥ 18 years (except for continuing use).</w:t>
            </w:r>
          </w:p>
        </w:tc>
      </w:tr>
      <w:tr w:rsidR="00A804F3" w:rsidRPr="00B03A99" w:rsidTr="00FF6B58">
        <w:trPr>
          <w:cantSplit/>
          <w:trHeight w:val="416"/>
        </w:trPr>
        <w:tc>
          <w:tcPr>
            <w:tcW w:w="548" w:type="pct"/>
          </w:tcPr>
          <w:p w:rsidR="00A804F3" w:rsidRPr="00B03A99" w:rsidRDefault="00A804F3" w:rsidP="00A804F3">
            <w:pPr>
              <w:rPr>
                <w:rFonts w:ascii="Arial Narrow" w:hAnsi="Arial Narrow"/>
                <w:sz w:val="20"/>
                <w:szCs w:val="20"/>
                <w:highlight w:val="yellow"/>
              </w:rPr>
            </w:pPr>
            <w:r w:rsidRPr="00B03A99">
              <w:rPr>
                <w:rFonts w:ascii="Arial Narrow" w:hAnsi="Arial Narrow"/>
                <w:sz w:val="20"/>
                <w:szCs w:val="20"/>
              </w:rPr>
              <w:t>Estimated net cost to PBS</w:t>
            </w:r>
          </w:p>
        </w:tc>
        <w:tc>
          <w:tcPr>
            <w:tcW w:w="2839"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r w:rsidRPr="00B03A99">
              <w:rPr>
                <w:rFonts w:ascii="Arial Narrow" w:hAnsi="Arial Narrow"/>
                <w:sz w:val="20"/>
                <w:szCs w:val="20"/>
              </w:rPr>
              <w:t xml:space="preserve"> million in Year 6 and $</w:t>
            </w:r>
            <w:r w:rsidR="00E916D8">
              <w:rPr>
                <w:rFonts w:ascii="Arial Narrow" w:hAnsi="Arial Narrow"/>
                <w:noProof/>
                <w:color w:val="000000"/>
                <w:sz w:val="20"/>
                <w:szCs w:val="20"/>
                <w:highlight w:val="black"/>
              </w:rPr>
              <w:t>'''''''''''''</w:t>
            </w:r>
            <w:r w:rsidRPr="00B03A99">
              <w:rPr>
                <w:rFonts w:ascii="Arial Narrow" w:hAnsi="Arial Narrow"/>
                <w:sz w:val="20"/>
                <w:szCs w:val="20"/>
              </w:rPr>
              <w:t xml:space="preserve"> million over the first six years (cost of sapropterin only, for comparison).</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The PBAC considered that the financial estimates would need to be updated: to reflect commencement in children and adolescents only; the eligible population may be overestimated due to inconsistencies between the clinical guidelines and the criteria used to determine the eligible population; the uptake and compliance rates were underestimated; and the rounding of doses was inappropriate (Para 7.16).  </w:t>
            </w:r>
          </w:p>
        </w:tc>
        <w:tc>
          <w:tcPr>
            <w:tcW w:w="1613"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r w:rsidRPr="00B03A99">
              <w:rPr>
                <w:rFonts w:ascii="Arial Narrow" w:hAnsi="Arial Narrow"/>
                <w:sz w:val="20"/>
                <w:szCs w:val="20"/>
              </w:rPr>
              <w:t xml:space="preserve"> million in Year 6 and $</w:t>
            </w:r>
            <w:r w:rsidR="00E916D8">
              <w:rPr>
                <w:rFonts w:ascii="Arial Narrow" w:hAnsi="Arial Narrow"/>
                <w:noProof/>
                <w:color w:val="000000"/>
                <w:sz w:val="20"/>
                <w:szCs w:val="20"/>
                <w:highlight w:val="black"/>
              </w:rPr>
              <w:t>''''''''''</w:t>
            </w:r>
            <w:r w:rsidRPr="00B03A99">
              <w:rPr>
                <w:rFonts w:ascii="Arial Narrow" w:hAnsi="Arial Narrow"/>
                <w:sz w:val="20"/>
                <w:szCs w:val="20"/>
              </w:rPr>
              <w:t xml:space="preserve"> million over </w:t>
            </w:r>
            <w:r w:rsidR="008C6DE8" w:rsidRPr="00B03A99">
              <w:rPr>
                <w:rFonts w:ascii="Arial Narrow" w:hAnsi="Arial Narrow"/>
                <w:sz w:val="20"/>
                <w:szCs w:val="20"/>
              </w:rPr>
              <w:t>6 years</w:t>
            </w:r>
            <w:r w:rsidRPr="00B03A99">
              <w:rPr>
                <w:rFonts w:ascii="Arial Narrow" w:hAnsi="Arial Narrow"/>
                <w:sz w:val="20"/>
                <w:szCs w:val="20"/>
              </w:rPr>
              <w:t>.</w:t>
            </w:r>
            <w:r w:rsidR="008C6DE8" w:rsidRPr="00B03A99">
              <w:rPr>
                <w:rFonts w:ascii="Arial Narrow" w:hAnsi="Arial Narrow"/>
                <w:sz w:val="20"/>
                <w:szCs w:val="20"/>
              </w:rPr>
              <w:t xml:space="preserve"> Reduced in the pre-PBAC response to $</w:t>
            </w:r>
            <w:r w:rsidR="00E916D8">
              <w:rPr>
                <w:rFonts w:ascii="Arial Narrow" w:hAnsi="Arial Narrow"/>
                <w:noProof/>
                <w:color w:val="000000"/>
                <w:sz w:val="20"/>
                <w:szCs w:val="20"/>
                <w:highlight w:val="black"/>
              </w:rPr>
              <w:t>''''''''</w:t>
            </w:r>
            <w:r w:rsidR="008C6DE8" w:rsidRPr="00B03A99">
              <w:rPr>
                <w:rFonts w:ascii="Arial Narrow" w:hAnsi="Arial Narrow"/>
                <w:sz w:val="20"/>
                <w:szCs w:val="20"/>
              </w:rPr>
              <w:t xml:space="preserve"> million in Year 6 and $</w:t>
            </w:r>
            <w:r w:rsidR="00E916D8">
              <w:rPr>
                <w:rFonts w:ascii="Arial Narrow" w:hAnsi="Arial Narrow"/>
                <w:noProof/>
                <w:color w:val="000000"/>
                <w:sz w:val="20"/>
                <w:szCs w:val="20"/>
                <w:highlight w:val="black"/>
              </w:rPr>
              <w:t>''''''''''</w:t>
            </w:r>
            <w:r w:rsidR="008C6DE8" w:rsidRPr="00B03A99">
              <w:rPr>
                <w:rFonts w:ascii="Arial Narrow" w:hAnsi="Arial Narrow"/>
                <w:sz w:val="20"/>
                <w:szCs w:val="20"/>
              </w:rPr>
              <w:t xml:space="preserve"> million over 6 years.</w:t>
            </w:r>
          </w:p>
          <w:p w:rsidR="00A804F3" w:rsidRPr="00B03A99" w:rsidRDefault="00A804F3" w:rsidP="008C6DE8">
            <w:pPr>
              <w:rPr>
                <w:rFonts w:ascii="Arial Narrow" w:hAnsi="Arial Narrow"/>
                <w:sz w:val="20"/>
                <w:szCs w:val="20"/>
              </w:rPr>
            </w:pPr>
            <w:r w:rsidRPr="00B03A99">
              <w:rPr>
                <w:rFonts w:ascii="Arial Narrow" w:hAnsi="Arial Narrow"/>
                <w:sz w:val="20"/>
                <w:szCs w:val="20"/>
              </w:rPr>
              <w:t xml:space="preserve">Cost over 6 years was </w:t>
            </w:r>
            <w:r w:rsidR="008C6DE8" w:rsidRPr="00B03A99">
              <w:rPr>
                <w:rFonts w:ascii="Arial Narrow" w:hAnsi="Arial Narrow"/>
                <w:sz w:val="20"/>
                <w:szCs w:val="20"/>
              </w:rPr>
              <w:t>much lower than</w:t>
            </w:r>
            <w:r w:rsidRPr="00B03A99">
              <w:rPr>
                <w:rFonts w:ascii="Arial Narrow" w:hAnsi="Arial Narrow"/>
                <w:sz w:val="20"/>
                <w:szCs w:val="20"/>
              </w:rPr>
              <w:t xml:space="preserve"> estimated in the previous submission due to patients aged ≥ 18 years no longer being eligible to commence sapropterin</w:t>
            </w:r>
            <w:r w:rsidR="00C20600" w:rsidRPr="00B03A99">
              <w:rPr>
                <w:rFonts w:ascii="Arial Narrow" w:hAnsi="Arial Narrow"/>
                <w:sz w:val="20"/>
                <w:szCs w:val="20"/>
              </w:rPr>
              <w:t>.</w:t>
            </w:r>
          </w:p>
        </w:tc>
      </w:tr>
      <w:tr w:rsidR="00A804F3" w:rsidRPr="00B03A99" w:rsidTr="00FF6B58">
        <w:trPr>
          <w:cantSplit/>
          <w:trHeight w:val="416"/>
        </w:trPr>
        <w:tc>
          <w:tcPr>
            <w:tcW w:w="548"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Key changes to financial estimates</w:t>
            </w:r>
          </w:p>
        </w:tc>
        <w:tc>
          <w:tcPr>
            <w:tcW w:w="2839"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w:t>
            </w:r>
            <w:proofErr w:type="gramStart"/>
            <w:r w:rsidRPr="00B03A99">
              <w:rPr>
                <w:rFonts w:ascii="Arial Narrow" w:hAnsi="Arial Narrow"/>
                <w:sz w:val="20"/>
                <w:szCs w:val="20"/>
              </w:rPr>
              <w:t>offsets</w:t>
            </w:r>
            <w:proofErr w:type="gramEnd"/>
            <w:r w:rsidRPr="00B03A99">
              <w:rPr>
                <w:rFonts w:ascii="Arial Narrow" w:hAnsi="Arial Narrow"/>
                <w:sz w:val="20"/>
                <w:szCs w:val="20"/>
              </w:rPr>
              <w:t xml:space="preserve"> for reductions in use of </w:t>
            </w:r>
            <w:proofErr w:type="spellStart"/>
            <w:r w:rsidRPr="00B03A99">
              <w:rPr>
                <w:rFonts w:ascii="Arial Narrow" w:hAnsi="Arial Narrow"/>
                <w:sz w:val="20"/>
                <w:szCs w:val="20"/>
              </w:rPr>
              <w:t>Phe</w:t>
            </w:r>
            <w:proofErr w:type="spellEnd"/>
            <w:r w:rsidRPr="00B03A99">
              <w:rPr>
                <w:rFonts w:ascii="Arial Narrow" w:hAnsi="Arial Narrow"/>
                <w:sz w:val="20"/>
                <w:szCs w:val="20"/>
              </w:rPr>
              <w:t>-free amino acid supplements were estimated to be $</w:t>
            </w:r>
            <w:r w:rsidR="00E916D8">
              <w:rPr>
                <w:rFonts w:ascii="Arial Narrow" w:hAnsi="Arial Narrow"/>
                <w:noProof/>
                <w:color w:val="000000"/>
                <w:sz w:val="20"/>
                <w:szCs w:val="20"/>
                <w:highlight w:val="black"/>
              </w:rPr>
              <w:t>''''''''</w:t>
            </w:r>
            <w:r w:rsidRPr="00B03A99">
              <w:rPr>
                <w:rFonts w:ascii="Arial Narrow" w:hAnsi="Arial Narrow"/>
                <w:sz w:val="20"/>
                <w:szCs w:val="20"/>
              </w:rPr>
              <w:t xml:space="preserve"> million over six years.</w:t>
            </w:r>
          </w:p>
          <w:p w:rsidR="00A804F3" w:rsidRPr="00B03A99" w:rsidRDefault="00A804F3" w:rsidP="00A804F3">
            <w:pPr>
              <w:rPr>
                <w:rFonts w:ascii="Arial Narrow" w:hAnsi="Arial Narrow"/>
                <w:sz w:val="20"/>
                <w:szCs w:val="20"/>
              </w:rPr>
            </w:pPr>
            <w:r w:rsidRPr="00B03A99">
              <w:rPr>
                <w:rFonts w:ascii="Arial Narrow" w:hAnsi="Arial Narrow"/>
                <w:sz w:val="20"/>
                <w:szCs w:val="20"/>
              </w:rPr>
              <w:t>• Included incident and prevalent patients aged 0 to 51 years.</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 respond to initial sapropterin responsiveness </w:t>
            </w:r>
            <w:r w:rsidRPr="009A3DC0">
              <w:rPr>
                <w:rFonts w:ascii="Arial Narrow" w:hAnsi="Arial Narrow"/>
                <w:sz w:val="20"/>
                <w:szCs w:val="20"/>
              </w:rPr>
              <w:t xml:space="preserve">testing: </w:t>
            </w:r>
            <w:r w:rsidR="00E916D8">
              <w:rPr>
                <w:rFonts w:ascii="Arial Narrow" w:hAnsi="Arial Narrow"/>
                <w:noProof/>
                <w:color w:val="000000"/>
                <w:sz w:val="20"/>
                <w:szCs w:val="20"/>
                <w:highlight w:val="black"/>
              </w:rPr>
              <w:t>'''''</w:t>
            </w:r>
            <w:r w:rsidRPr="009A3DC0">
              <w:rPr>
                <w:rFonts w:ascii="Arial Narrow" w:hAnsi="Arial Narrow"/>
                <w:sz w:val="20"/>
                <w:szCs w:val="20"/>
              </w:rPr>
              <w:t>%</w:t>
            </w:r>
            <w:r w:rsidRPr="00B03A99">
              <w:rPr>
                <w:rFonts w:ascii="Arial Narrow" w:hAnsi="Arial Narrow"/>
                <w:sz w:val="20"/>
                <w:szCs w:val="20"/>
              </w:rPr>
              <w:t xml:space="preserve"> in well controlled patients and </w:t>
            </w:r>
            <w:r w:rsidR="00E916D8">
              <w:rPr>
                <w:rFonts w:ascii="Arial Narrow" w:hAnsi="Arial Narrow"/>
                <w:noProof/>
                <w:color w:val="000000"/>
                <w:sz w:val="20"/>
                <w:szCs w:val="20"/>
                <w:highlight w:val="black"/>
              </w:rPr>
              <w:t>'''''</w:t>
            </w:r>
            <w:r w:rsidRPr="00B03A99">
              <w:rPr>
                <w:rFonts w:ascii="Arial Narrow" w:hAnsi="Arial Narrow"/>
                <w:sz w:val="20"/>
                <w:szCs w:val="20"/>
              </w:rPr>
              <w:t>% in poorly controlled patients.</w:t>
            </w:r>
          </w:p>
          <w:p w:rsidR="00A804F3" w:rsidRPr="00B03A99" w:rsidRDefault="00A804F3" w:rsidP="00A804F3">
            <w:pPr>
              <w:rPr>
                <w:rFonts w:ascii="Arial Narrow" w:hAnsi="Arial Narrow"/>
                <w:sz w:val="20"/>
                <w:szCs w:val="20"/>
              </w:rPr>
            </w:pPr>
            <w:r w:rsidRPr="00B03A99">
              <w:rPr>
                <w:rFonts w:ascii="Arial Narrow" w:hAnsi="Arial Narrow"/>
                <w:sz w:val="20"/>
                <w:szCs w:val="20"/>
              </w:rPr>
              <w:t>• Uptake rate</w:t>
            </w:r>
            <w:r w:rsidRPr="009A3DC0">
              <w:rPr>
                <w:rFonts w:ascii="Arial Narrow" w:hAnsi="Arial Narrow"/>
                <w:sz w:val="20"/>
                <w:szCs w:val="20"/>
              </w:rPr>
              <w:t xml:space="preserve">: </w:t>
            </w:r>
            <w:r w:rsidR="00E916D8">
              <w:rPr>
                <w:rFonts w:ascii="Arial Narrow" w:hAnsi="Arial Narrow"/>
                <w:noProof/>
                <w:color w:val="000000"/>
                <w:sz w:val="20"/>
                <w:szCs w:val="20"/>
                <w:highlight w:val="black"/>
              </w:rPr>
              <w:t>''''''</w:t>
            </w:r>
            <w:r w:rsidRPr="009A3DC0">
              <w:rPr>
                <w:rFonts w:ascii="Arial Narrow" w:hAnsi="Arial Narrow"/>
                <w:sz w:val="20"/>
                <w:szCs w:val="20"/>
              </w:rPr>
              <w:t>% in</w:t>
            </w:r>
            <w:r w:rsidRPr="00B03A99">
              <w:rPr>
                <w:rFonts w:ascii="Arial Narrow" w:hAnsi="Arial Narrow"/>
                <w:sz w:val="20"/>
                <w:szCs w:val="20"/>
              </w:rPr>
              <w:t xml:space="preserve"> Year 1 increasing </w:t>
            </w:r>
            <w:r w:rsidRPr="009A3DC0">
              <w:rPr>
                <w:rFonts w:ascii="Arial Narrow" w:hAnsi="Arial Narrow"/>
                <w:sz w:val="20"/>
                <w:szCs w:val="20"/>
              </w:rPr>
              <w:t xml:space="preserve">to </w:t>
            </w:r>
            <w:r w:rsidR="00E916D8">
              <w:rPr>
                <w:rFonts w:ascii="Arial Narrow" w:hAnsi="Arial Narrow"/>
                <w:noProof/>
                <w:color w:val="000000"/>
                <w:sz w:val="20"/>
                <w:szCs w:val="20"/>
                <w:highlight w:val="black"/>
              </w:rPr>
              <w:t>''''''</w:t>
            </w:r>
            <w:r w:rsidRPr="009A3DC0">
              <w:rPr>
                <w:rFonts w:ascii="Arial Narrow" w:hAnsi="Arial Narrow"/>
                <w:sz w:val="20"/>
                <w:szCs w:val="20"/>
              </w:rPr>
              <w:t>% in</w:t>
            </w:r>
            <w:r w:rsidRPr="00B03A99">
              <w:rPr>
                <w:rFonts w:ascii="Arial Narrow" w:hAnsi="Arial Narrow"/>
                <w:sz w:val="20"/>
                <w:szCs w:val="20"/>
              </w:rPr>
              <w:t xml:space="preserve"> Year 6 in children and adolescents; and </w:t>
            </w:r>
            <w:r w:rsidR="00E916D8">
              <w:rPr>
                <w:rFonts w:ascii="Arial Narrow" w:hAnsi="Arial Narrow"/>
                <w:noProof/>
                <w:color w:val="000000"/>
                <w:sz w:val="20"/>
                <w:szCs w:val="20"/>
                <w:highlight w:val="black"/>
              </w:rPr>
              <w:t>''''''</w:t>
            </w:r>
            <w:r w:rsidRPr="00B03A99">
              <w:rPr>
                <w:rFonts w:ascii="Arial Narrow" w:hAnsi="Arial Narrow"/>
                <w:sz w:val="20"/>
                <w:szCs w:val="20"/>
              </w:rPr>
              <w:t xml:space="preserve">% in Year 1 increasing to </w:t>
            </w:r>
            <w:r w:rsidR="00E916D8">
              <w:rPr>
                <w:rFonts w:ascii="Arial Narrow" w:hAnsi="Arial Narrow"/>
                <w:noProof/>
                <w:color w:val="000000"/>
                <w:sz w:val="20"/>
                <w:szCs w:val="20"/>
                <w:highlight w:val="black"/>
              </w:rPr>
              <w:t>''''''</w:t>
            </w:r>
            <w:r w:rsidRPr="00B03A99">
              <w:rPr>
                <w:rFonts w:ascii="Arial Narrow" w:hAnsi="Arial Narrow"/>
                <w:sz w:val="20"/>
                <w:szCs w:val="20"/>
              </w:rPr>
              <w:t>% in Year 6 in patients aged ≥ 18 years.</w:t>
            </w:r>
          </w:p>
          <w:p w:rsidR="00A804F3" w:rsidRPr="00B03A99" w:rsidRDefault="00A804F3" w:rsidP="00A804F3">
            <w:pPr>
              <w:rPr>
                <w:rFonts w:ascii="Arial Narrow" w:hAnsi="Arial Narrow"/>
                <w:sz w:val="20"/>
                <w:szCs w:val="20"/>
              </w:rPr>
            </w:pPr>
            <w:r w:rsidRPr="00B03A99">
              <w:rPr>
                <w:rFonts w:ascii="Arial Narrow" w:hAnsi="Arial Narrow"/>
                <w:sz w:val="20"/>
                <w:szCs w:val="20"/>
              </w:rPr>
              <w:t>•</w:t>
            </w:r>
            <w:r w:rsidRPr="00B03A99">
              <w:t xml:space="preserve"> </w:t>
            </w:r>
            <w:r w:rsidRPr="00B03A99">
              <w:rPr>
                <w:rFonts w:ascii="Arial Narrow" w:hAnsi="Arial Narrow"/>
                <w:sz w:val="20"/>
                <w:szCs w:val="20"/>
              </w:rPr>
              <w:t>Dose of sapropterin rounded to nearest 100mg.</w:t>
            </w:r>
          </w:p>
          <w:p w:rsidR="00A804F3" w:rsidRPr="00B03A99" w:rsidRDefault="00A804F3" w:rsidP="00A804F3">
            <w:pPr>
              <w:rPr>
                <w:rFonts w:ascii="Arial Narrow" w:hAnsi="Arial Narrow"/>
                <w:sz w:val="20"/>
                <w:szCs w:val="20"/>
              </w:rPr>
            </w:pPr>
            <w:r w:rsidRPr="00B03A99">
              <w:rPr>
                <w:rFonts w:ascii="Arial Narrow" w:hAnsi="Arial Narrow"/>
                <w:sz w:val="20"/>
                <w:szCs w:val="20"/>
              </w:rPr>
              <w:t>• Compliance rate</w:t>
            </w:r>
            <w:r w:rsidRPr="009A3DC0">
              <w:rPr>
                <w:rFonts w:ascii="Arial Narrow" w:hAnsi="Arial Narrow"/>
                <w:sz w:val="20"/>
                <w:szCs w:val="20"/>
              </w:rPr>
              <w:t xml:space="preserve">: </w:t>
            </w:r>
            <w:r w:rsidRPr="00E3376E">
              <w:rPr>
                <w:rFonts w:ascii="Arial Narrow" w:hAnsi="Arial Narrow"/>
                <w:sz w:val="20"/>
                <w:szCs w:val="20"/>
              </w:rPr>
              <w:t>100</w:t>
            </w:r>
            <w:r w:rsidRPr="009A3DC0">
              <w:rPr>
                <w:rFonts w:ascii="Arial Narrow" w:hAnsi="Arial Narrow"/>
                <w:sz w:val="20"/>
                <w:szCs w:val="20"/>
              </w:rPr>
              <w:t>%.</w:t>
            </w:r>
          </w:p>
        </w:tc>
        <w:tc>
          <w:tcPr>
            <w:tcW w:w="1613"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No offsets for reductions in use of </w:t>
            </w:r>
            <w:proofErr w:type="spellStart"/>
            <w:r w:rsidRPr="00B03A99">
              <w:rPr>
                <w:rFonts w:ascii="Arial Narrow" w:hAnsi="Arial Narrow"/>
                <w:sz w:val="20"/>
                <w:szCs w:val="20"/>
              </w:rPr>
              <w:t>Phe</w:t>
            </w:r>
            <w:proofErr w:type="spellEnd"/>
            <w:r w:rsidRPr="00B03A99">
              <w:rPr>
                <w:rFonts w:ascii="Arial Narrow" w:hAnsi="Arial Narrow"/>
                <w:sz w:val="20"/>
                <w:szCs w:val="20"/>
              </w:rPr>
              <w:t>-free amino acid supplements were included.</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Included patients aged 0 to 17 years and assumed patients can continue once they turn 18 years. </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 respond to initial sapropterin responsiveness testing: </w:t>
            </w:r>
            <w:r w:rsidR="00E916D8">
              <w:rPr>
                <w:rFonts w:ascii="Arial Narrow" w:hAnsi="Arial Narrow"/>
                <w:noProof/>
                <w:color w:val="000000"/>
                <w:sz w:val="20"/>
                <w:szCs w:val="20"/>
                <w:highlight w:val="black"/>
              </w:rPr>
              <w:t>'''''''</w:t>
            </w:r>
            <w:r w:rsidRPr="00B03A99">
              <w:rPr>
                <w:rFonts w:ascii="Arial Narrow" w:hAnsi="Arial Narrow"/>
                <w:sz w:val="20"/>
                <w:szCs w:val="20"/>
              </w:rPr>
              <w:t>% across all patients.</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Uptake rate: </w:t>
            </w:r>
            <w:r w:rsidR="00E916D8">
              <w:rPr>
                <w:rFonts w:ascii="Arial Narrow" w:hAnsi="Arial Narrow"/>
                <w:noProof/>
                <w:color w:val="000000"/>
                <w:sz w:val="20"/>
                <w:szCs w:val="20"/>
                <w:highlight w:val="black"/>
              </w:rPr>
              <w:t>'''''</w:t>
            </w:r>
            <w:r w:rsidRPr="00B03A99">
              <w:rPr>
                <w:rFonts w:ascii="Arial Narrow" w:hAnsi="Arial Narrow"/>
                <w:sz w:val="20"/>
                <w:szCs w:val="20"/>
              </w:rPr>
              <w:t>% (in all years and all patient ages)</w:t>
            </w:r>
            <w:r w:rsidR="008C6DE8" w:rsidRPr="00B03A99">
              <w:rPr>
                <w:rFonts w:ascii="Arial Narrow" w:hAnsi="Arial Narrow"/>
                <w:sz w:val="20"/>
                <w:szCs w:val="20"/>
              </w:rPr>
              <w:t xml:space="preserve">, amended to </w:t>
            </w:r>
            <w:r w:rsidR="00E916D8">
              <w:rPr>
                <w:rFonts w:ascii="Arial Narrow" w:hAnsi="Arial Narrow"/>
                <w:noProof/>
                <w:color w:val="000000"/>
                <w:sz w:val="20"/>
                <w:szCs w:val="20"/>
                <w:highlight w:val="black"/>
              </w:rPr>
              <w:t>''''''</w:t>
            </w:r>
            <w:r w:rsidR="008C6DE8" w:rsidRPr="00B03A99">
              <w:rPr>
                <w:rFonts w:ascii="Arial Narrow" w:hAnsi="Arial Narrow"/>
                <w:sz w:val="20"/>
                <w:szCs w:val="20"/>
              </w:rPr>
              <w:t>% in pre-PBAC response</w:t>
            </w:r>
            <w:r w:rsidRPr="00B03A99">
              <w:rPr>
                <w:rFonts w:ascii="Arial Narrow" w:hAnsi="Arial Narrow"/>
                <w:sz w:val="20"/>
                <w:szCs w:val="20"/>
              </w:rPr>
              <w:t>.</w:t>
            </w:r>
          </w:p>
          <w:p w:rsidR="00A804F3" w:rsidRPr="00B03A99" w:rsidRDefault="00A804F3" w:rsidP="00A804F3">
            <w:pPr>
              <w:rPr>
                <w:rFonts w:ascii="Arial Narrow" w:hAnsi="Arial Narrow"/>
                <w:sz w:val="20"/>
                <w:szCs w:val="20"/>
              </w:rPr>
            </w:pPr>
            <w:r w:rsidRPr="00B03A99">
              <w:rPr>
                <w:rFonts w:ascii="Arial Narrow" w:hAnsi="Arial Narrow"/>
                <w:sz w:val="20"/>
                <w:szCs w:val="20"/>
              </w:rPr>
              <w:t>• Dose of sapropterin not rounded.</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Compliance rate: </w:t>
            </w:r>
            <w:r w:rsidR="00E916D8">
              <w:rPr>
                <w:rFonts w:ascii="Arial Narrow" w:hAnsi="Arial Narrow"/>
                <w:noProof/>
                <w:color w:val="000000"/>
                <w:sz w:val="20"/>
                <w:szCs w:val="20"/>
                <w:highlight w:val="black"/>
              </w:rPr>
              <w:t>'''''''''''</w:t>
            </w:r>
            <w:r w:rsidRPr="00B03A99">
              <w:rPr>
                <w:rFonts w:ascii="Arial Narrow" w:hAnsi="Arial Narrow"/>
                <w:sz w:val="20"/>
                <w:szCs w:val="20"/>
              </w:rPr>
              <w:t>%</w:t>
            </w:r>
            <w:r w:rsidR="008C6DE8" w:rsidRPr="00B03A99">
              <w:rPr>
                <w:rFonts w:ascii="Arial Narrow" w:hAnsi="Arial Narrow"/>
                <w:sz w:val="20"/>
                <w:szCs w:val="20"/>
              </w:rPr>
              <w:t xml:space="preserve">, amended to </w:t>
            </w:r>
            <w:r w:rsidR="00E916D8">
              <w:rPr>
                <w:rFonts w:ascii="Arial Narrow" w:hAnsi="Arial Narrow"/>
                <w:noProof/>
                <w:color w:val="000000"/>
                <w:sz w:val="20"/>
                <w:szCs w:val="20"/>
                <w:highlight w:val="black"/>
              </w:rPr>
              <w:t>''''''</w:t>
            </w:r>
            <w:r w:rsidR="008C6DE8" w:rsidRPr="00B03A99">
              <w:rPr>
                <w:rFonts w:ascii="Arial Narrow" w:hAnsi="Arial Narrow"/>
                <w:sz w:val="20"/>
                <w:szCs w:val="20"/>
              </w:rPr>
              <w:t>% in pre-PBAC response</w:t>
            </w:r>
            <w:r w:rsidRPr="00B03A99">
              <w:rPr>
                <w:rFonts w:ascii="Arial Narrow" w:hAnsi="Arial Narrow"/>
                <w:sz w:val="20"/>
                <w:szCs w:val="20"/>
              </w:rPr>
              <w:t>.</w:t>
            </w:r>
          </w:p>
        </w:tc>
      </w:tr>
      <w:tr w:rsidR="00A804F3" w:rsidRPr="00B03A99" w:rsidTr="00FF6B58">
        <w:trPr>
          <w:cantSplit/>
          <w:trHeight w:val="416"/>
        </w:trPr>
        <w:tc>
          <w:tcPr>
            <w:tcW w:w="548" w:type="pct"/>
          </w:tcPr>
          <w:p w:rsidR="00A804F3" w:rsidRPr="00B03A99" w:rsidRDefault="00A804F3" w:rsidP="00A804F3">
            <w:pPr>
              <w:rPr>
                <w:rFonts w:ascii="Arial Narrow" w:hAnsi="Arial Narrow"/>
                <w:sz w:val="20"/>
                <w:szCs w:val="20"/>
              </w:rPr>
            </w:pPr>
            <w:r w:rsidRPr="00B03A99">
              <w:rPr>
                <w:rFonts w:ascii="Arial Narrow" w:hAnsi="Arial Narrow"/>
                <w:sz w:val="20"/>
                <w:szCs w:val="20"/>
              </w:rPr>
              <w:lastRenderedPageBreak/>
              <w:t>Risk sharing arrangement</w:t>
            </w:r>
          </w:p>
        </w:tc>
        <w:tc>
          <w:tcPr>
            <w:tcW w:w="2839"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Commonwealth expenditure would be capped at the estimates provided with a </w:t>
            </w:r>
            <w:r w:rsidR="00E916D8">
              <w:rPr>
                <w:rFonts w:ascii="Arial Narrow" w:hAnsi="Arial Narrow"/>
                <w:noProof/>
                <w:color w:val="000000"/>
                <w:sz w:val="20"/>
                <w:szCs w:val="20"/>
                <w:highlight w:val="black"/>
              </w:rPr>
              <w:t>'''''''''</w:t>
            </w:r>
            <w:r w:rsidRPr="00B03A99">
              <w:rPr>
                <w:rFonts w:ascii="Arial Narrow" w:hAnsi="Arial Narrow"/>
                <w:sz w:val="20"/>
                <w:szCs w:val="20"/>
              </w:rPr>
              <w:t>% rebate for above this level.</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The PBAC considered that an RSA would be required to manage the high and uncertain cost-effectiveness and the uncertain patient population. The PBAC considered that the RSA should include </w:t>
            </w:r>
            <w:r w:rsidRPr="00F514B4">
              <w:rPr>
                <w:rFonts w:ascii="Arial Narrow" w:hAnsi="Arial Narrow"/>
                <w:sz w:val="20"/>
                <w:szCs w:val="20"/>
              </w:rPr>
              <w:t>100</w:t>
            </w:r>
            <w:r w:rsidRPr="00B03A99">
              <w:rPr>
                <w:rFonts w:ascii="Arial Narrow" w:hAnsi="Arial Narrow"/>
                <w:sz w:val="20"/>
                <w:szCs w:val="20"/>
              </w:rPr>
              <w:t>% rebates for expenditure beyond the cap. (Para 7.14)</w:t>
            </w:r>
          </w:p>
        </w:tc>
        <w:tc>
          <w:tcPr>
            <w:tcW w:w="1613"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Commonwealth expenditure would be capped at the estimates provided with a </w:t>
            </w:r>
            <w:r w:rsidR="00E916D8">
              <w:rPr>
                <w:rFonts w:ascii="Arial Narrow" w:hAnsi="Arial Narrow"/>
                <w:noProof/>
                <w:color w:val="000000"/>
                <w:sz w:val="20"/>
                <w:szCs w:val="20"/>
                <w:highlight w:val="black"/>
              </w:rPr>
              <w:t>''''''''''</w:t>
            </w:r>
            <w:r w:rsidRPr="00B03A99">
              <w:rPr>
                <w:rFonts w:ascii="Arial Narrow" w:hAnsi="Arial Narrow"/>
                <w:sz w:val="20"/>
                <w:szCs w:val="20"/>
              </w:rPr>
              <w:t>% rebate for above this level.</w:t>
            </w:r>
          </w:p>
          <w:p w:rsidR="00A804F3" w:rsidRPr="00B03A99" w:rsidRDefault="00A804F3" w:rsidP="00A804F3">
            <w:pPr>
              <w:rPr>
                <w:rFonts w:ascii="Arial Narrow" w:hAnsi="Arial Narrow"/>
                <w:sz w:val="20"/>
                <w:szCs w:val="20"/>
              </w:rPr>
            </w:pPr>
            <w:r w:rsidRPr="00B03A99">
              <w:rPr>
                <w:rFonts w:ascii="Arial Narrow" w:hAnsi="Arial Narrow"/>
                <w:sz w:val="20"/>
                <w:szCs w:val="20"/>
              </w:rPr>
              <w:t xml:space="preserve">• </w:t>
            </w:r>
            <w:r w:rsidR="00E916D8">
              <w:rPr>
                <w:rFonts w:ascii="Arial Narrow" w:hAnsi="Arial Narrow"/>
                <w:noProof/>
                <w:color w:val="000000"/>
                <w:sz w:val="20"/>
                <w:szCs w:val="20"/>
                <w:highlight w:val="black"/>
              </w:rPr>
              <w:t>''''''''''</w:t>
            </w:r>
            <w:r w:rsidRPr="00B03A99">
              <w:rPr>
                <w:rFonts w:ascii="Arial Narrow" w:hAnsi="Arial Narrow"/>
                <w:sz w:val="20"/>
                <w:szCs w:val="20"/>
              </w:rPr>
              <w:t>% rebate on the cost to the PBS of all sapropterin used for initial responsiveness testing.</w:t>
            </w:r>
          </w:p>
          <w:p w:rsidR="008C6DE8" w:rsidRPr="00B03A99" w:rsidRDefault="008C6DE8" w:rsidP="00A804F3">
            <w:pPr>
              <w:rPr>
                <w:rFonts w:ascii="Arial Narrow" w:hAnsi="Arial Narrow"/>
                <w:sz w:val="20"/>
                <w:szCs w:val="20"/>
              </w:rPr>
            </w:pPr>
            <w:r w:rsidRPr="00B03A99">
              <w:rPr>
                <w:rFonts w:ascii="Arial Narrow" w:hAnsi="Arial Narrow"/>
                <w:sz w:val="20"/>
                <w:szCs w:val="20"/>
              </w:rPr>
              <w:t>• Pre-PBAC response also proposed a rebate for patients ≥18 years</w:t>
            </w:r>
          </w:p>
        </w:tc>
      </w:tr>
      <w:tr w:rsidR="00A804F3" w:rsidRPr="00B03A99" w:rsidTr="00FF6B58">
        <w:trPr>
          <w:cantSplit/>
          <w:trHeight w:val="860"/>
        </w:trPr>
        <w:tc>
          <w:tcPr>
            <w:tcW w:w="548" w:type="pct"/>
          </w:tcPr>
          <w:p w:rsidR="00A804F3" w:rsidRPr="00B03A99" w:rsidRDefault="00A804F3" w:rsidP="00A804F3">
            <w:pPr>
              <w:rPr>
                <w:rFonts w:ascii="Arial Narrow" w:hAnsi="Arial Narrow"/>
                <w:sz w:val="20"/>
                <w:szCs w:val="20"/>
                <w:highlight w:val="yellow"/>
              </w:rPr>
            </w:pPr>
            <w:r w:rsidRPr="00B03A99">
              <w:rPr>
                <w:rFonts w:ascii="Arial Narrow" w:hAnsi="Arial Narrow"/>
                <w:sz w:val="20"/>
                <w:szCs w:val="20"/>
                <w:highlight w:val="yellow"/>
              </w:rPr>
              <w:br w:type="page"/>
            </w:r>
            <w:r w:rsidRPr="00B03A99">
              <w:rPr>
                <w:rFonts w:ascii="Arial Narrow" w:hAnsi="Arial Narrow"/>
                <w:sz w:val="20"/>
                <w:szCs w:val="20"/>
              </w:rPr>
              <w:t>PBAC decision</w:t>
            </w:r>
          </w:p>
        </w:tc>
        <w:tc>
          <w:tcPr>
            <w:tcW w:w="2839" w:type="pct"/>
          </w:tcPr>
          <w:p w:rsidR="00A804F3" w:rsidRPr="00B03A99" w:rsidRDefault="00A804F3" w:rsidP="00A804F3">
            <w:pPr>
              <w:rPr>
                <w:rFonts w:ascii="Arial Narrow" w:hAnsi="Arial Narrow"/>
                <w:bCs/>
                <w:sz w:val="20"/>
                <w:szCs w:val="20"/>
              </w:rPr>
            </w:pPr>
            <w:r w:rsidRPr="00B03A99">
              <w:rPr>
                <w:rFonts w:ascii="Arial Narrow" w:hAnsi="Arial Narrow"/>
                <w:bCs/>
                <w:sz w:val="20"/>
                <w:szCs w:val="20"/>
              </w:rPr>
              <w:t xml:space="preserve">Defer.  </w:t>
            </w:r>
          </w:p>
          <w:p w:rsidR="00A804F3" w:rsidRPr="00B03A99" w:rsidRDefault="00A804F3" w:rsidP="00A804F3">
            <w:pPr>
              <w:rPr>
                <w:rFonts w:ascii="Arial Narrow" w:hAnsi="Arial Narrow"/>
                <w:sz w:val="20"/>
                <w:szCs w:val="20"/>
              </w:rPr>
            </w:pPr>
            <w:r w:rsidRPr="00B03A99">
              <w:rPr>
                <w:rFonts w:ascii="Arial Narrow" w:hAnsi="Arial Narrow"/>
                <w:b/>
                <w:sz w:val="20"/>
                <w:szCs w:val="20"/>
              </w:rPr>
              <w:t>PBAC Comment:</w:t>
            </w:r>
            <w:r w:rsidRPr="00B03A99">
              <w:rPr>
                <w:rFonts w:ascii="Arial Narrow" w:hAnsi="Arial Narrow"/>
                <w:sz w:val="20"/>
                <w:szCs w:val="20"/>
              </w:rPr>
              <w:t xml:space="preserve"> The PBAC sought further evidence regarding processes for determining whether or not a patient is responsive to sapropterin and the patient population in which treatment would result in the greatest benefit, in terms of clinically significant outcomes such as cognitive function and supporting growth. The PBAC considered the greatest benefits would be experienced in children and adolescents. (Para 7.1)</w:t>
            </w:r>
          </w:p>
        </w:tc>
        <w:tc>
          <w:tcPr>
            <w:tcW w:w="1613" w:type="pct"/>
          </w:tcPr>
          <w:p w:rsidR="00A804F3" w:rsidRPr="00B03A99" w:rsidRDefault="00A804F3" w:rsidP="00A804F3">
            <w:pPr>
              <w:rPr>
                <w:rFonts w:ascii="Arial Narrow" w:hAnsi="Arial Narrow"/>
                <w:sz w:val="20"/>
                <w:szCs w:val="20"/>
              </w:rPr>
            </w:pPr>
            <w:r w:rsidRPr="00B03A99">
              <w:rPr>
                <w:rFonts w:ascii="Arial Narrow" w:hAnsi="Arial Narrow"/>
                <w:sz w:val="20"/>
                <w:szCs w:val="20"/>
              </w:rPr>
              <w:t>-</w:t>
            </w:r>
          </w:p>
        </w:tc>
      </w:tr>
    </w:tbl>
    <w:p w:rsidR="00A804F3" w:rsidRPr="00B03A99" w:rsidRDefault="00A804F3" w:rsidP="00A804F3">
      <w:pPr>
        <w:jc w:val="both"/>
        <w:rPr>
          <w:rFonts w:ascii="Arial Narrow" w:hAnsi="Arial Narrow" w:cs="Arial"/>
          <w:snapToGrid w:val="0"/>
          <w:sz w:val="18"/>
          <w:szCs w:val="20"/>
          <w:lang w:eastAsia="en-US"/>
        </w:rPr>
      </w:pPr>
      <w:r w:rsidRPr="00B03A99">
        <w:rPr>
          <w:rFonts w:ascii="Arial Narrow" w:hAnsi="Arial Narrow" w:cs="Arial"/>
          <w:snapToGrid w:val="0"/>
          <w:sz w:val="18"/>
          <w:szCs w:val="20"/>
          <w:lang w:eastAsia="en-US"/>
        </w:rPr>
        <w:t xml:space="preserve">Source: Compiled during the preparation of the Minor Overview. Paragraph references for March 2018 refer to the sapropterin public summary document. </w:t>
      </w:r>
    </w:p>
    <w:p w:rsidR="00A804F3" w:rsidRPr="00B03A99" w:rsidRDefault="00A804F3" w:rsidP="00A804F3">
      <w:pPr>
        <w:jc w:val="both"/>
        <w:rPr>
          <w:rFonts w:ascii="Arial" w:hAnsi="Arial"/>
          <w:b/>
          <w:sz w:val="22"/>
          <w:szCs w:val="22"/>
        </w:rPr>
      </w:pPr>
      <w:r w:rsidRPr="00B03A99">
        <w:rPr>
          <w:rFonts w:ascii="Arial Narrow" w:hAnsi="Arial Narrow"/>
          <w:sz w:val="20"/>
          <w:szCs w:val="20"/>
        </w:rPr>
        <w:t>ICER = incremental cost effectiveness ratio</w:t>
      </w:r>
    </w:p>
    <w:p w:rsidR="005A3173" w:rsidRPr="00B03A99" w:rsidRDefault="005A3173" w:rsidP="00507239">
      <w:pPr>
        <w:pStyle w:val="PBACHeading1"/>
        <w:spacing w:before="240" w:after="120"/>
        <w:ind w:left="709" w:hanging="709"/>
        <w:rPr>
          <w:rFonts w:asciiTheme="minorHAnsi" w:hAnsiTheme="minorHAnsi"/>
          <w:sz w:val="32"/>
          <w:szCs w:val="32"/>
        </w:rPr>
      </w:pPr>
      <w:r w:rsidRPr="00B03A99">
        <w:rPr>
          <w:rFonts w:asciiTheme="minorHAnsi" w:hAnsiTheme="minorHAnsi"/>
          <w:sz w:val="32"/>
          <w:szCs w:val="32"/>
        </w:rPr>
        <w:t>Comparator</w:t>
      </w:r>
    </w:p>
    <w:p w:rsidR="00CC0F8E" w:rsidRPr="00B03A99" w:rsidRDefault="00CC0F8E" w:rsidP="007466A9">
      <w:pPr>
        <w:pStyle w:val="ListParagraph"/>
        <w:numPr>
          <w:ilvl w:val="1"/>
          <w:numId w:val="3"/>
        </w:numPr>
      </w:pPr>
      <w:r w:rsidRPr="00B03A99">
        <w:t xml:space="preserve">The minor resubmission did not nominate a comparator. However, for the purposes of the economic model, the nominated comparators were unchanged </w:t>
      </w:r>
      <w:r w:rsidR="00FA556C" w:rsidRPr="00B03A99">
        <w:t>from</w:t>
      </w:r>
      <w:r w:rsidRPr="00B03A99">
        <w:t xml:space="preserve"> the previous submission and were:</w:t>
      </w:r>
    </w:p>
    <w:p w:rsidR="00CC0F8E" w:rsidRPr="00B03A99" w:rsidRDefault="00CC0F8E" w:rsidP="003E72B1">
      <w:pPr>
        <w:pStyle w:val="ListParagraph"/>
        <w:ind w:left="1077" w:hanging="357"/>
      </w:pPr>
      <w:r w:rsidRPr="00B03A99">
        <w:t xml:space="preserve">‘placebo + a relaxed or abandoned diet’ for individuals with poorly-controlled blood </w:t>
      </w:r>
      <w:proofErr w:type="spellStart"/>
      <w:r w:rsidRPr="00B03A99">
        <w:t>Phe</w:t>
      </w:r>
      <w:proofErr w:type="spellEnd"/>
      <w:r w:rsidRPr="00B03A99">
        <w:t xml:space="preserve">-levels; and </w:t>
      </w:r>
    </w:p>
    <w:p w:rsidR="00CC0F8E" w:rsidRPr="00B03A99" w:rsidRDefault="00CC0F8E" w:rsidP="003E72B1">
      <w:pPr>
        <w:pStyle w:val="ListParagraph"/>
        <w:ind w:left="1077" w:hanging="357"/>
        <w:contextualSpacing w:val="0"/>
        <w:rPr>
          <w:rFonts w:eastAsia="Times New Roman" w:cs="Arial"/>
          <w:snapToGrid w:val="0"/>
          <w:szCs w:val="24"/>
        </w:rPr>
      </w:pPr>
      <w:r w:rsidRPr="00B03A99">
        <w:t>‘</w:t>
      </w:r>
      <w:proofErr w:type="gramStart"/>
      <w:r w:rsidRPr="00B03A99">
        <w:t>a</w:t>
      </w:r>
      <w:proofErr w:type="gramEnd"/>
      <w:r w:rsidRPr="00B03A99">
        <w:t xml:space="preserve"> strict </w:t>
      </w:r>
      <w:proofErr w:type="spellStart"/>
      <w:r w:rsidRPr="00B03A99">
        <w:t>Phe</w:t>
      </w:r>
      <w:proofErr w:type="spellEnd"/>
      <w:r w:rsidRPr="00B03A99">
        <w:t xml:space="preserve">-restricted diet’ for those with well-controlled blood </w:t>
      </w:r>
      <w:proofErr w:type="spellStart"/>
      <w:r w:rsidRPr="00B03A99">
        <w:t>Phe</w:t>
      </w:r>
      <w:proofErr w:type="spellEnd"/>
      <w:r w:rsidRPr="00B03A99">
        <w:t xml:space="preserve"> levels. </w:t>
      </w:r>
    </w:p>
    <w:p w:rsidR="00CC0F8E" w:rsidRPr="00CC188B" w:rsidRDefault="00CC0F8E" w:rsidP="007466A9">
      <w:pPr>
        <w:pStyle w:val="ListParagraph"/>
        <w:numPr>
          <w:ilvl w:val="1"/>
          <w:numId w:val="3"/>
        </w:numPr>
      </w:pPr>
      <w:r w:rsidRPr="00CC188B">
        <w:t xml:space="preserve">In its previous consideration, the PBAC considered that the approach of splitting the patient population into those with poorly-controlled and those with well-controlled blood </w:t>
      </w:r>
      <w:proofErr w:type="spellStart"/>
      <w:r w:rsidRPr="00CC188B">
        <w:t>Phe</w:t>
      </w:r>
      <w:proofErr w:type="spellEnd"/>
      <w:r w:rsidRPr="00CC188B">
        <w:t xml:space="preserve"> levels (for the purpose of nominating differential comparators, outcomes and economic models) was not informative because these were not two distinct sub-populations (Paragraph 7.9, March 2018 PBAC </w:t>
      </w:r>
      <w:r w:rsidR="002A7B6E">
        <w:t>PSD</w:t>
      </w:r>
      <w:r w:rsidRPr="00CC188B">
        <w:t xml:space="preserve">). </w:t>
      </w:r>
    </w:p>
    <w:p w:rsidR="00EF2836" w:rsidRPr="00CC188B" w:rsidRDefault="00EF2836" w:rsidP="00EF2836">
      <w:pPr>
        <w:pStyle w:val="ListParagraph"/>
        <w:numPr>
          <w:ilvl w:val="0"/>
          <w:numId w:val="0"/>
        </w:numPr>
        <w:ind w:left="720"/>
      </w:pPr>
    </w:p>
    <w:p w:rsidR="000B558D" w:rsidRPr="00373CF7" w:rsidRDefault="008D7A41" w:rsidP="00814818">
      <w:pPr>
        <w:pStyle w:val="PBACHeading1"/>
        <w:rPr>
          <w:rFonts w:asciiTheme="minorHAnsi" w:hAnsiTheme="minorHAnsi"/>
          <w:sz w:val="32"/>
          <w:szCs w:val="32"/>
        </w:rPr>
      </w:pPr>
      <w:r w:rsidRPr="00B03A99">
        <w:rPr>
          <w:rFonts w:asciiTheme="minorHAnsi" w:hAnsiTheme="minorHAnsi"/>
          <w:sz w:val="32"/>
          <w:szCs w:val="32"/>
        </w:rPr>
        <w:t>C</w:t>
      </w:r>
      <w:r w:rsidR="00D84934" w:rsidRPr="00B03A99">
        <w:rPr>
          <w:rFonts w:asciiTheme="minorHAnsi" w:hAnsiTheme="minorHAnsi"/>
          <w:sz w:val="32"/>
          <w:szCs w:val="32"/>
        </w:rPr>
        <w:t>onsideration of the evidence</w:t>
      </w:r>
    </w:p>
    <w:p w:rsidR="00EF2836" w:rsidRPr="00A9642F" w:rsidRDefault="00EF2836" w:rsidP="00A9642F">
      <w:pPr>
        <w:pStyle w:val="Heading2"/>
      </w:pPr>
      <w:r w:rsidRPr="00A9642F">
        <w:t>Sponsor hearing</w:t>
      </w:r>
    </w:p>
    <w:p w:rsidR="00EF2836" w:rsidRPr="00B03A99" w:rsidRDefault="00EF2836" w:rsidP="00EF2836">
      <w:pPr>
        <w:widowControl w:val="0"/>
        <w:numPr>
          <w:ilvl w:val="1"/>
          <w:numId w:val="1"/>
        </w:numPr>
        <w:spacing w:after="120"/>
        <w:jc w:val="both"/>
        <w:rPr>
          <w:rFonts w:asciiTheme="minorHAnsi" w:hAnsiTheme="minorHAnsi"/>
          <w:bCs/>
        </w:rPr>
      </w:pPr>
      <w:r w:rsidRPr="00B03A99">
        <w:rPr>
          <w:rFonts w:asciiTheme="minorHAnsi" w:hAnsiTheme="minorHAnsi"/>
          <w:bCs/>
        </w:rPr>
        <w:t>There was no hearing for this item as it was a minor submission.</w:t>
      </w:r>
    </w:p>
    <w:p w:rsidR="00EF2836" w:rsidRPr="00B03A99" w:rsidRDefault="00EF2836" w:rsidP="00A9642F">
      <w:pPr>
        <w:pStyle w:val="Heading2"/>
      </w:pPr>
      <w:r w:rsidRPr="00B03A99">
        <w:t>Consumer comments</w:t>
      </w:r>
    </w:p>
    <w:p w:rsidR="00EF2836" w:rsidRPr="00B03A99" w:rsidRDefault="00EF2836" w:rsidP="00EF2836">
      <w:pPr>
        <w:widowControl w:val="0"/>
        <w:numPr>
          <w:ilvl w:val="1"/>
          <w:numId w:val="1"/>
        </w:numPr>
        <w:spacing w:after="120"/>
        <w:jc w:val="both"/>
        <w:rPr>
          <w:rFonts w:asciiTheme="minorHAnsi" w:hAnsiTheme="minorHAnsi"/>
          <w:bCs/>
        </w:rPr>
      </w:pPr>
      <w:r w:rsidRPr="00B03A99">
        <w:rPr>
          <w:rFonts w:asciiTheme="minorHAnsi" w:hAnsiTheme="minorHAnsi"/>
          <w:bCs/>
        </w:rPr>
        <w:t>The PBAC noted and welcomed the input from individuals (</w:t>
      </w:r>
      <w:r w:rsidR="008B497A" w:rsidRPr="00B03A99">
        <w:rPr>
          <w:rFonts w:asciiTheme="minorHAnsi" w:hAnsiTheme="minorHAnsi"/>
          <w:bCs/>
        </w:rPr>
        <w:t>6</w:t>
      </w:r>
      <w:r w:rsidRPr="00B03A99">
        <w:rPr>
          <w:rFonts w:asciiTheme="minorHAnsi" w:hAnsiTheme="minorHAnsi"/>
          <w:bCs/>
        </w:rPr>
        <w:t xml:space="preserve">) and </w:t>
      </w:r>
      <w:r w:rsidR="008B497A" w:rsidRPr="00B03A99">
        <w:rPr>
          <w:rFonts w:asciiTheme="minorHAnsi" w:hAnsiTheme="minorHAnsi"/>
          <w:bCs/>
        </w:rPr>
        <w:t xml:space="preserve">an organisation (the </w:t>
      </w:r>
      <w:r w:rsidR="00367253" w:rsidRPr="00B03A99">
        <w:rPr>
          <w:rFonts w:asciiTheme="minorHAnsi" w:hAnsiTheme="minorHAnsi"/>
          <w:bCs/>
        </w:rPr>
        <w:t>MDDA</w:t>
      </w:r>
      <w:r w:rsidR="008B497A" w:rsidRPr="00B03A99">
        <w:rPr>
          <w:rFonts w:asciiTheme="minorHAnsi" w:hAnsiTheme="minorHAnsi"/>
          <w:bCs/>
        </w:rPr>
        <w:t xml:space="preserve">) </w:t>
      </w:r>
      <w:r w:rsidRPr="00B03A99">
        <w:rPr>
          <w:rFonts w:asciiTheme="minorHAnsi" w:hAnsiTheme="minorHAnsi"/>
          <w:bCs/>
        </w:rPr>
        <w:t xml:space="preserve">via the Consumer Comments facility on the PBS website. The comments described the </w:t>
      </w:r>
      <w:r w:rsidR="008B497A" w:rsidRPr="00B03A99">
        <w:rPr>
          <w:rFonts w:asciiTheme="minorHAnsi" w:hAnsiTheme="minorHAnsi"/>
          <w:bCs/>
        </w:rPr>
        <w:t>impact of PKU on patient quality of life including on mental health</w:t>
      </w:r>
      <w:r w:rsidRPr="00B03A99">
        <w:rPr>
          <w:rFonts w:asciiTheme="minorHAnsi" w:hAnsiTheme="minorHAnsi"/>
          <w:bCs/>
        </w:rPr>
        <w:t>.</w:t>
      </w:r>
      <w:r w:rsidR="008B497A" w:rsidRPr="00B03A99">
        <w:rPr>
          <w:rFonts w:asciiTheme="minorHAnsi" w:hAnsiTheme="minorHAnsi"/>
          <w:bCs/>
        </w:rPr>
        <w:t xml:space="preserve"> </w:t>
      </w:r>
    </w:p>
    <w:p w:rsidR="008E340B" w:rsidRPr="00B03A99" w:rsidRDefault="008E340B" w:rsidP="008E340B">
      <w:pPr>
        <w:widowControl w:val="0"/>
        <w:numPr>
          <w:ilvl w:val="1"/>
          <w:numId w:val="1"/>
        </w:numPr>
        <w:spacing w:after="120"/>
        <w:jc w:val="both"/>
        <w:rPr>
          <w:rFonts w:asciiTheme="minorHAnsi" w:hAnsiTheme="minorHAnsi"/>
          <w:bCs/>
        </w:rPr>
      </w:pPr>
      <w:r w:rsidRPr="00B03A99">
        <w:rPr>
          <w:rFonts w:asciiTheme="minorHAnsi" w:hAnsiTheme="minorHAnsi"/>
          <w:bCs/>
        </w:rPr>
        <w:t xml:space="preserve">The MDDA acknowledged the significant clinical benefit that maintaining low blood </w:t>
      </w:r>
      <w:proofErr w:type="spellStart"/>
      <w:r w:rsidR="00292F24" w:rsidRPr="00B03A99">
        <w:rPr>
          <w:rFonts w:asciiTheme="minorHAnsi" w:hAnsiTheme="minorHAnsi"/>
          <w:bCs/>
        </w:rPr>
        <w:t>P</w:t>
      </w:r>
      <w:r w:rsidRPr="00B03A99">
        <w:rPr>
          <w:rFonts w:asciiTheme="minorHAnsi" w:hAnsiTheme="minorHAnsi"/>
          <w:bCs/>
        </w:rPr>
        <w:t>he</w:t>
      </w:r>
      <w:proofErr w:type="spellEnd"/>
      <w:r w:rsidRPr="00B03A99">
        <w:rPr>
          <w:rFonts w:asciiTheme="minorHAnsi" w:hAnsiTheme="minorHAnsi"/>
          <w:bCs/>
        </w:rPr>
        <w:t xml:space="preserve"> </w:t>
      </w:r>
      <w:r w:rsidR="00292F24" w:rsidRPr="00B03A99">
        <w:rPr>
          <w:rFonts w:asciiTheme="minorHAnsi" w:hAnsiTheme="minorHAnsi"/>
          <w:bCs/>
        </w:rPr>
        <w:t xml:space="preserve">levels </w:t>
      </w:r>
      <w:r w:rsidRPr="00B03A99">
        <w:rPr>
          <w:rFonts w:asciiTheme="minorHAnsi" w:hAnsiTheme="minorHAnsi"/>
          <w:bCs/>
        </w:rPr>
        <w:t>represents in child</w:t>
      </w:r>
      <w:r w:rsidR="00292F24" w:rsidRPr="00B03A99">
        <w:rPr>
          <w:rFonts w:asciiTheme="minorHAnsi" w:hAnsiTheme="minorHAnsi"/>
          <w:bCs/>
        </w:rPr>
        <w:t>ren</w:t>
      </w:r>
      <w:r w:rsidRPr="00B03A99">
        <w:rPr>
          <w:rFonts w:asciiTheme="minorHAnsi" w:hAnsiTheme="minorHAnsi"/>
          <w:bCs/>
        </w:rPr>
        <w:t xml:space="preserve"> and adolescents</w:t>
      </w:r>
      <w:r w:rsidR="00F35BDB" w:rsidRPr="00B03A99">
        <w:rPr>
          <w:rFonts w:asciiTheme="minorHAnsi" w:hAnsiTheme="minorHAnsi"/>
          <w:bCs/>
        </w:rPr>
        <w:t xml:space="preserve">. The MDDA also considered that the </w:t>
      </w:r>
      <w:r w:rsidRPr="00B03A99">
        <w:rPr>
          <w:rFonts w:asciiTheme="minorHAnsi" w:hAnsiTheme="minorHAnsi"/>
          <w:bCs/>
        </w:rPr>
        <w:t xml:space="preserve">clinical benefits </w:t>
      </w:r>
      <w:r w:rsidR="00F35BDB" w:rsidRPr="00B03A99">
        <w:rPr>
          <w:rFonts w:asciiTheme="minorHAnsi" w:hAnsiTheme="minorHAnsi"/>
          <w:bCs/>
        </w:rPr>
        <w:t>in</w:t>
      </w:r>
      <w:r w:rsidRPr="00B03A99">
        <w:rPr>
          <w:rFonts w:asciiTheme="minorHAnsi" w:hAnsiTheme="minorHAnsi"/>
          <w:bCs/>
        </w:rPr>
        <w:t xml:space="preserve"> adults are less researched but that emerging research indicates that </w:t>
      </w:r>
      <w:r w:rsidRPr="00B03A99">
        <w:rPr>
          <w:rFonts w:asciiTheme="minorHAnsi" w:hAnsiTheme="minorHAnsi"/>
          <w:bCs/>
        </w:rPr>
        <w:lastRenderedPageBreak/>
        <w:t xml:space="preserve">lower blood </w:t>
      </w:r>
      <w:proofErr w:type="spellStart"/>
      <w:r w:rsidR="00F35BDB" w:rsidRPr="00B03A99">
        <w:rPr>
          <w:rFonts w:asciiTheme="minorHAnsi" w:hAnsiTheme="minorHAnsi"/>
          <w:bCs/>
        </w:rPr>
        <w:t>P</w:t>
      </w:r>
      <w:r w:rsidRPr="00B03A99">
        <w:rPr>
          <w:rFonts w:asciiTheme="minorHAnsi" w:hAnsiTheme="minorHAnsi"/>
          <w:bCs/>
        </w:rPr>
        <w:t>he</w:t>
      </w:r>
      <w:proofErr w:type="spellEnd"/>
      <w:r w:rsidRPr="00B03A99">
        <w:rPr>
          <w:rFonts w:asciiTheme="minorHAnsi" w:hAnsiTheme="minorHAnsi"/>
          <w:bCs/>
        </w:rPr>
        <w:t xml:space="preserve"> levels throughout life </w:t>
      </w:r>
      <w:r w:rsidR="00F35BDB" w:rsidRPr="00B03A99">
        <w:rPr>
          <w:rFonts w:asciiTheme="minorHAnsi" w:hAnsiTheme="minorHAnsi"/>
          <w:bCs/>
        </w:rPr>
        <w:t xml:space="preserve">may </w:t>
      </w:r>
      <w:r w:rsidRPr="00B03A99">
        <w:rPr>
          <w:rFonts w:asciiTheme="minorHAnsi" w:hAnsiTheme="minorHAnsi"/>
          <w:bCs/>
        </w:rPr>
        <w:t xml:space="preserve">have </w:t>
      </w:r>
      <w:r w:rsidR="00865AE7" w:rsidRPr="00B03A99">
        <w:rPr>
          <w:rFonts w:asciiTheme="minorHAnsi" w:hAnsiTheme="minorHAnsi"/>
          <w:bCs/>
        </w:rPr>
        <w:t xml:space="preserve">a </w:t>
      </w:r>
      <w:r w:rsidRPr="00B03A99">
        <w:rPr>
          <w:rFonts w:asciiTheme="minorHAnsi" w:hAnsiTheme="minorHAnsi"/>
          <w:bCs/>
        </w:rPr>
        <w:t>positive impact on mental health, executive function, concentration and psychosocial functioning.</w:t>
      </w:r>
    </w:p>
    <w:p w:rsidR="00D84934" w:rsidRPr="00A9642F" w:rsidRDefault="00D84934" w:rsidP="00A9642F">
      <w:pPr>
        <w:pStyle w:val="Heading2"/>
        <w:rPr>
          <w:rFonts w:eastAsiaTheme="majorEastAsia"/>
        </w:rPr>
      </w:pPr>
      <w:r w:rsidRPr="00A9642F">
        <w:rPr>
          <w:rFonts w:eastAsiaTheme="majorEastAsia"/>
        </w:rPr>
        <w:t>Clinical trials</w:t>
      </w:r>
    </w:p>
    <w:p w:rsidR="00CC0F8E" w:rsidRPr="00CC188B" w:rsidRDefault="00CC0F8E" w:rsidP="007466A9">
      <w:pPr>
        <w:pStyle w:val="ListParagraph"/>
        <w:numPr>
          <w:ilvl w:val="1"/>
          <w:numId w:val="3"/>
        </w:numPr>
        <w:contextualSpacing w:val="0"/>
      </w:pPr>
      <w:r w:rsidRPr="00CC188B">
        <w:t>The PBAC previously considered that the claim</w:t>
      </w:r>
      <w:r w:rsidR="00313F39" w:rsidRPr="00CC188B">
        <w:t>s</w:t>
      </w:r>
      <w:r w:rsidRPr="00CC188B">
        <w:t xml:space="preserve"> of superior comparative effectiveness </w:t>
      </w:r>
      <w:r w:rsidR="00313F39" w:rsidRPr="00CC188B">
        <w:t xml:space="preserve">and non-inferior comparative safety </w:t>
      </w:r>
      <w:r w:rsidRPr="00CC188B">
        <w:t xml:space="preserve">versus a </w:t>
      </w:r>
      <w:proofErr w:type="spellStart"/>
      <w:r w:rsidRPr="00CC188B">
        <w:t>Phe</w:t>
      </w:r>
      <w:proofErr w:type="spellEnd"/>
      <w:r w:rsidRPr="00CC188B">
        <w:t xml:space="preserve">-restricted diet </w:t>
      </w:r>
      <w:r w:rsidR="00313F39" w:rsidRPr="00CC188B">
        <w:t xml:space="preserve">(relaxed or strict diet) </w:t>
      </w:r>
      <w:r w:rsidRPr="00CC188B">
        <w:t>w</w:t>
      </w:r>
      <w:r w:rsidR="00313F39" w:rsidRPr="00CC188B">
        <w:t xml:space="preserve">ere </w:t>
      </w:r>
      <w:r w:rsidRPr="00CC188B">
        <w:t xml:space="preserve">reasonable (Paragraph 7.10 and 7.11, March 2018 PBAC </w:t>
      </w:r>
      <w:r w:rsidR="002A7B6E">
        <w:t>PSD</w:t>
      </w:r>
      <w:r w:rsidRPr="00CC188B">
        <w:t>).</w:t>
      </w:r>
    </w:p>
    <w:p w:rsidR="005A3173" w:rsidRPr="00A9642F" w:rsidRDefault="005A3173" w:rsidP="00A9642F">
      <w:pPr>
        <w:pStyle w:val="Heading2"/>
        <w:rPr>
          <w:rFonts w:eastAsiaTheme="majorEastAsia"/>
        </w:rPr>
      </w:pPr>
      <w:r w:rsidRPr="00A9642F">
        <w:rPr>
          <w:rFonts w:eastAsiaTheme="majorEastAsia"/>
        </w:rPr>
        <w:t>Economic analysis</w:t>
      </w:r>
    </w:p>
    <w:p w:rsidR="00B529A2" w:rsidRPr="00B03A99" w:rsidRDefault="00B529A2" w:rsidP="007466A9">
      <w:pPr>
        <w:pStyle w:val="ListParagraph"/>
        <w:numPr>
          <w:ilvl w:val="1"/>
          <w:numId w:val="3"/>
        </w:numPr>
        <w:contextualSpacing w:val="0"/>
      </w:pPr>
      <w:r w:rsidRPr="00373CF7">
        <w:t>Like</w:t>
      </w:r>
      <w:r w:rsidR="009B0F67" w:rsidRPr="00373CF7">
        <w:t xml:space="preserve"> the previous submission, the </w:t>
      </w:r>
      <w:r w:rsidRPr="00373CF7">
        <w:t>minor re</w:t>
      </w:r>
      <w:r w:rsidR="009B0F67" w:rsidRPr="00B03A99">
        <w:t>submission present</w:t>
      </w:r>
      <w:r w:rsidR="006957EE" w:rsidRPr="00B03A99">
        <w:t xml:space="preserve">ed a </w:t>
      </w:r>
      <w:r w:rsidR="009B0F67" w:rsidRPr="00B03A99">
        <w:t>cost-effectiveness analysis against</w:t>
      </w:r>
      <w:r w:rsidRPr="00B03A99">
        <w:t xml:space="preserve">: ‘placebo + a relaxed or abandoned diet’ for individuals with poorly-controlled blood </w:t>
      </w:r>
      <w:proofErr w:type="spellStart"/>
      <w:r w:rsidRPr="00B03A99">
        <w:t>Phe</w:t>
      </w:r>
      <w:proofErr w:type="spellEnd"/>
      <w:r w:rsidRPr="00B03A99">
        <w:t xml:space="preserve">-levels; </w:t>
      </w:r>
      <w:r w:rsidR="00865AE7" w:rsidRPr="00B03A99">
        <w:t xml:space="preserve">and </w:t>
      </w:r>
      <w:r w:rsidRPr="00B03A99">
        <w:t xml:space="preserve">‘a strict </w:t>
      </w:r>
      <w:proofErr w:type="spellStart"/>
      <w:r w:rsidRPr="00B03A99">
        <w:t>Phe</w:t>
      </w:r>
      <w:proofErr w:type="spellEnd"/>
      <w:r w:rsidRPr="00B03A99">
        <w:t xml:space="preserve">-restricted diet’ for those with well-controlled blood </w:t>
      </w:r>
      <w:proofErr w:type="spellStart"/>
      <w:r w:rsidRPr="00B03A99">
        <w:t>Phe</w:t>
      </w:r>
      <w:proofErr w:type="spellEnd"/>
      <w:r w:rsidRPr="00B03A99">
        <w:t xml:space="preserve"> levels</w:t>
      </w:r>
      <w:r w:rsidR="009B0F67" w:rsidRPr="00B03A99">
        <w:t>.</w:t>
      </w:r>
    </w:p>
    <w:p w:rsidR="006957EE" w:rsidRPr="00B03A99" w:rsidRDefault="009B0F67" w:rsidP="007466A9">
      <w:pPr>
        <w:pStyle w:val="ListParagraph"/>
        <w:numPr>
          <w:ilvl w:val="1"/>
          <w:numId w:val="3"/>
        </w:numPr>
        <w:contextualSpacing w:val="0"/>
      </w:pPr>
      <w:r w:rsidRPr="00B03A99">
        <w:t xml:space="preserve">The minor resubmission </w:t>
      </w:r>
      <w:r w:rsidR="00FF2801" w:rsidRPr="00B03A99">
        <w:t>did</w:t>
      </w:r>
      <w:r w:rsidRPr="00B03A99">
        <w:t xml:space="preserve"> not alter the economic model structure but </w:t>
      </w:r>
      <w:r w:rsidR="006957EE" w:rsidRPr="00B03A99">
        <w:t>the following minor updates were made:</w:t>
      </w:r>
    </w:p>
    <w:p w:rsidR="006957EE" w:rsidRPr="00B03A99" w:rsidRDefault="00FA556C" w:rsidP="003E72B1">
      <w:pPr>
        <w:pStyle w:val="ListParagraph"/>
        <w:numPr>
          <w:ilvl w:val="1"/>
          <w:numId w:val="5"/>
        </w:numPr>
        <w:ind w:left="1077" w:hanging="357"/>
        <w:contextualSpacing w:val="0"/>
      </w:pPr>
      <w:r w:rsidRPr="00B03A99">
        <w:t xml:space="preserve">The DPMQ of </w:t>
      </w:r>
      <w:proofErr w:type="spellStart"/>
      <w:r w:rsidRPr="00B03A99">
        <w:t>Phe</w:t>
      </w:r>
      <w:proofErr w:type="spellEnd"/>
      <w:r w:rsidRPr="00B03A99">
        <w:t xml:space="preserve">-free amino acid supplements (PKU Cooler) was updated: </w:t>
      </w:r>
      <w:r w:rsidR="006957EE" w:rsidRPr="00B03A99">
        <w:t>to incorporate price reductions that took effect</w:t>
      </w:r>
      <w:r w:rsidR="000226EF" w:rsidRPr="00B03A99">
        <w:t xml:space="preserve"> from</w:t>
      </w:r>
      <w:r w:rsidR="006957EE" w:rsidRPr="00B03A99">
        <w:t xml:space="preserve"> 1 June 2018</w:t>
      </w:r>
      <w:r w:rsidR="000226EF" w:rsidRPr="00B03A99">
        <w:t xml:space="preserve"> (reduced from $0.81 per mg to $0.70 per mg)</w:t>
      </w:r>
      <w:r w:rsidR="006957EE" w:rsidRPr="00B03A99">
        <w:t>.</w:t>
      </w:r>
      <w:r w:rsidR="000226EF" w:rsidRPr="00B03A99">
        <w:t xml:space="preserve"> This was appropriate.</w:t>
      </w:r>
    </w:p>
    <w:p w:rsidR="006957EE" w:rsidRPr="00B03A99" w:rsidRDefault="00735D0D" w:rsidP="003E72B1">
      <w:pPr>
        <w:pStyle w:val="ListParagraph"/>
        <w:numPr>
          <w:ilvl w:val="1"/>
          <w:numId w:val="5"/>
        </w:numPr>
        <w:ind w:left="1077" w:hanging="357"/>
        <w:contextualSpacing w:val="0"/>
      </w:pPr>
      <w:r w:rsidRPr="00B03A99">
        <w:t>The a</w:t>
      </w:r>
      <w:r w:rsidR="006957EE" w:rsidRPr="00B03A99">
        <w:t>nnual cost of sapropterin</w:t>
      </w:r>
      <w:r w:rsidRPr="00B03A99">
        <w:t xml:space="preserve"> was updated to</w:t>
      </w:r>
      <w:r w:rsidR="006957EE" w:rsidRPr="00B03A99">
        <w:t xml:space="preserve"> </w:t>
      </w:r>
      <w:r w:rsidR="00B529A2" w:rsidRPr="00B03A99">
        <w:t xml:space="preserve">remove rounding, in line with </w:t>
      </w:r>
      <w:r w:rsidRPr="00B03A99">
        <w:t>the PBAC’s previous advice (</w:t>
      </w:r>
      <w:r w:rsidR="00E3376E">
        <w:t>p</w:t>
      </w:r>
      <w:r w:rsidR="00E3376E" w:rsidRPr="00B03A99">
        <w:t xml:space="preserve">aragraph </w:t>
      </w:r>
      <w:r w:rsidRPr="00B03A99">
        <w:t xml:space="preserve">7.16, March 2018 PBAC </w:t>
      </w:r>
      <w:r w:rsidR="002A7B6E">
        <w:t>PSD</w:t>
      </w:r>
      <w:r w:rsidRPr="00B03A99">
        <w:t>).</w:t>
      </w:r>
      <w:r w:rsidR="00B529A2" w:rsidRPr="00B03A99">
        <w:t xml:space="preserve"> </w:t>
      </w:r>
      <w:r w:rsidR="00291939" w:rsidRPr="00B03A99">
        <w:t xml:space="preserve">The previous submission </w:t>
      </w:r>
      <w:r w:rsidRPr="00B03A99">
        <w:t xml:space="preserve">had </w:t>
      </w:r>
      <w:r w:rsidR="00291939" w:rsidRPr="00B03A99">
        <w:t xml:space="preserve">calculated the average cost of sapropterin by rounding the </w:t>
      </w:r>
      <w:r w:rsidR="002F1DE6" w:rsidRPr="00B03A99">
        <w:t xml:space="preserve">mean weighted dosage </w:t>
      </w:r>
      <w:r w:rsidR="00B529A2" w:rsidRPr="00B03A99">
        <w:t>(</w:t>
      </w:r>
      <w:r w:rsidR="00E916D8">
        <w:rPr>
          <w:noProof/>
          <w:color w:val="000000"/>
          <w:highlight w:val="black"/>
        </w:rPr>
        <w:t>'''''''''''</w:t>
      </w:r>
      <w:r w:rsidR="002F1DE6" w:rsidRPr="00B03A99">
        <w:t> </w:t>
      </w:r>
      <w:r w:rsidR="00291939" w:rsidRPr="00B03A99">
        <w:t>mg/kg/day</w:t>
      </w:r>
      <w:r w:rsidR="00B529A2" w:rsidRPr="00B03A99">
        <w:t xml:space="preserve"> multiplied by the average weight for that age group)</w:t>
      </w:r>
      <w:r w:rsidR="00291939" w:rsidRPr="00B03A99">
        <w:t xml:space="preserve"> for each age</w:t>
      </w:r>
      <w:r w:rsidR="00B529A2" w:rsidRPr="00B03A99">
        <w:t xml:space="preserve"> group</w:t>
      </w:r>
      <w:r w:rsidR="00291939" w:rsidRPr="00B03A99">
        <w:t xml:space="preserve"> to the nearest 100</w:t>
      </w:r>
      <w:r w:rsidRPr="00B03A99">
        <w:t xml:space="preserve"> </w:t>
      </w:r>
      <w:r w:rsidR="00291939" w:rsidRPr="00B03A99">
        <w:t xml:space="preserve">mg/day. </w:t>
      </w:r>
      <w:r w:rsidR="00B529A2" w:rsidRPr="00B03A99">
        <w:t>The February 2018 DUSC advice considered this was inappropriate because</w:t>
      </w:r>
      <w:r w:rsidR="00986818" w:rsidRPr="00B03A99">
        <w:t xml:space="preserve"> </w:t>
      </w:r>
      <w:r w:rsidR="00DE0F1D" w:rsidRPr="00B03A99">
        <w:t xml:space="preserve">it may over or underestimate the annual number of prescriptions. While this </w:t>
      </w:r>
      <w:r w:rsidRPr="00B03A99">
        <w:t xml:space="preserve">method would have been </w:t>
      </w:r>
      <w:r w:rsidR="00DE0F1D" w:rsidRPr="00B03A99">
        <w:t xml:space="preserve">appropriate for calculating doses on an individual patient basis (per the </w:t>
      </w:r>
      <w:r w:rsidR="006957EE" w:rsidRPr="00B03A99">
        <w:t>Product Information)</w:t>
      </w:r>
      <w:r w:rsidR="00DE0F1D" w:rsidRPr="00B03A99">
        <w:t>, applying this rounding to all patients in each age group systematically over or under-estimates the annual number of sapropterin</w:t>
      </w:r>
      <w:r w:rsidR="00B54936" w:rsidRPr="00B03A99">
        <w:t xml:space="preserve"> patients. </w:t>
      </w:r>
      <w:r w:rsidRPr="00B03A99">
        <w:t>This amendment was appropriate</w:t>
      </w:r>
      <w:r w:rsidR="00294ED2" w:rsidRPr="00B03A99">
        <w:t>, and resulted in the average dose of sapropterin being higher in some age groups but lower in others</w:t>
      </w:r>
      <w:r w:rsidRPr="00B03A99">
        <w:t xml:space="preserve">. </w:t>
      </w:r>
      <w:r w:rsidR="006B26C9" w:rsidRPr="00B03A99">
        <w:t xml:space="preserve"> </w:t>
      </w:r>
    </w:p>
    <w:p w:rsidR="006B26C9" w:rsidRPr="00B03A99" w:rsidRDefault="006B26C9" w:rsidP="007466A9">
      <w:pPr>
        <w:pStyle w:val="ListParagraph"/>
        <w:numPr>
          <w:ilvl w:val="1"/>
          <w:numId w:val="3"/>
        </w:numPr>
        <w:contextualSpacing w:val="0"/>
      </w:pPr>
      <w:r w:rsidRPr="00B03A99">
        <w:t xml:space="preserve">Unchanged </w:t>
      </w:r>
      <w:r w:rsidR="003D487F" w:rsidRPr="00B03A99">
        <w:t xml:space="preserve">from the previous submission, separate </w:t>
      </w:r>
      <w:r w:rsidR="00681227" w:rsidRPr="00B03A99">
        <w:t>incremental cost effectiveness ratios (</w:t>
      </w:r>
      <w:r w:rsidR="003D487F" w:rsidRPr="00B03A99">
        <w:t>ICERs</w:t>
      </w:r>
      <w:r w:rsidR="00681227" w:rsidRPr="00B03A99">
        <w:t>)</w:t>
      </w:r>
      <w:r w:rsidR="003D487F" w:rsidRPr="00B03A99">
        <w:t xml:space="preserve"> were calculated for each of the subpopulations (the ‘poorly-controlled </w:t>
      </w:r>
      <w:proofErr w:type="spellStart"/>
      <w:r w:rsidR="003D487F" w:rsidRPr="00B03A99">
        <w:t>Phe</w:t>
      </w:r>
      <w:proofErr w:type="spellEnd"/>
      <w:r w:rsidR="003D487F" w:rsidRPr="00B03A99">
        <w:t xml:space="preserve"> level’ group and the ‘well-controlled </w:t>
      </w:r>
      <w:proofErr w:type="spellStart"/>
      <w:r w:rsidR="003D487F" w:rsidRPr="00B03A99">
        <w:t>Phe</w:t>
      </w:r>
      <w:proofErr w:type="spellEnd"/>
      <w:r w:rsidR="003D487F" w:rsidRPr="00B03A99">
        <w:t xml:space="preserve"> level’ group). These were combined in a weighted analysis for the base-case economic evaluation</w:t>
      </w:r>
      <w:r w:rsidR="002E6694" w:rsidRPr="00B03A99">
        <w:t>.</w:t>
      </w:r>
    </w:p>
    <w:p w:rsidR="006957EE" w:rsidRPr="00B03A99" w:rsidRDefault="005359AF" w:rsidP="007466A9">
      <w:pPr>
        <w:pStyle w:val="ListParagraph"/>
        <w:numPr>
          <w:ilvl w:val="1"/>
          <w:numId w:val="3"/>
        </w:numPr>
        <w:contextualSpacing w:val="0"/>
      </w:pPr>
      <w:r w:rsidRPr="00B03A99">
        <w:t xml:space="preserve">Also unchanged from the previous submission, the minor resubmission calculated ICERs for each age between 0 and 17 years and one for ≥ 18 years, with a one year time horizon for each age group. </w:t>
      </w:r>
      <w:r w:rsidR="006957EE" w:rsidRPr="00B03A99">
        <w:t xml:space="preserve">The </w:t>
      </w:r>
      <w:r w:rsidR="003D487F" w:rsidRPr="00B03A99">
        <w:t xml:space="preserve">resulting weighted ICERs </w:t>
      </w:r>
      <w:r w:rsidR="00BA7C36" w:rsidRPr="00B03A99">
        <w:t xml:space="preserve">for each age group </w:t>
      </w:r>
      <w:r w:rsidR="006957EE" w:rsidRPr="00B03A99">
        <w:t>are presented in the table below.</w:t>
      </w:r>
      <w:r w:rsidR="002373D9" w:rsidRPr="00B03A99">
        <w:t xml:space="preserve"> </w:t>
      </w:r>
    </w:p>
    <w:p w:rsidR="009A4727" w:rsidRPr="00B03A99" w:rsidRDefault="009A4727" w:rsidP="009A4727">
      <w:pPr>
        <w:keepNext/>
        <w:keepLines/>
        <w:jc w:val="both"/>
        <w:rPr>
          <w:rFonts w:ascii="Calibri" w:hAnsi="Calibri" w:cs="Arial"/>
          <w:snapToGrid w:val="0"/>
          <w:szCs w:val="22"/>
          <w:lang w:eastAsia="en-US"/>
        </w:rPr>
      </w:pPr>
      <w:r w:rsidRPr="00B03A99">
        <w:rPr>
          <w:rFonts w:ascii="Arial Narrow" w:hAnsi="Arial Narrow" w:cs="Arial"/>
          <w:b/>
          <w:snapToGrid w:val="0"/>
          <w:sz w:val="20"/>
          <w:szCs w:val="16"/>
          <w:lang w:eastAsia="en-US"/>
        </w:rPr>
        <w:lastRenderedPageBreak/>
        <w:t xml:space="preserve">Table </w:t>
      </w:r>
      <w:r w:rsidR="003E72B1" w:rsidRPr="00B03A99">
        <w:rPr>
          <w:rFonts w:ascii="Arial Narrow" w:hAnsi="Arial Narrow" w:cs="Arial"/>
          <w:b/>
          <w:snapToGrid w:val="0"/>
          <w:sz w:val="20"/>
          <w:szCs w:val="16"/>
          <w:lang w:eastAsia="en-US"/>
        </w:rPr>
        <w:t>2</w:t>
      </w:r>
      <w:r w:rsidRPr="00B03A99">
        <w:rPr>
          <w:rFonts w:ascii="Arial Narrow" w:hAnsi="Arial Narrow" w:cs="Arial"/>
          <w:b/>
          <w:snapToGrid w:val="0"/>
          <w:sz w:val="20"/>
          <w:szCs w:val="16"/>
          <w:lang w:eastAsia="en-US"/>
        </w:rPr>
        <w:t>: Results of the economic evaluation – weighted analysis of the poorly- and well-controlled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8"/>
        <w:gridCol w:w="882"/>
        <w:gridCol w:w="883"/>
        <w:gridCol w:w="1008"/>
        <w:gridCol w:w="1006"/>
        <w:gridCol w:w="881"/>
        <w:gridCol w:w="881"/>
        <w:gridCol w:w="1006"/>
        <w:gridCol w:w="1122"/>
        <w:gridCol w:w="1115"/>
      </w:tblGrid>
      <w:tr w:rsidR="009A4727" w:rsidRPr="00B03A99" w:rsidTr="00805AD0">
        <w:trPr>
          <w:tblHeader/>
        </w:trPr>
        <w:tc>
          <w:tcPr>
            <w:tcW w:w="4393" w:type="pct"/>
            <w:gridSpan w:val="9"/>
            <w:vAlign w:val="center"/>
          </w:tcPr>
          <w:p w:rsidR="009A4727" w:rsidRPr="00B03A99" w:rsidRDefault="009A4727" w:rsidP="009A4727">
            <w:pPr>
              <w:keepNext/>
              <w:keepLines/>
              <w:jc w:val="center"/>
              <w:rPr>
                <w:rFonts w:ascii="Arial Narrow" w:hAnsi="Arial Narrow"/>
                <w:b/>
                <w:sz w:val="20"/>
                <w:szCs w:val="22"/>
                <w:lang w:eastAsia="en-US"/>
              </w:rPr>
            </w:pPr>
            <w:r w:rsidRPr="00B03A99">
              <w:rPr>
                <w:rFonts w:ascii="Arial Narrow" w:hAnsi="Arial Narrow"/>
                <w:b/>
                <w:sz w:val="20"/>
                <w:szCs w:val="22"/>
                <w:lang w:eastAsia="en-US"/>
              </w:rPr>
              <w:t>Current resubmission</w:t>
            </w:r>
          </w:p>
        </w:tc>
        <w:tc>
          <w:tcPr>
            <w:tcW w:w="607" w:type="pct"/>
            <w:vMerge w:val="restart"/>
            <w:tcBorders>
              <w:left w:val="double" w:sz="4" w:space="0" w:color="auto"/>
            </w:tcBorders>
            <w:shd w:val="clear" w:color="auto" w:fill="auto"/>
          </w:tcPr>
          <w:p w:rsidR="009A4727" w:rsidRPr="00B03A99" w:rsidRDefault="009A4727" w:rsidP="009A4727">
            <w:pPr>
              <w:keepNext/>
              <w:keepLines/>
              <w:jc w:val="center"/>
              <w:rPr>
                <w:rFonts w:ascii="Arial Narrow" w:hAnsi="Arial Narrow"/>
                <w:b/>
                <w:sz w:val="20"/>
                <w:szCs w:val="22"/>
                <w:lang w:eastAsia="en-US"/>
              </w:rPr>
            </w:pPr>
            <w:r w:rsidRPr="00B03A99">
              <w:rPr>
                <w:rFonts w:ascii="Arial Narrow" w:hAnsi="Arial Narrow"/>
                <w:b/>
                <w:sz w:val="20"/>
                <w:szCs w:val="22"/>
                <w:lang w:eastAsia="en-US"/>
              </w:rPr>
              <w:t>Previous submission</w:t>
            </w:r>
          </w:p>
        </w:tc>
      </w:tr>
      <w:tr w:rsidR="009A4727" w:rsidRPr="00B03A99" w:rsidTr="00805AD0">
        <w:trPr>
          <w:tblHeader/>
        </w:trPr>
        <w:tc>
          <w:tcPr>
            <w:tcW w:w="216" w:type="pct"/>
            <w:vMerge w:val="restart"/>
            <w:tcBorders>
              <w:right w:val="double" w:sz="4" w:space="0" w:color="auto"/>
            </w:tcBorders>
            <w:vAlign w:val="center"/>
          </w:tcPr>
          <w:p w:rsidR="009A4727" w:rsidRPr="00B03A99" w:rsidRDefault="009A4727" w:rsidP="009A4727">
            <w:pPr>
              <w:keepNext/>
              <w:keepLines/>
              <w:rPr>
                <w:rFonts w:ascii="Arial Narrow" w:hAnsi="Arial Narrow"/>
                <w:b/>
                <w:sz w:val="20"/>
                <w:szCs w:val="20"/>
                <w:lang w:eastAsia="en-US"/>
              </w:rPr>
            </w:pPr>
            <w:r w:rsidRPr="00B03A99">
              <w:rPr>
                <w:rFonts w:ascii="Arial Narrow" w:hAnsi="Arial Narrow"/>
                <w:b/>
                <w:sz w:val="20"/>
                <w:szCs w:val="20"/>
                <w:lang w:eastAsia="en-US"/>
              </w:rPr>
              <w:t>Age</w:t>
            </w:r>
          </w:p>
        </w:tc>
        <w:tc>
          <w:tcPr>
            <w:tcW w:w="480" w:type="pct"/>
            <w:vMerge w:val="restart"/>
            <w:tcBorders>
              <w:left w:val="double" w:sz="4" w:space="0" w:color="auto"/>
              <w:right w:val="double" w:sz="4" w:space="0" w:color="auto"/>
            </w:tcBorders>
          </w:tcPr>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 xml:space="preserve">% in well controlled </w:t>
            </w:r>
            <w:proofErr w:type="spellStart"/>
            <w:r w:rsidRPr="00B03A99">
              <w:rPr>
                <w:rFonts w:ascii="Arial Narrow" w:hAnsi="Arial Narrow"/>
                <w:b/>
                <w:sz w:val="20"/>
                <w:szCs w:val="20"/>
                <w:lang w:eastAsia="en-US"/>
              </w:rPr>
              <w:t>Phe</w:t>
            </w:r>
            <w:proofErr w:type="spellEnd"/>
            <w:r w:rsidRPr="00B03A99">
              <w:rPr>
                <w:rFonts w:ascii="Arial Narrow" w:hAnsi="Arial Narrow"/>
                <w:b/>
                <w:sz w:val="20"/>
                <w:szCs w:val="20"/>
                <w:lang w:eastAsia="en-US"/>
              </w:rPr>
              <w:t xml:space="preserve"> group</w:t>
            </w:r>
          </w:p>
        </w:tc>
        <w:tc>
          <w:tcPr>
            <w:tcW w:w="1578" w:type="pct"/>
            <w:gridSpan w:val="3"/>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 xml:space="preserve">Poorly controlled </w:t>
            </w:r>
            <w:proofErr w:type="spellStart"/>
            <w:r w:rsidRPr="00B03A99">
              <w:rPr>
                <w:rFonts w:ascii="Arial Narrow" w:hAnsi="Arial Narrow"/>
                <w:b/>
                <w:sz w:val="20"/>
                <w:szCs w:val="20"/>
                <w:lang w:eastAsia="en-US"/>
              </w:rPr>
              <w:t>Phe</w:t>
            </w:r>
            <w:proofErr w:type="spellEnd"/>
            <w:r w:rsidRPr="00B03A99">
              <w:rPr>
                <w:rFonts w:ascii="Arial Narrow" w:hAnsi="Arial Narrow"/>
                <w:b/>
                <w:sz w:val="20"/>
                <w:szCs w:val="20"/>
                <w:lang w:eastAsia="en-US"/>
              </w:rPr>
              <w:t xml:space="preserve"> level group</w:t>
            </w:r>
          </w:p>
        </w:tc>
        <w:tc>
          <w:tcPr>
            <w:tcW w:w="1508" w:type="pct"/>
            <w:gridSpan w:val="3"/>
            <w:tcBorders>
              <w:left w:val="double" w:sz="4" w:space="0" w:color="auto"/>
              <w:right w:val="double" w:sz="4" w:space="0" w:color="auto"/>
            </w:tcBorders>
          </w:tcPr>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 xml:space="preserve">Well controlled </w:t>
            </w:r>
            <w:proofErr w:type="spellStart"/>
            <w:r w:rsidRPr="00B03A99">
              <w:rPr>
                <w:rFonts w:ascii="Arial Narrow" w:hAnsi="Arial Narrow"/>
                <w:b/>
                <w:sz w:val="20"/>
                <w:szCs w:val="20"/>
                <w:lang w:eastAsia="en-US"/>
              </w:rPr>
              <w:t>Phe</w:t>
            </w:r>
            <w:proofErr w:type="spellEnd"/>
            <w:r w:rsidRPr="00B03A99">
              <w:rPr>
                <w:rFonts w:ascii="Arial Narrow" w:hAnsi="Arial Narrow"/>
                <w:b/>
                <w:sz w:val="20"/>
                <w:szCs w:val="20"/>
                <w:lang w:eastAsia="en-US"/>
              </w:rPr>
              <w:t xml:space="preserve"> level group</w:t>
            </w:r>
          </w:p>
        </w:tc>
        <w:tc>
          <w:tcPr>
            <w:tcW w:w="611" w:type="pct"/>
            <w:vMerge w:val="restart"/>
            <w:tcBorders>
              <w:left w:val="double" w:sz="4" w:space="0" w:color="auto"/>
            </w:tcBorders>
            <w:vAlign w:val="center"/>
          </w:tcPr>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Weighted</w:t>
            </w:r>
          </w:p>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ICER</w:t>
            </w:r>
          </w:p>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($/QALY)</w:t>
            </w:r>
          </w:p>
        </w:tc>
        <w:tc>
          <w:tcPr>
            <w:tcW w:w="607" w:type="pct"/>
            <w:vMerge/>
            <w:tcBorders>
              <w:left w:val="double" w:sz="4" w:space="0" w:color="auto"/>
            </w:tcBorders>
            <w:shd w:val="clear" w:color="auto" w:fill="auto"/>
          </w:tcPr>
          <w:p w:rsidR="009A4727" w:rsidRPr="00B03A99" w:rsidRDefault="009A4727" w:rsidP="009A4727">
            <w:pPr>
              <w:keepNext/>
              <w:keepLines/>
              <w:jc w:val="center"/>
              <w:rPr>
                <w:rFonts w:ascii="Arial Narrow" w:hAnsi="Arial Narrow"/>
                <w:b/>
                <w:sz w:val="20"/>
                <w:szCs w:val="20"/>
                <w:lang w:eastAsia="en-US"/>
              </w:rPr>
            </w:pPr>
          </w:p>
        </w:tc>
      </w:tr>
      <w:tr w:rsidR="009A4727" w:rsidRPr="00B03A99" w:rsidTr="00805AD0">
        <w:tc>
          <w:tcPr>
            <w:tcW w:w="216" w:type="pct"/>
            <w:vMerge/>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p>
        </w:tc>
        <w:tc>
          <w:tcPr>
            <w:tcW w:w="480" w:type="pct"/>
            <w:vMerge/>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b/>
                <w:sz w:val="20"/>
                <w:szCs w:val="20"/>
                <w:lang w:eastAsia="en-US"/>
              </w:rPr>
            </w:pPr>
          </w:p>
        </w:tc>
        <w:tc>
          <w:tcPr>
            <w:tcW w:w="481" w:type="pct"/>
            <w:tcBorders>
              <w:lef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b/>
                <w:sz w:val="20"/>
                <w:szCs w:val="20"/>
                <w:lang w:eastAsia="en-US"/>
              </w:rPr>
              <w:t>∆ Costs</w:t>
            </w:r>
          </w:p>
        </w:tc>
        <w:tc>
          <w:tcPr>
            <w:tcW w:w="549" w:type="pct"/>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b/>
                <w:sz w:val="20"/>
                <w:szCs w:val="20"/>
                <w:lang w:eastAsia="en-US"/>
              </w:rPr>
              <w:t>∆ Outcomes</w:t>
            </w:r>
          </w:p>
        </w:tc>
        <w:tc>
          <w:tcPr>
            <w:tcW w:w="548" w:type="pct"/>
            <w:tcBorders>
              <w:right w:val="double" w:sz="4" w:space="0" w:color="auto"/>
            </w:tcBorders>
            <w:vAlign w:val="center"/>
          </w:tcPr>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ICER</w:t>
            </w:r>
          </w:p>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b/>
                <w:sz w:val="20"/>
                <w:szCs w:val="20"/>
                <w:lang w:eastAsia="en-US"/>
              </w:rPr>
              <w:t>($/QALY)</w:t>
            </w:r>
          </w:p>
        </w:tc>
        <w:tc>
          <w:tcPr>
            <w:tcW w:w="480" w:type="pct"/>
            <w:tcBorders>
              <w:lef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b/>
                <w:sz w:val="20"/>
                <w:szCs w:val="20"/>
                <w:lang w:eastAsia="en-US"/>
              </w:rPr>
              <w:t>∆ Costs</w:t>
            </w:r>
          </w:p>
        </w:tc>
        <w:tc>
          <w:tcPr>
            <w:tcW w:w="480" w:type="pct"/>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b/>
                <w:sz w:val="20"/>
                <w:szCs w:val="20"/>
                <w:lang w:eastAsia="en-US"/>
              </w:rPr>
              <w:t xml:space="preserve">∆ </w:t>
            </w:r>
            <w:r w:rsidR="00C4547B" w:rsidRPr="00B03A99">
              <w:rPr>
                <w:rFonts w:ascii="Arial Narrow" w:hAnsi="Arial Narrow"/>
                <w:b/>
                <w:sz w:val="20"/>
                <w:szCs w:val="20"/>
                <w:lang w:eastAsia="en-US"/>
              </w:rPr>
              <w:t>O</w:t>
            </w:r>
            <w:r w:rsidRPr="00B03A99">
              <w:rPr>
                <w:rFonts w:ascii="Arial Narrow" w:hAnsi="Arial Narrow"/>
                <w:b/>
                <w:sz w:val="20"/>
                <w:szCs w:val="20"/>
                <w:lang w:eastAsia="en-US"/>
              </w:rPr>
              <w:t>utcomes</w:t>
            </w:r>
          </w:p>
        </w:tc>
        <w:tc>
          <w:tcPr>
            <w:tcW w:w="548" w:type="pct"/>
            <w:tcBorders>
              <w:right w:val="double" w:sz="4" w:space="0" w:color="auto"/>
            </w:tcBorders>
            <w:vAlign w:val="center"/>
          </w:tcPr>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ICER</w:t>
            </w:r>
          </w:p>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b/>
                <w:sz w:val="20"/>
                <w:szCs w:val="20"/>
                <w:lang w:eastAsia="en-US"/>
              </w:rPr>
              <w:t>($/QALY)</w:t>
            </w:r>
          </w:p>
        </w:tc>
        <w:tc>
          <w:tcPr>
            <w:tcW w:w="611" w:type="pct"/>
            <w:vMerge/>
            <w:tcBorders>
              <w:left w:val="double" w:sz="4" w:space="0" w:color="auto"/>
            </w:tcBorders>
          </w:tcPr>
          <w:p w:rsidR="009A4727" w:rsidRPr="00B03A99" w:rsidRDefault="009A4727" w:rsidP="009A4727">
            <w:pPr>
              <w:keepNext/>
              <w:keepLines/>
              <w:jc w:val="center"/>
              <w:rPr>
                <w:rFonts w:ascii="Arial Narrow" w:hAnsi="Arial Narrow"/>
                <w:sz w:val="20"/>
                <w:szCs w:val="20"/>
                <w:lang w:eastAsia="en-US"/>
              </w:rPr>
            </w:pPr>
          </w:p>
        </w:tc>
        <w:tc>
          <w:tcPr>
            <w:tcW w:w="607" w:type="pct"/>
            <w:tcBorders>
              <w:left w:val="double" w:sz="4" w:space="0" w:color="auto"/>
            </w:tcBorders>
            <w:shd w:val="clear" w:color="auto" w:fill="auto"/>
          </w:tcPr>
          <w:p w:rsidR="009A4727" w:rsidRPr="00B03A99" w:rsidRDefault="009A4727" w:rsidP="009A4727">
            <w:pPr>
              <w:keepNext/>
              <w:keepLines/>
              <w:jc w:val="center"/>
              <w:rPr>
                <w:rFonts w:ascii="Arial Narrow" w:hAnsi="Arial Narrow"/>
                <w:b/>
                <w:sz w:val="20"/>
                <w:szCs w:val="20"/>
                <w:lang w:eastAsia="en-US"/>
              </w:rPr>
            </w:pPr>
            <w:r w:rsidRPr="00B03A99">
              <w:rPr>
                <w:rFonts w:ascii="Arial Narrow" w:hAnsi="Arial Narrow"/>
                <w:b/>
                <w:sz w:val="20"/>
                <w:szCs w:val="20"/>
                <w:lang w:eastAsia="en-US"/>
              </w:rPr>
              <w:t>Weighted</w:t>
            </w:r>
          </w:p>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b/>
                <w:sz w:val="20"/>
                <w:szCs w:val="20"/>
                <w:lang w:eastAsia="en-US"/>
              </w:rPr>
              <w:t>ICER</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0</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F514B4" w:rsidRDefault="009A4727" w:rsidP="009A4727">
            <w:pPr>
              <w:keepNext/>
              <w:keepLines/>
              <w:jc w:val="center"/>
              <w:rPr>
                <w:rFonts w:ascii="Arial Narrow" w:hAnsi="Arial Narrow" w:cs="Calibri"/>
                <w:color w:val="000000"/>
                <w:sz w:val="20"/>
                <w:szCs w:val="20"/>
              </w:rPr>
            </w:pPr>
            <w:r w:rsidRPr="00F514B4">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F514B4" w:rsidRDefault="009A4727" w:rsidP="009A4727">
            <w:pPr>
              <w:keepNext/>
              <w:keepLines/>
              <w:jc w:val="center"/>
              <w:rPr>
                <w:rFonts w:ascii="Arial Narrow" w:hAnsi="Arial Narrow" w:cs="Calibri"/>
                <w:color w:val="000000"/>
                <w:sz w:val="20"/>
                <w:szCs w:val="20"/>
              </w:rPr>
            </w:pPr>
            <w:r w:rsidRPr="00F514B4">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2</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3</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4</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5</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6</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7</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8</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9</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10</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11</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12</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82%</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13</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85%</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14</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85%</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15</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85%</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16</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85%</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17</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85%</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r w:rsidR="009A4727" w:rsidRPr="00B03A99" w:rsidTr="00805AD0">
        <w:tc>
          <w:tcPr>
            <w:tcW w:w="216" w:type="pct"/>
            <w:tcBorders>
              <w:right w:val="double" w:sz="4" w:space="0" w:color="auto"/>
            </w:tcBorders>
            <w:vAlign w:val="center"/>
          </w:tcPr>
          <w:p w:rsidR="009A4727" w:rsidRPr="00B03A99" w:rsidRDefault="009A4727" w:rsidP="009A4727">
            <w:pPr>
              <w:keepNext/>
              <w:keepLines/>
              <w:rPr>
                <w:rFonts w:ascii="Arial Narrow" w:hAnsi="Arial Narrow"/>
                <w:sz w:val="20"/>
                <w:szCs w:val="20"/>
                <w:lang w:eastAsia="en-US"/>
              </w:rPr>
            </w:pPr>
            <w:r w:rsidRPr="00B03A99">
              <w:rPr>
                <w:rFonts w:ascii="Arial Narrow" w:hAnsi="Arial Narrow"/>
                <w:sz w:val="20"/>
                <w:szCs w:val="20"/>
                <w:lang w:eastAsia="en-US"/>
              </w:rPr>
              <w:t>≥18</w:t>
            </w:r>
          </w:p>
        </w:tc>
        <w:tc>
          <w:tcPr>
            <w:tcW w:w="480" w:type="pct"/>
            <w:tcBorders>
              <w:left w:val="double" w:sz="4" w:space="0" w:color="auto"/>
              <w:right w:val="double" w:sz="4" w:space="0" w:color="auto"/>
            </w:tcBorders>
            <w:vAlign w:val="center"/>
          </w:tcPr>
          <w:p w:rsidR="009A4727" w:rsidRPr="00B03A99" w:rsidRDefault="009A4727" w:rsidP="009A4727">
            <w:pPr>
              <w:keepNext/>
              <w:keepLines/>
              <w:jc w:val="center"/>
              <w:rPr>
                <w:rFonts w:ascii="Arial Narrow" w:hAnsi="Arial Narrow"/>
                <w:sz w:val="20"/>
                <w:szCs w:val="20"/>
                <w:lang w:eastAsia="en-US"/>
              </w:rPr>
            </w:pPr>
            <w:r w:rsidRPr="00B03A99">
              <w:rPr>
                <w:rFonts w:ascii="Arial Narrow" w:hAnsi="Arial Narrow"/>
                <w:sz w:val="20"/>
                <w:szCs w:val="20"/>
                <w:lang w:eastAsia="en-US"/>
              </w:rPr>
              <w:t>35%</w:t>
            </w:r>
          </w:p>
        </w:tc>
        <w:tc>
          <w:tcPr>
            <w:tcW w:w="48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549" w:type="pct"/>
            <w:vAlign w:val="bottom"/>
          </w:tcPr>
          <w:p w:rsidR="009A4727" w:rsidRPr="00E916D8" w:rsidRDefault="00E916D8" w:rsidP="009A4727">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480" w:type="pct"/>
            <w:vAlign w:val="center"/>
          </w:tcPr>
          <w:p w:rsidR="009A4727" w:rsidRPr="00E916D8" w:rsidRDefault="00E916D8" w:rsidP="009A4727">
            <w:pPr>
              <w:keepNext/>
              <w:keepLines/>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548" w:type="pct"/>
            <w:tcBorders>
              <w:righ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tcBorders>
              <w:left w:val="double" w:sz="4" w:space="0" w:color="auto"/>
            </w:tcBorders>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07" w:type="pct"/>
            <w:tcBorders>
              <w:left w:val="double" w:sz="4" w:space="0" w:color="auto"/>
            </w:tcBorders>
            <w:shd w:val="clear" w:color="auto" w:fill="auto"/>
            <w:vAlign w:val="bottom"/>
          </w:tcPr>
          <w:p w:rsidR="009A4727" w:rsidRPr="00B03A99" w:rsidRDefault="009A4727" w:rsidP="009A4727">
            <w:pPr>
              <w:keepNext/>
              <w:keepLines/>
              <w:jc w:val="center"/>
              <w:rPr>
                <w:rFonts w:ascii="Arial Narrow" w:hAnsi="Arial Narrow" w:cs="Calibri"/>
                <w:color w:val="000000"/>
                <w:sz w:val="20"/>
                <w:szCs w:val="20"/>
              </w:rPr>
            </w:pPr>
            <w:r w:rsidRPr="00B03A99">
              <w:rPr>
                <w:rFonts w:ascii="Arial Narrow" w:hAnsi="Arial Narrow"/>
                <w:sz w:val="20"/>
                <w:szCs w:val="20"/>
                <w:lang w:eastAsia="en-US"/>
              </w:rPr>
              <w:t>$</w:t>
            </w:r>
            <w:r w:rsidR="00E916D8">
              <w:rPr>
                <w:rFonts w:ascii="Arial Narrow" w:hAnsi="Arial Narrow"/>
                <w:noProof/>
                <w:color w:val="000000"/>
                <w:sz w:val="20"/>
                <w:szCs w:val="20"/>
                <w:highlight w:val="black"/>
                <w:lang w:eastAsia="en-US"/>
              </w:rPr>
              <w:t>''''''''''''''''''</w:t>
            </w:r>
          </w:p>
        </w:tc>
      </w:tr>
    </w:tbl>
    <w:p w:rsidR="009A4727" w:rsidRPr="00B03A99" w:rsidRDefault="009A4727" w:rsidP="009A4727">
      <w:pPr>
        <w:keepNext/>
        <w:keepLines/>
        <w:spacing w:after="120"/>
        <w:contextualSpacing/>
        <w:rPr>
          <w:rFonts w:ascii="Arial Narrow" w:hAnsi="Arial Narrow"/>
          <w:sz w:val="18"/>
          <w:szCs w:val="18"/>
        </w:rPr>
      </w:pPr>
      <w:r w:rsidRPr="00B03A99">
        <w:rPr>
          <w:rFonts w:ascii="Arial Narrow" w:hAnsi="Arial Narrow"/>
          <w:sz w:val="18"/>
          <w:szCs w:val="18"/>
        </w:rPr>
        <w:t xml:space="preserve">Source: ‘economic evaluation’ worksheet </w:t>
      </w:r>
    </w:p>
    <w:p w:rsidR="009A4727" w:rsidRDefault="009A4727" w:rsidP="009A4727">
      <w:pPr>
        <w:keepNext/>
        <w:keepLines/>
        <w:rPr>
          <w:rFonts w:ascii="Arial Narrow" w:hAnsi="Arial Narrow"/>
          <w:sz w:val="18"/>
          <w:szCs w:val="18"/>
        </w:rPr>
      </w:pPr>
      <w:proofErr w:type="gramStart"/>
      <w:r w:rsidRPr="00B03A99">
        <w:rPr>
          <w:rFonts w:ascii="Arial Narrow" w:hAnsi="Arial Narrow"/>
          <w:sz w:val="18"/>
          <w:szCs w:val="18"/>
          <w:vertAlign w:val="superscript"/>
        </w:rPr>
        <w:t>a</w:t>
      </w:r>
      <w:proofErr w:type="gramEnd"/>
      <w:r w:rsidRPr="00B03A99">
        <w:rPr>
          <w:rFonts w:ascii="Arial Narrow" w:hAnsi="Arial Narrow"/>
          <w:sz w:val="18"/>
          <w:szCs w:val="18"/>
        </w:rPr>
        <w:t xml:space="preserve"> Weighted QALYs were based on weighting between the ‘poorly-controlled </w:t>
      </w:r>
      <w:proofErr w:type="spellStart"/>
      <w:r w:rsidRPr="00B03A99">
        <w:rPr>
          <w:rFonts w:ascii="Arial Narrow" w:hAnsi="Arial Narrow"/>
          <w:sz w:val="18"/>
          <w:szCs w:val="18"/>
        </w:rPr>
        <w:t>Phe</w:t>
      </w:r>
      <w:proofErr w:type="spellEnd"/>
      <w:r w:rsidRPr="00B03A99">
        <w:rPr>
          <w:rFonts w:ascii="Arial Narrow" w:hAnsi="Arial Narrow"/>
          <w:sz w:val="18"/>
          <w:szCs w:val="18"/>
        </w:rPr>
        <w:t xml:space="preserve"> level’ group and the ‘well-controlled </w:t>
      </w:r>
      <w:proofErr w:type="spellStart"/>
      <w:r w:rsidRPr="00B03A99">
        <w:rPr>
          <w:rFonts w:ascii="Arial Narrow" w:hAnsi="Arial Narrow"/>
          <w:sz w:val="18"/>
          <w:szCs w:val="18"/>
        </w:rPr>
        <w:t>Phe</w:t>
      </w:r>
      <w:proofErr w:type="spellEnd"/>
      <w:r w:rsidRPr="00B03A99">
        <w:rPr>
          <w:rFonts w:ascii="Arial Narrow" w:hAnsi="Arial Narrow"/>
          <w:sz w:val="18"/>
          <w:szCs w:val="18"/>
        </w:rPr>
        <w:t xml:space="preserve"> level’ group. The submission estimated that incremental QALYs are higher in patients aged ≥18 because more patients were assumed to be in the poorly controlled group (65% of patients aged ≥18 were assumed to be poorly controlled , versus 15% in those aged &lt;18 years), where incremental QALY gains were estimated to be higher. This may not be appropriate the PBAC previously considered that the clinically significant outcomes in younger patients may not have been fully captured in the economic evaluation (Para 7.13, March 2018 </w:t>
      </w:r>
      <w:r w:rsidR="002A7B6E">
        <w:rPr>
          <w:rFonts w:ascii="Arial Narrow" w:hAnsi="Arial Narrow"/>
          <w:sz w:val="18"/>
          <w:szCs w:val="18"/>
        </w:rPr>
        <w:t>PSD</w:t>
      </w:r>
      <w:r w:rsidRPr="00B03A99">
        <w:rPr>
          <w:rFonts w:ascii="Arial Narrow" w:hAnsi="Arial Narrow"/>
          <w:sz w:val="18"/>
          <w:szCs w:val="18"/>
        </w:rPr>
        <w:t>).</w:t>
      </w:r>
    </w:p>
    <w:p w:rsidR="00065D35" w:rsidRPr="00E3376E" w:rsidRDefault="00065D35" w:rsidP="00E3376E">
      <w:pPr>
        <w:keepNext/>
        <w:keepLines/>
        <w:spacing w:before="120" w:after="120"/>
        <w:rPr>
          <w:rFonts w:asciiTheme="minorHAnsi" w:hAnsiTheme="minorHAnsi" w:cstheme="minorHAnsi"/>
        </w:rPr>
      </w:pPr>
      <w:r w:rsidRPr="00E3376E">
        <w:rPr>
          <w:rFonts w:asciiTheme="minorHAnsi" w:hAnsiTheme="minorHAnsi" w:cstheme="minorHAnsi"/>
          <w:i/>
        </w:rPr>
        <w:t>The redacted table shows ICERs in the range of $45,000/QALY – more than $200,000/QALY</w:t>
      </w:r>
      <w:r>
        <w:rPr>
          <w:rFonts w:asciiTheme="minorHAnsi" w:hAnsiTheme="minorHAnsi" w:cstheme="minorHAnsi"/>
        </w:rPr>
        <w:t>.</w:t>
      </w:r>
    </w:p>
    <w:p w:rsidR="00E34CCE" w:rsidRPr="00B03A99" w:rsidRDefault="00E34CCE" w:rsidP="007466A9">
      <w:pPr>
        <w:pStyle w:val="ListParagraph"/>
        <w:numPr>
          <w:ilvl w:val="1"/>
          <w:numId w:val="3"/>
        </w:numPr>
        <w:contextualSpacing w:val="0"/>
      </w:pPr>
      <w:r w:rsidRPr="00B03A99">
        <w:t xml:space="preserve">The ICER ranged from </w:t>
      </w:r>
      <w:r w:rsidR="00065D35">
        <w:t>$45,000/QALY - $75,000/QALY</w:t>
      </w:r>
      <w:r w:rsidRPr="00B03A99">
        <w:t xml:space="preserve"> for patients aged </w:t>
      </w:r>
      <w:r w:rsidR="00BC021F" w:rsidRPr="00B03A99">
        <w:t>less than one year</w:t>
      </w:r>
      <w:r w:rsidRPr="00B03A99">
        <w:t xml:space="preserve"> to </w:t>
      </w:r>
      <w:r w:rsidR="00065D35">
        <w:t>more than $200,000/QALY</w:t>
      </w:r>
      <w:r w:rsidRPr="00B03A99">
        <w:t xml:space="preserve"> for those aged 17 years. </w:t>
      </w:r>
      <w:r w:rsidR="00BC021F" w:rsidRPr="00B03A99">
        <w:t>Compared with the previous submission, the ICER was higher in some age groups but lower in others</w:t>
      </w:r>
      <w:r w:rsidR="00912B70" w:rsidRPr="00B03A99">
        <w:t xml:space="preserve"> (as</w:t>
      </w:r>
      <w:r w:rsidR="00BC021F" w:rsidRPr="00B03A99">
        <w:t xml:space="preserve"> the effect of rounding</w:t>
      </w:r>
      <w:r w:rsidR="00300983" w:rsidRPr="00B03A99">
        <w:t xml:space="preserve"> the dose</w:t>
      </w:r>
      <w:r w:rsidR="00BC021F" w:rsidRPr="00B03A99">
        <w:t xml:space="preserve"> differed by age group</w:t>
      </w:r>
      <w:r w:rsidR="00912B70" w:rsidRPr="00B03A99">
        <w:t>)</w:t>
      </w:r>
      <w:r w:rsidR="00BC021F" w:rsidRPr="00B03A99">
        <w:t>.</w:t>
      </w:r>
      <w:r w:rsidR="00962CF9" w:rsidRPr="00B03A99">
        <w:t xml:space="preserve"> The PBAC noted that the ICER for patients aged </w:t>
      </w:r>
      <w:r w:rsidR="00962CF9" w:rsidRPr="00B03A99">
        <w:rPr>
          <w:rFonts w:cstheme="minorHAnsi"/>
        </w:rPr>
        <w:t>≥</w:t>
      </w:r>
      <w:r w:rsidR="00962CF9" w:rsidRPr="00B03A99">
        <w:t xml:space="preserve"> 18 years would </w:t>
      </w:r>
      <w:r w:rsidR="00D1325D" w:rsidRPr="00B03A99">
        <w:t xml:space="preserve">substantially </w:t>
      </w:r>
      <w:r w:rsidR="00962CF9" w:rsidRPr="00B03A99">
        <w:t>reduce with the RSA arrangements proposed in the pre-PBAC response (outlined in ‘Estimated PBS usage &amp; financial implications’) if utilisation was at or above the levels estimated</w:t>
      </w:r>
      <w:r w:rsidR="001027B1" w:rsidRPr="00B03A99">
        <w:t xml:space="preserve"> in the pre-PBAC response</w:t>
      </w:r>
      <w:r w:rsidR="00962CF9" w:rsidRPr="00B03A99">
        <w:t xml:space="preserve">.  </w:t>
      </w:r>
    </w:p>
    <w:p w:rsidR="00FE1E8D" w:rsidRPr="00B03A99" w:rsidRDefault="00C4214A" w:rsidP="007466A9">
      <w:pPr>
        <w:pStyle w:val="ListParagraph"/>
        <w:numPr>
          <w:ilvl w:val="1"/>
          <w:numId w:val="3"/>
        </w:numPr>
        <w:contextualSpacing w:val="0"/>
      </w:pPr>
      <w:r w:rsidRPr="00B03A99">
        <w:t>As noted in the previous Minutes, the ICER generally increased with age (from 0 to 17 years) because the dose of sapropterin is weight-based. The ICER decreased after 17 years of age because the proportion of patients assumed to be poorly controlled increased from 15% to 6</w:t>
      </w:r>
      <w:r w:rsidR="0010339C" w:rsidRPr="00B03A99">
        <w:t>5</w:t>
      </w:r>
      <w:r w:rsidRPr="00B03A99">
        <w:t xml:space="preserve">%. Sapropterin was estimated to be more cost-effective among the ‘poorly-controlled’ sub-population, mainly because lower quality-adjusted life years (QALYs) were accrued in the ‘poorly-controlled’ comparator arm (utility value between </w:t>
      </w:r>
      <w:r w:rsidR="00E916D8">
        <w:rPr>
          <w:noProof/>
          <w:color w:val="000000"/>
          <w:highlight w:val="black"/>
        </w:rPr>
        <w:t>''''''''</w:t>
      </w:r>
      <w:r w:rsidRPr="00B03A99">
        <w:t xml:space="preserve"> and </w:t>
      </w:r>
      <w:r w:rsidR="00E916D8">
        <w:rPr>
          <w:noProof/>
          <w:color w:val="000000"/>
          <w:highlight w:val="black"/>
        </w:rPr>
        <w:t>'''''''''</w:t>
      </w:r>
      <w:r w:rsidRPr="00B03A99">
        <w:t xml:space="preserve">, depending on age) compared with the ‘well-controlled’ comparator arm (utility of </w:t>
      </w:r>
      <w:r w:rsidR="00E916D8">
        <w:rPr>
          <w:noProof/>
          <w:color w:val="000000"/>
          <w:highlight w:val="black"/>
        </w:rPr>
        <w:t>'''''''''</w:t>
      </w:r>
      <w:r w:rsidRPr="00B03A99">
        <w:t>), while the drug cost of sapropterin was the same in the two sub-populations.</w:t>
      </w:r>
    </w:p>
    <w:p w:rsidR="006C6D65" w:rsidRPr="00B03A99" w:rsidRDefault="005D546C" w:rsidP="00C02E4A">
      <w:pPr>
        <w:pStyle w:val="ListParagraph"/>
        <w:numPr>
          <w:ilvl w:val="1"/>
          <w:numId w:val="3"/>
        </w:numPr>
        <w:contextualSpacing w:val="0"/>
      </w:pPr>
      <w:r w:rsidRPr="00B03A99">
        <w:t xml:space="preserve">The resubmission </w:t>
      </w:r>
      <w:r w:rsidR="002341B9" w:rsidRPr="00B03A99">
        <w:t xml:space="preserve">calculated a single weighted average ICER across all age groups for each year of listing, </w:t>
      </w:r>
      <w:r w:rsidRPr="00B03A99">
        <w:t>us</w:t>
      </w:r>
      <w:r w:rsidR="002341B9" w:rsidRPr="00B03A99">
        <w:t>ing</w:t>
      </w:r>
      <w:r w:rsidRPr="00B03A99">
        <w:t xml:space="preserve"> the estimated number of patients in each age group</w:t>
      </w:r>
      <w:r w:rsidR="00E34CCE" w:rsidRPr="00B03A99">
        <w:t xml:space="preserve"> (from the </w:t>
      </w:r>
      <w:r w:rsidR="00E34CCE" w:rsidRPr="00B03A99">
        <w:lastRenderedPageBreak/>
        <w:t>financial estimates)</w:t>
      </w:r>
      <w:r w:rsidR="002B63E1" w:rsidRPr="00B03A99">
        <w:t xml:space="preserve">. </w:t>
      </w:r>
      <w:r w:rsidR="00E34CCE" w:rsidRPr="00B03A99">
        <w:t xml:space="preserve">This was conducted for each year of listing from 2019 to 2024. The ICER </w:t>
      </w:r>
      <w:r w:rsidR="00C02E4A" w:rsidRPr="00B03A99">
        <w:t>increas</w:t>
      </w:r>
      <w:r w:rsidR="00E34CCE" w:rsidRPr="00B03A99">
        <w:t xml:space="preserve">ed over the six-year period because the </w:t>
      </w:r>
      <w:r w:rsidR="002B63E1" w:rsidRPr="00B03A99">
        <w:t>proportion of patients aged 18 years and over was estimated to gradually increase</w:t>
      </w:r>
      <w:r w:rsidR="00C02E4A" w:rsidRPr="00B03A99">
        <w:t>. Using this method, t</w:t>
      </w:r>
      <w:r w:rsidR="006C6D65" w:rsidRPr="00B03A99">
        <w:t>he ICER</w:t>
      </w:r>
      <w:r w:rsidR="00C02E4A" w:rsidRPr="00B03A99">
        <w:t xml:space="preserve"> per QALY</w:t>
      </w:r>
      <w:r w:rsidR="006C6D65" w:rsidRPr="00B03A99">
        <w:t xml:space="preserve"> increased from </w:t>
      </w:r>
      <w:r w:rsidR="00F819BF">
        <w:t>more than $200,000</w:t>
      </w:r>
      <w:r w:rsidR="006C6D65" w:rsidRPr="00B03A99">
        <w:t xml:space="preserve"> in Year 1 </w:t>
      </w:r>
      <w:r w:rsidR="00C02E4A" w:rsidRPr="00B03A99">
        <w:t xml:space="preserve">of listing </w:t>
      </w:r>
      <w:r w:rsidR="006C6D65" w:rsidRPr="00B03A99">
        <w:t xml:space="preserve">to </w:t>
      </w:r>
      <w:r w:rsidR="00F819BF">
        <w:t>more than $200,000</w:t>
      </w:r>
      <w:r w:rsidR="006C6D65" w:rsidRPr="00B03A99">
        <w:t xml:space="preserve"> in Year 6</w:t>
      </w:r>
      <w:r w:rsidR="00C02E4A" w:rsidRPr="00B03A99">
        <w:t>.</w:t>
      </w:r>
      <w:r w:rsidR="006C6D65" w:rsidRPr="00B03A99">
        <w:t xml:space="preserve"> The average ICER over the six years was estimated to be</w:t>
      </w:r>
      <w:r w:rsidR="00C02E4A" w:rsidRPr="00B03A99">
        <w:t xml:space="preserve"> </w:t>
      </w:r>
      <w:r w:rsidR="00F819BF">
        <w:t>more than $200,000</w:t>
      </w:r>
      <w:r w:rsidR="00C02E4A" w:rsidRPr="00B03A99">
        <w:t xml:space="preserve"> per QALY</w:t>
      </w:r>
      <w:r w:rsidR="006C6D65" w:rsidRPr="00B03A99">
        <w:t xml:space="preserve">. </w:t>
      </w:r>
    </w:p>
    <w:p w:rsidR="006C6D65" w:rsidRPr="00B03A99" w:rsidRDefault="006C6D65" w:rsidP="00D1325D">
      <w:pPr>
        <w:pStyle w:val="ListParagraph"/>
        <w:numPr>
          <w:ilvl w:val="1"/>
          <w:numId w:val="1"/>
        </w:numPr>
        <w:contextualSpacing w:val="0"/>
      </w:pPr>
      <w:r w:rsidRPr="00B03A99">
        <w:t xml:space="preserve">During preparation of the minor overview, the ICER was also calculated for </w:t>
      </w:r>
      <w:r w:rsidR="0026130A" w:rsidRPr="00B03A99">
        <w:t>a patient who commences sapropterin at birth and continues until either t</w:t>
      </w:r>
      <w:r w:rsidR="00362311" w:rsidRPr="00B03A99">
        <w:t>heir</w:t>
      </w:r>
      <w:r w:rsidR="0026130A" w:rsidRPr="00B03A99">
        <w:t xml:space="preserve"> 18</w:t>
      </w:r>
      <w:r w:rsidR="00362311" w:rsidRPr="00E3376E">
        <w:rPr>
          <w:vertAlign w:val="superscript"/>
        </w:rPr>
        <w:t>th</w:t>
      </w:r>
      <w:r w:rsidR="0026130A" w:rsidRPr="00B03A99">
        <w:t xml:space="preserve"> or 40</w:t>
      </w:r>
      <w:r w:rsidR="00362311" w:rsidRPr="00B03A99">
        <w:rPr>
          <w:vertAlign w:val="superscript"/>
        </w:rPr>
        <w:t>th</w:t>
      </w:r>
      <w:r w:rsidR="00362311" w:rsidRPr="00B03A99">
        <w:t xml:space="preserve"> birthday</w:t>
      </w:r>
      <w:r w:rsidR="0026130A" w:rsidRPr="00B03A99">
        <w:t xml:space="preserve"> </w:t>
      </w:r>
      <w:r w:rsidR="008067C8" w:rsidRPr="00B03A99">
        <w:t>(shown in the table below)</w:t>
      </w:r>
      <w:r w:rsidR="0026130A" w:rsidRPr="00B03A99">
        <w:t xml:space="preserve">. </w:t>
      </w:r>
      <w:r w:rsidR="007E6BAE" w:rsidRPr="00B03A99">
        <w:t xml:space="preserve">The </w:t>
      </w:r>
      <w:r w:rsidR="002341B9" w:rsidRPr="00B03A99">
        <w:t>economic evaluation assumed that patients would have full compliance. Compliance may be lower in clinical practice, which would impact both the costs and outcomes.</w:t>
      </w:r>
      <w:r w:rsidR="00D1325D" w:rsidRPr="00B03A99">
        <w:t xml:space="preserve"> The PBAC also noted that the ICER for a patient who commences at age 0 and continues until their 40th birthday would reduce with the RSA arrangements proposed in the pre-PBAC response.</w:t>
      </w:r>
    </w:p>
    <w:p w:rsidR="00003DA1" w:rsidRPr="00B03A99" w:rsidRDefault="00003DA1" w:rsidP="00003DA1">
      <w:pPr>
        <w:pStyle w:val="PBACHeading1"/>
        <w:keepNext/>
        <w:keepLines/>
        <w:numPr>
          <w:ilvl w:val="0"/>
          <w:numId w:val="0"/>
        </w:numPr>
        <w:ind w:left="720" w:hanging="720"/>
        <w:outlineLvl w:val="9"/>
        <w:rPr>
          <w:rFonts w:ascii="Arial Narrow" w:hAnsi="Arial Narrow" w:cstheme="minorHAnsi"/>
          <w:sz w:val="20"/>
          <w:szCs w:val="20"/>
        </w:rPr>
      </w:pPr>
      <w:r w:rsidRPr="00B03A99">
        <w:rPr>
          <w:rFonts w:ascii="Arial Narrow" w:hAnsi="Arial Narrow"/>
          <w:sz w:val="20"/>
          <w:szCs w:val="20"/>
        </w:rPr>
        <w:t xml:space="preserve">Table </w:t>
      </w:r>
      <w:r w:rsidR="003E72B1" w:rsidRPr="00B03A99">
        <w:rPr>
          <w:rFonts w:ascii="Arial Narrow" w:hAnsi="Arial Narrow"/>
          <w:sz w:val="20"/>
          <w:szCs w:val="20"/>
        </w:rPr>
        <w:t>3</w:t>
      </w:r>
      <w:r w:rsidRPr="00B03A99">
        <w:rPr>
          <w:rFonts w:ascii="Arial Narrow" w:hAnsi="Arial Narrow"/>
          <w:sz w:val="20"/>
          <w:szCs w:val="20"/>
        </w:rPr>
        <w:t xml:space="preserve">: Results of the economic evaluation - weighted ICER </w:t>
      </w:r>
      <w:r w:rsidR="00593869" w:rsidRPr="00B03A99">
        <w:rPr>
          <w:rFonts w:ascii="Arial Narrow" w:hAnsi="Arial Narrow"/>
          <w:sz w:val="20"/>
          <w:szCs w:val="20"/>
        </w:rPr>
        <w:t>for a patient who commences sapropterin at birth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99"/>
        <w:gridCol w:w="1361"/>
        <w:gridCol w:w="1361"/>
        <w:gridCol w:w="1192"/>
        <w:gridCol w:w="1192"/>
        <w:gridCol w:w="1361"/>
        <w:gridCol w:w="1506"/>
      </w:tblGrid>
      <w:tr w:rsidR="00473B63" w:rsidRPr="00B03A99" w:rsidTr="00473B63">
        <w:trPr>
          <w:tblHeader/>
        </w:trPr>
        <w:tc>
          <w:tcPr>
            <w:tcW w:w="2137" w:type="pct"/>
            <w:gridSpan w:val="3"/>
            <w:tcBorders>
              <w:left w:val="double" w:sz="4" w:space="0" w:color="auto"/>
              <w:right w:val="double" w:sz="4" w:space="0" w:color="auto"/>
            </w:tcBorders>
            <w:vAlign w:val="center"/>
          </w:tcPr>
          <w:p w:rsidR="00473B63" w:rsidRPr="00B03A99" w:rsidRDefault="00473B63" w:rsidP="00003DA1">
            <w:pPr>
              <w:keepNext/>
              <w:keepLines/>
              <w:jc w:val="center"/>
              <w:rPr>
                <w:rFonts w:ascii="Arial Narrow" w:hAnsi="Arial Narrow"/>
                <w:b/>
                <w:sz w:val="20"/>
                <w:szCs w:val="22"/>
                <w:lang w:eastAsia="en-US"/>
              </w:rPr>
            </w:pPr>
            <w:r w:rsidRPr="00B03A99">
              <w:rPr>
                <w:rFonts w:ascii="Arial Narrow" w:hAnsi="Arial Narrow"/>
                <w:b/>
                <w:sz w:val="20"/>
                <w:szCs w:val="22"/>
                <w:lang w:eastAsia="en-US"/>
              </w:rPr>
              <w:t xml:space="preserve">Poorly controlled </w:t>
            </w:r>
            <w:proofErr w:type="spellStart"/>
            <w:r w:rsidRPr="00B03A99">
              <w:rPr>
                <w:rFonts w:ascii="Arial Narrow" w:hAnsi="Arial Narrow"/>
                <w:b/>
                <w:sz w:val="20"/>
                <w:szCs w:val="22"/>
                <w:lang w:eastAsia="en-US"/>
              </w:rPr>
              <w:t>Phe</w:t>
            </w:r>
            <w:proofErr w:type="spellEnd"/>
            <w:r w:rsidRPr="00B03A99">
              <w:rPr>
                <w:rFonts w:ascii="Arial Narrow" w:hAnsi="Arial Narrow"/>
                <w:b/>
                <w:sz w:val="20"/>
                <w:szCs w:val="22"/>
                <w:lang w:eastAsia="en-US"/>
              </w:rPr>
              <w:t xml:space="preserve"> level group</w:t>
            </w:r>
          </w:p>
        </w:tc>
        <w:tc>
          <w:tcPr>
            <w:tcW w:w="2042" w:type="pct"/>
            <w:gridSpan w:val="3"/>
            <w:tcBorders>
              <w:left w:val="double" w:sz="4" w:space="0" w:color="auto"/>
              <w:right w:val="double" w:sz="4" w:space="0" w:color="auto"/>
            </w:tcBorders>
          </w:tcPr>
          <w:p w:rsidR="00473B63" w:rsidRPr="00B03A99" w:rsidRDefault="00473B63" w:rsidP="00003DA1">
            <w:pPr>
              <w:keepNext/>
              <w:keepLines/>
              <w:jc w:val="center"/>
              <w:rPr>
                <w:rFonts w:ascii="Arial Narrow" w:hAnsi="Arial Narrow"/>
                <w:b/>
                <w:sz w:val="20"/>
                <w:szCs w:val="22"/>
                <w:lang w:eastAsia="en-US"/>
              </w:rPr>
            </w:pPr>
            <w:r w:rsidRPr="00B03A99">
              <w:rPr>
                <w:rFonts w:ascii="Arial Narrow" w:hAnsi="Arial Narrow"/>
                <w:b/>
                <w:sz w:val="20"/>
                <w:szCs w:val="22"/>
                <w:lang w:eastAsia="en-US"/>
              </w:rPr>
              <w:t xml:space="preserve">Well controlled </w:t>
            </w:r>
            <w:proofErr w:type="spellStart"/>
            <w:r w:rsidRPr="00B03A99">
              <w:rPr>
                <w:rFonts w:ascii="Arial Narrow" w:hAnsi="Arial Narrow"/>
                <w:b/>
                <w:sz w:val="20"/>
                <w:szCs w:val="22"/>
                <w:lang w:eastAsia="en-US"/>
              </w:rPr>
              <w:t>Phe</w:t>
            </w:r>
            <w:proofErr w:type="spellEnd"/>
            <w:r w:rsidRPr="00B03A99">
              <w:rPr>
                <w:rFonts w:ascii="Arial Narrow" w:hAnsi="Arial Narrow"/>
                <w:b/>
                <w:sz w:val="20"/>
                <w:szCs w:val="22"/>
                <w:lang w:eastAsia="en-US"/>
              </w:rPr>
              <w:t xml:space="preserve"> level group</w:t>
            </w:r>
          </w:p>
        </w:tc>
        <w:tc>
          <w:tcPr>
            <w:tcW w:w="822" w:type="pct"/>
            <w:vMerge w:val="restart"/>
            <w:tcBorders>
              <w:left w:val="double" w:sz="4" w:space="0" w:color="auto"/>
            </w:tcBorders>
            <w:vAlign w:val="center"/>
          </w:tcPr>
          <w:p w:rsidR="00473B63" w:rsidRPr="00B03A99" w:rsidRDefault="00473B63" w:rsidP="00003DA1">
            <w:pPr>
              <w:keepNext/>
              <w:keepLines/>
              <w:jc w:val="center"/>
              <w:rPr>
                <w:rFonts w:ascii="Arial Narrow" w:hAnsi="Arial Narrow"/>
                <w:b/>
                <w:sz w:val="20"/>
                <w:szCs w:val="22"/>
                <w:lang w:eastAsia="en-US"/>
              </w:rPr>
            </w:pPr>
            <w:r w:rsidRPr="00B03A99">
              <w:rPr>
                <w:rFonts w:ascii="Arial Narrow" w:hAnsi="Arial Narrow"/>
                <w:b/>
                <w:sz w:val="20"/>
                <w:szCs w:val="22"/>
                <w:lang w:eastAsia="en-US"/>
              </w:rPr>
              <w:t>Weighted</w:t>
            </w:r>
          </w:p>
          <w:p w:rsidR="00473B63" w:rsidRPr="00B03A99" w:rsidRDefault="00473B63" w:rsidP="00003DA1">
            <w:pPr>
              <w:keepNext/>
              <w:keepLines/>
              <w:jc w:val="center"/>
              <w:rPr>
                <w:rFonts w:ascii="Arial Narrow" w:hAnsi="Arial Narrow"/>
                <w:b/>
                <w:sz w:val="20"/>
                <w:szCs w:val="22"/>
                <w:lang w:eastAsia="en-US"/>
              </w:rPr>
            </w:pPr>
            <w:r w:rsidRPr="00B03A99">
              <w:rPr>
                <w:rFonts w:ascii="Arial Narrow" w:hAnsi="Arial Narrow"/>
                <w:b/>
                <w:sz w:val="20"/>
                <w:szCs w:val="22"/>
                <w:lang w:eastAsia="en-US"/>
              </w:rPr>
              <w:t>ICER</w:t>
            </w:r>
          </w:p>
          <w:p w:rsidR="00473B63" w:rsidRPr="00B03A99" w:rsidRDefault="00473B63" w:rsidP="00003DA1">
            <w:pPr>
              <w:keepNext/>
              <w:keepLines/>
              <w:jc w:val="center"/>
              <w:rPr>
                <w:rFonts w:ascii="Arial Narrow" w:hAnsi="Arial Narrow"/>
                <w:b/>
                <w:sz w:val="20"/>
                <w:szCs w:val="22"/>
                <w:lang w:eastAsia="en-US"/>
              </w:rPr>
            </w:pPr>
            <w:r w:rsidRPr="00B03A99">
              <w:rPr>
                <w:rFonts w:ascii="Arial Narrow" w:hAnsi="Arial Narrow"/>
                <w:b/>
                <w:sz w:val="20"/>
                <w:szCs w:val="22"/>
                <w:lang w:eastAsia="en-US"/>
              </w:rPr>
              <w:t>($/QALY)</w:t>
            </w:r>
          </w:p>
        </w:tc>
      </w:tr>
      <w:tr w:rsidR="00473B63" w:rsidRPr="00B03A99" w:rsidTr="00473B63">
        <w:tc>
          <w:tcPr>
            <w:tcW w:w="653" w:type="pct"/>
            <w:tcBorders>
              <w:left w:val="double" w:sz="4" w:space="0" w:color="auto"/>
            </w:tcBorders>
            <w:vAlign w:val="center"/>
          </w:tcPr>
          <w:p w:rsidR="00473B63" w:rsidRPr="00B03A99" w:rsidRDefault="00473B63" w:rsidP="00003DA1">
            <w:pPr>
              <w:keepNext/>
              <w:keepLines/>
              <w:jc w:val="center"/>
              <w:rPr>
                <w:rFonts w:ascii="Arial Narrow" w:hAnsi="Arial Narrow"/>
                <w:sz w:val="20"/>
                <w:szCs w:val="22"/>
                <w:lang w:eastAsia="en-US"/>
              </w:rPr>
            </w:pPr>
            <w:r w:rsidRPr="00B03A99">
              <w:rPr>
                <w:rFonts w:ascii="Arial Narrow" w:hAnsi="Arial Narrow"/>
                <w:b/>
                <w:sz w:val="20"/>
                <w:szCs w:val="22"/>
                <w:lang w:eastAsia="en-US"/>
              </w:rPr>
              <w:t>Incremental Costs</w:t>
            </w:r>
          </w:p>
        </w:tc>
        <w:tc>
          <w:tcPr>
            <w:tcW w:w="742" w:type="pct"/>
            <w:vAlign w:val="center"/>
          </w:tcPr>
          <w:p w:rsidR="00473B63" w:rsidRPr="00B03A99" w:rsidRDefault="00473B63" w:rsidP="00003DA1">
            <w:pPr>
              <w:keepNext/>
              <w:keepLines/>
              <w:jc w:val="center"/>
              <w:rPr>
                <w:rFonts w:ascii="Arial Narrow" w:hAnsi="Arial Narrow"/>
                <w:sz w:val="20"/>
                <w:szCs w:val="22"/>
                <w:lang w:eastAsia="en-US"/>
              </w:rPr>
            </w:pPr>
            <w:r w:rsidRPr="00B03A99">
              <w:rPr>
                <w:rFonts w:ascii="Arial Narrow" w:hAnsi="Arial Narrow"/>
                <w:b/>
                <w:sz w:val="20"/>
                <w:szCs w:val="22"/>
                <w:lang w:eastAsia="en-US"/>
              </w:rPr>
              <w:t>Incremental Outcomes</w:t>
            </w:r>
          </w:p>
        </w:tc>
        <w:tc>
          <w:tcPr>
            <w:tcW w:w="742" w:type="pct"/>
            <w:tcBorders>
              <w:right w:val="double" w:sz="4" w:space="0" w:color="auto"/>
            </w:tcBorders>
            <w:vAlign w:val="center"/>
          </w:tcPr>
          <w:p w:rsidR="00473B63" w:rsidRPr="00B03A99" w:rsidRDefault="00473B63" w:rsidP="00003DA1">
            <w:pPr>
              <w:jc w:val="center"/>
              <w:rPr>
                <w:rFonts w:ascii="Arial Narrow" w:hAnsi="Arial Narrow"/>
                <w:b/>
                <w:sz w:val="20"/>
                <w:szCs w:val="22"/>
                <w:lang w:eastAsia="en-US"/>
              </w:rPr>
            </w:pPr>
            <w:r w:rsidRPr="00B03A99">
              <w:rPr>
                <w:rFonts w:ascii="Arial Narrow" w:hAnsi="Arial Narrow"/>
                <w:b/>
                <w:sz w:val="20"/>
                <w:szCs w:val="22"/>
                <w:lang w:eastAsia="en-US"/>
              </w:rPr>
              <w:t>ICER</w:t>
            </w:r>
          </w:p>
          <w:p w:rsidR="00473B63" w:rsidRPr="00B03A99" w:rsidRDefault="00473B63" w:rsidP="00003DA1">
            <w:pPr>
              <w:keepNext/>
              <w:keepLines/>
              <w:jc w:val="center"/>
              <w:rPr>
                <w:rFonts w:ascii="Arial Narrow" w:hAnsi="Arial Narrow"/>
                <w:sz w:val="20"/>
                <w:szCs w:val="22"/>
                <w:lang w:eastAsia="en-US"/>
              </w:rPr>
            </w:pPr>
            <w:r w:rsidRPr="00B03A99">
              <w:rPr>
                <w:rFonts w:ascii="Arial Narrow" w:hAnsi="Arial Narrow"/>
                <w:b/>
                <w:sz w:val="20"/>
                <w:szCs w:val="22"/>
                <w:lang w:eastAsia="en-US"/>
              </w:rPr>
              <w:t>($/QALY)</w:t>
            </w:r>
          </w:p>
        </w:tc>
        <w:tc>
          <w:tcPr>
            <w:tcW w:w="650" w:type="pct"/>
            <w:tcBorders>
              <w:left w:val="double" w:sz="4" w:space="0" w:color="auto"/>
            </w:tcBorders>
            <w:vAlign w:val="center"/>
          </w:tcPr>
          <w:p w:rsidR="00473B63" w:rsidRPr="00B03A99" w:rsidRDefault="00473B63" w:rsidP="00003DA1">
            <w:pPr>
              <w:keepNext/>
              <w:keepLines/>
              <w:jc w:val="center"/>
              <w:rPr>
                <w:rFonts w:ascii="Arial Narrow" w:hAnsi="Arial Narrow"/>
                <w:sz w:val="20"/>
                <w:szCs w:val="22"/>
                <w:lang w:eastAsia="en-US"/>
              </w:rPr>
            </w:pPr>
            <w:r w:rsidRPr="00B03A99">
              <w:rPr>
                <w:rFonts w:ascii="Arial Narrow" w:hAnsi="Arial Narrow"/>
                <w:b/>
                <w:sz w:val="20"/>
                <w:szCs w:val="22"/>
                <w:lang w:eastAsia="en-US"/>
              </w:rPr>
              <w:t>Incremental Costs</w:t>
            </w:r>
          </w:p>
        </w:tc>
        <w:tc>
          <w:tcPr>
            <w:tcW w:w="650" w:type="pct"/>
            <w:vAlign w:val="center"/>
          </w:tcPr>
          <w:p w:rsidR="00473B63" w:rsidRPr="00B03A99" w:rsidRDefault="00473B63" w:rsidP="00003DA1">
            <w:pPr>
              <w:keepNext/>
              <w:keepLines/>
              <w:jc w:val="center"/>
              <w:rPr>
                <w:rFonts w:ascii="Arial Narrow" w:hAnsi="Arial Narrow"/>
                <w:sz w:val="20"/>
                <w:szCs w:val="22"/>
                <w:lang w:eastAsia="en-US"/>
              </w:rPr>
            </w:pPr>
            <w:r w:rsidRPr="00B03A99">
              <w:rPr>
                <w:rFonts w:ascii="Arial Narrow" w:hAnsi="Arial Narrow"/>
                <w:b/>
                <w:sz w:val="20"/>
                <w:szCs w:val="22"/>
                <w:lang w:eastAsia="en-US"/>
              </w:rPr>
              <w:t>Incremental Outcomes</w:t>
            </w:r>
          </w:p>
        </w:tc>
        <w:tc>
          <w:tcPr>
            <w:tcW w:w="742" w:type="pct"/>
            <w:tcBorders>
              <w:right w:val="double" w:sz="4" w:space="0" w:color="auto"/>
            </w:tcBorders>
            <w:vAlign w:val="center"/>
          </w:tcPr>
          <w:p w:rsidR="00473B63" w:rsidRPr="00B03A99" w:rsidRDefault="00473B63" w:rsidP="00003DA1">
            <w:pPr>
              <w:jc w:val="center"/>
              <w:rPr>
                <w:rFonts w:ascii="Arial Narrow" w:hAnsi="Arial Narrow"/>
                <w:b/>
                <w:sz w:val="20"/>
                <w:szCs w:val="22"/>
                <w:lang w:eastAsia="en-US"/>
              </w:rPr>
            </w:pPr>
            <w:r w:rsidRPr="00B03A99">
              <w:rPr>
                <w:rFonts w:ascii="Arial Narrow" w:hAnsi="Arial Narrow"/>
                <w:b/>
                <w:sz w:val="20"/>
                <w:szCs w:val="22"/>
                <w:lang w:eastAsia="en-US"/>
              </w:rPr>
              <w:t>ICER</w:t>
            </w:r>
          </w:p>
          <w:p w:rsidR="00473B63" w:rsidRPr="00B03A99" w:rsidRDefault="00473B63" w:rsidP="00003DA1">
            <w:pPr>
              <w:keepNext/>
              <w:keepLines/>
              <w:jc w:val="center"/>
              <w:rPr>
                <w:rFonts w:ascii="Arial Narrow" w:hAnsi="Arial Narrow"/>
                <w:sz w:val="20"/>
                <w:szCs w:val="22"/>
                <w:lang w:eastAsia="en-US"/>
              </w:rPr>
            </w:pPr>
            <w:r w:rsidRPr="00B03A99">
              <w:rPr>
                <w:rFonts w:ascii="Arial Narrow" w:hAnsi="Arial Narrow"/>
                <w:b/>
                <w:sz w:val="20"/>
                <w:szCs w:val="22"/>
                <w:lang w:eastAsia="en-US"/>
              </w:rPr>
              <w:t>($/QALY)</w:t>
            </w:r>
          </w:p>
        </w:tc>
        <w:tc>
          <w:tcPr>
            <w:tcW w:w="822" w:type="pct"/>
            <w:vMerge/>
            <w:tcBorders>
              <w:left w:val="double" w:sz="4" w:space="0" w:color="auto"/>
            </w:tcBorders>
          </w:tcPr>
          <w:p w:rsidR="00473B63" w:rsidRPr="00B03A99" w:rsidRDefault="00473B63" w:rsidP="00003DA1">
            <w:pPr>
              <w:keepNext/>
              <w:keepLines/>
              <w:jc w:val="center"/>
              <w:rPr>
                <w:rFonts w:ascii="Arial Narrow" w:hAnsi="Arial Narrow"/>
                <w:sz w:val="20"/>
                <w:szCs w:val="22"/>
                <w:lang w:eastAsia="en-US"/>
              </w:rPr>
            </w:pPr>
          </w:p>
        </w:tc>
      </w:tr>
      <w:tr w:rsidR="00473B63" w:rsidRPr="00B03A99" w:rsidTr="00473B63">
        <w:tc>
          <w:tcPr>
            <w:tcW w:w="5000" w:type="pct"/>
            <w:gridSpan w:val="7"/>
            <w:tcBorders>
              <w:left w:val="double" w:sz="4" w:space="0" w:color="auto"/>
            </w:tcBorders>
            <w:shd w:val="clear" w:color="auto" w:fill="F2F2F2" w:themeFill="background1" w:themeFillShade="F2"/>
            <w:vAlign w:val="bottom"/>
          </w:tcPr>
          <w:p w:rsidR="00473B63" w:rsidRPr="00B03A99" w:rsidRDefault="00473B63" w:rsidP="0026130A">
            <w:pPr>
              <w:rPr>
                <w:rFonts w:ascii="Arial Narrow" w:hAnsi="Arial Narrow" w:cs="Calibri"/>
                <w:color w:val="000000"/>
                <w:sz w:val="20"/>
                <w:szCs w:val="20"/>
              </w:rPr>
            </w:pPr>
            <w:r w:rsidRPr="00B03A99">
              <w:rPr>
                <w:rFonts w:ascii="Arial Narrow" w:hAnsi="Arial Narrow" w:cstheme="minorHAnsi"/>
                <w:b/>
                <w:color w:val="000000"/>
                <w:sz w:val="20"/>
                <w:szCs w:val="20"/>
              </w:rPr>
              <w:t>ICER for patient who commences at age 0 and continues until 1</w:t>
            </w:r>
            <w:r w:rsidR="0026130A" w:rsidRPr="00B03A99">
              <w:rPr>
                <w:rFonts w:ascii="Arial Narrow" w:hAnsi="Arial Narrow" w:cstheme="minorHAnsi"/>
                <w:b/>
                <w:color w:val="000000"/>
                <w:sz w:val="20"/>
                <w:szCs w:val="20"/>
              </w:rPr>
              <w:t>8</w:t>
            </w:r>
            <w:r w:rsidR="0026130A" w:rsidRPr="00B03A99">
              <w:rPr>
                <w:rFonts w:ascii="Arial Narrow" w:hAnsi="Arial Narrow" w:cstheme="minorHAnsi"/>
                <w:b/>
                <w:color w:val="000000"/>
                <w:sz w:val="20"/>
                <w:szCs w:val="20"/>
                <w:vertAlign w:val="superscript"/>
              </w:rPr>
              <w:t>th</w:t>
            </w:r>
            <w:r w:rsidR="0026130A" w:rsidRPr="00B03A99">
              <w:rPr>
                <w:rFonts w:ascii="Arial Narrow" w:hAnsi="Arial Narrow" w:cstheme="minorHAnsi"/>
                <w:b/>
                <w:color w:val="000000"/>
                <w:sz w:val="20"/>
                <w:szCs w:val="20"/>
              </w:rPr>
              <w:t xml:space="preserve"> birthday </w:t>
            </w:r>
            <w:r w:rsidRPr="00B03A99">
              <w:rPr>
                <w:rFonts w:ascii="Arial Narrow" w:hAnsi="Arial Narrow" w:cstheme="minorHAnsi"/>
                <w:b/>
                <w:color w:val="000000"/>
                <w:sz w:val="20"/>
                <w:szCs w:val="20"/>
              </w:rPr>
              <w:t>(18 year time horizon)</w:t>
            </w:r>
          </w:p>
        </w:tc>
      </w:tr>
      <w:tr w:rsidR="00473B63" w:rsidRPr="00B03A99" w:rsidTr="00473B63">
        <w:tc>
          <w:tcPr>
            <w:tcW w:w="653" w:type="pct"/>
            <w:tcBorders>
              <w:left w:val="double" w:sz="4" w:space="0" w:color="auto"/>
            </w:tcBorders>
            <w:vAlign w:val="bottom"/>
          </w:tcPr>
          <w:p w:rsidR="00473B63" w:rsidRPr="00B03A99" w:rsidRDefault="00473B63" w:rsidP="00003DA1">
            <w:pPr>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742" w:type="pct"/>
            <w:vAlign w:val="bottom"/>
          </w:tcPr>
          <w:p w:rsidR="00473B63" w:rsidRPr="00E916D8" w:rsidRDefault="00E916D8" w:rsidP="00003DA1">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42" w:type="pct"/>
            <w:tcBorders>
              <w:right w:val="double" w:sz="4" w:space="0" w:color="auto"/>
            </w:tcBorders>
            <w:vAlign w:val="bottom"/>
          </w:tcPr>
          <w:p w:rsidR="00473B63" w:rsidRPr="001A5780" w:rsidRDefault="00473B63" w:rsidP="00473B63">
            <w:pPr>
              <w:jc w:val="center"/>
              <w:rPr>
                <w:rFonts w:ascii="Arial Narrow" w:hAnsi="Arial Narrow" w:cs="Calibri"/>
                <w:color w:val="000000"/>
                <w:sz w:val="20"/>
                <w:szCs w:val="20"/>
              </w:rPr>
            </w:pPr>
            <w:r w:rsidRPr="001A5780">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50" w:type="pct"/>
            <w:tcBorders>
              <w:left w:val="double" w:sz="4" w:space="0" w:color="auto"/>
            </w:tcBorders>
            <w:vAlign w:val="bottom"/>
          </w:tcPr>
          <w:p w:rsidR="00473B63" w:rsidRPr="001A5780" w:rsidRDefault="00473B63" w:rsidP="00003DA1">
            <w:pPr>
              <w:jc w:val="center"/>
              <w:rPr>
                <w:rFonts w:ascii="Arial Narrow" w:hAnsi="Arial Narrow" w:cs="Calibri"/>
                <w:color w:val="000000"/>
                <w:sz w:val="20"/>
                <w:szCs w:val="20"/>
              </w:rPr>
            </w:pPr>
            <w:r w:rsidRPr="001A5780">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50" w:type="pct"/>
            <w:vAlign w:val="center"/>
          </w:tcPr>
          <w:p w:rsidR="00473B63" w:rsidRPr="00E916D8" w:rsidRDefault="00E916D8" w:rsidP="00473B63">
            <w:pPr>
              <w:keepNext/>
              <w:keepLines/>
              <w:jc w:val="center"/>
              <w:rPr>
                <w:rFonts w:ascii="Arial Narrow" w:hAnsi="Arial Narrow"/>
                <w:sz w:val="20"/>
                <w:szCs w:val="22"/>
                <w:highlight w:val="black"/>
                <w:lang w:eastAsia="en-US"/>
              </w:rPr>
            </w:pPr>
            <w:r>
              <w:rPr>
                <w:rFonts w:ascii="Arial Narrow" w:hAnsi="Arial Narrow"/>
                <w:noProof/>
                <w:color w:val="000000"/>
                <w:sz w:val="20"/>
                <w:szCs w:val="22"/>
                <w:highlight w:val="black"/>
                <w:lang w:eastAsia="en-US"/>
              </w:rPr>
              <w:t>'''''''''''</w:t>
            </w:r>
          </w:p>
        </w:tc>
        <w:tc>
          <w:tcPr>
            <w:tcW w:w="742" w:type="pct"/>
            <w:tcBorders>
              <w:right w:val="double" w:sz="4" w:space="0" w:color="auto"/>
            </w:tcBorders>
            <w:vAlign w:val="bottom"/>
          </w:tcPr>
          <w:p w:rsidR="00473B63" w:rsidRPr="00B03A99" w:rsidRDefault="00473B63" w:rsidP="00473B63">
            <w:pPr>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822" w:type="pct"/>
            <w:tcBorders>
              <w:left w:val="double" w:sz="4" w:space="0" w:color="auto"/>
            </w:tcBorders>
            <w:vAlign w:val="bottom"/>
          </w:tcPr>
          <w:p w:rsidR="00473B63" w:rsidRPr="00B03A99" w:rsidRDefault="00473B63" w:rsidP="00003DA1">
            <w:pPr>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r>
      <w:tr w:rsidR="00473B63" w:rsidRPr="00B03A99" w:rsidTr="00473B63">
        <w:trPr>
          <w:trHeight w:val="77"/>
        </w:trPr>
        <w:tc>
          <w:tcPr>
            <w:tcW w:w="5000" w:type="pct"/>
            <w:gridSpan w:val="7"/>
            <w:tcBorders>
              <w:left w:val="double" w:sz="4" w:space="0" w:color="auto"/>
            </w:tcBorders>
            <w:shd w:val="clear" w:color="auto" w:fill="F2F2F2" w:themeFill="background1" w:themeFillShade="F2"/>
            <w:vAlign w:val="bottom"/>
          </w:tcPr>
          <w:p w:rsidR="00473B63" w:rsidRPr="001A5780" w:rsidRDefault="00473B63" w:rsidP="0026130A">
            <w:pPr>
              <w:rPr>
                <w:rFonts w:ascii="Arial Narrow" w:hAnsi="Arial Narrow" w:cs="Calibri"/>
                <w:color w:val="000000"/>
                <w:sz w:val="20"/>
                <w:szCs w:val="20"/>
              </w:rPr>
            </w:pPr>
            <w:r w:rsidRPr="001A5780">
              <w:rPr>
                <w:rFonts w:ascii="Arial Narrow" w:hAnsi="Arial Narrow" w:cstheme="minorHAnsi"/>
                <w:b/>
                <w:color w:val="000000"/>
                <w:sz w:val="20"/>
                <w:szCs w:val="20"/>
              </w:rPr>
              <w:t xml:space="preserve">ICER for patient who commences at age 0 and continues until </w:t>
            </w:r>
            <w:r w:rsidR="0026130A" w:rsidRPr="001A5780">
              <w:rPr>
                <w:rFonts w:ascii="Arial Narrow" w:hAnsi="Arial Narrow" w:cstheme="minorHAnsi"/>
                <w:b/>
                <w:color w:val="000000"/>
                <w:sz w:val="20"/>
                <w:szCs w:val="20"/>
              </w:rPr>
              <w:t>40</w:t>
            </w:r>
            <w:r w:rsidR="0026130A" w:rsidRPr="001A5780">
              <w:rPr>
                <w:rFonts w:ascii="Arial Narrow" w:hAnsi="Arial Narrow" w:cstheme="minorHAnsi"/>
                <w:b/>
                <w:color w:val="000000"/>
                <w:sz w:val="20"/>
                <w:szCs w:val="20"/>
                <w:vertAlign w:val="superscript"/>
              </w:rPr>
              <w:t>th</w:t>
            </w:r>
            <w:r w:rsidR="0026130A" w:rsidRPr="001A5780">
              <w:rPr>
                <w:rFonts w:ascii="Arial Narrow" w:hAnsi="Arial Narrow" w:cstheme="minorHAnsi"/>
                <w:b/>
                <w:color w:val="000000"/>
                <w:sz w:val="20"/>
                <w:szCs w:val="20"/>
              </w:rPr>
              <w:t xml:space="preserve"> birthday </w:t>
            </w:r>
            <w:r w:rsidRPr="001A5780">
              <w:rPr>
                <w:rFonts w:ascii="Arial Narrow" w:hAnsi="Arial Narrow" w:cstheme="minorHAnsi"/>
                <w:b/>
                <w:color w:val="000000"/>
                <w:sz w:val="20"/>
                <w:szCs w:val="20"/>
              </w:rPr>
              <w:t>(4</w:t>
            </w:r>
            <w:r w:rsidR="0026130A" w:rsidRPr="001A5780">
              <w:rPr>
                <w:rFonts w:ascii="Arial Narrow" w:hAnsi="Arial Narrow" w:cstheme="minorHAnsi"/>
                <w:b/>
                <w:color w:val="000000"/>
                <w:sz w:val="20"/>
                <w:szCs w:val="20"/>
              </w:rPr>
              <w:t>0</w:t>
            </w:r>
            <w:r w:rsidRPr="001A5780">
              <w:rPr>
                <w:rFonts w:ascii="Arial Narrow" w:hAnsi="Arial Narrow" w:cstheme="minorHAnsi"/>
                <w:b/>
                <w:color w:val="000000"/>
                <w:sz w:val="20"/>
                <w:szCs w:val="20"/>
              </w:rPr>
              <w:t xml:space="preserve"> year time horizon)</w:t>
            </w:r>
          </w:p>
        </w:tc>
      </w:tr>
      <w:tr w:rsidR="00473B63" w:rsidRPr="00B03A99" w:rsidTr="00473B63">
        <w:tc>
          <w:tcPr>
            <w:tcW w:w="653" w:type="pct"/>
            <w:tcBorders>
              <w:left w:val="double" w:sz="4" w:space="0" w:color="auto"/>
            </w:tcBorders>
            <w:vAlign w:val="bottom"/>
          </w:tcPr>
          <w:p w:rsidR="00473B63" w:rsidRPr="00B03A99" w:rsidRDefault="008067C8" w:rsidP="00003DA1">
            <w:pPr>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742" w:type="pct"/>
            <w:vAlign w:val="bottom"/>
          </w:tcPr>
          <w:p w:rsidR="00473B63" w:rsidRPr="00E916D8" w:rsidRDefault="00E916D8" w:rsidP="00003DA1">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42" w:type="pct"/>
            <w:tcBorders>
              <w:right w:val="double" w:sz="4" w:space="0" w:color="auto"/>
            </w:tcBorders>
            <w:vAlign w:val="bottom"/>
          </w:tcPr>
          <w:p w:rsidR="00473B63" w:rsidRPr="001A5780" w:rsidRDefault="00473B63" w:rsidP="008067C8">
            <w:pPr>
              <w:jc w:val="center"/>
              <w:rPr>
                <w:rFonts w:ascii="Arial Narrow" w:hAnsi="Arial Narrow" w:cs="Calibri"/>
                <w:color w:val="000000"/>
                <w:sz w:val="20"/>
                <w:szCs w:val="20"/>
              </w:rPr>
            </w:pPr>
            <w:r w:rsidRPr="001A5780">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50" w:type="pct"/>
            <w:tcBorders>
              <w:left w:val="double" w:sz="4" w:space="0" w:color="auto"/>
            </w:tcBorders>
            <w:vAlign w:val="bottom"/>
          </w:tcPr>
          <w:p w:rsidR="00473B63" w:rsidRPr="001A5780" w:rsidRDefault="00473B63" w:rsidP="008067C8">
            <w:pPr>
              <w:jc w:val="center"/>
              <w:rPr>
                <w:rFonts w:ascii="Arial Narrow" w:hAnsi="Arial Narrow" w:cs="Calibri"/>
                <w:color w:val="000000"/>
                <w:sz w:val="20"/>
                <w:szCs w:val="20"/>
              </w:rPr>
            </w:pPr>
            <w:r w:rsidRPr="001A5780">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50" w:type="pct"/>
            <w:vAlign w:val="center"/>
          </w:tcPr>
          <w:p w:rsidR="00473B63" w:rsidRPr="00E916D8" w:rsidRDefault="00E916D8" w:rsidP="008067C8">
            <w:pPr>
              <w:keepNext/>
              <w:keepLines/>
              <w:jc w:val="center"/>
              <w:rPr>
                <w:rFonts w:ascii="Arial Narrow" w:hAnsi="Arial Narrow"/>
                <w:sz w:val="20"/>
                <w:szCs w:val="22"/>
                <w:highlight w:val="black"/>
                <w:lang w:eastAsia="en-US"/>
              </w:rPr>
            </w:pPr>
            <w:r>
              <w:rPr>
                <w:rFonts w:ascii="Arial Narrow" w:hAnsi="Arial Narrow"/>
                <w:noProof/>
                <w:color w:val="000000"/>
                <w:sz w:val="20"/>
                <w:szCs w:val="22"/>
                <w:highlight w:val="black"/>
                <w:lang w:eastAsia="en-US"/>
              </w:rPr>
              <w:t>''''''''''</w:t>
            </w:r>
          </w:p>
        </w:tc>
        <w:tc>
          <w:tcPr>
            <w:tcW w:w="742" w:type="pct"/>
            <w:tcBorders>
              <w:right w:val="double" w:sz="4" w:space="0" w:color="auto"/>
            </w:tcBorders>
            <w:vAlign w:val="bottom"/>
          </w:tcPr>
          <w:p w:rsidR="008067C8" w:rsidRPr="00B03A99" w:rsidRDefault="00473B63" w:rsidP="008067C8">
            <w:pPr>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822" w:type="pct"/>
            <w:tcBorders>
              <w:left w:val="double" w:sz="4" w:space="0" w:color="auto"/>
            </w:tcBorders>
            <w:vAlign w:val="bottom"/>
          </w:tcPr>
          <w:p w:rsidR="00473B63" w:rsidRPr="00B03A99" w:rsidRDefault="00473B63" w:rsidP="008067C8">
            <w:pPr>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r>
    </w:tbl>
    <w:p w:rsidR="00593869" w:rsidRPr="00E3376E" w:rsidRDefault="00593869" w:rsidP="00BC021F">
      <w:pPr>
        <w:pStyle w:val="PBACHeading1"/>
        <w:keepNext/>
        <w:keepLines/>
        <w:numPr>
          <w:ilvl w:val="0"/>
          <w:numId w:val="0"/>
        </w:numPr>
        <w:ind w:left="720" w:hanging="720"/>
        <w:outlineLvl w:val="9"/>
        <w:rPr>
          <w:rFonts w:ascii="Arial Narrow" w:eastAsiaTheme="minorHAnsi" w:hAnsi="Arial Narrow" w:cstheme="minorBidi"/>
          <w:b w:val="0"/>
          <w:snapToGrid/>
          <w:sz w:val="18"/>
          <w:szCs w:val="18"/>
        </w:rPr>
      </w:pPr>
      <w:r w:rsidRPr="00E3376E">
        <w:rPr>
          <w:rFonts w:ascii="Arial Narrow" w:eastAsiaTheme="minorHAnsi" w:hAnsi="Arial Narrow" w:cstheme="minorBidi"/>
          <w:b w:val="0"/>
          <w:snapToGrid/>
          <w:sz w:val="18"/>
          <w:szCs w:val="18"/>
        </w:rPr>
        <w:t xml:space="preserve">Calculated from </w:t>
      </w:r>
      <w:r w:rsidR="00CA23F0" w:rsidRPr="00E3376E">
        <w:rPr>
          <w:rFonts w:ascii="Arial Narrow" w:eastAsiaTheme="minorHAnsi" w:hAnsi="Arial Narrow" w:cstheme="minorBidi"/>
          <w:b w:val="0"/>
          <w:snapToGrid/>
          <w:sz w:val="18"/>
          <w:szCs w:val="18"/>
        </w:rPr>
        <w:t>‘Attachment</w:t>
      </w:r>
      <w:r w:rsidRPr="00E3376E">
        <w:rPr>
          <w:rFonts w:ascii="Arial Narrow" w:eastAsiaTheme="minorHAnsi" w:hAnsi="Arial Narrow" w:cstheme="minorBidi"/>
          <w:b w:val="0"/>
          <w:snapToGrid/>
          <w:sz w:val="18"/>
          <w:szCs w:val="18"/>
        </w:rPr>
        <w:t xml:space="preserve"> 4- </w:t>
      </w:r>
      <w:proofErr w:type="spellStart"/>
      <w:r w:rsidRPr="00E3376E">
        <w:rPr>
          <w:rFonts w:ascii="Arial Narrow" w:eastAsiaTheme="minorHAnsi" w:hAnsi="Arial Narrow" w:cstheme="minorBidi"/>
          <w:b w:val="0"/>
          <w:snapToGrid/>
          <w:sz w:val="18"/>
          <w:szCs w:val="18"/>
        </w:rPr>
        <w:t>Kuvan</w:t>
      </w:r>
      <w:proofErr w:type="spellEnd"/>
      <w:r w:rsidRPr="00E3376E">
        <w:rPr>
          <w:rFonts w:ascii="Arial Narrow" w:eastAsiaTheme="minorHAnsi" w:hAnsi="Arial Narrow" w:cstheme="minorBidi"/>
          <w:b w:val="0"/>
          <w:snapToGrid/>
          <w:sz w:val="18"/>
          <w:szCs w:val="18"/>
        </w:rPr>
        <w:t xml:space="preserve"> (sapropterin) – Economic Evaluation.xlsx’ by:</w:t>
      </w:r>
    </w:p>
    <w:p w:rsidR="008067C8" w:rsidRPr="00E3376E" w:rsidRDefault="008067C8" w:rsidP="00194806">
      <w:pPr>
        <w:pStyle w:val="PBACHeading1"/>
        <w:keepNext/>
        <w:keepLines/>
        <w:numPr>
          <w:ilvl w:val="0"/>
          <w:numId w:val="8"/>
        </w:numPr>
        <w:ind w:left="284" w:hanging="284"/>
        <w:outlineLvl w:val="9"/>
        <w:rPr>
          <w:rFonts w:ascii="Arial Narrow" w:eastAsiaTheme="minorHAnsi" w:hAnsi="Arial Narrow" w:cstheme="minorBidi"/>
          <w:b w:val="0"/>
          <w:snapToGrid/>
          <w:sz w:val="18"/>
          <w:szCs w:val="18"/>
        </w:rPr>
      </w:pPr>
      <w:r w:rsidRPr="00E3376E">
        <w:rPr>
          <w:rFonts w:ascii="Arial Narrow" w:eastAsiaTheme="minorHAnsi" w:hAnsi="Arial Narrow" w:cstheme="minorBidi"/>
          <w:b w:val="0"/>
          <w:snapToGrid/>
          <w:sz w:val="18"/>
          <w:szCs w:val="18"/>
        </w:rPr>
        <w:t>A</w:t>
      </w:r>
      <w:r w:rsidR="00593869" w:rsidRPr="00E3376E">
        <w:rPr>
          <w:rFonts w:ascii="Arial Narrow" w:eastAsiaTheme="minorHAnsi" w:hAnsi="Arial Narrow" w:cstheme="minorBidi"/>
          <w:b w:val="0"/>
          <w:snapToGrid/>
          <w:sz w:val="18"/>
          <w:szCs w:val="18"/>
        </w:rPr>
        <w:t xml:space="preserve"> discount rate of 5% </w:t>
      </w:r>
      <w:r w:rsidRPr="00E3376E">
        <w:rPr>
          <w:rFonts w:ascii="Arial Narrow" w:eastAsiaTheme="minorHAnsi" w:hAnsi="Arial Narrow" w:cstheme="minorBidi"/>
          <w:b w:val="0"/>
          <w:snapToGrid/>
          <w:sz w:val="18"/>
          <w:szCs w:val="18"/>
        </w:rPr>
        <w:t xml:space="preserve">was applied </w:t>
      </w:r>
      <w:r w:rsidR="009A4727" w:rsidRPr="00E3376E">
        <w:rPr>
          <w:rFonts w:ascii="Arial Narrow" w:eastAsiaTheme="minorHAnsi" w:hAnsi="Arial Narrow" w:cstheme="minorBidi"/>
          <w:b w:val="0"/>
          <w:snapToGrid/>
          <w:sz w:val="18"/>
          <w:szCs w:val="18"/>
        </w:rPr>
        <w:t xml:space="preserve">to </w:t>
      </w:r>
      <w:r w:rsidRPr="00E3376E">
        <w:rPr>
          <w:rFonts w:ascii="Arial Narrow" w:eastAsiaTheme="minorHAnsi" w:hAnsi="Arial Narrow" w:cstheme="minorBidi"/>
          <w:b w:val="0"/>
          <w:snapToGrid/>
          <w:sz w:val="18"/>
          <w:szCs w:val="18"/>
        </w:rPr>
        <w:t xml:space="preserve">incremental costs and also to incremental outcomes at each year of age (using </w:t>
      </w:r>
      <w:proofErr w:type="spellStart"/>
      <w:r w:rsidRPr="00E3376E">
        <w:rPr>
          <w:rFonts w:ascii="Arial Narrow" w:eastAsiaTheme="minorHAnsi" w:hAnsi="Arial Narrow" w:cstheme="minorBidi"/>
          <w:b w:val="0"/>
          <w:snapToGrid/>
          <w:sz w:val="18"/>
          <w:szCs w:val="18"/>
        </w:rPr>
        <w:t>sumproduct</w:t>
      </w:r>
      <w:proofErr w:type="spellEnd"/>
      <w:r w:rsidRPr="00E3376E">
        <w:rPr>
          <w:rFonts w:ascii="Arial Narrow" w:eastAsiaTheme="minorHAnsi" w:hAnsi="Arial Narrow" w:cstheme="minorBidi"/>
          <w:b w:val="0"/>
          <w:snapToGrid/>
          <w:sz w:val="18"/>
          <w:szCs w:val="18"/>
        </w:rPr>
        <w:t xml:space="preserve"> formula)</w:t>
      </w:r>
      <w:r w:rsidR="009A4727" w:rsidRPr="00E3376E">
        <w:rPr>
          <w:rFonts w:ascii="Arial Narrow" w:eastAsiaTheme="minorHAnsi" w:hAnsi="Arial Narrow" w:cstheme="minorBidi"/>
          <w:b w:val="0"/>
          <w:snapToGrid/>
          <w:sz w:val="18"/>
          <w:szCs w:val="18"/>
        </w:rPr>
        <w:t>;</w:t>
      </w:r>
      <w:r w:rsidRPr="00E3376E">
        <w:rPr>
          <w:rFonts w:ascii="Arial Narrow" w:eastAsiaTheme="minorHAnsi" w:hAnsi="Arial Narrow" w:cstheme="minorBidi"/>
          <w:b w:val="0"/>
          <w:snapToGrid/>
          <w:sz w:val="18"/>
          <w:szCs w:val="18"/>
        </w:rPr>
        <w:t xml:space="preserve"> </w:t>
      </w:r>
    </w:p>
    <w:p w:rsidR="008067C8" w:rsidRPr="00E3376E" w:rsidRDefault="008067C8" w:rsidP="00194806">
      <w:pPr>
        <w:pStyle w:val="PBACHeading1"/>
        <w:keepNext/>
        <w:keepLines/>
        <w:numPr>
          <w:ilvl w:val="0"/>
          <w:numId w:val="8"/>
        </w:numPr>
        <w:ind w:left="284" w:hanging="284"/>
        <w:outlineLvl w:val="9"/>
        <w:rPr>
          <w:rFonts w:ascii="Arial Narrow" w:eastAsiaTheme="minorHAnsi" w:hAnsi="Arial Narrow" w:cstheme="minorBidi"/>
          <w:b w:val="0"/>
          <w:snapToGrid/>
          <w:sz w:val="18"/>
          <w:szCs w:val="18"/>
        </w:rPr>
      </w:pPr>
      <w:r w:rsidRPr="00E3376E">
        <w:rPr>
          <w:rFonts w:ascii="Arial Narrow" w:eastAsiaTheme="minorHAnsi" w:hAnsi="Arial Narrow" w:cstheme="minorBidi"/>
          <w:b w:val="0"/>
          <w:snapToGrid/>
          <w:sz w:val="18"/>
          <w:szCs w:val="18"/>
        </w:rPr>
        <w:t>A half-cycle correction was not applied, as all patients were assumed to start at birth</w:t>
      </w:r>
      <w:r w:rsidR="009A4727" w:rsidRPr="00E3376E">
        <w:rPr>
          <w:rFonts w:ascii="Arial Narrow" w:eastAsiaTheme="minorHAnsi" w:hAnsi="Arial Narrow" w:cstheme="minorBidi"/>
          <w:b w:val="0"/>
          <w:snapToGrid/>
          <w:sz w:val="18"/>
          <w:szCs w:val="18"/>
        </w:rPr>
        <w:t>; and</w:t>
      </w:r>
    </w:p>
    <w:p w:rsidR="00593869" w:rsidRPr="00E3376E" w:rsidRDefault="009A4727" w:rsidP="00194806">
      <w:pPr>
        <w:pStyle w:val="PBACHeading1"/>
        <w:keepNext/>
        <w:keepLines/>
        <w:numPr>
          <w:ilvl w:val="0"/>
          <w:numId w:val="8"/>
        </w:numPr>
        <w:ind w:left="284" w:hanging="284"/>
        <w:outlineLvl w:val="9"/>
        <w:rPr>
          <w:rFonts w:ascii="Arial Narrow" w:eastAsiaTheme="minorHAnsi" w:hAnsi="Arial Narrow" w:cstheme="minorBidi"/>
          <w:b w:val="0"/>
          <w:snapToGrid/>
          <w:sz w:val="18"/>
          <w:szCs w:val="18"/>
        </w:rPr>
      </w:pPr>
      <w:r w:rsidRPr="00E3376E">
        <w:rPr>
          <w:rFonts w:ascii="Arial Narrow" w:eastAsiaTheme="minorHAnsi" w:hAnsi="Arial Narrow" w:cstheme="minorBidi"/>
          <w:b w:val="0"/>
          <w:snapToGrid/>
          <w:sz w:val="18"/>
          <w:szCs w:val="18"/>
        </w:rPr>
        <w:t>Co</w:t>
      </w:r>
      <w:r w:rsidR="008067C8" w:rsidRPr="00E3376E">
        <w:rPr>
          <w:rFonts w:ascii="Arial Narrow" w:eastAsiaTheme="minorHAnsi" w:hAnsi="Arial Narrow" w:cstheme="minorBidi"/>
          <w:b w:val="0"/>
          <w:snapToGrid/>
          <w:sz w:val="18"/>
          <w:szCs w:val="18"/>
        </w:rPr>
        <w:t xml:space="preserve">mpliance </w:t>
      </w:r>
      <w:r w:rsidRPr="00E3376E">
        <w:rPr>
          <w:rFonts w:ascii="Arial Narrow" w:eastAsiaTheme="minorHAnsi" w:hAnsi="Arial Narrow" w:cstheme="minorBidi"/>
          <w:b w:val="0"/>
          <w:snapToGrid/>
          <w:sz w:val="18"/>
          <w:szCs w:val="18"/>
        </w:rPr>
        <w:t xml:space="preserve">was assumed to </w:t>
      </w:r>
      <w:r w:rsidR="008067C8" w:rsidRPr="00E3376E">
        <w:rPr>
          <w:rFonts w:ascii="Arial Narrow" w:eastAsiaTheme="minorHAnsi" w:hAnsi="Arial Narrow" w:cstheme="minorBidi"/>
          <w:b w:val="0"/>
          <w:snapToGrid/>
          <w:sz w:val="18"/>
          <w:szCs w:val="18"/>
        </w:rPr>
        <w:t>remain constant</w:t>
      </w:r>
      <w:r w:rsidR="002341B9" w:rsidRPr="00E3376E">
        <w:rPr>
          <w:rFonts w:ascii="Arial Narrow" w:eastAsiaTheme="minorHAnsi" w:hAnsi="Arial Narrow" w:cstheme="minorBidi"/>
          <w:b w:val="0"/>
          <w:snapToGrid/>
          <w:sz w:val="18"/>
          <w:szCs w:val="18"/>
        </w:rPr>
        <w:t xml:space="preserve"> (</w:t>
      </w:r>
      <w:r w:rsidR="00E916D8">
        <w:rPr>
          <w:rFonts w:ascii="Arial Narrow" w:eastAsiaTheme="minorHAnsi" w:hAnsi="Arial Narrow" w:cstheme="minorBidi"/>
          <w:b w:val="0"/>
          <w:noProof/>
          <w:snapToGrid/>
          <w:color w:val="000000"/>
          <w:sz w:val="18"/>
          <w:szCs w:val="18"/>
          <w:highlight w:val="black"/>
        </w:rPr>
        <w:t>''''''''''</w:t>
      </w:r>
      <w:r w:rsidR="002341B9" w:rsidRPr="00E3376E">
        <w:rPr>
          <w:rFonts w:ascii="Arial Narrow" w:eastAsiaTheme="minorHAnsi" w:hAnsi="Arial Narrow" w:cstheme="minorBidi"/>
          <w:b w:val="0"/>
          <w:snapToGrid/>
          <w:sz w:val="18"/>
          <w:szCs w:val="18"/>
        </w:rPr>
        <w:t xml:space="preserve">% compliance at an average dose of </w:t>
      </w:r>
      <w:r w:rsidR="00E916D8">
        <w:rPr>
          <w:rFonts w:ascii="Arial Narrow" w:eastAsiaTheme="minorHAnsi" w:hAnsi="Arial Narrow" w:cstheme="minorBidi"/>
          <w:b w:val="0"/>
          <w:noProof/>
          <w:snapToGrid/>
          <w:color w:val="000000"/>
          <w:sz w:val="18"/>
          <w:szCs w:val="18"/>
          <w:highlight w:val="black"/>
        </w:rPr>
        <w:t>'''''''''''</w:t>
      </w:r>
      <w:r w:rsidR="002341B9" w:rsidRPr="00E3376E">
        <w:rPr>
          <w:rFonts w:ascii="Arial Narrow" w:eastAsiaTheme="minorHAnsi" w:hAnsi="Arial Narrow" w:cstheme="minorBidi"/>
          <w:b w:val="0"/>
          <w:snapToGrid/>
          <w:sz w:val="18"/>
          <w:szCs w:val="18"/>
        </w:rPr>
        <w:t xml:space="preserve"> mg/kg/day</w:t>
      </w:r>
      <w:r w:rsidR="00CA23F0" w:rsidRPr="00E3376E">
        <w:rPr>
          <w:rFonts w:ascii="Arial Narrow" w:eastAsiaTheme="minorHAnsi" w:hAnsi="Arial Narrow" w:cstheme="minorBidi"/>
          <w:b w:val="0"/>
          <w:snapToGrid/>
          <w:sz w:val="18"/>
          <w:szCs w:val="18"/>
        </w:rPr>
        <w:t>) over</w:t>
      </w:r>
      <w:r w:rsidR="008067C8" w:rsidRPr="00E3376E">
        <w:rPr>
          <w:rFonts w:ascii="Arial Narrow" w:eastAsiaTheme="minorHAnsi" w:hAnsi="Arial Narrow" w:cstheme="minorBidi"/>
          <w:b w:val="0"/>
          <w:snapToGrid/>
          <w:sz w:val="18"/>
          <w:szCs w:val="18"/>
        </w:rPr>
        <w:t xml:space="preserve"> the time horizon</w:t>
      </w:r>
      <w:r w:rsidR="00D934EF" w:rsidRPr="00E3376E">
        <w:rPr>
          <w:rFonts w:ascii="Arial Narrow" w:eastAsiaTheme="minorHAnsi" w:hAnsi="Arial Narrow" w:cstheme="minorBidi"/>
          <w:b w:val="0"/>
          <w:snapToGrid/>
          <w:sz w:val="18"/>
          <w:szCs w:val="18"/>
        </w:rPr>
        <w:t>.</w:t>
      </w:r>
      <w:r w:rsidR="008067C8" w:rsidRPr="00E3376E">
        <w:rPr>
          <w:rFonts w:ascii="Arial Narrow" w:eastAsiaTheme="minorHAnsi" w:hAnsi="Arial Narrow" w:cstheme="minorBidi"/>
          <w:b w:val="0"/>
          <w:snapToGrid/>
          <w:sz w:val="18"/>
          <w:szCs w:val="18"/>
        </w:rPr>
        <w:t xml:space="preserve"> </w:t>
      </w:r>
    </w:p>
    <w:p w:rsidR="001A377C" w:rsidRPr="008F1E2B" w:rsidRDefault="001027B1" w:rsidP="008F1E2B">
      <w:pPr>
        <w:pStyle w:val="ListParagraph"/>
        <w:keepNext/>
        <w:keepLines/>
        <w:numPr>
          <w:ilvl w:val="0"/>
          <w:numId w:val="8"/>
        </w:numPr>
        <w:spacing w:after="240"/>
        <w:ind w:left="284" w:hanging="284"/>
        <w:rPr>
          <w:rFonts w:ascii="Arial Narrow" w:hAnsi="Arial Narrow"/>
          <w:sz w:val="18"/>
          <w:szCs w:val="18"/>
        </w:rPr>
      </w:pPr>
      <w:r w:rsidRPr="00E3376E">
        <w:rPr>
          <w:rFonts w:ascii="Arial Narrow" w:hAnsi="Arial Narrow"/>
          <w:sz w:val="18"/>
          <w:szCs w:val="18"/>
        </w:rPr>
        <w:t>Based on the price proposed in the resubmission. The rebate for patients aged ≥ 18 years (proposed in the pre-PBAC response) would lower the ICER for the scenario in which a patient continues until their 40th birthday if utilisation is at or above the levels estimated in the pre-PBAC response.</w:t>
      </w:r>
    </w:p>
    <w:p w:rsidR="001027B1" w:rsidRPr="00E3376E" w:rsidRDefault="00F514B4" w:rsidP="00F514B4">
      <w:pPr>
        <w:pStyle w:val="ListParagraph"/>
        <w:numPr>
          <w:ilvl w:val="0"/>
          <w:numId w:val="0"/>
        </w:numPr>
        <w:spacing w:before="120"/>
        <w:ind w:left="720"/>
        <w:contextualSpacing w:val="0"/>
        <w:rPr>
          <w:rFonts w:cstheme="minorHAnsi"/>
          <w:i/>
          <w:szCs w:val="24"/>
        </w:rPr>
      </w:pPr>
      <w:r w:rsidRPr="00E3376E">
        <w:rPr>
          <w:rFonts w:cstheme="minorHAnsi"/>
          <w:i/>
          <w:szCs w:val="24"/>
        </w:rPr>
        <w:t>The redacted table shows ICERs in the range of $105,000/QALY - more than $200,000/QALY.</w:t>
      </w:r>
    </w:p>
    <w:p w:rsidR="000064D3" w:rsidRPr="00B03A99" w:rsidRDefault="000064D3" w:rsidP="00C062EC">
      <w:pPr>
        <w:pStyle w:val="ListParagraph"/>
        <w:numPr>
          <w:ilvl w:val="1"/>
          <w:numId w:val="3"/>
        </w:numPr>
        <w:contextualSpacing w:val="0"/>
      </w:pPr>
      <w:r w:rsidRPr="00B03A99">
        <w:t>In its previous consideration, “the PBAC considered that the resulting ICER for patients aged 18 years and over… was unacceptably high. The PBAC noted the ICERs for patients under 18 years of age were generally lower…  While the PBAC considered that the ICERs were high in children and adolescents, the Committee considered that the clinically significant outcomes in younger patients may not have been fully captured in the economic evaluation</w:t>
      </w:r>
      <w:r w:rsidR="00BB467B" w:rsidRPr="00B03A99">
        <w:t>”</w:t>
      </w:r>
      <w:r w:rsidRPr="00B03A99">
        <w:t xml:space="preserve"> (Paragraph 7.13, March 2018</w:t>
      </w:r>
      <w:r w:rsidR="004E75C0" w:rsidRPr="00B03A99">
        <w:t xml:space="preserve"> </w:t>
      </w:r>
      <w:r w:rsidRPr="00B03A99">
        <w:t xml:space="preserve">PBAC </w:t>
      </w:r>
      <w:r w:rsidR="002A7B6E">
        <w:t>PSD</w:t>
      </w:r>
      <w:r w:rsidRPr="00B03A99">
        <w:t>).</w:t>
      </w:r>
    </w:p>
    <w:p w:rsidR="003C2FB5" w:rsidRPr="00B03A99" w:rsidRDefault="00A55FEE" w:rsidP="00A9642F">
      <w:pPr>
        <w:pStyle w:val="Heading2"/>
        <w:rPr>
          <w:rFonts w:eastAsiaTheme="majorEastAsia"/>
          <w:lang w:eastAsia="en-US"/>
        </w:rPr>
      </w:pPr>
      <w:r w:rsidRPr="00B03A99">
        <w:rPr>
          <w:rFonts w:eastAsiaTheme="majorEastAsia"/>
          <w:lang w:eastAsia="en-US"/>
        </w:rPr>
        <w:t>Drug cost/patient</w:t>
      </w:r>
      <w:r w:rsidR="0001084A" w:rsidRPr="00B03A99">
        <w:rPr>
          <w:rFonts w:eastAsiaTheme="majorEastAsia"/>
          <w:lang w:eastAsia="en-US"/>
        </w:rPr>
        <w:t xml:space="preserve"> </w:t>
      </w:r>
      <w:r w:rsidRPr="00B03A99">
        <w:rPr>
          <w:rFonts w:eastAsiaTheme="majorEastAsia"/>
          <w:lang w:eastAsia="en-US"/>
        </w:rPr>
        <w:t>/year</w:t>
      </w:r>
      <w:r w:rsidR="00CD766F" w:rsidRPr="00B03A99">
        <w:rPr>
          <w:rFonts w:eastAsiaTheme="majorEastAsia"/>
          <w:lang w:eastAsia="en-US"/>
        </w:rPr>
        <w:t xml:space="preserve"> </w:t>
      </w:r>
    </w:p>
    <w:p w:rsidR="005359AF" w:rsidRPr="00B03A99" w:rsidRDefault="005359AF" w:rsidP="007466A9">
      <w:pPr>
        <w:pStyle w:val="ListParagraph"/>
        <w:numPr>
          <w:ilvl w:val="1"/>
          <w:numId w:val="3"/>
        </w:numPr>
        <w:contextualSpacing w:val="0"/>
      </w:pPr>
      <w:r w:rsidRPr="00B03A99">
        <w:t>The cost of sapropterin per patient per year ranged from $</w:t>
      </w:r>
      <w:r w:rsidR="00E916D8">
        <w:rPr>
          <w:noProof/>
          <w:color w:val="000000"/>
          <w:highlight w:val="black"/>
        </w:rPr>
        <w:t>''''''''''</w:t>
      </w:r>
      <w:r w:rsidRPr="00B03A99">
        <w:t xml:space="preserve"> in the </w:t>
      </w:r>
      <w:r w:rsidR="006D2111">
        <w:t>newborn</w:t>
      </w:r>
      <w:r w:rsidRPr="00B03A99">
        <w:t xml:space="preserve"> cohort to $</w:t>
      </w:r>
      <w:r w:rsidR="00E916D8">
        <w:rPr>
          <w:noProof/>
          <w:color w:val="000000"/>
          <w:highlight w:val="black"/>
        </w:rPr>
        <w:t>'''''''''''''</w:t>
      </w:r>
      <w:r w:rsidRPr="00B03A99">
        <w:t xml:space="preserve"> in the ≥</w:t>
      </w:r>
      <w:r w:rsidR="004E75C0" w:rsidRPr="00B03A99">
        <w:t xml:space="preserve"> </w:t>
      </w:r>
      <w:r w:rsidRPr="00B03A99">
        <w:t>18 year-old cohort. These costs were determined by applying the proposed effective sapropterin DPMQ ($</w:t>
      </w:r>
      <w:r w:rsidR="00E916D8">
        <w:rPr>
          <w:noProof/>
          <w:color w:val="000000"/>
          <w:highlight w:val="black"/>
        </w:rPr>
        <w:t>''''''''''''''</w:t>
      </w:r>
      <w:r w:rsidRPr="00B03A99">
        <w:t xml:space="preserve">) to mean weight-by-age data and a mean daily dose </w:t>
      </w:r>
      <w:r w:rsidRPr="001A377C">
        <w:t xml:space="preserve">of </w:t>
      </w:r>
      <w:r w:rsidR="00E916D8">
        <w:rPr>
          <w:noProof/>
          <w:color w:val="000000"/>
          <w:highlight w:val="black"/>
        </w:rPr>
        <w:t>'''''''''</w:t>
      </w:r>
      <w:r w:rsidRPr="00B03A99">
        <w:t xml:space="preserve"> mg/kg/day (derived from study</w:t>
      </w:r>
      <w:r w:rsidR="00B5606B" w:rsidRPr="00B03A99">
        <w:t xml:space="preserve"> evidence</w:t>
      </w:r>
      <w:r w:rsidRPr="00B03A99">
        <w:t>)</w:t>
      </w:r>
      <w:r w:rsidR="00E61AF1" w:rsidRPr="00B03A99">
        <w:t xml:space="preserve">, and assuming </w:t>
      </w:r>
      <w:r w:rsidR="00E916D8">
        <w:rPr>
          <w:noProof/>
          <w:color w:val="000000"/>
          <w:highlight w:val="black"/>
        </w:rPr>
        <w:t>'''''</w:t>
      </w:r>
      <w:r w:rsidR="00E61AF1" w:rsidRPr="00B03A99">
        <w:t>% compliance (per the updated financial estimates provided in the pre-PBAC response)</w:t>
      </w:r>
      <w:r w:rsidRPr="00B03A99">
        <w:t>.</w:t>
      </w:r>
    </w:p>
    <w:p w:rsidR="00865AE7" w:rsidRPr="00E3376E" w:rsidRDefault="00865AE7" w:rsidP="007466A9">
      <w:pPr>
        <w:pStyle w:val="ListParagraph"/>
        <w:numPr>
          <w:ilvl w:val="1"/>
          <w:numId w:val="3"/>
        </w:numPr>
        <w:contextualSpacing w:val="0"/>
      </w:pPr>
      <w:r w:rsidRPr="00376811">
        <w:t xml:space="preserve">The pre-PBAC response </w:t>
      </w:r>
      <w:r w:rsidR="00E61AF1" w:rsidRPr="00376811">
        <w:t>proposed</w:t>
      </w:r>
      <w:r w:rsidRPr="00376811">
        <w:t xml:space="preserve"> a rebate for </w:t>
      </w:r>
      <w:r w:rsidR="00362311" w:rsidRPr="00376811">
        <w:t xml:space="preserve">continuing </w:t>
      </w:r>
      <w:r w:rsidRPr="00376811">
        <w:t xml:space="preserve">patients aged ≥ 18 years, </w:t>
      </w:r>
      <w:r w:rsidRPr="00E3376E">
        <w:t>s</w:t>
      </w:r>
      <w:r w:rsidR="00E61AF1" w:rsidRPr="00E3376E">
        <w:t>uch</w:t>
      </w:r>
      <w:r w:rsidRPr="00E3376E">
        <w:t xml:space="preserve"> that the </w:t>
      </w:r>
      <w:r w:rsidR="00487596" w:rsidRPr="00E3376E">
        <w:t xml:space="preserve">estimated </w:t>
      </w:r>
      <w:r w:rsidRPr="00E3376E">
        <w:t xml:space="preserve">price </w:t>
      </w:r>
      <w:r w:rsidR="00487596" w:rsidRPr="00E3376E">
        <w:t>for</w:t>
      </w:r>
      <w:r w:rsidRPr="00E3376E">
        <w:t xml:space="preserve"> a</w:t>
      </w:r>
      <w:r w:rsidR="00E61AF1" w:rsidRPr="00E3376E">
        <w:t xml:space="preserve"> patient aged ≥ 18 years</w:t>
      </w:r>
      <w:r w:rsidR="00487596" w:rsidRPr="00E3376E">
        <w:t xml:space="preserve"> </w:t>
      </w:r>
      <w:r w:rsidR="00E916D8">
        <w:rPr>
          <w:noProof/>
          <w:color w:val="000000"/>
          <w:highlight w:val="black"/>
        </w:rPr>
        <w:t>'''''''' ''''''' '''''''''' ''''' '''''''' '''''' ''' ''''''''''''' ''''''''' '''''' ''''''''''' ''''''''''' '''''''' ''''''''''''''' ''''''' ''''''''</w:t>
      </w:r>
      <w:r w:rsidR="00E61AF1" w:rsidRPr="00E3376E">
        <w:t>.</w:t>
      </w:r>
    </w:p>
    <w:p w:rsidR="005A3173" w:rsidRPr="00B03A99" w:rsidRDefault="005A3173" w:rsidP="00A9642F">
      <w:pPr>
        <w:pStyle w:val="Heading2"/>
        <w:rPr>
          <w:rFonts w:eastAsiaTheme="majorEastAsia"/>
          <w:lang w:eastAsia="en-US"/>
        </w:rPr>
      </w:pPr>
      <w:r w:rsidRPr="00B03A99">
        <w:rPr>
          <w:rFonts w:eastAsiaTheme="majorEastAsia"/>
          <w:lang w:eastAsia="en-US"/>
        </w:rPr>
        <w:lastRenderedPageBreak/>
        <w:t>Estimated PBS usage &amp; financial implications</w:t>
      </w:r>
    </w:p>
    <w:p w:rsidR="00E61148" w:rsidRPr="00B03A99" w:rsidRDefault="002373D9" w:rsidP="007466A9">
      <w:pPr>
        <w:pStyle w:val="ListParagraph"/>
        <w:numPr>
          <w:ilvl w:val="1"/>
          <w:numId w:val="3"/>
        </w:numPr>
        <w:contextualSpacing w:val="0"/>
      </w:pPr>
      <w:r w:rsidRPr="00B03A99">
        <w:t>The resubmission made several changes to financial estimates</w:t>
      </w:r>
      <w:r w:rsidR="00E61148" w:rsidRPr="00B03A99">
        <w:t xml:space="preserve">. </w:t>
      </w:r>
    </w:p>
    <w:p w:rsidR="00712F9B" w:rsidRPr="00B03A99" w:rsidRDefault="00712F9B" w:rsidP="007466A9">
      <w:pPr>
        <w:pStyle w:val="ListParagraph"/>
        <w:numPr>
          <w:ilvl w:val="1"/>
          <w:numId w:val="3"/>
        </w:numPr>
        <w:contextualSpacing w:val="0"/>
      </w:pPr>
      <w:r w:rsidRPr="00B03A99">
        <w:t>Firstly, sapropterin doses for the initial period of responsiveness testing (up to one month) were included</w:t>
      </w:r>
      <w:r w:rsidR="00B01EF8" w:rsidRPr="00B03A99">
        <w:t xml:space="preserve"> in the estimates</w:t>
      </w:r>
      <w:r w:rsidRPr="00B03A99">
        <w:t xml:space="preserve">, </w:t>
      </w:r>
      <w:r w:rsidRPr="00E3376E">
        <w:t>whereas in the previous submission these doses were proposed to be provided by the sponsor</w:t>
      </w:r>
      <w:r w:rsidRPr="0083168E">
        <w:t>.</w:t>
      </w:r>
      <w:r w:rsidRPr="00B03A99">
        <w:t xml:space="preserve"> </w:t>
      </w:r>
      <w:r w:rsidR="00C55E5D" w:rsidRPr="00B03A99">
        <w:t xml:space="preserve">This change was appropriate and addressed previous concerns that the process for sapropterin responsiveness testing was outside the PBS (Paragraph 2.6, PBAC </w:t>
      </w:r>
      <w:r w:rsidR="002A7B6E">
        <w:t>PSD</w:t>
      </w:r>
      <w:r w:rsidR="002A7B6E" w:rsidRPr="00B03A99">
        <w:t xml:space="preserve"> </w:t>
      </w:r>
      <w:r w:rsidR="00C55E5D" w:rsidRPr="00B03A99">
        <w:t xml:space="preserve">March 2018). </w:t>
      </w:r>
      <w:r w:rsidR="006B25A3" w:rsidRPr="00B03A99">
        <w:t>T</w:t>
      </w:r>
      <w:r w:rsidRPr="00B03A99">
        <w:t xml:space="preserve">he minor resubmission proposed that </w:t>
      </w:r>
      <w:r w:rsidR="00E916D8">
        <w:rPr>
          <w:noProof/>
          <w:color w:val="000000"/>
          <w:highlight w:val="black"/>
        </w:rPr>
        <w:t>'''''''</w:t>
      </w:r>
      <w:r w:rsidRPr="00B03A99">
        <w:t>% of the cost to the PBS for responsiveness testing would be rebated. The minor resubmission assumed that</w:t>
      </w:r>
      <w:r w:rsidR="006B25A3" w:rsidRPr="00B03A99">
        <w:t xml:space="preserve"> </w:t>
      </w:r>
      <w:r w:rsidR="00C55E5D" w:rsidRPr="00B03A99">
        <w:t>all</w:t>
      </w:r>
      <w:r w:rsidR="006B25A3" w:rsidRPr="00B03A99">
        <w:t xml:space="preserve"> eligible patients w</w:t>
      </w:r>
      <w:r w:rsidR="000064D3" w:rsidRPr="00B03A99">
        <w:t>ould</w:t>
      </w:r>
      <w:r w:rsidR="006B25A3" w:rsidRPr="00B03A99">
        <w:t xml:space="preserve"> undergo responsiveness testing</w:t>
      </w:r>
      <w:r w:rsidR="00A340F1" w:rsidRPr="00B03A99">
        <w:t xml:space="preserve">, </w:t>
      </w:r>
      <w:r w:rsidR="00B01EF8" w:rsidRPr="00B03A99">
        <w:t>and assumed</w:t>
      </w:r>
      <w:r w:rsidR="00A340F1" w:rsidRPr="00B03A99">
        <w:t xml:space="preserve"> that</w:t>
      </w:r>
      <w:r w:rsidRPr="00B03A99">
        <w:t>:</w:t>
      </w:r>
    </w:p>
    <w:p w:rsidR="00712F9B" w:rsidRPr="00B03A99" w:rsidRDefault="00712F9B" w:rsidP="00EE3D1C">
      <w:pPr>
        <w:pStyle w:val="ListParagraph"/>
        <w:ind w:left="1077" w:hanging="357"/>
      </w:pPr>
      <w:r w:rsidRPr="00CE768A">
        <w:t>100</w:t>
      </w:r>
      <w:r w:rsidRPr="00B03A99">
        <w:t>% of all prevalent patients in Year 1 would undergo responsiveness testing</w:t>
      </w:r>
      <w:r w:rsidR="001242F8" w:rsidRPr="00B03A99">
        <w:t>. The minor resubmission stated that this</w:t>
      </w:r>
      <w:r w:rsidRPr="00B03A99">
        <w:t xml:space="preserve"> was likely overestimated because a proportion of patients would already </w:t>
      </w:r>
      <w:r w:rsidR="00AB6900" w:rsidRPr="00B03A99">
        <w:t xml:space="preserve">have </w:t>
      </w:r>
      <w:r w:rsidRPr="00B03A99">
        <w:t>been tested (</w:t>
      </w:r>
      <w:r w:rsidR="00B01EF8" w:rsidRPr="00B03A99">
        <w:t xml:space="preserve">i.e. </w:t>
      </w:r>
      <w:r w:rsidR="00AB6900" w:rsidRPr="00B03A99">
        <w:t>these patients may</w:t>
      </w:r>
      <w:r w:rsidRPr="00B03A99">
        <w:t xml:space="preserve"> access sapropterin through the grandfathered listing if aged 0 to 17 years). </w:t>
      </w:r>
    </w:p>
    <w:p w:rsidR="00712F9B" w:rsidRPr="00B03A99" w:rsidRDefault="00712F9B" w:rsidP="00EE3D1C">
      <w:pPr>
        <w:pStyle w:val="ListParagraph"/>
        <w:ind w:left="1077" w:hanging="357"/>
      </w:pPr>
      <w:r w:rsidRPr="00B03A99">
        <w:t xml:space="preserve">In Years 2 to 6, only patients </w:t>
      </w:r>
      <w:r w:rsidRPr="00CE768A">
        <w:t xml:space="preserve">aged </w:t>
      </w:r>
      <w:r w:rsidRPr="00E3376E">
        <w:t>0</w:t>
      </w:r>
      <w:r w:rsidRPr="00B03A99">
        <w:t xml:space="preserve"> years </w:t>
      </w:r>
      <w:r w:rsidR="00A340F1" w:rsidRPr="00B03A99">
        <w:t>would</w:t>
      </w:r>
      <w:r w:rsidRPr="00B03A99">
        <w:t xml:space="preserve"> undergo response testing.</w:t>
      </w:r>
    </w:p>
    <w:p w:rsidR="00A6493C" w:rsidRPr="00B03A99" w:rsidRDefault="00B01EF8" w:rsidP="00EE3D1C">
      <w:pPr>
        <w:pStyle w:val="ListParagraph"/>
        <w:ind w:left="1077" w:hanging="357"/>
      </w:pPr>
      <w:r w:rsidRPr="00B03A99">
        <w:t>P</w:t>
      </w:r>
      <w:r w:rsidR="00A6493C" w:rsidRPr="00B03A99">
        <w:t xml:space="preserve">atients would require a dose of </w:t>
      </w:r>
      <w:r w:rsidR="00E916D8">
        <w:rPr>
          <w:noProof/>
          <w:color w:val="000000"/>
          <w:highlight w:val="black"/>
        </w:rPr>
        <w:t>'''''''''</w:t>
      </w:r>
      <w:r w:rsidR="00A6493C" w:rsidRPr="00A449B1">
        <w:t xml:space="preserve"> </w:t>
      </w:r>
      <w:r w:rsidR="00A6493C" w:rsidRPr="00B03A99">
        <w:t>mg/kg per day for a 28 day response testing period.</w:t>
      </w:r>
      <w:r w:rsidR="00962CF9" w:rsidRPr="00B03A99">
        <w:t xml:space="preserve"> </w:t>
      </w:r>
      <w:r w:rsidR="00E61AF1" w:rsidRPr="00B03A99">
        <w:t xml:space="preserve">The PBAC noted this </w:t>
      </w:r>
      <w:r w:rsidR="00872C7A" w:rsidRPr="00B03A99">
        <w:t>may</w:t>
      </w:r>
      <w:r w:rsidR="00E61AF1" w:rsidRPr="00B03A99">
        <w:t xml:space="preserve"> need to be adjusted for the shorter response testing periods </w:t>
      </w:r>
      <w:r w:rsidR="00487596" w:rsidRPr="00B03A99">
        <w:t xml:space="preserve">outlined </w:t>
      </w:r>
      <w:r w:rsidR="00E61AF1" w:rsidRPr="00B03A99">
        <w:t xml:space="preserve">in the recommended </w:t>
      </w:r>
      <w:r w:rsidR="00362311" w:rsidRPr="00B03A99">
        <w:t>restriction</w:t>
      </w:r>
      <w:r w:rsidR="00487596" w:rsidRPr="00B03A99">
        <w:t xml:space="preserve"> (24 hours for newborns and 7 days for older children and adolescents)</w:t>
      </w:r>
      <w:r w:rsidR="00E61AF1" w:rsidRPr="00B03A99">
        <w:t>.</w:t>
      </w:r>
    </w:p>
    <w:p w:rsidR="0026531C" w:rsidRPr="00B03A99" w:rsidRDefault="0026531C" w:rsidP="00EE3D1C">
      <w:pPr>
        <w:pStyle w:val="ListParagraph"/>
        <w:ind w:left="1077" w:hanging="357"/>
        <w:contextualSpacing w:val="0"/>
      </w:pPr>
      <w:r w:rsidRPr="00B03A99">
        <w:t>Overall, these assumptions were l</w:t>
      </w:r>
      <w:r w:rsidR="00AB6900" w:rsidRPr="00B03A99">
        <w:t>ike</w:t>
      </w:r>
      <w:r w:rsidRPr="00B03A99">
        <w:t>ly conservative in the cont</w:t>
      </w:r>
      <w:r w:rsidR="00AB6900" w:rsidRPr="00B03A99">
        <w:t>ext</w:t>
      </w:r>
      <w:r w:rsidRPr="00B03A99">
        <w:t xml:space="preserve"> of </w:t>
      </w:r>
      <w:r w:rsidR="003514CC" w:rsidRPr="00B03A99">
        <w:t>the proposed</w:t>
      </w:r>
      <w:r w:rsidRPr="00B03A99">
        <w:t xml:space="preserve"> </w:t>
      </w:r>
      <w:r w:rsidR="00E916D8">
        <w:rPr>
          <w:noProof/>
          <w:color w:val="000000"/>
          <w:highlight w:val="black"/>
        </w:rPr>
        <w:t>'''''''</w:t>
      </w:r>
      <w:r w:rsidRPr="00B03A99">
        <w:t>% rebate on all doses dispensed for responsiveness testing.</w:t>
      </w:r>
    </w:p>
    <w:p w:rsidR="006C3340" w:rsidRPr="00B03A99" w:rsidRDefault="006C3340" w:rsidP="007466A9">
      <w:pPr>
        <w:pStyle w:val="ListParagraph"/>
        <w:numPr>
          <w:ilvl w:val="1"/>
          <w:numId w:val="3"/>
        </w:numPr>
        <w:contextualSpacing w:val="0"/>
      </w:pPr>
      <w:r w:rsidRPr="00B03A99">
        <w:t>Further, the resubmission assumed that all patients who undergo sapropterin responsiveness testing would require an additional specialist visit (MBS item 105, a fee of $43.00 was assumed</w:t>
      </w:r>
      <w:r w:rsidR="006E7F8E" w:rsidRPr="00B03A99">
        <w:t>,</w:t>
      </w:r>
      <w:r w:rsidRPr="00B03A99">
        <w:t xml:space="preserve"> rather than the 85% benefit of $37.15).</w:t>
      </w:r>
    </w:p>
    <w:p w:rsidR="002373D9" w:rsidRPr="00B03A99" w:rsidRDefault="00E61148" w:rsidP="007466A9">
      <w:pPr>
        <w:pStyle w:val="ListParagraph"/>
        <w:numPr>
          <w:ilvl w:val="1"/>
          <w:numId w:val="3"/>
        </w:numPr>
        <w:contextualSpacing w:val="0"/>
      </w:pPr>
      <w:r w:rsidRPr="00B03A99">
        <w:t xml:space="preserve">Other changes </w:t>
      </w:r>
      <w:r w:rsidR="00712F9B" w:rsidRPr="00B03A99">
        <w:t xml:space="preserve">to the </w:t>
      </w:r>
      <w:r w:rsidRPr="00B03A99">
        <w:t>financial estimates included</w:t>
      </w:r>
      <w:r w:rsidR="002373D9" w:rsidRPr="00B03A99">
        <w:t>:</w:t>
      </w:r>
    </w:p>
    <w:p w:rsidR="0026531C" w:rsidRPr="00B03A99" w:rsidRDefault="00054AEB" w:rsidP="00EE3D1C">
      <w:pPr>
        <w:pStyle w:val="ListParagraph"/>
        <w:ind w:left="1077" w:hanging="357"/>
      </w:pPr>
      <w:r w:rsidRPr="00B03A99">
        <w:t xml:space="preserve">The patient </w:t>
      </w:r>
      <w:r w:rsidR="008F032A" w:rsidRPr="00B03A99">
        <w:t>population</w:t>
      </w:r>
      <w:r w:rsidRPr="00B03A99">
        <w:t xml:space="preserve"> was</w:t>
      </w:r>
      <w:r w:rsidR="008F032A" w:rsidRPr="00B03A99">
        <w:t xml:space="preserve"> </w:t>
      </w:r>
      <w:r w:rsidRPr="00B03A99">
        <w:t xml:space="preserve">no longer split </w:t>
      </w:r>
      <w:r w:rsidR="008F032A" w:rsidRPr="00B03A99">
        <w:t>into well</w:t>
      </w:r>
      <w:r w:rsidR="002906AE" w:rsidRPr="00B03A99">
        <w:t>-</w:t>
      </w:r>
      <w:r w:rsidR="008F032A" w:rsidRPr="00B03A99">
        <w:t>controlled and poorly</w:t>
      </w:r>
      <w:r w:rsidR="002906AE" w:rsidRPr="00B03A99">
        <w:t>-</w:t>
      </w:r>
      <w:r w:rsidR="008F032A" w:rsidRPr="00B03A99">
        <w:t>controlled groups</w:t>
      </w:r>
      <w:r w:rsidR="006C3340" w:rsidRPr="00B03A99">
        <w:t xml:space="preserve">, which had previously been used to estimate </w:t>
      </w:r>
      <w:r w:rsidR="006B25A3" w:rsidRPr="00B03A99">
        <w:t xml:space="preserve">offsets for reductions in use of </w:t>
      </w:r>
      <w:proofErr w:type="spellStart"/>
      <w:r w:rsidR="006B25A3" w:rsidRPr="00B03A99">
        <w:t>Phe</w:t>
      </w:r>
      <w:proofErr w:type="spellEnd"/>
      <w:r w:rsidR="006B25A3" w:rsidRPr="00B03A99">
        <w:t>-free amino acid supplements</w:t>
      </w:r>
      <w:r w:rsidR="0026531C" w:rsidRPr="00B03A99">
        <w:t>, and also for applying differential uptake rates between the two groups</w:t>
      </w:r>
      <w:r w:rsidR="006C3340" w:rsidRPr="00B03A99">
        <w:t xml:space="preserve">. </w:t>
      </w:r>
    </w:p>
    <w:p w:rsidR="006B25A3" w:rsidRPr="00B03A99" w:rsidRDefault="00B01EF8" w:rsidP="00EE3D1C">
      <w:pPr>
        <w:pStyle w:val="ListParagraph"/>
        <w:ind w:left="1077" w:hanging="357"/>
      </w:pPr>
      <w:r w:rsidRPr="00B03A99">
        <w:t>O</w:t>
      </w:r>
      <w:r w:rsidR="006C3340" w:rsidRPr="00B03A99">
        <w:t>ffsets</w:t>
      </w:r>
      <w:r w:rsidRPr="00B03A99">
        <w:t xml:space="preserve"> were not included</w:t>
      </w:r>
      <w:r w:rsidR="006C3340" w:rsidRPr="00B03A99">
        <w:t xml:space="preserve"> for reductions in use of </w:t>
      </w:r>
      <w:r w:rsidR="00D66AEE" w:rsidRPr="00B03A99">
        <w:t xml:space="preserve">PBS-subsidised </w:t>
      </w:r>
      <w:proofErr w:type="spellStart"/>
      <w:r w:rsidR="006C3340" w:rsidRPr="00B03A99">
        <w:t>Phe</w:t>
      </w:r>
      <w:proofErr w:type="spellEnd"/>
      <w:r w:rsidR="006C3340" w:rsidRPr="00B03A99">
        <w:t>-free amino acid supplements</w:t>
      </w:r>
      <w:r w:rsidR="006B25A3" w:rsidRPr="00B03A99">
        <w:t xml:space="preserve">. The rationale for this was not clear. </w:t>
      </w:r>
      <w:r w:rsidR="008D2F37" w:rsidRPr="00B03A99">
        <w:t xml:space="preserve">In the previous submission, </w:t>
      </w:r>
      <w:r w:rsidR="00D66AEE" w:rsidRPr="00B03A99">
        <w:t xml:space="preserve">PBS </w:t>
      </w:r>
      <w:r w:rsidR="008D2F37" w:rsidRPr="00B03A99">
        <w:t>offsets for dietary supple</w:t>
      </w:r>
      <w:r w:rsidR="006E7F8E" w:rsidRPr="00B03A99">
        <w:t xml:space="preserve">ments were estimated to be </w:t>
      </w:r>
      <w:r w:rsidR="009E2D13">
        <w:t>less than $10</w:t>
      </w:r>
      <w:r w:rsidR="006E7F8E" w:rsidRPr="00B03A99">
        <w:t> </w:t>
      </w:r>
      <w:r w:rsidR="008D2F37" w:rsidRPr="00B03A99">
        <w:t>million over six years.</w:t>
      </w:r>
    </w:p>
    <w:p w:rsidR="00776CBF" w:rsidRPr="00B03A99" w:rsidRDefault="006C3340" w:rsidP="00D1325D">
      <w:pPr>
        <w:pStyle w:val="ListParagraph"/>
        <w:tabs>
          <w:tab w:val="left" w:pos="4536"/>
        </w:tabs>
        <w:ind w:left="1077" w:hanging="357"/>
      </w:pPr>
      <w:r w:rsidRPr="00B03A99">
        <w:t>U</w:t>
      </w:r>
      <w:r w:rsidR="007016D7" w:rsidRPr="00B03A99">
        <w:t>tilisation was updated to reflect the assumption that the</w:t>
      </w:r>
      <w:r w:rsidR="008A1CC2" w:rsidRPr="00B03A99">
        <w:t xml:space="preserve"> patient population are those aged 0 to 17 years as well as those who continue </w:t>
      </w:r>
      <w:r w:rsidR="00EB2349" w:rsidRPr="00B03A99">
        <w:t xml:space="preserve">PBS-subsidised </w:t>
      </w:r>
      <w:r w:rsidR="008A1CC2" w:rsidRPr="00B03A99">
        <w:t>sapropterin once they turn 18 years of age.</w:t>
      </w:r>
      <w:r w:rsidR="006B25A3" w:rsidRPr="00B03A99">
        <w:t xml:space="preserve"> </w:t>
      </w:r>
      <w:r w:rsidRPr="00B03A99">
        <w:t>Thus, the resubmission excluded prevalent patients aged 18 and over.</w:t>
      </w:r>
      <w:r w:rsidR="00776CBF" w:rsidRPr="00B03A99">
        <w:t xml:space="preserve"> This significantly reduced the eligible population:</w:t>
      </w:r>
      <w:r w:rsidRPr="00B03A99">
        <w:t xml:space="preserve"> </w:t>
      </w:r>
      <w:r w:rsidR="00776CBF" w:rsidRPr="00B03A99">
        <w:t xml:space="preserve">In the previous submission, </w:t>
      </w:r>
      <w:r w:rsidR="00E916D8">
        <w:rPr>
          <w:noProof/>
          <w:color w:val="000000"/>
          <w:highlight w:val="black"/>
        </w:rPr>
        <w:t>'''''</w:t>
      </w:r>
      <w:r w:rsidR="00776CBF" w:rsidRPr="00B03A99">
        <w:t xml:space="preserve">% of patients were aged 18 and over (over the first six years of listing), versus </w:t>
      </w:r>
      <w:r w:rsidR="00E916D8">
        <w:rPr>
          <w:noProof/>
          <w:color w:val="000000"/>
          <w:highlight w:val="black"/>
        </w:rPr>
        <w:t>'''''</w:t>
      </w:r>
      <w:r w:rsidR="00776CBF" w:rsidRPr="00B03A99">
        <w:t xml:space="preserve">% in the minor resubmission. </w:t>
      </w:r>
    </w:p>
    <w:p w:rsidR="008A1CC2" w:rsidRPr="00B03A99" w:rsidRDefault="008D2F37" w:rsidP="00192665">
      <w:pPr>
        <w:pStyle w:val="ListParagraph"/>
      </w:pPr>
      <w:r w:rsidRPr="00B03A99">
        <w:t>T</w:t>
      </w:r>
      <w:r w:rsidR="00DC5AB5" w:rsidRPr="00B03A99">
        <w:t xml:space="preserve">he </w:t>
      </w:r>
      <w:r w:rsidR="00596A1A" w:rsidRPr="00B03A99">
        <w:t xml:space="preserve">resubmission </w:t>
      </w:r>
      <w:r w:rsidR="00DC5AB5" w:rsidRPr="00B03A99">
        <w:t xml:space="preserve">estimated </w:t>
      </w:r>
      <w:r w:rsidR="00596A1A" w:rsidRPr="00B03A99">
        <w:t xml:space="preserve">that </w:t>
      </w:r>
      <w:r w:rsidR="00E916D8">
        <w:rPr>
          <w:noProof/>
          <w:color w:val="000000"/>
          <w:highlight w:val="black"/>
        </w:rPr>
        <w:t>'''''</w:t>
      </w:r>
      <w:r w:rsidR="00596A1A" w:rsidRPr="00B03A99">
        <w:t xml:space="preserve">% of </w:t>
      </w:r>
      <w:r w:rsidR="00DC5AB5" w:rsidRPr="00B03A99">
        <w:t xml:space="preserve">patients </w:t>
      </w:r>
      <w:r w:rsidR="00776CBF" w:rsidRPr="00B03A99">
        <w:t>would</w:t>
      </w:r>
      <w:r w:rsidR="00DC5AB5" w:rsidRPr="00B03A99">
        <w:t xml:space="preserve"> respond to initial sapropterin responsiveness testing</w:t>
      </w:r>
      <w:r w:rsidR="00B9456E" w:rsidRPr="00B03A99">
        <w:t xml:space="preserve"> (</w:t>
      </w:r>
      <w:r w:rsidRPr="00B03A99">
        <w:t xml:space="preserve">whereas the previous submission had assumed </w:t>
      </w:r>
      <w:r w:rsidRPr="00B03A99">
        <w:lastRenderedPageBreak/>
        <w:t xml:space="preserve">response rates of </w:t>
      </w:r>
      <w:r w:rsidR="00E916D8">
        <w:rPr>
          <w:noProof/>
          <w:color w:val="000000"/>
          <w:highlight w:val="black"/>
        </w:rPr>
        <w:t>'''''</w:t>
      </w:r>
      <w:r w:rsidRPr="00B03A99">
        <w:t xml:space="preserve">% in well controlled patients and </w:t>
      </w:r>
      <w:r w:rsidR="00E916D8">
        <w:rPr>
          <w:noProof/>
          <w:color w:val="000000"/>
          <w:highlight w:val="black"/>
        </w:rPr>
        <w:t>'''''</w:t>
      </w:r>
      <w:r w:rsidRPr="00B03A99">
        <w:t>% in poorly controlled patients</w:t>
      </w:r>
      <w:r w:rsidR="00B9456E" w:rsidRPr="00B03A99">
        <w:t>)</w:t>
      </w:r>
      <w:r w:rsidR="00596A1A" w:rsidRPr="00B03A99">
        <w:t>.</w:t>
      </w:r>
      <w:r w:rsidR="004C25EC" w:rsidRPr="00B03A99">
        <w:t xml:space="preserve"> The resubmission </w:t>
      </w:r>
      <w:r w:rsidR="00E814E3" w:rsidRPr="00B03A99">
        <w:t xml:space="preserve">stated that </w:t>
      </w:r>
      <w:r w:rsidR="00CF0BA0" w:rsidRPr="00B03A99">
        <w:t xml:space="preserve">initial </w:t>
      </w:r>
      <w:r w:rsidR="00B01EF8" w:rsidRPr="00B03A99">
        <w:t xml:space="preserve">response rates </w:t>
      </w:r>
      <w:r w:rsidR="00E814E3" w:rsidRPr="00B03A99">
        <w:t>were</w:t>
      </w:r>
      <w:r w:rsidR="00B01EF8" w:rsidRPr="00B03A99">
        <w:t xml:space="preserve"> </w:t>
      </w:r>
      <w:r w:rsidR="004C25EC" w:rsidRPr="00B03A99">
        <w:t xml:space="preserve">between </w:t>
      </w:r>
      <w:r w:rsidR="00E916D8">
        <w:rPr>
          <w:noProof/>
          <w:color w:val="000000"/>
          <w:highlight w:val="black"/>
        </w:rPr>
        <w:t>''''''</w:t>
      </w:r>
      <w:r w:rsidR="004C25EC" w:rsidRPr="00B03A99">
        <w:t xml:space="preserve">% and </w:t>
      </w:r>
      <w:r w:rsidR="00E916D8">
        <w:rPr>
          <w:noProof/>
          <w:color w:val="000000"/>
          <w:highlight w:val="black"/>
        </w:rPr>
        <w:t>'''''</w:t>
      </w:r>
      <w:r w:rsidR="004C25EC" w:rsidRPr="00B03A99">
        <w:t>%</w:t>
      </w:r>
      <w:r w:rsidR="00B9456E" w:rsidRPr="00B03A99">
        <w:t>,</w:t>
      </w:r>
      <w:r w:rsidR="00611DB9" w:rsidRPr="00B03A99">
        <w:t xml:space="preserve"> </w:t>
      </w:r>
      <w:r w:rsidR="00E814E3" w:rsidRPr="00B03A99">
        <w:t>which</w:t>
      </w:r>
      <w:r w:rsidR="00611DB9" w:rsidRPr="00B03A99">
        <w:t xml:space="preserve"> appeared to be</w:t>
      </w:r>
      <w:r w:rsidR="00B9456E" w:rsidRPr="00B03A99">
        <w:t xml:space="preserve"> based on studies using responsiveness testing protocols</w:t>
      </w:r>
      <w:r w:rsidR="00611DB9" w:rsidRPr="00B03A99">
        <w:t xml:space="preserve"> </w:t>
      </w:r>
      <w:r w:rsidR="0097568C" w:rsidRPr="00B03A99">
        <w:t>with durations between 24 hours and</w:t>
      </w:r>
      <w:r w:rsidR="00611DB9" w:rsidRPr="00B03A99">
        <w:t xml:space="preserve"> 28 days. Thus the resubmission used </w:t>
      </w:r>
      <w:r w:rsidR="004C25EC" w:rsidRPr="00B03A99">
        <w:t xml:space="preserve">the midpoint of </w:t>
      </w:r>
      <w:r w:rsidR="00E916D8">
        <w:rPr>
          <w:noProof/>
          <w:color w:val="000000"/>
          <w:highlight w:val="black"/>
        </w:rPr>
        <w:t>'''''</w:t>
      </w:r>
      <w:r w:rsidR="004C25EC" w:rsidRPr="00B03A99">
        <w:t>%.</w:t>
      </w:r>
      <w:r w:rsidR="006E7F8E" w:rsidRPr="00B03A99">
        <w:t xml:space="preserve"> </w:t>
      </w:r>
      <w:r w:rsidR="00611DB9" w:rsidRPr="00B03A99">
        <w:t xml:space="preserve">As outlined in ‘Requested listing’, the PBAC considered that </w:t>
      </w:r>
      <w:r w:rsidR="00362311" w:rsidRPr="00B03A99">
        <w:t xml:space="preserve">24-hour or 7-day </w:t>
      </w:r>
      <w:r w:rsidR="00E814E3" w:rsidRPr="00B03A99">
        <w:t xml:space="preserve">responsiveness testing periods </w:t>
      </w:r>
      <w:r w:rsidR="00362311" w:rsidRPr="00B03A99">
        <w:t xml:space="preserve">(depending on age) </w:t>
      </w:r>
      <w:r w:rsidR="00E814E3" w:rsidRPr="00B03A99">
        <w:t xml:space="preserve">were required in order to provide greater certainty that those patients accessing sapropterin are “truly responsive”. </w:t>
      </w:r>
      <w:r w:rsidR="00596A1A" w:rsidRPr="00B03A99">
        <w:t xml:space="preserve">The PBAC noted that the evidence presented in the resubmission showed that </w:t>
      </w:r>
      <w:r w:rsidR="00E916D8">
        <w:rPr>
          <w:noProof/>
          <w:color w:val="000000"/>
          <w:highlight w:val="black"/>
        </w:rPr>
        <w:t>'''''</w:t>
      </w:r>
      <w:r w:rsidR="00596A1A" w:rsidRPr="00B03A99">
        <w:t xml:space="preserve">% of patients </w:t>
      </w:r>
      <w:r w:rsidR="00B9456E" w:rsidRPr="00B03A99">
        <w:t>were</w:t>
      </w:r>
      <w:r w:rsidR="00596A1A" w:rsidRPr="00B03A99">
        <w:t xml:space="preserve"> responsive </w:t>
      </w:r>
      <w:r w:rsidR="00B9456E" w:rsidRPr="00B03A99">
        <w:t xml:space="preserve">in studies using </w:t>
      </w:r>
      <w:r w:rsidR="00596A1A" w:rsidRPr="00B03A99">
        <w:t xml:space="preserve">a 24 hour testing period, and </w:t>
      </w:r>
      <w:r w:rsidR="00E916D8">
        <w:rPr>
          <w:noProof/>
          <w:color w:val="000000"/>
          <w:highlight w:val="black"/>
        </w:rPr>
        <w:t>''''''</w:t>
      </w:r>
      <w:r w:rsidR="00596A1A" w:rsidRPr="00B03A99">
        <w:t>% w</w:t>
      </w:r>
      <w:r w:rsidR="00B9456E" w:rsidRPr="00B03A99">
        <w:t>ere</w:t>
      </w:r>
      <w:r w:rsidR="00596A1A" w:rsidRPr="00B03A99">
        <w:t xml:space="preserve"> responsive </w:t>
      </w:r>
      <w:r w:rsidR="00B9456E" w:rsidRPr="00B03A99">
        <w:t>using</w:t>
      </w:r>
      <w:r w:rsidR="00596A1A" w:rsidRPr="00B03A99">
        <w:t xml:space="preserve"> a 7</w:t>
      </w:r>
      <w:r w:rsidR="003C0A93" w:rsidRPr="00B03A99">
        <w:t>-</w:t>
      </w:r>
      <w:r w:rsidR="00596A1A" w:rsidRPr="00B03A99">
        <w:t xml:space="preserve">day testing period. </w:t>
      </w:r>
      <w:r w:rsidR="00E814E3" w:rsidRPr="00B03A99">
        <w:t xml:space="preserve">Thus, while it may be expected that shorter responsiveness testing periods may reduce the </w:t>
      </w:r>
      <w:r w:rsidR="001E123B" w:rsidRPr="00B03A99">
        <w:t>proportion</w:t>
      </w:r>
      <w:r w:rsidR="00E814E3" w:rsidRPr="00B03A99">
        <w:t xml:space="preserve"> of people who </w:t>
      </w:r>
      <w:r w:rsidR="001E123B" w:rsidRPr="00B03A99">
        <w:t>respond</w:t>
      </w:r>
      <w:r w:rsidR="00E814E3" w:rsidRPr="00B03A99">
        <w:t xml:space="preserve">, </w:t>
      </w:r>
      <w:r w:rsidR="0097568C" w:rsidRPr="00B03A99">
        <w:t xml:space="preserve">the PBAC considered that it was appropriate to </w:t>
      </w:r>
      <w:r w:rsidR="00192665" w:rsidRPr="00B03A99">
        <w:t>use</w:t>
      </w:r>
      <w:r w:rsidR="0097568C" w:rsidRPr="00B03A99">
        <w:t xml:space="preserve"> a </w:t>
      </w:r>
      <w:r w:rsidR="00E916D8">
        <w:rPr>
          <w:noProof/>
          <w:color w:val="000000"/>
          <w:highlight w:val="black"/>
        </w:rPr>
        <w:t>'''''</w:t>
      </w:r>
      <w:r w:rsidR="00192665" w:rsidRPr="00B03A99">
        <w:t xml:space="preserve">% </w:t>
      </w:r>
      <w:r w:rsidR="0097568C" w:rsidRPr="00B03A99">
        <w:t>response rate in the financial estimates</w:t>
      </w:r>
      <w:r w:rsidR="00192665" w:rsidRPr="00B03A99">
        <w:t xml:space="preserve">. This was because the </w:t>
      </w:r>
      <w:r w:rsidR="00E916D8">
        <w:rPr>
          <w:noProof/>
          <w:color w:val="000000"/>
          <w:highlight w:val="black"/>
        </w:rPr>
        <w:t>'''''</w:t>
      </w:r>
      <w:r w:rsidR="00192665" w:rsidRPr="00B03A99">
        <w:t>% response rate</w:t>
      </w:r>
      <w:r w:rsidR="0097568C" w:rsidRPr="00B03A99">
        <w:t xml:space="preserve"> already included studies </w:t>
      </w:r>
      <w:r w:rsidR="00192665" w:rsidRPr="00B03A99">
        <w:t>with</w:t>
      </w:r>
      <w:r w:rsidR="0097568C" w:rsidRPr="00B03A99">
        <w:t xml:space="preserve"> shorter durations of responsiveness testing</w:t>
      </w:r>
      <w:r w:rsidR="00192665" w:rsidRPr="00B03A99">
        <w:t>, and</w:t>
      </w:r>
      <w:r w:rsidR="0097568C" w:rsidRPr="00B03A99">
        <w:t xml:space="preserve"> </w:t>
      </w:r>
      <w:r w:rsidR="00192665" w:rsidRPr="00B03A99">
        <w:t>a</w:t>
      </w:r>
      <w:r w:rsidR="0097568C" w:rsidRPr="00B03A99">
        <w:t>lign</w:t>
      </w:r>
      <w:r w:rsidR="00192665" w:rsidRPr="00B03A99">
        <w:t>ed</w:t>
      </w:r>
      <w:r w:rsidR="0097568C" w:rsidRPr="00B03A99">
        <w:t xml:space="preserve"> with the midpoint between the </w:t>
      </w:r>
      <w:r w:rsidR="00974FC1" w:rsidRPr="00B03A99">
        <w:t xml:space="preserve">response </w:t>
      </w:r>
      <w:r w:rsidR="0097568C" w:rsidRPr="00B03A99">
        <w:t xml:space="preserve">rates </w:t>
      </w:r>
      <w:r w:rsidR="00974FC1" w:rsidRPr="00B03A99">
        <w:t xml:space="preserve">observed in studies </w:t>
      </w:r>
      <w:r w:rsidR="001E123B" w:rsidRPr="00B03A99">
        <w:t>that used</w:t>
      </w:r>
      <w:r w:rsidR="0097568C" w:rsidRPr="00B03A99">
        <w:t xml:space="preserve"> 24</w:t>
      </w:r>
      <w:r w:rsidR="003C0A93" w:rsidRPr="00B03A99">
        <w:t>-</w:t>
      </w:r>
      <w:r w:rsidR="0097568C" w:rsidRPr="00B03A99">
        <w:t>hour and 7</w:t>
      </w:r>
      <w:r w:rsidR="003C0A93" w:rsidRPr="00B03A99">
        <w:t>-</w:t>
      </w:r>
      <w:r w:rsidR="0097568C" w:rsidRPr="00B03A99">
        <w:t xml:space="preserve">day testing. </w:t>
      </w:r>
      <w:r w:rsidR="00974FC1" w:rsidRPr="00B03A99">
        <w:t xml:space="preserve">While acknowledging this was likely the best available </w:t>
      </w:r>
      <w:r w:rsidR="004C2AD1" w:rsidRPr="00B03A99">
        <w:t>data</w:t>
      </w:r>
      <w:r w:rsidR="00192665" w:rsidRPr="00B03A99">
        <w:t xml:space="preserve">, the PBAC considered </w:t>
      </w:r>
      <w:r w:rsidR="004C2AD1" w:rsidRPr="00B03A99">
        <w:t xml:space="preserve">the estimate remained </w:t>
      </w:r>
      <w:r w:rsidR="00192665" w:rsidRPr="00B03A99">
        <w:t>uncertain given the heterogeneity between these studies (in terms of sapropterin dose and the patient population)</w:t>
      </w:r>
      <w:r w:rsidR="00D066BE" w:rsidRPr="00B03A99">
        <w:t xml:space="preserve"> and</w:t>
      </w:r>
      <w:r w:rsidR="00B206CC" w:rsidRPr="00B03A99">
        <w:t xml:space="preserve"> potential lack of applicability to the PBS population</w:t>
      </w:r>
      <w:r w:rsidR="00D066BE" w:rsidRPr="00B03A99">
        <w:t>,</w:t>
      </w:r>
      <w:r w:rsidR="00192665" w:rsidRPr="00B03A99">
        <w:t xml:space="preserve"> </w:t>
      </w:r>
      <w:r w:rsidR="00D066BE" w:rsidRPr="00B03A99">
        <w:t xml:space="preserve">in the context of </w:t>
      </w:r>
      <w:r w:rsidR="00192665" w:rsidRPr="00B03A99">
        <w:t xml:space="preserve">financial estimates </w:t>
      </w:r>
      <w:r w:rsidR="00974FC1" w:rsidRPr="00B03A99">
        <w:t>that are</w:t>
      </w:r>
      <w:r w:rsidR="00D066BE" w:rsidRPr="00B03A99">
        <w:t xml:space="preserve"> highly sensitive to this parameter. </w:t>
      </w:r>
    </w:p>
    <w:p w:rsidR="00776CBF" w:rsidRPr="00B03A99" w:rsidRDefault="00776CBF" w:rsidP="00EE3D1C">
      <w:pPr>
        <w:pStyle w:val="ListParagraph"/>
        <w:ind w:left="1077" w:hanging="357"/>
      </w:pPr>
      <w:r w:rsidRPr="00B03A99">
        <w:t xml:space="preserve">An uptake rate of </w:t>
      </w:r>
      <w:r w:rsidR="00E916D8">
        <w:rPr>
          <w:noProof/>
          <w:color w:val="000000"/>
          <w:highlight w:val="black"/>
        </w:rPr>
        <w:t>'''''</w:t>
      </w:r>
      <w:r w:rsidRPr="00B03A99">
        <w:t>% was assumed</w:t>
      </w:r>
      <w:r w:rsidR="00C55E5D" w:rsidRPr="00B03A99">
        <w:t xml:space="preserve"> in all years</w:t>
      </w:r>
      <w:r w:rsidRPr="00B03A99">
        <w:t xml:space="preserve">. This was to address the PBAC’s previous concern that the uptake rates were </w:t>
      </w:r>
      <w:r w:rsidR="001E123B" w:rsidRPr="00B03A99">
        <w:t>u</w:t>
      </w:r>
      <w:r w:rsidRPr="00B03A99">
        <w:t>nderestimated</w:t>
      </w:r>
      <w:r w:rsidR="00EE3D1C" w:rsidRPr="00B03A99">
        <w:t xml:space="preserve"> (Paragraph 7.13, March 2018 PBAC </w:t>
      </w:r>
      <w:r w:rsidR="002A7B6E">
        <w:t>PSD</w:t>
      </w:r>
      <w:r w:rsidR="00EE3D1C" w:rsidRPr="00B03A99">
        <w:t>)</w:t>
      </w:r>
      <w:r w:rsidRPr="00B03A99">
        <w:t xml:space="preserve">. The uptake rates in the previous submission (among responsive patients) were assumed to be </w:t>
      </w:r>
      <w:r w:rsidR="00E916D8">
        <w:rPr>
          <w:noProof/>
          <w:color w:val="000000"/>
          <w:highlight w:val="black"/>
        </w:rPr>
        <w:t>'''''</w:t>
      </w:r>
      <w:r w:rsidRPr="00B03A99">
        <w:t xml:space="preserve">% in Year 1 increasing to </w:t>
      </w:r>
      <w:r w:rsidR="00E916D8">
        <w:rPr>
          <w:noProof/>
          <w:color w:val="000000"/>
          <w:highlight w:val="black"/>
        </w:rPr>
        <w:t>''''''</w:t>
      </w:r>
      <w:r w:rsidRPr="00B03A99">
        <w:t xml:space="preserve">% in Year 6 in children and adolescents; and </w:t>
      </w:r>
      <w:r w:rsidR="00E916D8">
        <w:rPr>
          <w:noProof/>
          <w:color w:val="000000"/>
          <w:highlight w:val="black"/>
        </w:rPr>
        <w:t>''''''</w:t>
      </w:r>
      <w:r w:rsidRPr="00B03A99">
        <w:t xml:space="preserve">% in Year 1 increasing to </w:t>
      </w:r>
      <w:r w:rsidR="00E916D8">
        <w:rPr>
          <w:noProof/>
          <w:color w:val="000000"/>
          <w:highlight w:val="black"/>
        </w:rPr>
        <w:t>'''''</w:t>
      </w:r>
      <w:r w:rsidRPr="00B03A99">
        <w:t xml:space="preserve">% in Year 6 in patients aged ≥ 18 years. The </w:t>
      </w:r>
      <w:r w:rsidR="003C682A" w:rsidRPr="00B03A99">
        <w:t xml:space="preserve">Minor Overview considered that the </w:t>
      </w:r>
      <w:r w:rsidRPr="00B03A99">
        <w:t xml:space="preserve">markedly higher uptake rate used in the minor resubmission (90%) </w:t>
      </w:r>
      <w:r w:rsidR="00CF0BA0" w:rsidRPr="00B03A99">
        <w:t xml:space="preserve">likely overestimated the </w:t>
      </w:r>
      <w:r w:rsidR="002D5B02" w:rsidRPr="00B03A99">
        <w:t>treated</w:t>
      </w:r>
      <w:r w:rsidR="00CF0BA0" w:rsidRPr="00B03A99">
        <w:t xml:space="preserve"> population</w:t>
      </w:r>
      <w:r w:rsidRPr="00B03A99">
        <w:t>.</w:t>
      </w:r>
      <w:r w:rsidR="006E7F8E" w:rsidRPr="00B03A99">
        <w:t xml:space="preserve"> </w:t>
      </w:r>
      <w:r w:rsidR="003C682A" w:rsidRPr="00B03A99">
        <w:t xml:space="preserve">To address this, the pre-PBAC response updated the uptake rate from </w:t>
      </w:r>
      <w:r w:rsidR="00E916D8">
        <w:rPr>
          <w:noProof/>
          <w:color w:val="000000"/>
          <w:highlight w:val="black"/>
        </w:rPr>
        <w:t>''''''</w:t>
      </w:r>
      <w:r w:rsidR="003C682A" w:rsidRPr="00B03A99">
        <w:t xml:space="preserve">% to </w:t>
      </w:r>
      <w:r w:rsidR="00E916D8">
        <w:rPr>
          <w:noProof/>
          <w:color w:val="000000"/>
          <w:highlight w:val="black"/>
        </w:rPr>
        <w:t>'''''</w:t>
      </w:r>
      <w:r w:rsidR="003C682A" w:rsidRPr="00B03A99">
        <w:t>%.</w:t>
      </w:r>
    </w:p>
    <w:p w:rsidR="008F032A" w:rsidRPr="00B03A99" w:rsidRDefault="00E94106" w:rsidP="00EE3D1C">
      <w:pPr>
        <w:pStyle w:val="ListParagraph"/>
        <w:ind w:left="1077" w:hanging="357"/>
      </w:pPr>
      <w:r w:rsidRPr="00B03A99">
        <w:t>T</w:t>
      </w:r>
      <w:r w:rsidR="008F032A" w:rsidRPr="00B03A99">
        <w:t xml:space="preserve">he dose of sapropterin was </w:t>
      </w:r>
      <w:r w:rsidR="006E7F8E" w:rsidRPr="00B03A99">
        <w:t xml:space="preserve">appropriately </w:t>
      </w:r>
      <w:r w:rsidR="008F032A" w:rsidRPr="00B03A99">
        <w:t>not rounded</w:t>
      </w:r>
      <w:r w:rsidR="006E7F8E" w:rsidRPr="00B03A99">
        <w:t>, per the economic analysis.</w:t>
      </w:r>
    </w:p>
    <w:p w:rsidR="008F032A" w:rsidRPr="00721F08" w:rsidRDefault="00E94106" w:rsidP="006E7F8E">
      <w:pPr>
        <w:pStyle w:val="ListParagraph"/>
        <w:ind w:left="1077" w:hanging="357"/>
        <w:contextualSpacing w:val="0"/>
      </w:pPr>
      <w:r w:rsidRPr="00721F08">
        <w:t>A</w:t>
      </w:r>
      <w:r w:rsidR="008F032A" w:rsidRPr="00721F08">
        <w:t xml:space="preserve"> compliance rate of </w:t>
      </w:r>
      <w:r w:rsidR="00E916D8">
        <w:rPr>
          <w:noProof/>
          <w:color w:val="000000"/>
          <w:highlight w:val="black"/>
        </w:rPr>
        <w:t>'''''''''</w:t>
      </w:r>
      <w:r w:rsidR="008F032A" w:rsidRPr="00721F08">
        <w:t xml:space="preserve">% was </w:t>
      </w:r>
      <w:r w:rsidR="00251A8C" w:rsidRPr="00721F08">
        <w:t xml:space="preserve">assumed in the maintenance phase (i.e. outside initial responsiveness testing), </w:t>
      </w:r>
      <w:r w:rsidR="008F032A" w:rsidRPr="00721F08">
        <w:t xml:space="preserve">based on </w:t>
      </w:r>
      <w:r w:rsidR="00251A8C" w:rsidRPr="00721F08">
        <w:t xml:space="preserve">study </w:t>
      </w:r>
      <w:r w:rsidR="008F032A" w:rsidRPr="00721F08">
        <w:t>PKU–008</w:t>
      </w:r>
      <w:r w:rsidR="00251A8C" w:rsidRPr="00721F08">
        <w:t>. This was to address the DUSC’s previous concern that a ‘100% compliance rate may not r</w:t>
      </w:r>
      <w:r w:rsidR="006E7F8E" w:rsidRPr="00721F08">
        <w:t>eflect a real-world situation’ (Paragraph 6.67, PBAC</w:t>
      </w:r>
      <w:r w:rsidR="00251A8C" w:rsidRPr="00721F08">
        <w:t xml:space="preserve"> </w:t>
      </w:r>
      <w:r w:rsidR="002A7B6E" w:rsidRPr="00721F08">
        <w:t xml:space="preserve">PSD </w:t>
      </w:r>
      <w:r w:rsidR="00251A8C" w:rsidRPr="00721F08">
        <w:t>March 2018</w:t>
      </w:r>
      <w:r w:rsidR="006E7F8E" w:rsidRPr="00721F08">
        <w:t>)</w:t>
      </w:r>
      <w:r w:rsidR="00251A8C" w:rsidRPr="00721F08">
        <w:t xml:space="preserve">. </w:t>
      </w:r>
      <w:r w:rsidR="003C682A" w:rsidRPr="00721F08">
        <w:t xml:space="preserve">The Minor Overview considered that </w:t>
      </w:r>
      <w:r w:rsidR="00CF0BA0" w:rsidRPr="00721F08">
        <w:t>compliance likely remained overestimated</w:t>
      </w:r>
      <w:r w:rsidR="006E7F8E" w:rsidRPr="00721F08">
        <w:t>.</w:t>
      </w:r>
      <w:r w:rsidR="003C682A" w:rsidRPr="00721F08">
        <w:t xml:space="preserve"> To address this, the pre-PBAC response updated the compliance rate from </w:t>
      </w:r>
      <w:r w:rsidR="00E916D8">
        <w:rPr>
          <w:noProof/>
          <w:color w:val="000000"/>
          <w:highlight w:val="black"/>
        </w:rPr>
        <w:t>''''''''</w:t>
      </w:r>
      <w:r w:rsidR="003C682A" w:rsidRPr="00721F08">
        <w:t xml:space="preserve">% to </w:t>
      </w:r>
      <w:r w:rsidR="00E916D8">
        <w:rPr>
          <w:noProof/>
          <w:color w:val="000000"/>
          <w:highlight w:val="black"/>
        </w:rPr>
        <w:t>'''''</w:t>
      </w:r>
      <w:r w:rsidR="003C682A" w:rsidRPr="00721F08">
        <w:t>%.</w:t>
      </w:r>
    </w:p>
    <w:p w:rsidR="00DC5AB5" w:rsidRPr="00B03A99" w:rsidRDefault="003514CC" w:rsidP="007466A9">
      <w:pPr>
        <w:pStyle w:val="ListParagraph"/>
        <w:numPr>
          <w:ilvl w:val="1"/>
          <w:numId w:val="3"/>
        </w:numPr>
        <w:contextualSpacing w:val="0"/>
      </w:pPr>
      <w:r w:rsidRPr="00B03A99">
        <w:t>Un</w:t>
      </w:r>
      <w:r w:rsidR="00DC5AB5" w:rsidRPr="00B03A99">
        <w:t>changed</w:t>
      </w:r>
      <w:r w:rsidRPr="00B03A99">
        <w:t xml:space="preserve"> from the previous submission, </w:t>
      </w:r>
      <w:r w:rsidR="00DC5AB5" w:rsidRPr="00B03A99">
        <w:t>the eligible popu</w:t>
      </w:r>
      <w:r w:rsidR="000A601D" w:rsidRPr="00B03A99">
        <w:t xml:space="preserve">lation </w:t>
      </w:r>
      <w:r w:rsidR="000A3113" w:rsidRPr="00B03A99">
        <w:t xml:space="preserve">remained based on patients with blood </w:t>
      </w:r>
      <w:proofErr w:type="spellStart"/>
      <w:r w:rsidR="000A3113" w:rsidRPr="00B03A99">
        <w:t>Phe</w:t>
      </w:r>
      <w:proofErr w:type="spellEnd"/>
      <w:r w:rsidR="000A3113" w:rsidRPr="00B03A99">
        <w:t xml:space="preserve"> </w:t>
      </w:r>
      <w:r w:rsidR="000A3113" w:rsidRPr="00721F08">
        <w:t xml:space="preserve">levels </w:t>
      </w:r>
      <w:r w:rsidR="000A3113" w:rsidRPr="00721F08">
        <w:rPr>
          <w:rFonts w:cstheme="minorHAnsi"/>
        </w:rPr>
        <w:t>≥</w:t>
      </w:r>
      <w:r w:rsidR="000A3113" w:rsidRPr="00721F08">
        <w:t xml:space="preserve"> 300 µ</w:t>
      </w:r>
      <w:proofErr w:type="spellStart"/>
      <w:r w:rsidR="000A3113" w:rsidRPr="00721F08">
        <w:t>mol</w:t>
      </w:r>
      <w:proofErr w:type="spellEnd"/>
      <w:r w:rsidR="000A3113" w:rsidRPr="00721F08">
        <w:t>/litre</w:t>
      </w:r>
      <w:r w:rsidR="000A601D" w:rsidRPr="00721F08">
        <w:t xml:space="preserve">, rather than </w:t>
      </w:r>
      <w:r w:rsidR="000A601D" w:rsidRPr="00721F08">
        <w:rPr>
          <w:rFonts w:cstheme="minorHAnsi"/>
        </w:rPr>
        <w:t>≥</w:t>
      </w:r>
      <w:r w:rsidR="000A601D" w:rsidRPr="00721F08">
        <w:t xml:space="preserve"> 360 µ</w:t>
      </w:r>
      <w:proofErr w:type="spellStart"/>
      <w:r w:rsidR="000A601D" w:rsidRPr="00721F08">
        <w:t>mol</w:t>
      </w:r>
      <w:proofErr w:type="spellEnd"/>
      <w:r w:rsidR="000A601D" w:rsidRPr="00721F08">
        <w:t>/litre</w:t>
      </w:r>
      <w:r w:rsidRPr="00721F08">
        <w:t xml:space="preserve"> (thus, the proportion of patients estimated to be eligible for treatment remained at </w:t>
      </w:r>
      <w:r w:rsidR="00E916D8">
        <w:rPr>
          <w:noProof/>
          <w:color w:val="000000"/>
          <w:highlight w:val="black"/>
        </w:rPr>
        <w:t>'''''''''</w:t>
      </w:r>
      <w:r w:rsidRPr="00721F08">
        <w:t>%)</w:t>
      </w:r>
      <w:r w:rsidR="000A601D" w:rsidRPr="00721F08">
        <w:t>. The DUSC previously considered that this overestimate</w:t>
      </w:r>
      <w:r w:rsidR="00E94106" w:rsidRPr="00721F08">
        <w:t>d</w:t>
      </w:r>
      <w:r w:rsidR="000A601D" w:rsidRPr="00721F08">
        <w:t xml:space="preserve"> the eligible population</w:t>
      </w:r>
      <w:r w:rsidR="003C682A" w:rsidRPr="00721F08">
        <w:t xml:space="preserve">, and thus the Minor Overview considered that the eligible </w:t>
      </w:r>
      <w:r w:rsidR="009811EE" w:rsidRPr="00721F08">
        <w:t>population</w:t>
      </w:r>
      <w:r w:rsidR="003C682A" w:rsidRPr="00721F08">
        <w:t xml:space="preserve"> likely remained overestimated</w:t>
      </w:r>
      <w:r w:rsidR="000A3113" w:rsidRPr="00721F08">
        <w:t xml:space="preserve">. </w:t>
      </w:r>
      <w:r w:rsidR="003C682A" w:rsidRPr="00721F08">
        <w:t xml:space="preserve">To address this, the pre-PBAC response updated the eligible population from </w:t>
      </w:r>
      <w:r w:rsidR="00E916D8">
        <w:rPr>
          <w:noProof/>
          <w:color w:val="000000"/>
          <w:highlight w:val="black"/>
        </w:rPr>
        <w:t>''''''''</w:t>
      </w:r>
      <w:r w:rsidR="003C682A" w:rsidRPr="00721F08">
        <w:t xml:space="preserve">% to </w:t>
      </w:r>
      <w:r w:rsidR="00E916D8">
        <w:rPr>
          <w:noProof/>
          <w:color w:val="000000"/>
          <w:highlight w:val="black"/>
        </w:rPr>
        <w:t>'''''</w:t>
      </w:r>
      <w:r w:rsidR="003C682A" w:rsidRPr="00721F08">
        <w:t>%.</w:t>
      </w:r>
    </w:p>
    <w:p w:rsidR="00B84B9C" w:rsidRPr="00B03A99" w:rsidRDefault="003D2CAF" w:rsidP="0039758A">
      <w:pPr>
        <w:pStyle w:val="ListParagraph"/>
        <w:numPr>
          <w:ilvl w:val="1"/>
          <w:numId w:val="3"/>
        </w:numPr>
        <w:contextualSpacing w:val="0"/>
      </w:pPr>
      <w:r w:rsidRPr="00B03A99">
        <w:rPr>
          <w:rFonts w:cstheme="minorHAnsi"/>
          <w:szCs w:val="24"/>
        </w:rPr>
        <w:lastRenderedPageBreak/>
        <w:t xml:space="preserve">The resubmission proposed that patients who commence sapropterin under the age of 18 years be allowed to continue into adulthood, but the Minor Overview noted that the sponsor had not proposed any mechanisms to improve the cost-effectiveness or reduce the financial </w:t>
      </w:r>
      <w:r w:rsidR="001E123B" w:rsidRPr="00B03A99">
        <w:rPr>
          <w:rFonts w:cstheme="minorHAnsi"/>
          <w:szCs w:val="24"/>
        </w:rPr>
        <w:t>impact in older patients. This wa</w:t>
      </w:r>
      <w:r w:rsidRPr="00B03A99">
        <w:rPr>
          <w:rFonts w:cstheme="minorHAnsi"/>
          <w:szCs w:val="24"/>
        </w:rPr>
        <w:t xml:space="preserve">s despite the benefits of sapropterin (in terms of improved neurological function) likely being lower in adults, and both the ICER and cost per patient being significantly higher in adults. </w:t>
      </w:r>
      <w:r w:rsidR="00B84B9C" w:rsidRPr="00B03A99">
        <w:t xml:space="preserve">To address these uncertainties, the pre-PBAC response proposed an RSA </w:t>
      </w:r>
      <w:r w:rsidR="00B84B9C" w:rsidRPr="00E3376E">
        <w:t xml:space="preserve">rebate such that the cost of sapropterin for patients aged ≥ 18 years is </w:t>
      </w:r>
      <w:r w:rsidR="0039758A" w:rsidRPr="00E3376E">
        <w:t xml:space="preserve">estimated </w:t>
      </w:r>
      <w:r w:rsidR="00E916D8">
        <w:rPr>
          <w:noProof/>
          <w:color w:val="000000"/>
          <w:highlight w:val="black"/>
        </w:rPr>
        <w:t>'''' '''''''''''''' '''''''''''''' ''''''''' '''''''''''''''' ''''''' ''''''''' ''''''''''' ''' ''''''''''' ''''' '''''' ''''''''''''''''''' ''''''' ''''' ''' '''''''''''''' ''''''</w:t>
      </w:r>
      <w:r w:rsidR="00B84B9C" w:rsidRPr="00F20BB4">
        <w:t>.</w:t>
      </w:r>
      <w:r w:rsidR="00B84B9C" w:rsidRPr="00B03A99">
        <w:t xml:space="preserve"> </w:t>
      </w:r>
      <w:r w:rsidR="00962CF9" w:rsidRPr="00B03A99">
        <w:t xml:space="preserve">The PBAC noted this would lower the financial impacts and </w:t>
      </w:r>
      <w:r w:rsidR="00974FC1" w:rsidRPr="00B03A99">
        <w:t>may</w:t>
      </w:r>
      <w:r w:rsidR="00962CF9" w:rsidRPr="00B03A99">
        <w:t xml:space="preserve"> improve the cost-effectiveness in patients who </w:t>
      </w:r>
      <w:r w:rsidR="00974FC1" w:rsidRPr="00B03A99">
        <w:t xml:space="preserve">continue sapropterin past the </w:t>
      </w:r>
      <w:r w:rsidR="00962CF9" w:rsidRPr="00B03A99">
        <w:t>age</w:t>
      </w:r>
      <w:r w:rsidR="00974FC1" w:rsidRPr="00B03A99">
        <w:t xml:space="preserve"> of</w:t>
      </w:r>
      <w:r w:rsidR="00962CF9" w:rsidRPr="00B03A99">
        <w:t xml:space="preserve"> 18 years.</w:t>
      </w:r>
    </w:p>
    <w:p w:rsidR="00C00DA7" w:rsidRDefault="006129FD" w:rsidP="003D2CAF">
      <w:pPr>
        <w:pStyle w:val="ListParagraph"/>
        <w:numPr>
          <w:ilvl w:val="1"/>
          <w:numId w:val="3"/>
        </w:numPr>
      </w:pPr>
      <w:r w:rsidRPr="00B03A99">
        <w:t xml:space="preserve">Table </w:t>
      </w:r>
      <w:r w:rsidR="003E72B1" w:rsidRPr="00B03A99">
        <w:t>4</w:t>
      </w:r>
      <w:r w:rsidRPr="00B03A99">
        <w:t xml:space="preserve"> summarises the estimated use and financial implications</w:t>
      </w:r>
      <w:r w:rsidR="003C682A" w:rsidRPr="00B03A99">
        <w:t xml:space="preserve"> provided in the pre-PBAC response (with </w:t>
      </w:r>
      <w:r w:rsidR="009811EE" w:rsidRPr="00B03A99">
        <w:t xml:space="preserve">the following changes as outlined above: </w:t>
      </w:r>
      <w:r w:rsidR="003D2CAF" w:rsidRPr="00B03A99">
        <w:t xml:space="preserve">reduced the eligible population </w:t>
      </w:r>
      <w:r w:rsidR="003D2CAF" w:rsidRPr="00E709DA">
        <w:t xml:space="preserve">from </w:t>
      </w:r>
      <w:r w:rsidR="00E916D8">
        <w:rPr>
          <w:noProof/>
          <w:color w:val="000000"/>
          <w:highlight w:val="black"/>
        </w:rPr>
        <w:t>'''''''''</w:t>
      </w:r>
      <w:r w:rsidR="003D2CAF" w:rsidRPr="00E709DA">
        <w:t xml:space="preserve">% to </w:t>
      </w:r>
      <w:r w:rsidR="00E916D8">
        <w:rPr>
          <w:noProof/>
          <w:color w:val="000000"/>
          <w:highlight w:val="black"/>
        </w:rPr>
        <w:t>'''''</w:t>
      </w:r>
      <w:r w:rsidR="003D2CAF" w:rsidRPr="00E709DA">
        <w:t>%; reduced</w:t>
      </w:r>
      <w:r w:rsidR="003D2CAF" w:rsidRPr="00B03A99">
        <w:t xml:space="preserve"> uptake from </w:t>
      </w:r>
      <w:r w:rsidR="00E916D8">
        <w:rPr>
          <w:noProof/>
          <w:color w:val="000000"/>
          <w:highlight w:val="black"/>
        </w:rPr>
        <w:t>'''''</w:t>
      </w:r>
      <w:r w:rsidR="003D2CAF" w:rsidRPr="00B03A99">
        <w:t xml:space="preserve">% to </w:t>
      </w:r>
      <w:r w:rsidR="00E916D8">
        <w:rPr>
          <w:noProof/>
          <w:color w:val="000000"/>
          <w:highlight w:val="black"/>
        </w:rPr>
        <w:t>'''''</w:t>
      </w:r>
      <w:r w:rsidR="003D2CAF" w:rsidRPr="00B03A99">
        <w:t xml:space="preserve">%; reduced compliance from </w:t>
      </w:r>
      <w:r w:rsidR="00E916D8">
        <w:rPr>
          <w:noProof/>
          <w:color w:val="000000"/>
          <w:highlight w:val="black"/>
        </w:rPr>
        <w:t>''''''''</w:t>
      </w:r>
      <w:r w:rsidR="003D2CAF" w:rsidRPr="00E709DA">
        <w:t xml:space="preserve">% to </w:t>
      </w:r>
      <w:r w:rsidR="00E916D8">
        <w:rPr>
          <w:noProof/>
          <w:color w:val="000000"/>
          <w:highlight w:val="black"/>
        </w:rPr>
        <w:t>'''''</w:t>
      </w:r>
      <w:r w:rsidR="003D2CAF" w:rsidRPr="00E709DA">
        <w:t>%;</w:t>
      </w:r>
      <w:r w:rsidR="003D2CAF" w:rsidRPr="00B03A99">
        <w:t xml:space="preserve"> and included a rebate for patients aged </w:t>
      </w:r>
      <w:r w:rsidR="003D2CAF" w:rsidRPr="00B03A99">
        <w:rPr>
          <w:rFonts w:cstheme="minorHAnsi"/>
        </w:rPr>
        <w:t>≥</w:t>
      </w:r>
      <w:r w:rsidR="003D2CAF" w:rsidRPr="00B03A99">
        <w:t>18 years)</w:t>
      </w:r>
      <w:r w:rsidRPr="00B03A99">
        <w:t>.</w:t>
      </w:r>
      <w:r w:rsidR="0009092D" w:rsidRPr="00B03A99">
        <w:t xml:space="preserve"> </w:t>
      </w:r>
    </w:p>
    <w:p w:rsidR="00362311" w:rsidRPr="00B03A99" w:rsidRDefault="00362311" w:rsidP="00D1325D">
      <w:pPr>
        <w:pStyle w:val="Caption"/>
        <w:keepNext/>
        <w:keepLines/>
        <w:spacing w:before="120" w:line="240" w:lineRule="auto"/>
        <w:rPr>
          <w:rFonts w:ascii="Arial Narrow" w:hAnsi="Arial Narrow"/>
          <w:sz w:val="20"/>
          <w:szCs w:val="20"/>
          <w:vertAlign w:val="superscript"/>
        </w:rPr>
      </w:pPr>
      <w:r w:rsidRPr="00B03A99">
        <w:rPr>
          <w:rFonts w:ascii="Arial Narrow" w:hAnsi="Arial Narrow"/>
          <w:sz w:val="20"/>
          <w:szCs w:val="20"/>
        </w:rPr>
        <w:lastRenderedPageBreak/>
        <w:t xml:space="preserve">Table 4: Estimated use and financial implications of listing sapropterin – as proposed in pre-PBAC response </w:t>
      </w:r>
      <w:r w:rsidRPr="00B03A99">
        <w:rPr>
          <w:rFonts w:ascii="Arial Narrow" w:hAnsi="Arial Narrow" w:cstheme="minorHAnsi"/>
          <w:b w:val="0"/>
          <w:sz w:val="20"/>
          <w:szCs w:val="20"/>
          <w:vertAlign w:val="superscript"/>
        </w:rPr>
        <w:t>a</w:t>
      </w:r>
    </w:p>
    <w:tbl>
      <w:tblPr>
        <w:tblStyle w:val="Summarybox8"/>
        <w:tblW w:w="5000" w:type="pct"/>
        <w:jc w:val="center"/>
        <w:tblLayout w:type="fixed"/>
        <w:tblLook w:val="04A0" w:firstRow="1" w:lastRow="0" w:firstColumn="1" w:lastColumn="0" w:noHBand="0" w:noVBand="1"/>
        <w:tblCaption w:val="Table 4: Estimated use and financial implications of listing sapropterin – as proposed in pre-PBAC response"/>
      </w:tblPr>
      <w:tblGrid>
        <w:gridCol w:w="2458"/>
        <w:gridCol w:w="1120"/>
        <w:gridCol w:w="1122"/>
        <w:gridCol w:w="1120"/>
        <w:gridCol w:w="1122"/>
        <w:gridCol w:w="1120"/>
        <w:gridCol w:w="1120"/>
      </w:tblGrid>
      <w:tr w:rsidR="00362311" w:rsidRPr="00B03A99" w:rsidTr="00D97994">
        <w:trPr>
          <w:tblHeader/>
          <w:jc w:val="center"/>
        </w:trPr>
        <w:tc>
          <w:tcPr>
            <w:tcW w:w="1338" w:type="pct"/>
            <w:shd w:val="clear" w:color="auto" w:fill="FFFFFF" w:themeFill="background1"/>
            <w:vAlign w:val="center"/>
          </w:tcPr>
          <w:p w:rsidR="00362311" w:rsidRPr="00B03A99" w:rsidRDefault="00362311" w:rsidP="00D1325D">
            <w:pPr>
              <w:keepNext/>
              <w:keepLines/>
              <w:contextualSpacing/>
              <w:rPr>
                <w:rFonts w:ascii="Arial Narrow" w:hAnsi="Arial Narrow" w:cstheme="minorHAnsi"/>
                <w:b/>
                <w:sz w:val="20"/>
                <w:szCs w:val="20"/>
              </w:rPr>
            </w:pPr>
          </w:p>
        </w:tc>
        <w:tc>
          <w:tcPr>
            <w:tcW w:w="610" w:type="pct"/>
            <w:shd w:val="clear" w:color="auto" w:fill="FFFFFF" w:themeFill="background1"/>
            <w:vAlign w:val="center"/>
          </w:tcPr>
          <w:p w:rsidR="00362311" w:rsidRPr="00B03A99" w:rsidRDefault="00362311" w:rsidP="00D1325D">
            <w:pPr>
              <w:keepNext/>
              <w:keepLines/>
              <w:contextualSpacing/>
              <w:jc w:val="center"/>
              <w:rPr>
                <w:rFonts w:ascii="Arial Narrow" w:hAnsi="Arial Narrow" w:cstheme="minorHAnsi"/>
                <w:b/>
                <w:sz w:val="20"/>
                <w:szCs w:val="20"/>
              </w:rPr>
            </w:pPr>
            <w:r w:rsidRPr="00B03A99">
              <w:rPr>
                <w:rFonts w:ascii="Arial Narrow" w:hAnsi="Arial Narrow" w:cstheme="minorHAnsi"/>
                <w:b/>
                <w:sz w:val="20"/>
                <w:szCs w:val="20"/>
              </w:rPr>
              <w:t>Year 1</w:t>
            </w:r>
          </w:p>
        </w:tc>
        <w:tc>
          <w:tcPr>
            <w:tcW w:w="611" w:type="pct"/>
            <w:shd w:val="clear" w:color="auto" w:fill="FFFFFF" w:themeFill="background1"/>
            <w:vAlign w:val="center"/>
          </w:tcPr>
          <w:p w:rsidR="00362311" w:rsidRPr="00B03A99" w:rsidRDefault="00362311" w:rsidP="00D1325D">
            <w:pPr>
              <w:keepNext/>
              <w:keepLines/>
              <w:contextualSpacing/>
              <w:jc w:val="center"/>
              <w:rPr>
                <w:rFonts w:ascii="Arial Narrow" w:hAnsi="Arial Narrow" w:cstheme="minorHAnsi"/>
                <w:b/>
                <w:sz w:val="20"/>
                <w:szCs w:val="20"/>
              </w:rPr>
            </w:pPr>
            <w:r w:rsidRPr="00B03A99">
              <w:rPr>
                <w:rFonts w:ascii="Arial Narrow" w:hAnsi="Arial Narrow" w:cstheme="minorHAnsi"/>
                <w:b/>
                <w:sz w:val="20"/>
                <w:szCs w:val="20"/>
              </w:rPr>
              <w:t>Year 2</w:t>
            </w:r>
          </w:p>
        </w:tc>
        <w:tc>
          <w:tcPr>
            <w:tcW w:w="610" w:type="pct"/>
            <w:shd w:val="clear" w:color="auto" w:fill="FFFFFF" w:themeFill="background1"/>
            <w:vAlign w:val="center"/>
          </w:tcPr>
          <w:p w:rsidR="00362311" w:rsidRPr="00B03A99" w:rsidRDefault="00362311" w:rsidP="00D1325D">
            <w:pPr>
              <w:keepNext/>
              <w:keepLines/>
              <w:contextualSpacing/>
              <w:jc w:val="center"/>
              <w:rPr>
                <w:rFonts w:ascii="Arial Narrow" w:hAnsi="Arial Narrow" w:cstheme="minorHAnsi"/>
                <w:b/>
                <w:sz w:val="20"/>
                <w:szCs w:val="20"/>
              </w:rPr>
            </w:pPr>
            <w:r w:rsidRPr="00B03A99">
              <w:rPr>
                <w:rFonts w:ascii="Arial Narrow" w:hAnsi="Arial Narrow" w:cstheme="minorHAnsi"/>
                <w:b/>
                <w:sz w:val="20"/>
                <w:szCs w:val="20"/>
              </w:rPr>
              <w:t>Year 3</w:t>
            </w:r>
          </w:p>
        </w:tc>
        <w:tc>
          <w:tcPr>
            <w:tcW w:w="611" w:type="pct"/>
            <w:shd w:val="clear" w:color="auto" w:fill="FFFFFF" w:themeFill="background1"/>
            <w:vAlign w:val="center"/>
          </w:tcPr>
          <w:p w:rsidR="00362311" w:rsidRPr="00B03A99" w:rsidRDefault="00362311" w:rsidP="00D1325D">
            <w:pPr>
              <w:keepNext/>
              <w:keepLines/>
              <w:contextualSpacing/>
              <w:jc w:val="center"/>
              <w:rPr>
                <w:rFonts w:ascii="Arial Narrow" w:hAnsi="Arial Narrow" w:cstheme="minorHAnsi"/>
                <w:b/>
                <w:sz w:val="20"/>
                <w:szCs w:val="20"/>
              </w:rPr>
            </w:pPr>
            <w:r w:rsidRPr="00B03A99">
              <w:rPr>
                <w:rFonts w:ascii="Arial Narrow" w:hAnsi="Arial Narrow" w:cstheme="minorHAnsi"/>
                <w:b/>
                <w:sz w:val="20"/>
                <w:szCs w:val="20"/>
              </w:rPr>
              <w:t>Year 4</w:t>
            </w:r>
          </w:p>
        </w:tc>
        <w:tc>
          <w:tcPr>
            <w:tcW w:w="610" w:type="pct"/>
            <w:shd w:val="clear" w:color="auto" w:fill="FFFFFF" w:themeFill="background1"/>
            <w:vAlign w:val="center"/>
          </w:tcPr>
          <w:p w:rsidR="00362311" w:rsidRPr="00B03A99" w:rsidRDefault="00362311" w:rsidP="00D1325D">
            <w:pPr>
              <w:keepNext/>
              <w:keepLines/>
              <w:contextualSpacing/>
              <w:jc w:val="center"/>
              <w:rPr>
                <w:rFonts w:ascii="Arial Narrow" w:hAnsi="Arial Narrow" w:cstheme="minorHAnsi"/>
                <w:b/>
                <w:sz w:val="20"/>
                <w:szCs w:val="20"/>
              </w:rPr>
            </w:pPr>
            <w:r w:rsidRPr="00B03A99">
              <w:rPr>
                <w:rFonts w:ascii="Arial Narrow" w:hAnsi="Arial Narrow" w:cstheme="minorHAnsi"/>
                <w:b/>
                <w:sz w:val="20"/>
                <w:szCs w:val="20"/>
              </w:rPr>
              <w:t>Year 5</w:t>
            </w:r>
          </w:p>
        </w:tc>
        <w:tc>
          <w:tcPr>
            <w:tcW w:w="610" w:type="pct"/>
            <w:shd w:val="clear" w:color="auto" w:fill="auto"/>
            <w:vAlign w:val="center"/>
          </w:tcPr>
          <w:p w:rsidR="00362311" w:rsidRPr="00B03A99" w:rsidRDefault="00362311" w:rsidP="00D1325D">
            <w:pPr>
              <w:keepNext/>
              <w:keepLines/>
              <w:contextualSpacing/>
              <w:jc w:val="center"/>
              <w:rPr>
                <w:rFonts w:ascii="Arial Narrow" w:hAnsi="Arial Narrow" w:cstheme="minorHAnsi"/>
                <w:b/>
                <w:sz w:val="20"/>
                <w:szCs w:val="20"/>
              </w:rPr>
            </w:pPr>
            <w:r w:rsidRPr="00B03A99">
              <w:rPr>
                <w:rFonts w:ascii="Arial Narrow" w:hAnsi="Arial Narrow" w:cstheme="minorHAnsi"/>
                <w:b/>
                <w:sz w:val="20"/>
                <w:szCs w:val="20"/>
              </w:rPr>
              <w:t>Year 6</w:t>
            </w:r>
          </w:p>
        </w:tc>
      </w:tr>
      <w:tr w:rsidR="00362311" w:rsidRPr="00B03A99" w:rsidTr="00D97994">
        <w:trPr>
          <w:tblHeader/>
          <w:jc w:val="center"/>
        </w:trPr>
        <w:tc>
          <w:tcPr>
            <w:tcW w:w="5000" w:type="pct"/>
            <w:gridSpan w:val="7"/>
            <w:shd w:val="clear" w:color="auto" w:fill="FFFFFF" w:themeFill="background1"/>
          </w:tcPr>
          <w:p w:rsidR="00362311" w:rsidRPr="00B03A99" w:rsidRDefault="00362311" w:rsidP="00D1325D">
            <w:pPr>
              <w:keepNext/>
              <w:keepLines/>
              <w:rPr>
                <w:rFonts w:ascii="Arial Narrow" w:hAnsi="Arial Narrow" w:cs="Calibri"/>
                <w:color w:val="000000"/>
                <w:sz w:val="20"/>
                <w:szCs w:val="20"/>
              </w:rPr>
            </w:pPr>
            <w:r w:rsidRPr="00B03A99">
              <w:rPr>
                <w:rFonts w:ascii="Arial Narrow" w:hAnsi="Arial Narrow" w:cstheme="minorHAnsi"/>
                <w:b/>
                <w:sz w:val="20"/>
                <w:szCs w:val="20"/>
              </w:rPr>
              <w:t>Estimated extent of use</w:t>
            </w:r>
          </w:p>
        </w:tc>
      </w:tr>
      <w:tr w:rsidR="00362311" w:rsidRPr="00B03A99" w:rsidTr="00D97994">
        <w:trPr>
          <w:tblHeader/>
          <w:jc w:val="center"/>
        </w:trPr>
        <w:tc>
          <w:tcPr>
            <w:tcW w:w="1338" w:type="pct"/>
            <w:shd w:val="clear" w:color="auto" w:fill="FFFFFF" w:themeFill="background1"/>
          </w:tcPr>
          <w:p w:rsidR="00362311" w:rsidRPr="00B03A99" w:rsidRDefault="00362311" w:rsidP="00D1325D">
            <w:pPr>
              <w:keepNext/>
              <w:keepLines/>
              <w:rPr>
                <w:rFonts w:ascii="Arial Narrow" w:hAnsi="Arial Narrow" w:cs="Calibri"/>
                <w:color w:val="000000"/>
                <w:sz w:val="20"/>
                <w:szCs w:val="20"/>
              </w:rPr>
            </w:pPr>
            <w:r w:rsidRPr="00B03A99">
              <w:rPr>
                <w:rFonts w:ascii="Arial Narrow" w:hAnsi="Arial Narrow" w:cs="Calibri"/>
                <w:color w:val="000000"/>
                <w:sz w:val="20"/>
                <w:szCs w:val="20"/>
              </w:rPr>
              <w:t>No. patients - initial testing</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2311" w:rsidRPr="00B03A99" w:rsidTr="00D97994">
        <w:trPr>
          <w:tblHeader/>
          <w:jc w:val="center"/>
        </w:trPr>
        <w:tc>
          <w:tcPr>
            <w:tcW w:w="1338" w:type="pct"/>
            <w:shd w:val="clear" w:color="auto" w:fill="FFFFFF" w:themeFill="background1"/>
          </w:tcPr>
          <w:p w:rsidR="00362311" w:rsidRPr="00B03A99" w:rsidRDefault="00362311" w:rsidP="00D1325D">
            <w:pPr>
              <w:keepNext/>
              <w:keepLines/>
              <w:rPr>
                <w:rFonts w:ascii="Arial Narrow" w:hAnsi="Arial Narrow" w:cs="Calibri"/>
                <w:color w:val="000000"/>
                <w:sz w:val="20"/>
                <w:szCs w:val="20"/>
              </w:rPr>
            </w:pPr>
            <w:r w:rsidRPr="00B03A99">
              <w:rPr>
                <w:rFonts w:ascii="Arial Narrow" w:hAnsi="Arial Narrow" w:cs="Calibri"/>
                <w:color w:val="000000"/>
                <w:sz w:val="20"/>
                <w:szCs w:val="20"/>
              </w:rPr>
              <w:t>No. scripts - initial testing</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2311" w:rsidRPr="00B03A99" w:rsidTr="00D97994">
        <w:trPr>
          <w:tblHeader/>
          <w:jc w:val="center"/>
        </w:trPr>
        <w:tc>
          <w:tcPr>
            <w:tcW w:w="1338" w:type="pct"/>
            <w:shd w:val="clear" w:color="auto" w:fill="FFFFFF" w:themeFill="background1"/>
          </w:tcPr>
          <w:p w:rsidR="00362311" w:rsidRPr="00B03A99" w:rsidRDefault="00362311" w:rsidP="00D1325D">
            <w:pPr>
              <w:keepNext/>
              <w:keepLines/>
              <w:rPr>
                <w:rFonts w:ascii="Arial Narrow" w:hAnsi="Arial Narrow" w:cs="Calibri"/>
                <w:color w:val="000000"/>
                <w:sz w:val="20"/>
                <w:szCs w:val="20"/>
              </w:rPr>
            </w:pPr>
            <w:r w:rsidRPr="00B03A99">
              <w:rPr>
                <w:rFonts w:ascii="Arial Narrow" w:hAnsi="Arial Narrow" w:cs="Calibri"/>
                <w:color w:val="000000"/>
                <w:sz w:val="20"/>
                <w:szCs w:val="20"/>
              </w:rPr>
              <w:t>No. patients - maintenance</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2311" w:rsidRPr="00B03A99" w:rsidTr="00D97994">
        <w:trPr>
          <w:tblHeader/>
          <w:jc w:val="center"/>
        </w:trPr>
        <w:tc>
          <w:tcPr>
            <w:tcW w:w="1338" w:type="pct"/>
            <w:shd w:val="clear" w:color="auto" w:fill="FFFFFF" w:themeFill="background1"/>
            <w:vAlign w:val="center"/>
          </w:tcPr>
          <w:p w:rsidR="00362311" w:rsidRPr="00B03A99" w:rsidRDefault="00362311" w:rsidP="00D1325D">
            <w:pPr>
              <w:keepNext/>
              <w:keepLines/>
              <w:contextualSpacing/>
              <w:rPr>
                <w:rFonts w:ascii="Arial Narrow" w:hAnsi="Arial Narrow" w:cstheme="minorHAnsi"/>
                <w:b/>
                <w:sz w:val="20"/>
                <w:szCs w:val="20"/>
              </w:rPr>
            </w:pPr>
            <w:r w:rsidRPr="00B03A99">
              <w:rPr>
                <w:rFonts w:ascii="Arial Narrow" w:hAnsi="Arial Narrow" w:cs="Calibri"/>
                <w:color w:val="000000"/>
                <w:sz w:val="20"/>
                <w:szCs w:val="20"/>
              </w:rPr>
              <w:t>No. scripts  - maintenance</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2311" w:rsidRPr="00B03A99" w:rsidTr="00D97994">
        <w:trPr>
          <w:tblHeader/>
          <w:jc w:val="center"/>
        </w:trPr>
        <w:tc>
          <w:tcPr>
            <w:tcW w:w="1338" w:type="pct"/>
            <w:shd w:val="clear" w:color="auto" w:fill="FFFFFF" w:themeFill="background1"/>
            <w:vAlign w:val="center"/>
          </w:tcPr>
          <w:p w:rsidR="00362311" w:rsidRPr="00B03A99" w:rsidRDefault="00362311" w:rsidP="00D1325D">
            <w:pPr>
              <w:keepNext/>
              <w:keepLines/>
              <w:contextualSpacing/>
              <w:rPr>
                <w:rFonts w:ascii="Arial Narrow" w:hAnsi="Arial Narrow" w:cs="Calibri"/>
                <w:color w:val="000000"/>
                <w:sz w:val="20"/>
                <w:szCs w:val="20"/>
              </w:rPr>
            </w:pPr>
            <w:r w:rsidRPr="00B03A99">
              <w:rPr>
                <w:rFonts w:ascii="Arial Narrow" w:hAnsi="Arial Narrow" w:cs="Calibri"/>
                <w:color w:val="000000"/>
                <w:sz w:val="20"/>
                <w:szCs w:val="20"/>
              </w:rPr>
              <w:t>Total no. scripts dispensed</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bottom"/>
          </w:tcPr>
          <w:p w:rsidR="00362311" w:rsidRPr="00E916D8" w:rsidRDefault="00E916D8" w:rsidP="00D1325D">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2311" w:rsidRPr="00B03A99" w:rsidTr="00D97994">
        <w:trPr>
          <w:jc w:val="center"/>
        </w:trPr>
        <w:tc>
          <w:tcPr>
            <w:tcW w:w="5000" w:type="pct"/>
            <w:gridSpan w:val="7"/>
            <w:shd w:val="clear" w:color="auto" w:fill="FFFFFF" w:themeFill="background1"/>
            <w:vAlign w:val="center"/>
          </w:tcPr>
          <w:p w:rsidR="00362311" w:rsidRPr="00B03A99" w:rsidRDefault="00362311" w:rsidP="00D1325D">
            <w:pPr>
              <w:keepNext/>
              <w:keepLines/>
              <w:contextualSpacing/>
              <w:rPr>
                <w:rFonts w:ascii="Arial Narrow" w:hAnsi="Arial Narrow" w:cstheme="minorHAnsi"/>
                <w:b/>
                <w:sz w:val="20"/>
                <w:szCs w:val="20"/>
                <w:vertAlign w:val="superscript"/>
              </w:rPr>
            </w:pPr>
            <w:r w:rsidRPr="00B03A99">
              <w:rPr>
                <w:rFonts w:ascii="Arial Narrow" w:hAnsi="Arial Narrow" w:cstheme="minorHAnsi"/>
                <w:b/>
                <w:sz w:val="20"/>
                <w:szCs w:val="20"/>
              </w:rPr>
              <w:t xml:space="preserve">Estimated financial implications of sapropterin at effective price </w:t>
            </w:r>
          </w:p>
        </w:tc>
      </w:tr>
      <w:tr w:rsidR="00362311" w:rsidRPr="00B03A99" w:rsidTr="00D97994">
        <w:trPr>
          <w:jc w:val="center"/>
        </w:trPr>
        <w:tc>
          <w:tcPr>
            <w:tcW w:w="1338" w:type="pct"/>
            <w:shd w:val="clear" w:color="auto" w:fill="FFFFFF" w:themeFill="background1"/>
          </w:tcPr>
          <w:p w:rsidR="00362311" w:rsidRPr="00B03A99" w:rsidRDefault="00362311" w:rsidP="00D1325D">
            <w:pPr>
              <w:keepNext/>
              <w:keepLines/>
              <w:contextualSpacing/>
              <w:rPr>
                <w:rFonts w:ascii="Arial Narrow" w:hAnsi="Arial Narrow" w:cstheme="minorHAnsi"/>
                <w:sz w:val="20"/>
                <w:szCs w:val="20"/>
              </w:rPr>
            </w:pPr>
            <w:r w:rsidRPr="00B03A99">
              <w:rPr>
                <w:rFonts w:ascii="Arial Narrow" w:hAnsi="Arial Narrow"/>
                <w:sz w:val="20"/>
                <w:szCs w:val="20"/>
              </w:rPr>
              <w:t>Cost to PBS less co-payments</w:t>
            </w:r>
          </w:p>
        </w:tc>
        <w:tc>
          <w:tcPr>
            <w:tcW w:w="610" w:type="pct"/>
            <w:shd w:val="clear" w:color="auto" w:fill="FFFFFF" w:themeFill="background1"/>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1" w:type="pct"/>
            <w:shd w:val="clear" w:color="auto" w:fill="FFFFFF" w:themeFill="background1"/>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shd w:val="clear" w:color="auto" w:fill="FFFFFF" w:themeFill="background1"/>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1" w:type="pct"/>
            <w:shd w:val="clear" w:color="auto" w:fill="FFFFFF" w:themeFill="background1"/>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shd w:val="clear" w:color="auto" w:fill="FFFFFF" w:themeFill="background1"/>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r>
      <w:tr w:rsidR="00362311" w:rsidRPr="00B03A99" w:rsidTr="00D97994">
        <w:trPr>
          <w:jc w:val="center"/>
        </w:trPr>
        <w:tc>
          <w:tcPr>
            <w:tcW w:w="5000" w:type="pct"/>
            <w:gridSpan w:val="7"/>
            <w:shd w:val="clear" w:color="auto" w:fill="FFFFFF" w:themeFill="background1"/>
          </w:tcPr>
          <w:p w:rsidR="00362311" w:rsidRPr="00B03A99" w:rsidRDefault="00362311" w:rsidP="00D1325D">
            <w:pPr>
              <w:keepNext/>
              <w:keepLines/>
              <w:rPr>
                <w:rFonts w:ascii="Arial Narrow" w:hAnsi="Arial Narrow"/>
                <w:b/>
                <w:sz w:val="20"/>
                <w:szCs w:val="20"/>
              </w:rPr>
            </w:pPr>
            <w:r w:rsidRPr="00B03A99">
              <w:rPr>
                <w:rFonts w:ascii="Arial Narrow" w:hAnsi="Arial Narrow"/>
                <w:b/>
                <w:sz w:val="20"/>
                <w:szCs w:val="20"/>
              </w:rPr>
              <w:t>Rebates proposed in pre-PBAC response</w:t>
            </w:r>
          </w:p>
        </w:tc>
      </w:tr>
      <w:tr w:rsidR="00362311" w:rsidRPr="00B03A99" w:rsidTr="00D97994">
        <w:trPr>
          <w:jc w:val="center"/>
        </w:trPr>
        <w:tc>
          <w:tcPr>
            <w:tcW w:w="1338" w:type="pct"/>
            <w:shd w:val="clear" w:color="auto" w:fill="FFFFFF" w:themeFill="background1"/>
          </w:tcPr>
          <w:p w:rsidR="00362311" w:rsidRPr="00B03A99" w:rsidRDefault="00362311" w:rsidP="00D1325D">
            <w:pPr>
              <w:keepNext/>
              <w:keepLines/>
              <w:contextualSpacing/>
              <w:rPr>
                <w:rFonts w:ascii="Arial Narrow" w:hAnsi="Arial Narrow"/>
                <w:sz w:val="20"/>
                <w:szCs w:val="20"/>
              </w:rPr>
            </w:pPr>
            <w:r w:rsidRPr="00B03A99">
              <w:rPr>
                <w:rFonts w:ascii="Arial Narrow" w:hAnsi="Arial Narrow"/>
                <w:sz w:val="20"/>
                <w:szCs w:val="20"/>
              </w:rPr>
              <w:t>Rebate for patients ≥18 years</w:t>
            </w:r>
          </w:p>
        </w:tc>
        <w:tc>
          <w:tcPr>
            <w:tcW w:w="610"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r>
      <w:tr w:rsidR="00362311" w:rsidRPr="00B03A99" w:rsidTr="00D97994">
        <w:trPr>
          <w:jc w:val="center"/>
        </w:trPr>
        <w:tc>
          <w:tcPr>
            <w:tcW w:w="1338" w:type="pct"/>
            <w:shd w:val="clear" w:color="auto" w:fill="FFFFFF" w:themeFill="background1"/>
          </w:tcPr>
          <w:p w:rsidR="00362311" w:rsidRPr="00B03A99" w:rsidRDefault="00362311" w:rsidP="00D1325D">
            <w:pPr>
              <w:keepNext/>
              <w:keepLines/>
              <w:contextualSpacing/>
              <w:rPr>
                <w:rFonts w:ascii="Arial Narrow" w:hAnsi="Arial Narrow"/>
                <w:sz w:val="20"/>
                <w:szCs w:val="20"/>
              </w:rPr>
            </w:pPr>
            <w:r w:rsidRPr="00B03A99">
              <w:rPr>
                <w:rFonts w:ascii="Arial Narrow" w:hAnsi="Arial Narrow"/>
                <w:sz w:val="20"/>
                <w:szCs w:val="20"/>
              </w:rPr>
              <w:t>Rebate for responsiveness testing</w:t>
            </w:r>
          </w:p>
        </w:tc>
        <w:tc>
          <w:tcPr>
            <w:tcW w:w="610"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vAlign w:val="bottom"/>
          </w:tcPr>
          <w:p w:rsidR="00362311" w:rsidRPr="00B03A99" w:rsidRDefault="00362311" w:rsidP="00D1325D">
            <w:pPr>
              <w:keepNext/>
              <w:keepLines/>
              <w:jc w:val="center"/>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r>
      <w:tr w:rsidR="00362311" w:rsidRPr="00B03A99" w:rsidTr="00D97994">
        <w:trPr>
          <w:jc w:val="center"/>
        </w:trPr>
        <w:tc>
          <w:tcPr>
            <w:tcW w:w="5000" w:type="pct"/>
            <w:gridSpan w:val="7"/>
            <w:shd w:val="clear" w:color="auto" w:fill="FFFFFF" w:themeFill="background1"/>
          </w:tcPr>
          <w:p w:rsidR="00362311" w:rsidRPr="00B03A99" w:rsidRDefault="00362311" w:rsidP="00D1325D">
            <w:pPr>
              <w:keepNext/>
              <w:keepLines/>
              <w:contextualSpacing/>
              <w:rPr>
                <w:rFonts w:ascii="Arial Narrow" w:hAnsi="Arial Narrow" w:cs="Calibri"/>
                <w:color w:val="000000"/>
                <w:sz w:val="20"/>
                <w:szCs w:val="20"/>
              </w:rPr>
            </w:pPr>
            <w:r w:rsidRPr="00B03A99">
              <w:rPr>
                <w:rFonts w:ascii="Arial Narrow" w:hAnsi="Arial Narrow" w:cstheme="minorHAnsi"/>
                <w:b/>
                <w:sz w:val="20"/>
                <w:szCs w:val="20"/>
              </w:rPr>
              <w:t xml:space="preserve">Net cost of sapropterin including both rebates </w:t>
            </w:r>
          </w:p>
        </w:tc>
      </w:tr>
      <w:tr w:rsidR="00362311" w:rsidRPr="00B03A99" w:rsidTr="00D97994">
        <w:trPr>
          <w:jc w:val="center"/>
        </w:trPr>
        <w:tc>
          <w:tcPr>
            <w:tcW w:w="1338" w:type="pct"/>
            <w:shd w:val="clear" w:color="auto" w:fill="FFFFFF" w:themeFill="background1"/>
          </w:tcPr>
          <w:p w:rsidR="00362311" w:rsidRPr="00B03A99" w:rsidRDefault="00362311" w:rsidP="00D1325D">
            <w:pPr>
              <w:keepNext/>
              <w:keepLines/>
              <w:contextualSpacing/>
              <w:rPr>
                <w:rFonts w:ascii="Arial Narrow" w:hAnsi="Arial Narrow"/>
                <w:sz w:val="20"/>
                <w:szCs w:val="20"/>
                <w:vertAlign w:val="superscript"/>
              </w:rPr>
            </w:pPr>
            <w:r w:rsidRPr="00B03A99">
              <w:rPr>
                <w:rFonts w:ascii="Arial Narrow" w:hAnsi="Arial Narrow"/>
                <w:sz w:val="20"/>
                <w:szCs w:val="20"/>
              </w:rPr>
              <w:t>Net cost to PBS (RSA cap)</w:t>
            </w:r>
          </w:p>
        </w:tc>
        <w:tc>
          <w:tcPr>
            <w:tcW w:w="610" w:type="pct"/>
            <w:shd w:val="clear" w:color="auto" w:fill="FFFFFF" w:themeFill="background1"/>
            <w:vAlign w:val="bottom"/>
          </w:tcPr>
          <w:p w:rsidR="00362311" w:rsidRPr="00B03A99" w:rsidRDefault="00362311" w:rsidP="00D1325D">
            <w:pPr>
              <w:keepNext/>
              <w:keepLines/>
              <w:jc w:val="right"/>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B03A99" w:rsidRDefault="00362311" w:rsidP="00D1325D">
            <w:pPr>
              <w:keepNext/>
              <w:keepLines/>
              <w:jc w:val="right"/>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B03A99" w:rsidRDefault="00362311" w:rsidP="00D1325D">
            <w:pPr>
              <w:keepNext/>
              <w:keepLines/>
              <w:jc w:val="right"/>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1" w:type="pct"/>
            <w:shd w:val="clear" w:color="auto" w:fill="FFFFFF" w:themeFill="background1"/>
            <w:vAlign w:val="bottom"/>
          </w:tcPr>
          <w:p w:rsidR="00362311" w:rsidRPr="00B03A99" w:rsidRDefault="00362311" w:rsidP="00D1325D">
            <w:pPr>
              <w:keepNext/>
              <w:keepLines/>
              <w:jc w:val="right"/>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shd w:val="clear" w:color="auto" w:fill="FFFFFF" w:themeFill="background1"/>
            <w:vAlign w:val="bottom"/>
          </w:tcPr>
          <w:p w:rsidR="00362311" w:rsidRPr="00B03A99" w:rsidRDefault="00362311" w:rsidP="00D1325D">
            <w:pPr>
              <w:keepNext/>
              <w:keepLines/>
              <w:jc w:val="right"/>
              <w:rPr>
                <w:rFonts w:ascii="Arial Narrow" w:hAnsi="Arial Narrow"/>
                <w:sz w:val="20"/>
                <w:szCs w:val="20"/>
              </w:rPr>
            </w:pPr>
            <w:r w:rsidRPr="00B03A99">
              <w:rPr>
                <w:rFonts w:ascii="Arial Narrow" w:hAnsi="Arial Narrow"/>
                <w:sz w:val="20"/>
                <w:szCs w:val="20"/>
              </w:rPr>
              <w:t>$</w:t>
            </w:r>
            <w:r w:rsidR="00E916D8">
              <w:rPr>
                <w:rFonts w:ascii="Arial Narrow" w:hAnsi="Arial Narrow"/>
                <w:noProof/>
                <w:color w:val="000000"/>
                <w:sz w:val="20"/>
                <w:szCs w:val="20"/>
                <w:highlight w:val="black"/>
              </w:rPr>
              <w:t>''''''''''''''''''''''</w:t>
            </w:r>
          </w:p>
        </w:tc>
        <w:tc>
          <w:tcPr>
            <w:tcW w:w="610" w:type="pct"/>
            <w:vAlign w:val="bottom"/>
          </w:tcPr>
          <w:p w:rsidR="00362311" w:rsidRPr="00B03A99" w:rsidRDefault="00362311" w:rsidP="00D1325D">
            <w:pPr>
              <w:keepNext/>
              <w:keepLines/>
              <w:jc w:val="right"/>
              <w:rPr>
                <w:rFonts w:ascii="Arial Narrow" w:hAnsi="Arial Narrow"/>
                <w:sz w:val="20"/>
                <w:szCs w:val="20"/>
              </w:rPr>
            </w:pPr>
            <w:r w:rsidRPr="009E2D13">
              <w:rPr>
                <w:rFonts w:ascii="Arial Narrow" w:hAnsi="Arial Narrow"/>
                <w:sz w:val="20"/>
                <w:szCs w:val="20"/>
              </w:rPr>
              <w:t>$</w:t>
            </w:r>
            <w:r w:rsidR="00E916D8">
              <w:rPr>
                <w:rFonts w:ascii="Arial Narrow" w:hAnsi="Arial Narrow"/>
                <w:noProof/>
                <w:color w:val="000000"/>
                <w:sz w:val="20"/>
                <w:szCs w:val="20"/>
                <w:highlight w:val="black"/>
              </w:rPr>
              <w:t>'''''''''''''''''''''''''</w:t>
            </w:r>
          </w:p>
        </w:tc>
      </w:tr>
      <w:tr w:rsidR="00362311" w:rsidRPr="00B03A99" w:rsidTr="00D97994">
        <w:trPr>
          <w:jc w:val="center"/>
        </w:trPr>
        <w:tc>
          <w:tcPr>
            <w:tcW w:w="1338" w:type="pct"/>
          </w:tcPr>
          <w:p w:rsidR="00362311" w:rsidRPr="00B03A99" w:rsidRDefault="00362311" w:rsidP="00D1325D">
            <w:pPr>
              <w:keepNext/>
              <w:keepLines/>
              <w:contextualSpacing/>
              <w:rPr>
                <w:rFonts w:ascii="Arial Narrow" w:hAnsi="Arial Narrow"/>
                <w:sz w:val="20"/>
                <w:szCs w:val="20"/>
              </w:rPr>
            </w:pPr>
            <w:r w:rsidRPr="00B03A99">
              <w:rPr>
                <w:rFonts w:ascii="Arial Narrow" w:hAnsi="Arial Narrow"/>
                <w:sz w:val="20"/>
                <w:szCs w:val="20"/>
              </w:rPr>
              <w:t>Cost to MBS</w:t>
            </w:r>
          </w:p>
        </w:tc>
        <w:tc>
          <w:tcPr>
            <w:tcW w:w="610"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r>
      <w:tr w:rsidR="00362311" w:rsidRPr="00B03A99" w:rsidTr="00D97994">
        <w:trPr>
          <w:jc w:val="center"/>
        </w:trPr>
        <w:tc>
          <w:tcPr>
            <w:tcW w:w="1338" w:type="pct"/>
          </w:tcPr>
          <w:p w:rsidR="00362311" w:rsidRPr="00B03A99" w:rsidRDefault="00362311" w:rsidP="00D1325D">
            <w:pPr>
              <w:keepNext/>
              <w:keepLines/>
              <w:contextualSpacing/>
              <w:rPr>
                <w:rFonts w:ascii="Arial Narrow" w:hAnsi="Arial Narrow"/>
                <w:sz w:val="20"/>
                <w:szCs w:val="20"/>
              </w:rPr>
            </w:pPr>
            <w:r w:rsidRPr="00B03A99">
              <w:rPr>
                <w:rFonts w:ascii="Arial Narrow" w:hAnsi="Arial Narrow" w:cs="Calibri"/>
                <w:color w:val="000000"/>
                <w:sz w:val="20"/>
                <w:szCs w:val="20"/>
              </w:rPr>
              <w:t>Net cost to PBS/MBS</w:t>
            </w:r>
          </w:p>
        </w:tc>
        <w:tc>
          <w:tcPr>
            <w:tcW w:w="610"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vAlign w:val="bottom"/>
          </w:tcPr>
          <w:p w:rsidR="00362311" w:rsidRPr="00B03A99" w:rsidRDefault="00362311" w:rsidP="00D1325D">
            <w:pPr>
              <w:keepNext/>
              <w:keepLines/>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r>
      <w:tr w:rsidR="00362311" w:rsidRPr="00B03A99" w:rsidTr="00E3376E">
        <w:trPr>
          <w:jc w:val="center"/>
        </w:trPr>
        <w:tc>
          <w:tcPr>
            <w:tcW w:w="5000" w:type="pct"/>
            <w:gridSpan w:val="7"/>
            <w:shd w:val="clear" w:color="auto" w:fill="auto"/>
          </w:tcPr>
          <w:p w:rsidR="00362311" w:rsidRPr="00B03A99" w:rsidRDefault="00362311" w:rsidP="00D1325D">
            <w:pPr>
              <w:keepNext/>
              <w:keepLines/>
              <w:rPr>
                <w:rFonts w:ascii="Arial Narrow" w:hAnsi="Arial Narrow" w:cs="Calibri"/>
                <w:b/>
                <w:color w:val="000000"/>
                <w:sz w:val="20"/>
                <w:szCs w:val="20"/>
              </w:rPr>
            </w:pPr>
            <w:r w:rsidRPr="00B03A99">
              <w:rPr>
                <w:rFonts w:ascii="Arial Narrow" w:hAnsi="Arial Narrow" w:cs="Calibri"/>
                <w:b/>
                <w:color w:val="000000"/>
                <w:sz w:val="20"/>
                <w:szCs w:val="20"/>
              </w:rPr>
              <w:t>November 2018 resubmission (before changes proposed in pre-PBAC response)</w:t>
            </w:r>
          </w:p>
        </w:tc>
      </w:tr>
      <w:tr w:rsidR="00362311" w:rsidRPr="00B03A99" w:rsidTr="00E3376E">
        <w:trPr>
          <w:jc w:val="center"/>
        </w:trPr>
        <w:tc>
          <w:tcPr>
            <w:tcW w:w="1338" w:type="pct"/>
            <w:shd w:val="clear" w:color="auto" w:fill="auto"/>
          </w:tcPr>
          <w:p w:rsidR="00362311" w:rsidRPr="00B03A99" w:rsidRDefault="00362311" w:rsidP="00D1325D">
            <w:pPr>
              <w:keepNext/>
              <w:keepLines/>
              <w:contextualSpacing/>
              <w:rPr>
                <w:rFonts w:ascii="Arial Narrow" w:hAnsi="Arial Narrow" w:cs="Calibri"/>
                <w:color w:val="000000"/>
                <w:sz w:val="20"/>
                <w:szCs w:val="20"/>
              </w:rPr>
            </w:pPr>
            <w:r w:rsidRPr="00B03A99">
              <w:rPr>
                <w:rFonts w:ascii="Arial Narrow" w:hAnsi="Arial Narrow"/>
                <w:sz w:val="20"/>
                <w:szCs w:val="20"/>
              </w:rPr>
              <w:t xml:space="preserve">Net cost to PBS </w:t>
            </w:r>
          </w:p>
        </w:tc>
        <w:tc>
          <w:tcPr>
            <w:tcW w:w="610" w:type="pct"/>
            <w:shd w:val="clear" w:color="auto" w:fill="auto"/>
            <w:vAlign w:val="bottom"/>
          </w:tcPr>
          <w:p w:rsidR="00362311" w:rsidRPr="00B03A99" w:rsidRDefault="00362311" w:rsidP="00D1325D">
            <w:pPr>
              <w:keepNext/>
              <w:keepLines/>
              <w:contextualSpacing/>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shd w:val="clear" w:color="auto" w:fill="auto"/>
            <w:vAlign w:val="bottom"/>
          </w:tcPr>
          <w:p w:rsidR="00362311" w:rsidRPr="00B03A99" w:rsidRDefault="00362311" w:rsidP="00D1325D">
            <w:pPr>
              <w:keepNext/>
              <w:keepLines/>
              <w:contextualSpacing/>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shd w:val="clear" w:color="auto" w:fill="auto"/>
            <w:vAlign w:val="bottom"/>
          </w:tcPr>
          <w:p w:rsidR="00362311" w:rsidRPr="00B03A99" w:rsidRDefault="00362311" w:rsidP="00D1325D">
            <w:pPr>
              <w:keepNext/>
              <w:keepLines/>
              <w:contextualSpacing/>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1" w:type="pct"/>
            <w:shd w:val="clear" w:color="auto" w:fill="auto"/>
            <w:vAlign w:val="bottom"/>
          </w:tcPr>
          <w:p w:rsidR="00362311" w:rsidRPr="00B03A99" w:rsidRDefault="00362311" w:rsidP="00D1325D">
            <w:pPr>
              <w:keepNext/>
              <w:keepLines/>
              <w:contextualSpacing/>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shd w:val="clear" w:color="auto" w:fill="auto"/>
            <w:vAlign w:val="bottom"/>
          </w:tcPr>
          <w:p w:rsidR="00362311" w:rsidRPr="00B03A99" w:rsidRDefault="00362311" w:rsidP="00D1325D">
            <w:pPr>
              <w:keepNext/>
              <w:keepLines/>
              <w:contextualSpacing/>
              <w:jc w:val="center"/>
              <w:rPr>
                <w:rFonts w:ascii="Arial Narrow" w:hAnsi="Arial Narrow" w:cs="Calibri"/>
                <w:color w:val="000000"/>
                <w:sz w:val="20"/>
                <w:szCs w:val="20"/>
              </w:rPr>
            </w:pPr>
            <w:r w:rsidRPr="00B03A99">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c>
          <w:tcPr>
            <w:tcW w:w="610" w:type="pct"/>
            <w:shd w:val="clear" w:color="auto" w:fill="auto"/>
            <w:vAlign w:val="bottom"/>
          </w:tcPr>
          <w:p w:rsidR="00362311" w:rsidRPr="00E916D8" w:rsidRDefault="00362311" w:rsidP="00D1325D">
            <w:pPr>
              <w:keepNext/>
              <w:keepLines/>
              <w:contextualSpacing/>
              <w:jc w:val="center"/>
              <w:rPr>
                <w:rFonts w:ascii="Arial Narrow" w:hAnsi="Arial Narrow" w:cs="Calibri"/>
                <w:color w:val="000000"/>
                <w:sz w:val="20"/>
                <w:szCs w:val="20"/>
              </w:rPr>
            </w:pPr>
            <w:r w:rsidRPr="009E2D13">
              <w:rPr>
                <w:rFonts w:ascii="Arial Narrow" w:hAnsi="Arial Narrow" w:cs="Calibri"/>
                <w:color w:val="000000"/>
                <w:sz w:val="20"/>
                <w:szCs w:val="20"/>
              </w:rPr>
              <w:t>$</w:t>
            </w:r>
            <w:r w:rsidR="00E916D8">
              <w:rPr>
                <w:rFonts w:ascii="Arial Narrow" w:hAnsi="Arial Narrow" w:cs="Calibri"/>
                <w:noProof/>
                <w:color w:val="000000"/>
                <w:sz w:val="20"/>
                <w:szCs w:val="20"/>
                <w:highlight w:val="black"/>
              </w:rPr>
              <w:t>''''''''''''''''''''''''''''</w:t>
            </w:r>
          </w:p>
        </w:tc>
      </w:tr>
      <w:tr w:rsidR="00362311" w:rsidRPr="00B03A99" w:rsidTr="00E3376E">
        <w:trPr>
          <w:jc w:val="center"/>
        </w:trPr>
        <w:tc>
          <w:tcPr>
            <w:tcW w:w="5000" w:type="pct"/>
            <w:gridSpan w:val="7"/>
            <w:shd w:val="clear" w:color="auto" w:fill="auto"/>
          </w:tcPr>
          <w:p w:rsidR="00362311" w:rsidRPr="00B03A99" w:rsidRDefault="00362311" w:rsidP="00D1325D">
            <w:pPr>
              <w:keepNext/>
              <w:keepLines/>
              <w:jc w:val="both"/>
              <w:rPr>
                <w:rFonts w:ascii="Arial Narrow" w:hAnsi="Arial Narrow" w:cs="Calibri"/>
                <w:color w:val="000000"/>
                <w:sz w:val="20"/>
                <w:szCs w:val="20"/>
              </w:rPr>
            </w:pPr>
            <w:r w:rsidRPr="00B03A99">
              <w:rPr>
                <w:rFonts w:ascii="Arial Narrow" w:hAnsi="Arial Narrow" w:cs="Calibri"/>
                <w:b/>
                <w:color w:val="000000"/>
                <w:sz w:val="20"/>
                <w:szCs w:val="20"/>
              </w:rPr>
              <w:t>Previous submission (March 2018)</w:t>
            </w:r>
          </w:p>
        </w:tc>
      </w:tr>
      <w:tr w:rsidR="00362311" w:rsidRPr="00B03A99" w:rsidTr="00E3376E">
        <w:trPr>
          <w:jc w:val="center"/>
        </w:trPr>
        <w:tc>
          <w:tcPr>
            <w:tcW w:w="1338" w:type="pct"/>
            <w:shd w:val="clear" w:color="auto" w:fill="auto"/>
            <w:vAlign w:val="center"/>
          </w:tcPr>
          <w:p w:rsidR="00362311" w:rsidRPr="00B03A99" w:rsidRDefault="00362311" w:rsidP="00D1325D">
            <w:pPr>
              <w:pStyle w:val="Tabletext"/>
              <w:keepNext/>
              <w:keepLines/>
              <w:rPr>
                <w:rFonts w:ascii="Arial Narrow" w:hAnsi="Arial Narrow"/>
              </w:rPr>
            </w:pPr>
            <w:r w:rsidRPr="00B03A99">
              <w:rPr>
                <w:rFonts w:ascii="Arial Narrow" w:hAnsi="Arial Narrow"/>
              </w:rPr>
              <w:t>Net cost to PBS</w:t>
            </w:r>
          </w:p>
        </w:tc>
        <w:tc>
          <w:tcPr>
            <w:tcW w:w="610" w:type="pct"/>
            <w:shd w:val="clear" w:color="auto" w:fill="auto"/>
            <w:vAlign w:val="bottom"/>
          </w:tcPr>
          <w:p w:rsidR="00362311" w:rsidRPr="00B03A99" w:rsidRDefault="00362311" w:rsidP="00D1325D">
            <w:pPr>
              <w:pStyle w:val="Tabletext"/>
              <w:keepNext/>
              <w:keepLines/>
              <w:jc w:val="center"/>
              <w:rPr>
                <w:rFonts w:ascii="Arial Narrow" w:hAnsi="Arial Narrow"/>
                <w:bCs/>
              </w:rPr>
            </w:pPr>
            <w:r w:rsidRPr="00B03A99">
              <w:rPr>
                <w:rFonts w:ascii="Arial Narrow" w:hAnsi="Arial Narrow"/>
              </w:rPr>
              <w:t>$</w:t>
            </w:r>
            <w:r w:rsidR="00E916D8">
              <w:rPr>
                <w:rFonts w:ascii="Arial Narrow" w:hAnsi="Arial Narrow"/>
                <w:noProof/>
                <w:color w:val="000000"/>
                <w:highlight w:val="black"/>
              </w:rPr>
              <w:t>'''''''''''''''''''''''''</w:t>
            </w:r>
          </w:p>
        </w:tc>
        <w:tc>
          <w:tcPr>
            <w:tcW w:w="611" w:type="pct"/>
            <w:shd w:val="clear" w:color="auto" w:fill="auto"/>
            <w:vAlign w:val="bottom"/>
          </w:tcPr>
          <w:p w:rsidR="00362311" w:rsidRPr="00B03A99" w:rsidRDefault="00362311" w:rsidP="00D1325D">
            <w:pPr>
              <w:pStyle w:val="Tabletext"/>
              <w:keepNext/>
              <w:keepLines/>
              <w:jc w:val="center"/>
              <w:rPr>
                <w:rFonts w:ascii="Arial Narrow" w:hAnsi="Arial Narrow"/>
                <w:bCs/>
              </w:rPr>
            </w:pPr>
            <w:r w:rsidRPr="00B03A99">
              <w:rPr>
                <w:rFonts w:ascii="Arial Narrow" w:hAnsi="Arial Narrow"/>
              </w:rPr>
              <w:t>$</w:t>
            </w:r>
            <w:r w:rsidR="00E916D8">
              <w:rPr>
                <w:rFonts w:ascii="Arial Narrow" w:hAnsi="Arial Narrow"/>
                <w:noProof/>
                <w:color w:val="000000"/>
                <w:highlight w:val="black"/>
              </w:rPr>
              <w:t>'''''''''''''''''''''''''''</w:t>
            </w:r>
          </w:p>
        </w:tc>
        <w:tc>
          <w:tcPr>
            <w:tcW w:w="610" w:type="pct"/>
            <w:shd w:val="clear" w:color="auto" w:fill="auto"/>
            <w:vAlign w:val="bottom"/>
          </w:tcPr>
          <w:p w:rsidR="00362311" w:rsidRPr="00B03A99" w:rsidRDefault="00362311" w:rsidP="00D1325D">
            <w:pPr>
              <w:pStyle w:val="Tabletext"/>
              <w:keepNext/>
              <w:keepLines/>
              <w:jc w:val="center"/>
              <w:rPr>
                <w:rFonts w:ascii="Arial Narrow" w:hAnsi="Arial Narrow"/>
                <w:bCs/>
              </w:rPr>
            </w:pPr>
            <w:r w:rsidRPr="00B03A99">
              <w:rPr>
                <w:rFonts w:ascii="Arial Narrow" w:hAnsi="Arial Narrow"/>
              </w:rPr>
              <w:t>$</w:t>
            </w:r>
            <w:r w:rsidR="00E916D8">
              <w:rPr>
                <w:rFonts w:ascii="Arial Narrow" w:hAnsi="Arial Narrow"/>
                <w:noProof/>
                <w:color w:val="000000"/>
                <w:highlight w:val="black"/>
              </w:rPr>
              <w:t>''''''''''''''''''''''''''''</w:t>
            </w:r>
          </w:p>
        </w:tc>
        <w:tc>
          <w:tcPr>
            <w:tcW w:w="611" w:type="pct"/>
            <w:shd w:val="clear" w:color="auto" w:fill="auto"/>
            <w:vAlign w:val="bottom"/>
          </w:tcPr>
          <w:p w:rsidR="00362311" w:rsidRPr="00E916D8" w:rsidRDefault="00362311" w:rsidP="00D1325D">
            <w:pPr>
              <w:pStyle w:val="Tabletext"/>
              <w:keepNext/>
              <w:keepLines/>
              <w:jc w:val="center"/>
              <w:rPr>
                <w:rFonts w:ascii="Arial Narrow" w:hAnsi="Arial Narrow"/>
                <w:bCs/>
              </w:rPr>
            </w:pPr>
            <w:r w:rsidRPr="009E2D13">
              <w:rPr>
                <w:rFonts w:ascii="Arial Narrow" w:hAnsi="Arial Narrow"/>
              </w:rPr>
              <w:t>$</w:t>
            </w:r>
            <w:r w:rsidR="00E916D8">
              <w:rPr>
                <w:rFonts w:ascii="Arial Narrow" w:hAnsi="Arial Narrow"/>
                <w:noProof/>
                <w:color w:val="000000"/>
                <w:highlight w:val="black"/>
              </w:rPr>
              <w:t>''''''''''''''''''''''''''''</w:t>
            </w:r>
          </w:p>
        </w:tc>
        <w:tc>
          <w:tcPr>
            <w:tcW w:w="610" w:type="pct"/>
            <w:shd w:val="clear" w:color="auto" w:fill="auto"/>
            <w:vAlign w:val="bottom"/>
          </w:tcPr>
          <w:p w:rsidR="00362311" w:rsidRPr="00B03A99" w:rsidRDefault="00362311" w:rsidP="00D1325D">
            <w:pPr>
              <w:pStyle w:val="Tabletext"/>
              <w:keepNext/>
              <w:keepLines/>
              <w:jc w:val="center"/>
              <w:rPr>
                <w:rFonts w:ascii="Arial Narrow" w:hAnsi="Arial Narrow"/>
                <w:bCs/>
              </w:rPr>
            </w:pPr>
            <w:r w:rsidRPr="00B03A99">
              <w:rPr>
                <w:rFonts w:ascii="Arial Narrow" w:hAnsi="Arial Narrow"/>
              </w:rPr>
              <w:t>$</w:t>
            </w:r>
            <w:r w:rsidR="00E916D8">
              <w:rPr>
                <w:rFonts w:ascii="Arial Narrow" w:hAnsi="Arial Narrow"/>
                <w:noProof/>
                <w:color w:val="000000"/>
                <w:highlight w:val="black"/>
              </w:rPr>
              <w:t>'''''''''''''''''''''''''''''</w:t>
            </w:r>
          </w:p>
        </w:tc>
        <w:tc>
          <w:tcPr>
            <w:tcW w:w="610" w:type="pct"/>
            <w:shd w:val="clear" w:color="auto" w:fill="auto"/>
            <w:vAlign w:val="bottom"/>
          </w:tcPr>
          <w:p w:rsidR="00362311" w:rsidRPr="00B03A99" w:rsidRDefault="00362311" w:rsidP="00D1325D">
            <w:pPr>
              <w:pStyle w:val="Tabletext"/>
              <w:keepNext/>
              <w:keepLines/>
              <w:jc w:val="center"/>
              <w:rPr>
                <w:rFonts w:ascii="Arial Narrow" w:hAnsi="Arial Narrow"/>
                <w:bCs/>
              </w:rPr>
            </w:pPr>
            <w:r w:rsidRPr="00B03A99">
              <w:rPr>
                <w:rFonts w:ascii="Arial Narrow" w:hAnsi="Arial Narrow"/>
              </w:rPr>
              <w:t>$</w:t>
            </w:r>
            <w:r w:rsidR="00E916D8">
              <w:rPr>
                <w:rFonts w:ascii="Arial Narrow" w:hAnsi="Arial Narrow"/>
                <w:noProof/>
                <w:color w:val="000000"/>
                <w:highlight w:val="black"/>
              </w:rPr>
              <w:t>'''''''''''''''''''''''''''</w:t>
            </w:r>
          </w:p>
        </w:tc>
      </w:tr>
    </w:tbl>
    <w:p w:rsidR="00362311" w:rsidRPr="00B03A99" w:rsidRDefault="00362311" w:rsidP="00D1325D">
      <w:pPr>
        <w:keepNext/>
        <w:keepLines/>
        <w:spacing w:after="120"/>
        <w:contextualSpacing/>
        <w:rPr>
          <w:rFonts w:ascii="Arial Narrow" w:hAnsi="Arial Narrow" w:cstheme="minorHAnsi"/>
          <w:sz w:val="18"/>
          <w:szCs w:val="18"/>
        </w:rPr>
      </w:pPr>
      <w:r w:rsidRPr="00B03A99">
        <w:rPr>
          <w:rFonts w:ascii="Arial Narrow" w:hAnsi="Arial Narrow" w:cstheme="minorHAnsi"/>
          <w:sz w:val="18"/>
          <w:szCs w:val="18"/>
        </w:rPr>
        <w:t>Source: Table 1, p3 of the pre-PBAC response</w:t>
      </w:r>
    </w:p>
    <w:p w:rsidR="00362311" w:rsidRDefault="00362311" w:rsidP="00D1325D">
      <w:pPr>
        <w:keepNext/>
        <w:keepLines/>
        <w:spacing w:after="120"/>
        <w:contextualSpacing/>
      </w:pPr>
      <w:proofErr w:type="gramStart"/>
      <w:r w:rsidRPr="00B03A99">
        <w:rPr>
          <w:rFonts w:ascii="Arial Narrow" w:hAnsi="Arial Narrow" w:cstheme="minorHAnsi"/>
          <w:sz w:val="18"/>
          <w:szCs w:val="18"/>
          <w:vertAlign w:val="superscript"/>
        </w:rPr>
        <w:t>a</w:t>
      </w:r>
      <w:proofErr w:type="gramEnd"/>
      <w:r w:rsidRPr="00B03A99">
        <w:rPr>
          <w:rFonts w:ascii="Arial Narrow" w:hAnsi="Arial Narrow" w:cstheme="minorHAnsi"/>
          <w:sz w:val="18"/>
          <w:szCs w:val="18"/>
        </w:rPr>
        <w:t xml:space="preserve"> Net PBS costs in this table do not include the impact of any offsets from reduced use of PBS-subsidised </w:t>
      </w:r>
      <w:proofErr w:type="spellStart"/>
      <w:r w:rsidRPr="00B03A99">
        <w:rPr>
          <w:rFonts w:ascii="Arial Narrow" w:hAnsi="Arial Narrow" w:cstheme="minorHAnsi"/>
          <w:sz w:val="18"/>
          <w:szCs w:val="18"/>
        </w:rPr>
        <w:t>Phe</w:t>
      </w:r>
      <w:proofErr w:type="spellEnd"/>
      <w:r w:rsidRPr="00B03A99">
        <w:rPr>
          <w:rFonts w:ascii="Arial Narrow" w:hAnsi="Arial Narrow" w:cstheme="minorHAnsi"/>
          <w:sz w:val="18"/>
          <w:szCs w:val="18"/>
        </w:rPr>
        <w:t>-free amino acid supplements</w:t>
      </w:r>
      <w:r w:rsidRPr="00B03A99">
        <w:t>.</w:t>
      </w:r>
    </w:p>
    <w:p w:rsidR="00721F08" w:rsidRDefault="00721F08" w:rsidP="00E3376E">
      <w:pPr>
        <w:keepNext/>
        <w:keepLines/>
        <w:spacing w:before="120"/>
        <w:rPr>
          <w:rFonts w:asciiTheme="minorHAnsi" w:hAnsiTheme="minorHAnsi" w:cstheme="minorHAnsi"/>
          <w:i/>
        </w:rPr>
      </w:pPr>
    </w:p>
    <w:p w:rsidR="009E2D13" w:rsidRPr="00E3376E" w:rsidRDefault="009E2D13" w:rsidP="00E60B62">
      <w:pPr>
        <w:keepNext/>
        <w:keepLines/>
        <w:spacing w:after="120"/>
        <w:rPr>
          <w:rFonts w:asciiTheme="minorHAnsi" w:hAnsiTheme="minorHAnsi" w:cstheme="minorHAnsi"/>
          <w:i/>
        </w:rPr>
      </w:pPr>
      <w:r w:rsidRPr="00E3376E">
        <w:rPr>
          <w:rFonts w:asciiTheme="minorHAnsi" w:hAnsiTheme="minorHAnsi" w:cstheme="minorHAnsi"/>
          <w:i/>
        </w:rPr>
        <w:t xml:space="preserve">The redacted table shows that at Year 6 the estimated number of total scripts dispensed </w:t>
      </w:r>
      <w:r w:rsidR="009C1888" w:rsidRPr="00E3376E">
        <w:rPr>
          <w:rFonts w:asciiTheme="minorHAnsi" w:hAnsiTheme="minorHAnsi" w:cstheme="minorHAnsi"/>
          <w:i/>
        </w:rPr>
        <w:t>was less than 10,000 per year.</w:t>
      </w:r>
    </w:p>
    <w:p w:rsidR="006B30EE" w:rsidRPr="00B03A99" w:rsidRDefault="006B30EE" w:rsidP="006B30EE">
      <w:pPr>
        <w:pStyle w:val="ListParagraph"/>
        <w:numPr>
          <w:ilvl w:val="1"/>
          <w:numId w:val="1"/>
        </w:numPr>
        <w:contextualSpacing w:val="0"/>
      </w:pPr>
      <w:r w:rsidRPr="00B03A99">
        <w:t xml:space="preserve">The pre-PBAC response estimated that the net cost to the PBS would be </w:t>
      </w:r>
      <w:r w:rsidR="009E2D13">
        <w:t>less than $10</w:t>
      </w:r>
      <w:r w:rsidRPr="00B03A99">
        <w:t xml:space="preserve"> million in Year 6 and </w:t>
      </w:r>
      <w:r w:rsidR="009E2D13">
        <w:t>$30 - $60</w:t>
      </w:r>
      <w:r w:rsidRPr="00B03A99">
        <w:t> million over the first six years of listing. This included the impact of the sponsor rebating:</w:t>
      </w:r>
    </w:p>
    <w:p w:rsidR="006B30EE" w:rsidRPr="00B03A99" w:rsidRDefault="00E916D8" w:rsidP="001E123B">
      <w:pPr>
        <w:pStyle w:val="ListParagraph"/>
        <w:ind w:left="1077" w:hanging="357"/>
      </w:pPr>
      <w:r>
        <w:rPr>
          <w:noProof/>
          <w:color w:val="000000"/>
          <w:highlight w:val="black"/>
        </w:rPr>
        <w:t>'''''''</w:t>
      </w:r>
      <w:r w:rsidR="006B30EE" w:rsidRPr="00E60B62">
        <w:t>%</w:t>
      </w:r>
      <w:r w:rsidR="006B30EE" w:rsidRPr="00B03A99">
        <w:t xml:space="preserve"> of the cost of doses used for initial responsiveness testing. This was estimated to be </w:t>
      </w:r>
      <w:r w:rsidR="00DC4FB6">
        <w:t>less than $10</w:t>
      </w:r>
      <w:r w:rsidR="006B30EE" w:rsidRPr="00B03A99">
        <w:t xml:space="preserve"> million over the first six years based on the 28 day responsiveness testing period assumed in the resubmission. The PBAC noted this may need to be updated for the shorter responsiveness testing periods recommended in the restriction; and </w:t>
      </w:r>
    </w:p>
    <w:p w:rsidR="006B30EE" w:rsidRPr="00E3376E" w:rsidRDefault="006B30EE" w:rsidP="001E123B">
      <w:pPr>
        <w:pStyle w:val="ListParagraph"/>
        <w:ind w:left="1077" w:hanging="357"/>
        <w:contextualSpacing w:val="0"/>
      </w:pPr>
      <w:r w:rsidRPr="00E3376E">
        <w:t xml:space="preserve">the difference between the estimated price for patients aged </w:t>
      </w:r>
      <w:r w:rsidRPr="00E3376E">
        <w:rPr>
          <w:rFonts w:cstheme="minorHAnsi"/>
        </w:rPr>
        <w:t>≥</w:t>
      </w:r>
      <w:r w:rsidRPr="00E3376E">
        <w:t xml:space="preserve"> 18 years and</w:t>
      </w:r>
      <w:r w:rsidR="00E916D8">
        <w:rPr>
          <w:noProof/>
          <w:color w:val="000000"/>
          <w:highlight w:val="black"/>
        </w:rPr>
        <w:t xml:space="preserve"> '''''' '''''''''''''''''' ''''''''' '''''' ''''''''''''''' ''''''''' ''''' '''''''''' '''' ''''''''''''''''''''' '''' '''''''''''''' '''''' '''''''''''''' ''''''' '''''''''' '''''' '''''''''''''''' '''''''''' ''' ''''' '''''''''''</w:t>
      </w:r>
      <w:r w:rsidRPr="00E3376E">
        <w:t xml:space="preserve">. This was estimated to result in a rebate of </w:t>
      </w:r>
      <w:r w:rsidR="00E916D8">
        <w:rPr>
          <w:noProof/>
          <w:color w:val="000000"/>
          <w:highlight w:val="black"/>
        </w:rPr>
        <w:t>''''''''' '''''''''''</w:t>
      </w:r>
      <w:r w:rsidRPr="00E3376E">
        <w:t xml:space="preserve"> over </w:t>
      </w:r>
      <w:r w:rsidR="00362311" w:rsidRPr="00E3376E">
        <w:t>the first six</w:t>
      </w:r>
      <w:r w:rsidRPr="00E3376E">
        <w:t xml:space="preserve"> years.</w:t>
      </w:r>
    </w:p>
    <w:p w:rsidR="006B30EE" w:rsidRPr="00B03A99" w:rsidRDefault="006B30EE" w:rsidP="006B30EE">
      <w:pPr>
        <w:pStyle w:val="ListParagraph"/>
        <w:numPr>
          <w:ilvl w:val="1"/>
          <w:numId w:val="1"/>
        </w:numPr>
        <w:contextualSpacing w:val="0"/>
      </w:pPr>
      <w:r w:rsidRPr="00B03A99">
        <w:t xml:space="preserve">The PBAC noted that the estimated cost to the PBS of listing sapropterin </w:t>
      </w:r>
      <w:r w:rsidR="00D1325D" w:rsidRPr="00B03A99">
        <w:t>had</w:t>
      </w:r>
      <w:r w:rsidRPr="00B03A99">
        <w:t xml:space="preserve"> </w:t>
      </w:r>
      <w:r w:rsidR="00D1325D" w:rsidRPr="00B03A99">
        <w:t xml:space="preserve">substantially reduced since </w:t>
      </w:r>
      <w:r w:rsidRPr="00B03A99">
        <w:t>the previous submission (</w:t>
      </w:r>
      <w:r w:rsidR="00D1325D" w:rsidRPr="00B03A99">
        <w:t xml:space="preserve">the March 2018 submission estimated a cost to the PBS of </w:t>
      </w:r>
      <w:r w:rsidR="00DC4FB6">
        <w:t>more than $100</w:t>
      </w:r>
      <w:r w:rsidRPr="00B03A99">
        <w:t xml:space="preserve"> million over six years), with most of the reduction due to patients aged </w:t>
      </w:r>
      <w:r w:rsidR="00362311" w:rsidRPr="00B03A99">
        <w:rPr>
          <w:rFonts w:cstheme="minorHAnsi"/>
        </w:rPr>
        <w:t>≥</w:t>
      </w:r>
      <w:r w:rsidR="00362311" w:rsidRPr="00B03A99">
        <w:t xml:space="preserve"> </w:t>
      </w:r>
      <w:r w:rsidRPr="00B03A99">
        <w:t>18 years no longer being eligible to commence sapropterin. The PBAC also noted that the updated parameters provided in the pre-</w:t>
      </w:r>
      <w:r w:rsidRPr="00B03A99">
        <w:lastRenderedPageBreak/>
        <w:t xml:space="preserve">PBAC response </w:t>
      </w:r>
      <w:r w:rsidR="00362311" w:rsidRPr="00B03A99">
        <w:t>further</w:t>
      </w:r>
      <w:r w:rsidRPr="00B03A99">
        <w:t xml:space="preserve"> </w:t>
      </w:r>
      <w:r w:rsidR="00D1325D" w:rsidRPr="00B03A99">
        <w:t xml:space="preserve">substantially </w:t>
      </w:r>
      <w:r w:rsidRPr="00B03A99">
        <w:t xml:space="preserve">reduced the estimated cost to the PBS (from </w:t>
      </w:r>
      <w:r w:rsidR="00DC4FB6">
        <w:t>$30 - $60</w:t>
      </w:r>
      <w:r w:rsidRPr="00B03A99">
        <w:t xml:space="preserve"> million </w:t>
      </w:r>
      <w:r w:rsidR="00D9744F" w:rsidRPr="00B03A99">
        <w:t xml:space="preserve">over six years </w:t>
      </w:r>
      <w:r w:rsidR="00D1325D" w:rsidRPr="00B03A99">
        <w:t xml:space="preserve">in the November 2018 submission </w:t>
      </w:r>
      <w:r w:rsidRPr="00B03A99">
        <w:t xml:space="preserve">to </w:t>
      </w:r>
      <w:r w:rsidR="00DC4FB6">
        <w:t>$30 - $60</w:t>
      </w:r>
      <w:r w:rsidRPr="00B03A99">
        <w:t xml:space="preserve"> million </w:t>
      </w:r>
      <w:r w:rsidR="00D1325D" w:rsidRPr="00B03A99">
        <w:t>in the pre-PBAC response</w:t>
      </w:r>
      <w:r w:rsidRPr="00B03A99">
        <w:t>).</w:t>
      </w:r>
    </w:p>
    <w:p w:rsidR="00352BA1" w:rsidRPr="00B03A99" w:rsidRDefault="00352BA1" w:rsidP="00A9642F">
      <w:pPr>
        <w:pStyle w:val="Heading2"/>
        <w:rPr>
          <w:snapToGrid w:val="0"/>
          <w:lang w:eastAsia="en-US"/>
        </w:rPr>
      </w:pPr>
      <w:r w:rsidRPr="00B03A99">
        <w:rPr>
          <w:snapToGrid w:val="0"/>
          <w:lang w:eastAsia="en-US"/>
        </w:rPr>
        <w:t>Financial Management – Risk Sharing Arrangements</w:t>
      </w:r>
    </w:p>
    <w:p w:rsidR="00352BA1" w:rsidRPr="00B03A99" w:rsidRDefault="006129FD" w:rsidP="007466A9">
      <w:pPr>
        <w:pStyle w:val="ListParagraph"/>
        <w:numPr>
          <w:ilvl w:val="1"/>
          <w:numId w:val="3"/>
        </w:numPr>
        <w:contextualSpacing w:val="0"/>
        <w:rPr>
          <w:rFonts w:ascii="Calibri" w:hAnsi="Calibri"/>
        </w:rPr>
      </w:pPr>
      <w:r w:rsidRPr="00EF4F95">
        <w:t xml:space="preserve">In its previous consideration, the PBAC stated that </w:t>
      </w:r>
      <w:r w:rsidR="004B1A4B" w:rsidRPr="00EF4F95">
        <w:t xml:space="preserve">a </w:t>
      </w:r>
      <w:r w:rsidR="00314487" w:rsidRPr="00B03A99">
        <w:rPr>
          <w:rFonts w:ascii="Calibri" w:hAnsi="Calibri"/>
        </w:rPr>
        <w:t>risk sharing arrangement (</w:t>
      </w:r>
      <w:r w:rsidR="004B1A4B" w:rsidRPr="00EF4F95">
        <w:t>RSA</w:t>
      </w:r>
      <w:r w:rsidR="00314487" w:rsidRPr="00EF4F95">
        <w:t>)</w:t>
      </w:r>
      <w:r w:rsidR="004B1A4B" w:rsidRPr="00EF4F95">
        <w:t xml:space="preserve"> would be required to manage the high and uncertain cost-effectiveness and the uncertain patient population, and that </w:t>
      </w:r>
      <w:r w:rsidRPr="00EF4F95">
        <w:t xml:space="preserve">a resubmission would need to provide </w:t>
      </w:r>
      <w:r w:rsidR="00352BA1" w:rsidRPr="00EF4F95">
        <w:t>a revised RSA based on updated financial estimates</w:t>
      </w:r>
      <w:r w:rsidRPr="00EF4F95">
        <w:t xml:space="preserve"> (Paragraph</w:t>
      </w:r>
      <w:r w:rsidR="004B1A4B" w:rsidRPr="00EF4F95">
        <w:t>s 7.14 and</w:t>
      </w:r>
      <w:r w:rsidRPr="00EF4F95">
        <w:t xml:space="preserve"> 7.17, </w:t>
      </w:r>
      <w:r w:rsidR="002A7B6E">
        <w:t xml:space="preserve">PSD </w:t>
      </w:r>
      <w:r w:rsidRPr="00EF4F95">
        <w:t>March 2018).</w:t>
      </w:r>
      <w:r w:rsidR="00352BA1" w:rsidRPr="00EF4F95">
        <w:t xml:space="preserve"> </w:t>
      </w:r>
      <w:r w:rsidR="00352BA1" w:rsidRPr="00B03A99">
        <w:rPr>
          <w:rFonts w:ascii="Calibri" w:hAnsi="Calibri"/>
        </w:rPr>
        <w:t xml:space="preserve">The minor re-submission </w:t>
      </w:r>
      <w:r w:rsidR="004D03B9" w:rsidRPr="00B03A99">
        <w:rPr>
          <w:rFonts w:ascii="Calibri" w:hAnsi="Calibri"/>
        </w:rPr>
        <w:t xml:space="preserve">and pre-PBAC response </w:t>
      </w:r>
      <w:r w:rsidR="00352BA1" w:rsidRPr="00B03A99">
        <w:rPr>
          <w:rFonts w:ascii="Calibri" w:hAnsi="Calibri"/>
        </w:rPr>
        <w:t>proposed a</w:t>
      </w:r>
      <w:r w:rsidR="004D03B9" w:rsidRPr="00B03A99">
        <w:rPr>
          <w:rFonts w:ascii="Calibri" w:hAnsi="Calibri"/>
        </w:rPr>
        <w:t>n</w:t>
      </w:r>
      <w:r w:rsidR="00352BA1" w:rsidRPr="00B03A99">
        <w:rPr>
          <w:rFonts w:ascii="Calibri" w:hAnsi="Calibri"/>
        </w:rPr>
        <w:t xml:space="preserve"> RSA where </w:t>
      </w:r>
      <w:r w:rsidR="00CA315A">
        <w:rPr>
          <w:rFonts w:ascii="Calibri" w:hAnsi="Calibri"/>
        </w:rPr>
        <w:t xml:space="preserve">PBS/RPBS </w:t>
      </w:r>
      <w:r w:rsidR="00352BA1" w:rsidRPr="00B03A99">
        <w:rPr>
          <w:rFonts w:ascii="Calibri" w:hAnsi="Calibri"/>
        </w:rPr>
        <w:t xml:space="preserve">expenditure would be capped at the estimates provided in Table </w:t>
      </w:r>
      <w:r w:rsidR="00CA23F0" w:rsidRPr="00373CF7">
        <w:rPr>
          <w:rFonts w:ascii="Calibri" w:hAnsi="Calibri"/>
        </w:rPr>
        <w:t>4</w:t>
      </w:r>
      <w:r w:rsidR="00352BA1" w:rsidRPr="00373CF7">
        <w:rPr>
          <w:rFonts w:ascii="Calibri" w:hAnsi="Calibri"/>
        </w:rPr>
        <w:t xml:space="preserve"> (based on the “</w:t>
      </w:r>
      <w:r w:rsidR="00753D7E" w:rsidRPr="00373CF7">
        <w:rPr>
          <w:rFonts w:ascii="Calibri" w:hAnsi="Calibri"/>
        </w:rPr>
        <w:t xml:space="preserve">Net cost to PBS (RSA cap)” </w:t>
      </w:r>
      <w:r w:rsidR="00352BA1" w:rsidRPr="00B03A99">
        <w:rPr>
          <w:rFonts w:ascii="Calibri" w:hAnsi="Calibri"/>
        </w:rPr>
        <w:t xml:space="preserve">row) with a </w:t>
      </w:r>
      <w:r w:rsidR="00E916D8">
        <w:rPr>
          <w:rFonts w:ascii="Calibri" w:hAnsi="Calibri"/>
          <w:noProof/>
          <w:color w:val="000000"/>
          <w:highlight w:val="black"/>
        </w:rPr>
        <w:t>'''''''</w:t>
      </w:r>
      <w:r w:rsidR="00352BA1" w:rsidRPr="00B03A99">
        <w:rPr>
          <w:rFonts w:ascii="Calibri" w:hAnsi="Calibri"/>
        </w:rPr>
        <w:t xml:space="preserve">% rebate </w:t>
      </w:r>
      <w:r w:rsidR="00CA315A">
        <w:rPr>
          <w:rFonts w:ascii="Calibri" w:hAnsi="Calibri"/>
        </w:rPr>
        <w:t xml:space="preserve">to PBS/RPBS </w:t>
      </w:r>
      <w:r w:rsidR="00352BA1" w:rsidRPr="00B03A99">
        <w:rPr>
          <w:rFonts w:ascii="Calibri" w:hAnsi="Calibri"/>
        </w:rPr>
        <w:t xml:space="preserve">expenditure above this level. </w:t>
      </w:r>
    </w:p>
    <w:p w:rsidR="004D03B9" w:rsidRPr="00B03A99" w:rsidRDefault="004D03B9" w:rsidP="00C02E4A">
      <w:pPr>
        <w:pStyle w:val="ListParagraph"/>
        <w:numPr>
          <w:ilvl w:val="1"/>
          <w:numId w:val="3"/>
        </w:numPr>
        <w:contextualSpacing w:val="0"/>
      </w:pPr>
      <w:r w:rsidRPr="00373CF7">
        <w:t>As outlined above, t</w:t>
      </w:r>
      <w:r w:rsidR="00352BA1" w:rsidRPr="00373CF7">
        <w:t xml:space="preserve">he </w:t>
      </w:r>
      <w:r w:rsidR="00753D7E" w:rsidRPr="00373CF7">
        <w:t xml:space="preserve">proposed expenditure cap also included </w:t>
      </w:r>
      <w:r w:rsidR="001A0805" w:rsidRPr="00B03A99">
        <w:t xml:space="preserve">a </w:t>
      </w:r>
      <w:r w:rsidRPr="00B03A99">
        <w:t xml:space="preserve">rebate for patients aged </w:t>
      </w:r>
      <w:r w:rsidRPr="00B03A99">
        <w:rPr>
          <w:rFonts w:cstheme="minorHAnsi"/>
        </w:rPr>
        <w:t>≥</w:t>
      </w:r>
      <w:r w:rsidRPr="00B03A99">
        <w:t xml:space="preserve"> 18 years and a </w:t>
      </w:r>
      <w:r w:rsidR="00E916D8">
        <w:rPr>
          <w:noProof/>
          <w:color w:val="000000"/>
          <w:highlight w:val="black"/>
        </w:rPr>
        <w:t>'''''''</w:t>
      </w:r>
      <w:r w:rsidR="001A0805" w:rsidRPr="00B03A99">
        <w:t xml:space="preserve">% rebate on </w:t>
      </w:r>
      <w:r w:rsidR="00352BA1" w:rsidRPr="00B03A99">
        <w:t xml:space="preserve">the cost </w:t>
      </w:r>
      <w:r w:rsidR="001A0805" w:rsidRPr="00B03A99">
        <w:t xml:space="preserve">to the PBS </w:t>
      </w:r>
      <w:r w:rsidR="00352BA1" w:rsidRPr="00B03A99">
        <w:t xml:space="preserve">of all sapropterin used for </w:t>
      </w:r>
      <w:r w:rsidR="001A0805" w:rsidRPr="00B03A99">
        <w:t xml:space="preserve">initial </w:t>
      </w:r>
      <w:r w:rsidR="00352BA1" w:rsidRPr="00B03A99">
        <w:t xml:space="preserve">responsiveness testing. </w:t>
      </w:r>
    </w:p>
    <w:p w:rsidR="00352BA1" w:rsidRPr="00B03A99" w:rsidRDefault="00352BA1" w:rsidP="00C02E4A">
      <w:pPr>
        <w:pStyle w:val="ListParagraph"/>
        <w:numPr>
          <w:ilvl w:val="1"/>
          <w:numId w:val="3"/>
        </w:numPr>
        <w:contextualSpacing w:val="0"/>
      </w:pPr>
      <w:r w:rsidRPr="00B03A99">
        <w:t xml:space="preserve">The resubmission proposed that </w:t>
      </w:r>
      <w:r w:rsidR="004D03B9" w:rsidRPr="00B03A99">
        <w:t xml:space="preserve">the rebate for initial responsiveness testing </w:t>
      </w:r>
      <w:r w:rsidRPr="00B03A99">
        <w:t xml:space="preserve">would be </w:t>
      </w:r>
      <w:r w:rsidR="00F16225" w:rsidRPr="00B03A99">
        <w:t xml:space="preserve">administered </w:t>
      </w:r>
      <w:r w:rsidRPr="00B03A99">
        <w:t>as a separate rebate based on actual utilisation of the corresponding PBS item</w:t>
      </w:r>
      <w:r w:rsidR="00F16225" w:rsidRPr="00B03A99">
        <w:t xml:space="preserve"> once listed</w:t>
      </w:r>
      <w:r w:rsidRPr="00B03A99">
        <w:t xml:space="preserve">, as a separate listing </w:t>
      </w:r>
      <w:r w:rsidR="00F16225" w:rsidRPr="00B03A99">
        <w:t xml:space="preserve">has been </w:t>
      </w:r>
      <w:r w:rsidRPr="00B03A99">
        <w:t xml:space="preserve">proposed for responsiveness testing. </w:t>
      </w:r>
    </w:p>
    <w:p w:rsidR="00EF2836" w:rsidRPr="00B03A99" w:rsidRDefault="00EF2836" w:rsidP="00EF2836">
      <w:pPr>
        <w:pStyle w:val="ListParagraph"/>
        <w:numPr>
          <w:ilvl w:val="0"/>
          <w:numId w:val="0"/>
        </w:numPr>
        <w:ind w:left="720"/>
        <w:contextualSpacing w:val="0"/>
        <w:rPr>
          <w:i/>
        </w:rPr>
      </w:pPr>
      <w:r w:rsidRPr="00B03A99">
        <w:rPr>
          <w:i/>
        </w:rPr>
        <w:t xml:space="preserve">For more detail on PBAC’s view, see section </w:t>
      </w:r>
      <w:r w:rsidR="00367253" w:rsidRPr="00B03A99">
        <w:rPr>
          <w:i/>
        </w:rPr>
        <w:t>6</w:t>
      </w:r>
      <w:r w:rsidRPr="00B03A99">
        <w:rPr>
          <w:i/>
        </w:rPr>
        <w:t xml:space="preserve"> PBAC outcome.</w:t>
      </w:r>
    </w:p>
    <w:p w:rsidR="008E340B" w:rsidRPr="00373CF7" w:rsidRDefault="008E340B" w:rsidP="008E340B">
      <w:pPr>
        <w:widowControl w:val="0"/>
        <w:numPr>
          <w:ilvl w:val="0"/>
          <w:numId w:val="1"/>
        </w:numPr>
        <w:spacing w:before="240" w:after="120"/>
        <w:jc w:val="both"/>
        <w:outlineLvl w:val="0"/>
        <w:rPr>
          <w:rFonts w:asciiTheme="minorHAnsi" w:hAnsiTheme="minorHAnsi" w:cs="Arial"/>
          <w:b/>
          <w:bCs/>
          <w:snapToGrid w:val="0"/>
          <w:sz w:val="32"/>
          <w:szCs w:val="22"/>
          <w:lang w:eastAsia="en-US"/>
        </w:rPr>
      </w:pPr>
      <w:r w:rsidRPr="00373CF7">
        <w:rPr>
          <w:rFonts w:asciiTheme="minorHAnsi" w:hAnsiTheme="minorHAnsi" w:cs="Arial"/>
          <w:b/>
          <w:bCs/>
          <w:snapToGrid w:val="0"/>
          <w:sz w:val="32"/>
          <w:szCs w:val="22"/>
          <w:lang w:eastAsia="en-US"/>
        </w:rPr>
        <w:t>PBAC Outcome</w:t>
      </w:r>
    </w:p>
    <w:p w:rsidR="00B206CC" w:rsidRPr="00EF4F95" w:rsidRDefault="00C43E95" w:rsidP="00B206CC">
      <w:pPr>
        <w:pStyle w:val="ListParagraph"/>
        <w:numPr>
          <w:ilvl w:val="1"/>
          <w:numId w:val="1"/>
        </w:numPr>
        <w:contextualSpacing w:val="0"/>
        <w:rPr>
          <w:rFonts w:eastAsia="Times New Roman" w:cs="Arial"/>
          <w:bCs/>
          <w:snapToGrid w:val="0"/>
        </w:rPr>
      </w:pPr>
      <w:r w:rsidRPr="00EF4F95">
        <w:rPr>
          <w:rFonts w:cs="Arial"/>
          <w:bCs/>
          <w:snapToGrid w:val="0"/>
        </w:rPr>
        <w:t xml:space="preserve">The PBAC recommended </w:t>
      </w:r>
      <w:r w:rsidR="00467CB9" w:rsidRPr="00EF4F95">
        <w:rPr>
          <w:rFonts w:cs="Arial"/>
          <w:bCs/>
          <w:snapToGrid w:val="0"/>
        </w:rPr>
        <w:t xml:space="preserve">extending </w:t>
      </w:r>
      <w:r w:rsidRPr="00EF4F95">
        <w:rPr>
          <w:rFonts w:cs="Arial"/>
          <w:bCs/>
          <w:snapToGrid w:val="0"/>
        </w:rPr>
        <w:t>the PBS</w:t>
      </w:r>
      <w:r w:rsidR="00467CB9" w:rsidRPr="00EF4F95">
        <w:rPr>
          <w:rFonts w:cs="Arial"/>
          <w:bCs/>
          <w:snapToGrid w:val="0"/>
        </w:rPr>
        <w:t xml:space="preserve">-listing of sapropterin to include </w:t>
      </w:r>
      <w:r w:rsidRPr="00EF4F95">
        <w:rPr>
          <w:rFonts w:cs="Arial"/>
          <w:bCs/>
          <w:snapToGrid w:val="0"/>
        </w:rPr>
        <w:t xml:space="preserve">the treatment of </w:t>
      </w:r>
      <w:proofErr w:type="spellStart"/>
      <w:r w:rsidRPr="00EF4F95">
        <w:rPr>
          <w:rFonts w:cs="Arial"/>
          <w:bCs/>
          <w:snapToGrid w:val="0"/>
        </w:rPr>
        <w:t>hyperphenylalaninaemia</w:t>
      </w:r>
      <w:proofErr w:type="spellEnd"/>
      <w:r w:rsidRPr="00EF4F95">
        <w:rPr>
          <w:rFonts w:cs="Arial"/>
          <w:bCs/>
          <w:snapToGrid w:val="0"/>
        </w:rPr>
        <w:t xml:space="preserve"> (HPA) caused by phenylketonuria (PKU)</w:t>
      </w:r>
      <w:r w:rsidR="00467CB9" w:rsidRPr="00EF4F95">
        <w:rPr>
          <w:rFonts w:cs="Arial"/>
          <w:bCs/>
          <w:snapToGrid w:val="0"/>
        </w:rPr>
        <w:t xml:space="preserve"> as a Section 85 Authority Required listing.</w:t>
      </w:r>
      <w:r w:rsidRPr="00EF4F95">
        <w:rPr>
          <w:rFonts w:cs="Arial"/>
          <w:bCs/>
          <w:snapToGrid w:val="0"/>
        </w:rPr>
        <w:t xml:space="preserve"> </w:t>
      </w:r>
      <w:r w:rsidR="00EF4F95">
        <w:rPr>
          <w:rFonts w:cs="Arial"/>
          <w:bCs/>
          <w:snapToGrid w:val="0"/>
        </w:rPr>
        <w:t>The PBAC wa</w:t>
      </w:r>
      <w:r w:rsidR="00467CB9" w:rsidRPr="00EF4F95">
        <w:rPr>
          <w:rFonts w:cs="Arial"/>
          <w:bCs/>
          <w:snapToGrid w:val="0"/>
        </w:rPr>
        <w:t xml:space="preserve">s satisfied that sapropterin provides, for some patients, a significant improvement in efficacy over </w:t>
      </w:r>
      <w:r w:rsidR="00367253" w:rsidRPr="00EF4F95">
        <w:rPr>
          <w:rFonts w:cs="Arial"/>
          <w:bCs/>
          <w:snapToGrid w:val="0"/>
        </w:rPr>
        <w:t xml:space="preserve">a </w:t>
      </w:r>
      <w:proofErr w:type="spellStart"/>
      <w:r w:rsidR="00367253" w:rsidRPr="00EF4F95">
        <w:rPr>
          <w:rFonts w:cs="Arial"/>
          <w:bCs/>
          <w:snapToGrid w:val="0"/>
        </w:rPr>
        <w:t>Phe</w:t>
      </w:r>
      <w:proofErr w:type="spellEnd"/>
      <w:r w:rsidR="00367253" w:rsidRPr="00EF4F95">
        <w:rPr>
          <w:rFonts w:cs="Arial"/>
          <w:bCs/>
          <w:snapToGrid w:val="0"/>
        </w:rPr>
        <w:t>-restricted diet alone</w:t>
      </w:r>
      <w:r w:rsidR="00467CB9" w:rsidRPr="00EF4F95">
        <w:rPr>
          <w:rFonts w:cs="Arial"/>
          <w:bCs/>
          <w:snapToGrid w:val="0"/>
        </w:rPr>
        <w:t>.</w:t>
      </w:r>
      <w:r w:rsidR="005463F7" w:rsidRPr="00B03A99">
        <w:t xml:space="preserve"> In making this recommendation, t</w:t>
      </w:r>
      <w:r w:rsidR="005463F7" w:rsidRPr="00EF4F95">
        <w:rPr>
          <w:rFonts w:eastAsia="Times New Roman" w:cs="Arial"/>
          <w:bCs/>
          <w:snapToGrid w:val="0"/>
        </w:rPr>
        <w:t xml:space="preserve">he PBAC noted there was a high clinical need in a small patient population, and acknowledged the input received from individuals, organisations and health professionals. The PBAC considered that </w:t>
      </w:r>
      <w:r w:rsidR="00B206CC" w:rsidRPr="00EF4F95">
        <w:rPr>
          <w:rFonts w:eastAsia="Times New Roman" w:cs="Arial"/>
          <w:bCs/>
          <w:snapToGrid w:val="0"/>
        </w:rPr>
        <w:t xml:space="preserve">an </w:t>
      </w:r>
      <w:r w:rsidR="005463F7" w:rsidRPr="00EF4F95">
        <w:rPr>
          <w:rFonts w:eastAsia="Times New Roman" w:cs="Arial"/>
          <w:bCs/>
          <w:snapToGrid w:val="0"/>
        </w:rPr>
        <w:t xml:space="preserve">RSA </w:t>
      </w:r>
      <w:r w:rsidR="00D4232A" w:rsidRPr="00EF4F95">
        <w:rPr>
          <w:rFonts w:eastAsia="Times New Roman" w:cs="Arial"/>
          <w:bCs/>
          <w:snapToGrid w:val="0"/>
        </w:rPr>
        <w:t xml:space="preserve">would be required to manage the </w:t>
      </w:r>
      <w:r w:rsidR="00B206CC" w:rsidRPr="00EF4F95">
        <w:rPr>
          <w:rFonts w:eastAsia="Times New Roman" w:cs="Arial"/>
          <w:bCs/>
          <w:snapToGrid w:val="0"/>
        </w:rPr>
        <w:t xml:space="preserve">high and uncertain cost-effectiveness, the uncertain patient population, and the risk of use in patients not continuing to respond. </w:t>
      </w:r>
    </w:p>
    <w:p w:rsidR="00D4232A" w:rsidRPr="00EF4F95" w:rsidRDefault="00C43E95" w:rsidP="00D4232A">
      <w:pPr>
        <w:pStyle w:val="ListParagraph"/>
        <w:widowControl w:val="0"/>
        <w:numPr>
          <w:ilvl w:val="1"/>
          <w:numId w:val="1"/>
        </w:numPr>
        <w:contextualSpacing w:val="0"/>
        <w:rPr>
          <w:rFonts w:cs="Arial"/>
          <w:bCs/>
          <w:snapToGrid w:val="0"/>
        </w:rPr>
      </w:pPr>
      <w:r w:rsidRPr="00EF4F95">
        <w:rPr>
          <w:rFonts w:eastAsia="Times New Roman" w:cs="Arial"/>
          <w:bCs/>
          <w:snapToGrid w:val="0"/>
        </w:rPr>
        <w:t xml:space="preserve">The PBAC considered that the greatest clinical benefits would be </w:t>
      </w:r>
      <w:r w:rsidR="00D4232A" w:rsidRPr="00EF4F95">
        <w:rPr>
          <w:rFonts w:eastAsia="Times New Roman" w:cs="Arial"/>
          <w:bCs/>
          <w:snapToGrid w:val="0"/>
        </w:rPr>
        <w:t>achiev</w:t>
      </w:r>
      <w:r w:rsidRPr="00EF4F95">
        <w:rPr>
          <w:rFonts w:eastAsia="Times New Roman" w:cs="Arial"/>
          <w:bCs/>
          <w:snapToGrid w:val="0"/>
        </w:rPr>
        <w:t xml:space="preserve">ed in children and adolescents and thus </w:t>
      </w:r>
      <w:r w:rsidR="005D5DC5" w:rsidRPr="00EF4F95">
        <w:rPr>
          <w:rFonts w:eastAsia="Times New Roman" w:cs="Arial"/>
          <w:bCs/>
          <w:snapToGrid w:val="0"/>
        </w:rPr>
        <w:t xml:space="preserve">reiterated its previous consideration that sapropterin should only be commenced </w:t>
      </w:r>
      <w:r w:rsidRPr="00EF4F95">
        <w:rPr>
          <w:rFonts w:eastAsia="Times New Roman" w:cs="Arial"/>
          <w:bCs/>
          <w:snapToGrid w:val="0"/>
        </w:rPr>
        <w:t xml:space="preserve">in patients who are younger than 18 years of age. </w:t>
      </w:r>
    </w:p>
    <w:p w:rsidR="00B52D1A" w:rsidRPr="00EF4F95" w:rsidRDefault="00B52D1A" w:rsidP="004B483F">
      <w:pPr>
        <w:pStyle w:val="ListParagraph"/>
        <w:widowControl w:val="0"/>
        <w:numPr>
          <w:ilvl w:val="1"/>
          <w:numId w:val="1"/>
        </w:numPr>
        <w:contextualSpacing w:val="0"/>
        <w:rPr>
          <w:rFonts w:cs="Arial"/>
          <w:bCs/>
          <w:snapToGrid w:val="0"/>
        </w:rPr>
      </w:pPr>
      <w:r w:rsidRPr="00EF4F95">
        <w:rPr>
          <w:rFonts w:cs="Arial"/>
          <w:bCs/>
          <w:snapToGrid w:val="0"/>
        </w:rPr>
        <w:t xml:space="preserve">The PBAC considered that </w:t>
      </w:r>
      <w:r w:rsidR="004B483F" w:rsidRPr="00EF4F95">
        <w:rPr>
          <w:rFonts w:cs="Arial"/>
          <w:bCs/>
          <w:snapToGrid w:val="0"/>
        </w:rPr>
        <w:t xml:space="preserve">patients who commenced PBS-subsidised sapropterin prior to the age of 18 years should be allowed to continue sapropterin thereafter. </w:t>
      </w:r>
      <w:r w:rsidRPr="00EF4F95">
        <w:rPr>
          <w:rFonts w:eastAsia="Times New Roman" w:cs="Arial"/>
          <w:bCs/>
          <w:snapToGrid w:val="0"/>
        </w:rPr>
        <w:t xml:space="preserve">The PBAC noted correspondence from the MDDA who </w:t>
      </w:r>
      <w:r w:rsidR="00FA3D17" w:rsidRPr="00EF4F95">
        <w:rPr>
          <w:rFonts w:eastAsia="Times New Roman" w:cs="Arial"/>
          <w:bCs/>
          <w:snapToGrid w:val="0"/>
        </w:rPr>
        <w:t xml:space="preserve">advised that patients previously treated with sapropterin may not be able to adhere to the stricter </w:t>
      </w:r>
      <w:proofErr w:type="spellStart"/>
      <w:r w:rsidR="00FA3D17" w:rsidRPr="00EF4F95">
        <w:rPr>
          <w:rFonts w:eastAsia="Times New Roman" w:cs="Arial"/>
          <w:bCs/>
          <w:snapToGrid w:val="0"/>
        </w:rPr>
        <w:t>Phe</w:t>
      </w:r>
      <w:proofErr w:type="spellEnd"/>
      <w:r w:rsidR="00FA3D17" w:rsidRPr="00EF4F95">
        <w:rPr>
          <w:rFonts w:eastAsia="Times New Roman" w:cs="Arial"/>
          <w:bCs/>
          <w:snapToGrid w:val="0"/>
        </w:rPr>
        <w:t>-restricted diet that would be required if sapropterin were ceased</w:t>
      </w:r>
      <w:r w:rsidR="00EF4F95">
        <w:rPr>
          <w:rFonts w:eastAsia="Times New Roman" w:cs="Arial"/>
          <w:bCs/>
          <w:snapToGrid w:val="0"/>
        </w:rPr>
        <w:t xml:space="preserve"> once a patient reached adulthood</w:t>
      </w:r>
      <w:r w:rsidR="00FA3D17" w:rsidRPr="00EF4F95">
        <w:rPr>
          <w:rFonts w:eastAsia="Times New Roman" w:cs="Arial"/>
          <w:bCs/>
          <w:snapToGrid w:val="0"/>
        </w:rPr>
        <w:t xml:space="preserve">. The PBAC considered that the </w:t>
      </w:r>
      <w:r w:rsidRPr="00EF4F95">
        <w:rPr>
          <w:rFonts w:eastAsia="Times New Roman" w:cs="Arial"/>
          <w:bCs/>
          <w:snapToGrid w:val="0"/>
        </w:rPr>
        <w:t>RSA propos</w:t>
      </w:r>
      <w:r w:rsidR="00FA3D17" w:rsidRPr="00EF4F95">
        <w:rPr>
          <w:rFonts w:eastAsia="Times New Roman" w:cs="Arial"/>
          <w:bCs/>
          <w:snapToGrid w:val="0"/>
        </w:rPr>
        <w:t xml:space="preserve">al </w:t>
      </w:r>
      <w:r w:rsidR="00FC1326" w:rsidRPr="00EF4F95">
        <w:rPr>
          <w:rFonts w:eastAsia="Times New Roman" w:cs="Arial"/>
          <w:bCs/>
          <w:snapToGrid w:val="0"/>
        </w:rPr>
        <w:t xml:space="preserve">(outlined </w:t>
      </w:r>
      <w:r w:rsidR="00B206CC" w:rsidRPr="00EF4F95">
        <w:rPr>
          <w:rFonts w:eastAsia="Times New Roman" w:cs="Arial"/>
          <w:bCs/>
          <w:snapToGrid w:val="0"/>
        </w:rPr>
        <w:t>further below</w:t>
      </w:r>
      <w:r w:rsidR="00FC1326" w:rsidRPr="00EF4F95">
        <w:rPr>
          <w:rFonts w:eastAsia="Times New Roman" w:cs="Arial"/>
          <w:bCs/>
          <w:snapToGrid w:val="0"/>
        </w:rPr>
        <w:t xml:space="preserve">) </w:t>
      </w:r>
      <w:r w:rsidR="00FA3D17" w:rsidRPr="00EF4F95">
        <w:rPr>
          <w:rFonts w:eastAsia="Times New Roman" w:cs="Arial"/>
          <w:bCs/>
          <w:snapToGrid w:val="0"/>
        </w:rPr>
        <w:t xml:space="preserve">would address some of its concerns about the cost-effectiveness and financial impacts </w:t>
      </w:r>
      <w:r w:rsidR="00D4232A" w:rsidRPr="00EF4F95">
        <w:rPr>
          <w:rFonts w:eastAsia="Times New Roman" w:cs="Arial"/>
          <w:bCs/>
          <w:snapToGrid w:val="0"/>
        </w:rPr>
        <w:t xml:space="preserve">for continuing patients </w:t>
      </w:r>
      <w:r w:rsidR="001F3C28">
        <w:rPr>
          <w:rFonts w:eastAsia="Times New Roman" w:cs="Arial"/>
          <w:bCs/>
          <w:snapToGrid w:val="0"/>
        </w:rPr>
        <w:t>aged 18 years and over, given</w:t>
      </w:r>
      <w:r w:rsidR="00FA3D17" w:rsidRPr="00EF4F95">
        <w:rPr>
          <w:rFonts w:eastAsia="Times New Roman" w:cs="Arial"/>
          <w:bCs/>
          <w:snapToGrid w:val="0"/>
        </w:rPr>
        <w:t xml:space="preserve"> the risks </w:t>
      </w:r>
      <w:r w:rsidR="001F3C28">
        <w:rPr>
          <w:rFonts w:eastAsia="Times New Roman" w:cs="Arial"/>
          <w:bCs/>
          <w:snapToGrid w:val="0"/>
        </w:rPr>
        <w:t xml:space="preserve">associated with these patients </w:t>
      </w:r>
      <w:r w:rsidR="00FA3D17" w:rsidRPr="00EF4F95">
        <w:rPr>
          <w:rFonts w:eastAsia="Times New Roman" w:cs="Arial"/>
          <w:bCs/>
          <w:snapToGrid w:val="0"/>
        </w:rPr>
        <w:t xml:space="preserve">ceasing </w:t>
      </w:r>
      <w:r w:rsidR="001F3C28">
        <w:rPr>
          <w:rFonts w:eastAsia="Times New Roman" w:cs="Arial"/>
          <w:bCs/>
          <w:snapToGrid w:val="0"/>
        </w:rPr>
        <w:lastRenderedPageBreak/>
        <w:t>sapropterin after have been stabilised on treatment</w:t>
      </w:r>
      <w:r w:rsidR="00FA3D17" w:rsidRPr="00EF4F95">
        <w:rPr>
          <w:rFonts w:eastAsia="Times New Roman" w:cs="Arial"/>
          <w:bCs/>
          <w:snapToGrid w:val="0"/>
        </w:rPr>
        <w:t xml:space="preserve">. </w:t>
      </w:r>
    </w:p>
    <w:p w:rsidR="00202107" w:rsidRPr="00EF4F95" w:rsidRDefault="00202107" w:rsidP="003C0A93">
      <w:pPr>
        <w:widowControl w:val="0"/>
        <w:numPr>
          <w:ilvl w:val="1"/>
          <w:numId w:val="1"/>
        </w:numPr>
        <w:spacing w:after="120"/>
        <w:jc w:val="both"/>
        <w:rPr>
          <w:rFonts w:asciiTheme="minorHAnsi" w:hAnsiTheme="minorHAnsi" w:cs="Arial"/>
          <w:bCs/>
          <w:snapToGrid w:val="0"/>
          <w:szCs w:val="22"/>
          <w:lang w:eastAsia="en-US"/>
        </w:rPr>
      </w:pPr>
      <w:r w:rsidRPr="00EF4F95">
        <w:rPr>
          <w:rFonts w:asciiTheme="minorHAnsi" w:hAnsiTheme="minorHAnsi" w:cstheme="minorHAnsi"/>
          <w:bCs/>
          <w:snapToGrid w:val="0"/>
          <w:szCs w:val="22"/>
          <w:lang w:eastAsia="en-US"/>
        </w:rPr>
        <w:t>The</w:t>
      </w:r>
      <w:r w:rsidRPr="00EF4F95">
        <w:rPr>
          <w:rFonts w:asciiTheme="minorHAnsi" w:hAnsiTheme="minorHAnsi" w:cs="Arial"/>
          <w:bCs/>
          <w:snapToGrid w:val="0"/>
          <w:szCs w:val="22"/>
          <w:lang w:eastAsia="en-US"/>
        </w:rPr>
        <w:t xml:space="preserve"> PBAC considered that the</w:t>
      </w:r>
      <w:r w:rsidR="00A800BC" w:rsidRPr="00EF4F95">
        <w:rPr>
          <w:rFonts w:asciiTheme="minorHAnsi" w:hAnsiTheme="minorHAnsi" w:cs="Arial"/>
          <w:bCs/>
          <w:snapToGrid w:val="0"/>
          <w:szCs w:val="22"/>
          <w:lang w:eastAsia="en-US"/>
        </w:rPr>
        <w:t xml:space="preserve"> initial PBS</w:t>
      </w:r>
      <w:r w:rsidRPr="00EF4F95">
        <w:rPr>
          <w:rFonts w:asciiTheme="minorHAnsi" w:hAnsiTheme="minorHAnsi" w:cs="Arial"/>
          <w:bCs/>
          <w:snapToGrid w:val="0"/>
          <w:szCs w:val="22"/>
          <w:lang w:eastAsia="en-US"/>
        </w:rPr>
        <w:t xml:space="preserve"> restriction should</w:t>
      </w:r>
      <w:r w:rsidR="00A800BC" w:rsidRPr="00EF4F95">
        <w:rPr>
          <w:rFonts w:asciiTheme="minorHAnsi" w:hAnsiTheme="minorHAnsi" w:cs="Arial"/>
          <w:bCs/>
          <w:snapToGrid w:val="0"/>
          <w:szCs w:val="22"/>
          <w:lang w:eastAsia="en-US"/>
        </w:rPr>
        <w:t xml:space="preserve"> require</w:t>
      </w:r>
      <w:r w:rsidRPr="00EF4F95">
        <w:rPr>
          <w:rFonts w:asciiTheme="minorHAnsi" w:hAnsiTheme="minorHAnsi" w:cs="Arial"/>
          <w:bCs/>
          <w:snapToGrid w:val="0"/>
          <w:szCs w:val="22"/>
          <w:lang w:eastAsia="en-US"/>
        </w:rPr>
        <w:t>:</w:t>
      </w:r>
    </w:p>
    <w:p w:rsidR="00202107" w:rsidRPr="00373CF7" w:rsidRDefault="00202107" w:rsidP="001E123B">
      <w:pPr>
        <w:pStyle w:val="ListParagraph"/>
        <w:ind w:left="1077" w:hanging="357"/>
      </w:pPr>
      <w:proofErr w:type="gramStart"/>
      <w:r w:rsidRPr="00B03A99">
        <w:t>newborn</w:t>
      </w:r>
      <w:proofErr w:type="gramEnd"/>
      <w:r w:rsidRPr="00B03A99">
        <w:t xml:space="preserve"> patients to have </w:t>
      </w:r>
      <w:proofErr w:type="spellStart"/>
      <w:r w:rsidRPr="00B03A99">
        <w:t>Phe</w:t>
      </w:r>
      <w:proofErr w:type="spellEnd"/>
      <w:r w:rsidRPr="00B03A99">
        <w:t xml:space="preserve"> levels &gt; 360 µ</w:t>
      </w:r>
      <w:proofErr w:type="spellStart"/>
      <w:r w:rsidRPr="00B03A99">
        <w:t>mol</w:t>
      </w:r>
      <w:proofErr w:type="spellEnd"/>
      <w:r w:rsidRPr="00B03A99">
        <w:t xml:space="preserve">/L at diagnosis, and all other patients to have </w:t>
      </w:r>
      <w:proofErr w:type="spellStart"/>
      <w:r w:rsidRPr="00B03A99">
        <w:t>Phe</w:t>
      </w:r>
      <w:proofErr w:type="spellEnd"/>
      <w:r w:rsidRPr="00B03A99">
        <w:t xml:space="preserve"> levels </w:t>
      </w:r>
      <w:r w:rsidRPr="00373CF7">
        <w:t>&gt; 600 µ</w:t>
      </w:r>
      <w:proofErr w:type="spellStart"/>
      <w:r w:rsidRPr="00373CF7">
        <w:t>mol</w:t>
      </w:r>
      <w:proofErr w:type="spellEnd"/>
      <w:r w:rsidRPr="00373CF7">
        <w:t xml:space="preserve">/L during a stable period of disease. </w:t>
      </w:r>
    </w:p>
    <w:p w:rsidR="00A800BC" w:rsidRPr="00EF4F95" w:rsidRDefault="00962CF9" w:rsidP="001E123B">
      <w:pPr>
        <w:pStyle w:val="ListParagraph"/>
        <w:ind w:left="1077" w:hanging="357"/>
        <w:contextualSpacing w:val="0"/>
        <w:rPr>
          <w:rFonts w:cs="Arial"/>
          <w:bCs/>
          <w:snapToGrid w:val="0"/>
        </w:rPr>
      </w:pPr>
      <w:proofErr w:type="gramStart"/>
      <w:r w:rsidRPr="00EF4F95">
        <w:rPr>
          <w:rFonts w:cs="Arial"/>
          <w:bCs/>
          <w:snapToGrid w:val="0"/>
        </w:rPr>
        <w:t>a</w:t>
      </w:r>
      <w:r w:rsidR="00A800BC" w:rsidRPr="00EF4F95">
        <w:rPr>
          <w:rFonts w:cs="Arial"/>
          <w:bCs/>
          <w:snapToGrid w:val="0"/>
        </w:rPr>
        <w:t>ssessment</w:t>
      </w:r>
      <w:proofErr w:type="gramEnd"/>
      <w:r w:rsidR="00A800BC" w:rsidRPr="00EF4F95">
        <w:rPr>
          <w:rFonts w:cs="Arial"/>
          <w:bCs/>
          <w:snapToGrid w:val="0"/>
        </w:rPr>
        <w:t xml:space="preserve"> of patients/carers for their ability to comply with the sapropterin protocol, expectations of sapropterin, ability to comply with PKU diet and</w:t>
      </w:r>
      <w:r w:rsidRPr="00EF4F95">
        <w:rPr>
          <w:rFonts w:cs="Arial"/>
          <w:bCs/>
          <w:snapToGrid w:val="0"/>
        </w:rPr>
        <w:t>,</w:t>
      </w:r>
      <w:r w:rsidR="00A800BC" w:rsidRPr="00EF4F95">
        <w:rPr>
          <w:rFonts w:cs="Arial"/>
          <w:bCs/>
          <w:snapToGrid w:val="0"/>
        </w:rPr>
        <w:t xml:space="preserve"> </w:t>
      </w:r>
      <w:r w:rsidRPr="00EF4F95">
        <w:rPr>
          <w:rFonts w:cs="Arial"/>
          <w:bCs/>
          <w:snapToGrid w:val="0"/>
        </w:rPr>
        <w:t xml:space="preserve">for prevalent patients, </w:t>
      </w:r>
      <w:r w:rsidR="00A800BC" w:rsidRPr="00EF4F95">
        <w:rPr>
          <w:rFonts w:cs="Arial"/>
          <w:bCs/>
          <w:snapToGrid w:val="0"/>
        </w:rPr>
        <w:t xml:space="preserve">recent clinic visit history and current dietary </w:t>
      </w:r>
      <w:proofErr w:type="spellStart"/>
      <w:r w:rsidR="00A800BC" w:rsidRPr="00EF4F95">
        <w:rPr>
          <w:rFonts w:cs="Arial"/>
          <w:bCs/>
          <w:snapToGrid w:val="0"/>
        </w:rPr>
        <w:t>Phe</w:t>
      </w:r>
      <w:proofErr w:type="spellEnd"/>
      <w:r w:rsidR="00A800BC" w:rsidRPr="00EF4F95">
        <w:rPr>
          <w:rFonts w:cs="Arial"/>
          <w:bCs/>
          <w:snapToGrid w:val="0"/>
        </w:rPr>
        <w:t xml:space="preserve"> tolerance. </w:t>
      </w:r>
    </w:p>
    <w:p w:rsidR="00DB1362" w:rsidRPr="00B03A99" w:rsidRDefault="00DB1362" w:rsidP="007E5FCA">
      <w:pPr>
        <w:pStyle w:val="ListParagraph"/>
        <w:numPr>
          <w:ilvl w:val="1"/>
          <w:numId w:val="1"/>
        </w:numPr>
        <w:rPr>
          <w:rFonts w:eastAsia="Times New Roman" w:cstheme="minorHAnsi"/>
          <w:szCs w:val="24"/>
          <w:lang w:eastAsia="en-AU"/>
        </w:rPr>
      </w:pPr>
      <w:r w:rsidRPr="00EF4F95">
        <w:rPr>
          <w:rFonts w:cstheme="minorHAnsi"/>
          <w:bCs/>
          <w:snapToGrid w:val="0"/>
        </w:rPr>
        <w:t xml:space="preserve">Further, the PBAC considered that </w:t>
      </w:r>
      <w:r w:rsidRPr="00B03A99">
        <w:rPr>
          <w:rFonts w:cstheme="minorHAnsi"/>
        </w:rPr>
        <w:t xml:space="preserve">the PBS restriction should require that initial sapropterin responsiveness testing be conducted over a 24-hour period in newborns and </w:t>
      </w:r>
      <w:r w:rsidR="003C0A93" w:rsidRPr="00373CF7">
        <w:rPr>
          <w:rFonts w:cstheme="minorHAnsi"/>
        </w:rPr>
        <w:t xml:space="preserve">a </w:t>
      </w:r>
      <w:r w:rsidRPr="00373CF7">
        <w:rPr>
          <w:rFonts w:cstheme="minorHAnsi"/>
        </w:rPr>
        <w:t>7-day</w:t>
      </w:r>
      <w:r w:rsidR="003C0A93" w:rsidRPr="00373CF7">
        <w:rPr>
          <w:rFonts w:cstheme="minorHAnsi"/>
        </w:rPr>
        <w:t xml:space="preserve"> period</w:t>
      </w:r>
      <w:r w:rsidRPr="00373CF7">
        <w:rPr>
          <w:rFonts w:cstheme="minorHAnsi"/>
        </w:rPr>
        <w:t xml:space="preserve"> in children an</w:t>
      </w:r>
      <w:r w:rsidRPr="00B03A99">
        <w:rPr>
          <w:rFonts w:cstheme="minorHAnsi"/>
        </w:rPr>
        <w:t xml:space="preserve">d adolescents. The PBAC considered this would help address its previous concerns that it </w:t>
      </w:r>
      <w:r w:rsidRPr="00B03A99">
        <w:rPr>
          <w:rFonts w:eastAsia="Times New Roman" w:cstheme="minorHAnsi"/>
          <w:szCs w:val="24"/>
          <w:lang w:eastAsia="en-AU"/>
        </w:rPr>
        <w:t xml:space="preserve">would be difficult to distinguish true responsiveness from fluctuations in </w:t>
      </w:r>
      <w:proofErr w:type="spellStart"/>
      <w:r w:rsidRPr="00B03A99">
        <w:rPr>
          <w:rFonts w:eastAsia="Times New Roman" w:cstheme="minorHAnsi"/>
          <w:szCs w:val="24"/>
          <w:lang w:eastAsia="en-AU"/>
        </w:rPr>
        <w:t>Phe</w:t>
      </w:r>
      <w:proofErr w:type="spellEnd"/>
      <w:r w:rsidRPr="00B03A99">
        <w:rPr>
          <w:rFonts w:eastAsia="Times New Roman" w:cstheme="minorHAnsi"/>
          <w:szCs w:val="24"/>
          <w:lang w:eastAsia="en-AU"/>
        </w:rPr>
        <w:t xml:space="preserve"> levels due to other causes such as changes in diet or intercurrent illness, particularly given the high underlying variability in </w:t>
      </w:r>
      <w:proofErr w:type="spellStart"/>
      <w:r w:rsidRPr="00B03A99">
        <w:rPr>
          <w:rFonts w:eastAsia="Times New Roman" w:cstheme="minorHAnsi"/>
          <w:szCs w:val="24"/>
          <w:lang w:eastAsia="en-AU"/>
        </w:rPr>
        <w:t>Phe</w:t>
      </w:r>
      <w:proofErr w:type="spellEnd"/>
      <w:r w:rsidRPr="00B03A99">
        <w:rPr>
          <w:rFonts w:eastAsia="Times New Roman" w:cstheme="minorHAnsi"/>
          <w:szCs w:val="24"/>
          <w:lang w:eastAsia="en-AU"/>
        </w:rPr>
        <w:t xml:space="preserve"> levels </w:t>
      </w:r>
      <w:r w:rsidR="003C0A93" w:rsidRPr="00B03A99">
        <w:rPr>
          <w:rFonts w:eastAsia="Times New Roman" w:cstheme="minorHAnsi"/>
          <w:szCs w:val="24"/>
          <w:lang w:eastAsia="en-AU"/>
        </w:rPr>
        <w:t xml:space="preserve">which may be more marked over a 4-week period. </w:t>
      </w:r>
      <w:r w:rsidRPr="00B03A99">
        <w:rPr>
          <w:rFonts w:eastAsia="Times New Roman" w:cstheme="minorHAnsi"/>
          <w:szCs w:val="24"/>
          <w:lang w:eastAsia="en-AU"/>
        </w:rPr>
        <w:t xml:space="preserve">The PBAC </w:t>
      </w:r>
      <w:r w:rsidR="00A93F29" w:rsidRPr="00B03A99">
        <w:rPr>
          <w:rFonts w:eastAsia="Times New Roman" w:cstheme="minorHAnsi"/>
          <w:szCs w:val="24"/>
          <w:lang w:eastAsia="en-AU"/>
        </w:rPr>
        <w:t xml:space="preserve">noted </w:t>
      </w:r>
      <w:r w:rsidRPr="00B03A99">
        <w:rPr>
          <w:rFonts w:eastAsia="Times New Roman" w:cstheme="minorHAnsi"/>
          <w:szCs w:val="24"/>
          <w:lang w:eastAsia="en-AU"/>
        </w:rPr>
        <w:t xml:space="preserve">that </w:t>
      </w:r>
      <w:r w:rsidR="00D9744F" w:rsidRPr="00B03A99">
        <w:rPr>
          <w:rFonts w:eastAsia="Times New Roman" w:cstheme="minorHAnsi"/>
          <w:szCs w:val="24"/>
          <w:lang w:eastAsia="en-AU"/>
        </w:rPr>
        <w:t>guidelines had outlined</w:t>
      </w:r>
      <w:r w:rsidRPr="00B03A99">
        <w:rPr>
          <w:rFonts w:eastAsia="Times New Roman" w:cstheme="minorHAnsi"/>
          <w:szCs w:val="24"/>
          <w:lang w:eastAsia="en-AU"/>
        </w:rPr>
        <w:t xml:space="preserve"> </w:t>
      </w:r>
      <w:r w:rsidR="00C77462" w:rsidRPr="00B03A99">
        <w:rPr>
          <w:rFonts w:eastAsia="Times New Roman" w:cstheme="minorHAnsi"/>
          <w:szCs w:val="24"/>
          <w:lang w:eastAsia="en-AU"/>
        </w:rPr>
        <w:t xml:space="preserve">initial </w:t>
      </w:r>
      <w:r w:rsidRPr="00B03A99">
        <w:rPr>
          <w:rFonts w:eastAsia="Times New Roman" w:cstheme="minorHAnsi"/>
          <w:szCs w:val="24"/>
          <w:lang w:eastAsia="en-AU"/>
        </w:rPr>
        <w:t xml:space="preserve">responsiveness testing periods </w:t>
      </w:r>
      <w:r w:rsidR="00D9744F" w:rsidRPr="00B03A99">
        <w:rPr>
          <w:rFonts w:eastAsia="Times New Roman" w:cstheme="minorHAnsi"/>
          <w:szCs w:val="24"/>
          <w:lang w:eastAsia="en-AU"/>
        </w:rPr>
        <w:t xml:space="preserve">of </w:t>
      </w:r>
      <w:r w:rsidR="00B304B1" w:rsidRPr="00B03A99">
        <w:rPr>
          <w:rFonts w:eastAsia="Times New Roman" w:cstheme="minorHAnsi"/>
          <w:szCs w:val="24"/>
          <w:lang w:eastAsia="en-AU"/>
        </w:rPr>
        <w:t>24-hours in newborns and 7-days in children and adolescen</w:t>
      </w:r>
      <w:r w:rsidR="00D9744F" w:rsidRPr="00B03A99">
        <w:rPr>
          <w:rFonts w:eastAsia="Times New Roman" w:cstheme="minorHAnsi"/>
          <w:szCs w:val="24"/>
          <w:lang w:eastAsia="en-AU"/>
        </w:rPr>
        <w:t>ts. T</w:t>
      </w:r>
      <w:r w:rsidR="00A93F29" w:rsidRPr="00B03A99">
        <w:rPr>
          <w:rFonts w:eastAsia="Times New Roman" w:cstheme="minorHAnsi"/>
          <w:szCs w:val="24"/>
          <w:lang w:eastAsia="en-AU"/>
        </w:rPr>
        <w:t>he PBAC considered th</w:t>
      </w:r>
      <w:r w:rsidR="00D9744F" w:rsidRPr="00B03A99">
        <w:rPr>
          <w:rFonts w:eastAsia="Times New Roman" w:cstheme="minorHAnsi"/>
          <w:szCs w:val="24"/>
          <w:lang w:eastAsia="en-AU"/>
        </w:rPr>
        <w:t>ese shorter testing periods</w:t>
      </w:r>
      <w:r w:rsidR="00A93F29" w:rsidRPr="00B03A99">
        <w:rPr>
          <w:rFonts w:eastAsia="Times New Roman" w:cstheme="minorHAnsi"/>
          <w:szCs w:val="24"/>
          <w:lang w:eastAsia="en-AU"/>
        </w:rPr>
        <w:t xml:space="preserve"> were </w:t>
      </w:r>
      <w:r w:rsidR="00B304B1" w:rsidRPr="00B03A99">
        <w:rPr>
          <w:rFonts w:eastAsia="Times New Roman" w:cstheme="minorHAnsi"/>
          <w:szCs w:val="24"/>
          <w:lang w:eastAsia="en-AU"/>
        </w:rPr>
        <w:t xml:space="preserve">necessary to </w:t>
      </w:r>
      <w:r w:rsidRPr="00B03A99">
        <w:rPr>
          <w:rFonts w:cstheme="minorHAnsi"/>
        </w:rPr>
        <w:t xml:space="preserve">provide greater certainty that patients accessing sapropterin are truly responsive and </w:t>
      </w:r>
      <w:r w:rsidR="00B304B1" w:rsidRPr="00B03A99">
        <w:rPr>
          <w:rFonts w:cstheme="minorHAnsi"/>
        </w:rPr>
        <w:t>would</w:t>
      </w:r>
      <w:r w:rsidRPr="00B03A99">
        <w:rPr>
          <w:rFonts w:cstheme="minorHAnsi"/>
        </w:rPr>
        <w:t xml:space="preserve"> provide increased confidence around the incremental effectiveness</w:t>
      </w:r>
      <w:r w:rsidR="00B304B1" w:rsidRPr="00B03A99">
        <w:rPr>
          <w:rFonts w:cstheme="minorHAnsi"/>
        </w:rPr>
        <w:t xml:space="preserve"> that would be achieved in clinical practice</w:t>
      </w:r>
      <w:r w:rsidRPr="00B03A99">
        <w:rPr>
          <w:rFonts w:cstheme="minorHAnsi"/>
        </w:rPr>
        <w:t xml:space="preserve">. </w:t>
      </w:r>
    </w:p>
    <w:p w:rsidR="00DB1362" w:rsidRPr="00EF4F95" w:rsidRDefault="00B52D1A" w:rsidP="00B52D1A">
      <w:pPr>
        <w:widowControl w:val="0"/>
        <w:numPr>
          <w:ilvl w:val="1"/>
          <w:numId w:val="1"/>
        </w:numPr>
        <w:spacing w:after="120"/>
        <w:jc w:val="both"/>
        <w:rPr>
          <w:rFonts w:asciiTheme="minorHAnsi" w:hAnsiTheme="minorHAnsi" w:cstheme="minorHAnsi"/>
          <w:bCs/>
          <w:snapToGrid w:val="0"/>
          <w:szCs w:val="22"/>
          <w:lang w:eastAsia="en-US"/>
        </w:rPr>
      </w:pPr>
      <w:r w:rsidRPr="00EF4F95">
        <w:rPr>
          <w:rFonts w:asciiTheme="minorHAnsi" w:hAnsiTheme="minorHAnsi" w:cstheme="minorHAnsi"/>
          <w:bCs/>
          <w:snapToGrid w:val="0"/>
          <w:szCs w:val="22"/>
          <w:lang w:eastAsia="en-US"/>
        </w:rPr>
        <w:t xml:space="preserve">The PBAC </w:t>
      </w:r>
      <w:r w:rsidRPr="00B03A99">
        <w:rPr>
          <w:rFonts w:asciiTheme="minorHAnsi" w:hAnsiTheme="minorHAnsi" w:cstheme="minorHAnsi"/>
        </w:rPr>
        <w:t xml:space="preserve">considered that response to sapropterin during the initial responsiveness testing period should be defined as a ≥ 30% reduction in blood </w:t>
      </w:r>
      <w:proofErr w:type="spellStart"/>
      <w:r w:rsidRPr="00B03A99">
        <w:rPr>
          <w:rFonts w:asciiTheme="minorHAnsi" w:hAnsiTheme="minorHAnsi" w:cstheme="minorHAnsi"/>
        </w:rPr>
        <w:t>Phe</w:t>
      </w:r>
      <w:proofErr w:type="spellEnd"/>
      <w:r w:rsidRPr="00B03A99">
        <w:rPr>
          <w:rFonts w:asciiTheme="minorHAnsi" w:hAnsiTheme="minorHAnsi" w:cstheme="minorHAnsi"/>
        </w:rPr>
        <w:t xml:space="preserve"> levels from baseline. The PBAC considered </w:t>
      </w:r>
      <w:r w:rsidRPr="00EF4F95">
        <w:rPr>
          <w:rFonts w:asciiTheme="minorHAnsi" w:hAnsiTheme="minorHAnsi" w:cstheme="minorHAnsi"/>
          <w:bCs/>
          <w:snapToGrid w:val="0"/>
          <w:szCs w:val="22"/>
          <w:lang w:eastAsia="en-US"/>
        </w:rPr>
        <w:t xml:space="preserve">that </w:t>
      </w:r>
      <w:r w:rsidR="00B304B1" w:rsidRPr="00EF4F95">
        <w:rPr>
          <w:rFonts w:asciiTheme="minorHAnsi" w:hAnsiTheme="minorHAnsi" w:cstheme="minorHAnsi"/>
          <w:bCs/>
          <w:snapToGrid w:val="0"/>
          <w:szCs w:val="22"/>
          <w:lang w:eastAsia="en-US"/>
        </w:rPr>
        <w:t>thi</w:t>
      </w:r>
      <w:r w:rsidR="00962CF9" w:rsidRPr="00EF4F95">
        <w:rPr>
          <w:rFonts w:asciiTheme="minorHAnsi" w:hAnsiTheme="minorHAnsi" w:cstheme="minorHAnsi"/>
          <w:bCs/>
          <w:snapToGrid w:val="0"/>
          <w:szCs w:val="22"/>
          <w:lang w:eastAsia="en-US"/>
        </w:rPr>
        <w:t>s</w:t>
      </w:r>
      <w:r w:rsidR="00B304B1" w:rsidRPr="00EF4F95">
        <w:rPr>
          <w:rFonts w:asciiTheme="minorHAnsi" w:hAnsiTheme="minorHAnsi" w:cstheme="minorHAnsi"/>
          <w:bCs/>
          <w:snapToGrid w:val="0"/>
          <w:szCs w:val="22"/>
          <w:lang w:eastAsia="en-US"/>
        </w:rPr>
        <w:t xml:space="preserve"> is</w:t>
      </w:r>
      <w:r w:rsidR="00962CF9" w:rsidRPr="00EF4F95">
        <w:rPr>
          <w:rFonts w:asciiTheme="minorHAnsi" w:hAnsiTheme="minorHAnsi" w:cstheme="minorHAnsi"/>
          <w:bCs/>
          <w:snapToGrid w:val="0"/>
          <w:szCs w:val="22"/>
          <w:lang w:eastAsia="en-US"/>
        </w:rPr>
        <w:t xml:space="preserve"> </w:t>
      </w:r>
      <w:r w:rsidRPr="00EF4F95">
        <w:rPr>
          <w:rFonts w:asciiTheme="minorHAnsi" w:hAnsiTheme="minorHAnsi" w:cstheme="minorHAnsi"/>
          <w:bCs/>
          <w:snapToGrid w:val="0"/>
          <w:szCs w:val="22"/>
          <w:lang w:eastAsia="en-US"/>
        </w:rPr>
        <w:t>consistent with the guidelines and clinical data, and represents a reasonable balance between sensitivity and specificity.</w:t>
      </w:r>
    </w:p>
    <w:p w:rsidR="00B52D1A" w:rsidRPr="00EF4F95" w:rsidRDefault="00B52D1A" w:rsidP="008E340B">
      <w:pPr>
        <w:widowControl w:val="0"/>
        <w:numPr>
          <w:ilvl w:val="1"/>
          <w:numId w:val="1"/>
        </w:numPr>
        <w:spacing w:after="120"/>
        <w:jc w:val="both"/>
        <w:rPr>
          <w:rFonts w:asciiTheme="minorHAnsi" w:hAnsiTheme="minorHAnsi" w:cstheme="minorHAnsi"/>
          <w:bCs/>
          <w:snapToGrid w:val="0"/>
          <w:szCs w:val="22"/>
          <w:lang w:eastAsia="en-US"/>
        </w:rPr>
      </w:pPr>
      <w:r w:rsidRPr="00EF4F95">
        <w:rPr>
          <w:rFonts w:asciiTheme="minorHAnsi" w:hAnsiTheme="minorHAnsi" w:cstheme="minorHAnsi"/>
          <w:bCs/>
          <w:snapToGrid w:val="0"/>
          <w:szCs w:val="22"/>
          <w:lang w:eastAsia="en-US"/>
        </w:rPr>
        <w:t>F</w:t>
      </w:r>
      <w:r w:rsidR="008C6DE8" w:rsidRPr="00EF4F95">
        <w:rPr>
          <w:rFonts w:asciiTheme="minorHAnsi" w:hAnsiTheme="minorHAnsi" w:cstheme="minorHAnsi"/>
          <w:bCs/>
          <w:snapToGrid w:val="0"/>
          <w:szCs w:val="22"/>
          <w:lang w:eastAsia="en-US"/>
        </w:rPr>
        <w:t xml:space="preserve">or continuing access beyond </w:t>
      </w:r>
      <w:r w:rsidRPr="00EF4F95">
        <w:rPr>
          <w:rFonts w:asciiTheme="minorHAnsi" w:hAnsiTheme="minorHAnsi" w:cstheme="minorHAnsi"/>
          <w:bCs/>
          <w:snapToGrid w:val="0"/>
          <w:szCs w:val="22"/>
          <w:lang w:eastAsia="en-US"/>
        </w:rPr>
        <w:t>this, the PBAC considered that regular routine follow-up was necessary to ensure that sapropterin is not used as a replacement to diet, and that a requirement around this should be included in the PBS restriction.</w:t>
      </w:r>
    </w:p>
    <w:p w:rsidR="008835C5" w:rsidRPr="00373CF7" w:rsidRDefault="008835C5" w:rsidP="008835C5">
      <w:pPr>
        <w:pStyle w:val="ListParagraph"/>
        <w:numPr>
          <w:ilvl w:val="1"/>
          <w:numId w:val="1"/>
        </w:numPr>
        <w:contextualSpacing w:val="0"/>
        <w:rPr>
          <w:rFonts w:cstheme="minorHAnsi"/>
          <w:szCs w:val="24"/>
        </w:rPr>
      </w:pPr>
      <w:r w:rsidRPr="00B03A99">
        <w:rPr>
          <w:rFonts w:cstheme="minorHAnsi"/>
          <w:szCs w:val="24"/>
        </w:rPr>
        <w:t xml:space="preserve">The PBAC considered that any continuation requirements based on </w:t>
      </w:r>
      <w:proofErr w:type="spellStart"/>
      <w:r w:rsidRPr="00B03A99">
        <w:rPr>
          <w:rFonts w:cstheme="minorHAnsi"/>
          <w:szCs w:val="24"/>
        </w:rPr>
        <w:t>Phe</w:t>
      </w:r>
      <w:proofErr w:type="spellEnd"/>
      <w:r w:rsidRPr="00B03A99">
        <w:rPr>
          <w:rFonts w:cstheme="minorHAnsi"/>
          <w:szCs w:val="24"/>
        </w:rPr>
        <w:t xml:space="preserve"> levels would potentially be confounded by intra-patient variability. Thus, the PBAC considered that the risk of use in patients not continuing to respond would be better managed through a</w:t>
      </w:r>
      <w:r w:rsidR="00B206CC" w:rsidRPr="00373CF7">
        <w:rPr>
          <w:rFonts w:cstheme="minorHAnsi"/>
          <w:szCs w:val="24"/>
        </w:rPr>
        <w:t>n RSA</w:t>
      </w:r>
      <w:r w:rsidRPr="00373CF7">
        <w:rPr>
          <w:rFonts w:cstheme="minorHAnsi"/>
          <w:szCs w:val="24"/>
        </w:rPr>
        <w:t xml:space="preserve">, rather than </w:t>
      </w:r>
      <w:r w:rsidR="00B206CC" w:rsidRPr="00373CF7">
        <w:rPr>
          <w:rFonts w:cstheme="minorHAnsi"/>
          <w:szCs w:val="24"/>
        </w:rPr>
        <w:t>the PBS restriction</w:t>
      </w:r>
      <w:r w:rsidRPr="00373CF7">
        <w:rPr>
          <w:rFonts w:cstheme="minorHAnsi"/>
          <w:szCs w:val="24"/>
        </w:rPr>
        <w:t xml:space="preserve">. </w:t>
      </w:r>
    </w:p>
    <w:p w:rsidR="00367253" w:rsidRPr="003F643A" w:rsidRDefault="00367253" w:rsidP="00367253">
      <w:pPr>
        <w:pStyle w:val="ListParagraph"/>
        <w:numPr>
          <w:ilvl w:val="1"/>
          <w:numId w:val="1"/>
        </w:numPr>
        <w:contextualSpacing w:val="0"/>
      </w:pPr>
      <w:r w:rsidRPr="003F643A">
        <w:t xml:space="preserve">The PBAC reiterated its previous consideration that the claims of superior comparative effectiveness and non-inferior comparative safety versus a </w:t>
      </w:r>
      <w:proofErr w:type="spellStart"/>
      <w:r w:rsidRPr="003F643A">
        <w:t>Phe</w:t>
      </w:r>
      <w:proofErr w:type="spellEnd"/>
      <w:r w:rsidRPr="003F643A">
        <w:t>-restricted diet (relaxed or strict diet) were reasonable.</w:t>
      </w:r>
    </w:p>
    <w:p w:rsidR="008C6DE8" w:rsidRPr="003F643A" w:rsidRDefault="008C6DE8" w:rsidP="00B57649">
      <w:pPr>
        <w:pStyle w:val="ListParagraph"/>
        <w:numPr>
          <w:ilvl w:val="1"/>
          <w:numId w:val="1"/>
        </w:numPr>
        <w:contextualSpacing w:val="0"/>
        <w:rPr>
          <w:rFonts w:eastAsia="Times New Roman" w:cs="Arial"/>
          <w:bCs/>
          <w:snapToGrid w:val="0"/>
        </w:rPr>
      </w:pPr>
      <w:r w:rsidRPr="003F643A">
        <w:rPr>
          <w:rFonts w:eastAsia="Times New Roman" w:cs="Arial"/>
          <w:bCs/>
          <w:snapToGrid w:val="0"/>
        </w:rPr>
        <w:t xml:space="preserve">While the PBAC considered that the incremental cost-effectiveness ratio </w:t>
      </w:r>
      <w:r w:rsidR="00B57649" w:rsidRPr="003F643A">
        <w:rPr>
          <w:rFonts w:eastAsia="Times New Roman" w:cs="Arial"/>
          <w:bCs/>
          <w:snapToGrid w:val="0"/>
        </w:rPr>
        <w:t xml:space="preserve">estimated in the resubmission </w:t>
      </w:r>
      <w:r w:rsidRPr="003F643A">
        <w:rPr>
          <w:rFonts w:eastAsia="Times New Roman" w:cs="Arial"/>
          <w:bCs/>
          <w:snapToGrid w:val="0"/>
        </w:rPr>
        <w:t>was high, the Committee acknowledged the high clinical need in this small patient group</w:t>
      </w:r>
      <w:r w:rsidR="00B57649" w:rsidRPr="003F643A">
        <w:rPr>
          <w:rFonts w:eastAsia="Times New Roman" w:cs="Arial"/>
          <w:bCs/>
          <w:snapToGrid w:val="0"/>
        </w:rPr>
        <w:t xml:space="preserve"> and</w:t>
      </w:r>
      <w:r w:rsidRPr="003F643A">
        <w:rPr>
          <w:rFonts w:eastAsia="Times New Roman" w:cs="Arial"/>
          <w:bCs/>
          <w:snapToGrid w:val="0"/>
        </w:rPr>
        <w:t xml:space="preserve"> considered that the clin</w:t>
      </w:r>
      <w:r w:rsidR="00B57649" w:rsidRPr="003F643A">
        <w:rPr>
          <w:rFonts w:eastAsia="Times New Roman" w:cs="Arial"/>
          <w:bCs/>
          <w:snapToGrid w:val="0"/>
        </w:rPr>
        <w:t xml:space="preserve">ically significant outcomes in </w:t>
      </w:r>
      <w:r w:rsidRPr="003F643A">
        <w:rPr>
          <w:rFonts w:eastAsia="Times New Roman" w:cs="Arial"/>
          <w:bCs/>
          <w:snapToGrid w:val="0"/>
        </w:rPr>
        <w:t xml:space="preserve">patients </w:t>
      </w:r>
      <w:r w:rsidR="00B57649" w:rsidRPr="003F643A">
        <w:rPr>
          <w:rFonts w:eastAsia="Times New Roman" w:cs="Arial"/>
          <w:bCs/>
          <w:snapToGrid w:val="0"/>
        </w:rPr>
        <w:t xml:space="preserve">under the age of 18 </w:t>
      </w:r>
      <w:r w:rsidRPr="003F643A">
        <w:rPr>
          <w:rFonts w:eastAsia="Times New Roman" w:cs="Arial"/>
          <w:bCs/>
          <w:snapToGrid w:val="0"/>
        </w:rPr>
        <w:t xml:space="preserve">may not have been fully captured in the economic evaluation. As such, the PBAC advised that </w:t>
      </w:r>
      <w:r w:rsidR="004672B2" w:rsidRPr="003F643A">
        <w:rPr>
          <w:rFonts w:eastAsia="Times New Roman" w:cs="Arial"/>
          <w:bCs/>
          <w:snapToGrid w:val="0"/>
        </w:rPr>
        <w:t xml:space="preserve">inclusion of an RSA with </w:t>
      </w:r>
      <w:r w:rsidR="00E916D8">
        <w:rPr>
          <w:rFonts w:eastAsia="Times New Roman" w:cs="Arial"/>
          <w:bCs/>
          <w:noProof/>
          <w:snapToGrid w:val="0"/>
          <w:color w:val="000000"/>
          <w:highlight w:val="black"/>
        </w:rPr>
        <w:t>''''''''</w:t>
      </w:r>
      <w:r w:rsidR="004672B2" w:rsidRPr="003F643A">
        <w:rPr>
          <w:rFonts w:eastAsia="Times New Roman" w:cs="Arial"/>
          <w:bCs/>
          <w:snapToGrid w:val="0"/>
        </w:rPr>
        <w:t>% rebate above the projected patient population</w:t>
      </w:r>
      <w:r w:rsidR="00B57649" w:rsidRPr="003F643A">
        <w:rPr>
          <w:rFonts w:eastAsia="Times New Roman" w:cs="Arial"/>
          <w:bCs/>
          <w:snapToGrid w:val="0"/>
        </w:rPr>
        <w:t xml:space="preserve"> w</w:t>
      </w:r>
      <w:r w:rsidR="00B206CC" w:rsidRPr="003F643A">
        <w:rPr>
          <w:rFonts w:eastAsia="Times New Roman" w:cs="Arial"/>
          <w:bCs/>
          <w:snapToGrid w:val="0"/>
        </w:rPr>
        <w:t>as</w:t>
      </w:r>
      <w:r w:rsidRPr="003F643A">
        <w:rPr>
          <w:rFonts w:eastAsia="Times New Roman" w:cs="Arial"/>
          <w:bCs/>
          <w:snapToGrid w:val="0"/>
        </w:rPr>
        <w:t xml:space="preserve"> adequate to address its </w:t>
      </w:r>
      <w:r w:rsidR="00B57649" w:rsidRPr="003F643A">
        <w:rPr>
          <w:rFonts w:eastAsia="Times New Roman" w:cs="Arial"/>
          <w:bCs/>
          <w:snapToGrid w:val="0"/>
        </w:rPr>
        <w:t xml:space="preserve">previous </w:t>
      </w:r>
      <w:r w:rsidRPr="003F643A">
        <w:rPr>
          <w:rFonts w:eastAsia="Times New Roman" w:cs="Arial"/>
          <w:bCs/>
          <w:snapToGrid w:val="0"/>
        </w:rPr>
        <w:t>concerns around cost-effectiveness.</w:t>
      </w:r>
    </w:p>
    <w:p w:rsidR="00C82398" w:rsidRPr="003F643A" w:rsidRDefault="00B57649" w:rsidP="00C82398">
      <w:pPr>
        <w:pStyle w:val="ListParagraph"/>
        <w:numPr>
          <w:ilvl w:val="1"/>
          <w:numId w:val="1"/>
        </w:numPr>
        <w:contextualSpacing w:val="0"/>
        <w:rPr>
          <w:rFonts w:eastAsia="Times New Roman" w:cs="Arial"/>
          <w:bCs/>
          <w:snapToGrid w:val="0"/>
        </w:rPr>
      </w:pPr>
      <w:r w:rsidRPr="003F643A">
        <w:rPr>
          <w:rFonts w:eastAsia="Times New Roman" w:cs="Arial"/>
          <w:bCs/>
          <w:snapToGrid w:val="0"/>
        </w:rPr>
        <w:lastRenderedPageBreak/>
        <w:t xml:space="preserve">The PBAC noted that the resubmission and pre-PBAC response had </w:t>
      </w:r>
      <w:r w:rsidR="006B30EE" w:rsidRPr="003F643A">
        <w:rPr>
          <w:rFonts w:eastAsia="Times New Roman" w:cs="Arial"/>
          <w:bCs/>
          <w:snapToGrid w:val="0"/>
        </w:rPr>
        <w:t xml:space="preserve">significantly lowered the estimated cost to the PBS over six years from </w:t>
      </w:r>
      <w:r w:rsidR="00DC4FB6">
        <w:rPr>
          <w:rFonts w:eastAsia="Times New Roman" w:cs="Arial"/>
          <w:bCs/>
          <w:snapToGrid w:val="0"/>
        </w:rPr>
        <w:t>more than $100</w:t>
      </w:r>
      <w:r w:rsidR="006B30EE" w:rsidRPr="003F643A">
        <w:rPr>
          <w:rFonts w:eastAsia="Times New Roman" w:cs="Arial"/>
          <w:bCs/>
          <w:snapToGrid w:val="0"/>
        </w:rPr>
        <w:t xml:space="preserve"> million in the March 2018 submission to </w:t>
      </w:r>
      <w:r w:rsidR="00DC4FB6">
        <w:rPr>
          <w:rFonts w:eastAsia="Times New Roman" w:cs="Arial"/>
          <w:bCs/>
          <w:snapToGrid w:val="0"/>
        </w:rPr>
        <w:t>$30 - $60</w:t>
      </w:r>
      <w:r w:rsidR="006B30EE" w:rsidRPr="003F643A">
        <w:rPr>
          <w:rFonts w:eastAsia="Times New Roman" w:cs="Arial"/>
          <w:bCs/>
          <w:snapToGrid w:val="0"/>
        </w:rPr>
        <w:t xml:space="preserve"> million in the pre-PBAC response. In doing so, the resubmission and pre-PBAC response had </w:t>
      </w:r>
      <w:r w:rsidRPr="003F643A">
        <w:rPr>
          <w:rFonts w:eastAsia="Times New Roman" w:cs="Arial"/>
          <w:bCs/>
          <w:snapToGrid w:val="0"/>
        </w:rPr>
        <w:t xml:space="preserve">addressed </w:t>
      </w:r>
      <w:r w:rsidR="006B30EE" w:rsidRPr="003F643A">
        <w:rPr>
          <w:rFonts w:eastAsia="Times New Roman" w:cs="Arial"/>
          <w:bCs/>
          <w:snapToGrid w:val="0"/>
        </w:rPr>
        <w:t>the PBAC’s</w:t>
      </w:r>
      <w:r w:rsidRPr="003F643A">
        <w:rPr>
          <w:rFonts w:eastAsia="Times New Roman" w:cs="Arial"/>
          <w:bCs/>
          <w:snapToGrid w:val="0"/>
        </w:rPr>
        <w:t xml:space="preserve"> previous concerns around the financial </w:t>
      </w:r>
      <w:r w:rsidR="00C82398" w:rsidRPr="003F643A">
        <w:rPr>
          <w:rFonts w:eastAsia="Times New Roman" w:cs="Arial"/>
          <w:bCs/>
          <w:snapToGrid w:val="0"/>
        </w:rPr>
        <w:t>estimates including that:</w:t>
      </w:r>
    </w:p>
    <w:p w:rsidR="00C82398" w:rsidRPr="003F643A" w:rsidRDefault="00C82398" w:rsidP="001E123B">
      <w:pPr>
        <w:pStyle w:val="ListParagraph"/>
        <w:ind w:left="1077" w:hanging="357"/>
        <w:rPr>
          <w:rFonts w:eastAsia="Times New Roman" w:cs="Arial"/>
          <w:bCs/>
          <w:snapToGrid w:val="0"/>
        </w:rPr>
      </w:pPr>
      <w:r w:rsidRPr="00B03A99">
        <w:t>the</w:t>
      </w:r>
      <w:r w:rsidRPr="003F643A">
        <w:rPr>
          <w:rFonts w:eastAsia="Times New Roman" w:cs="Arial"/>
          <w:bCs/>
          <w:snapToGrid w:val="0"/>
        </w:rPr>
        <w:t xml:space="preserve"> sapropterin doses for the initial </w:t>
      </w:r>
      <w:r w:rsidRPr="008940AC">
        <w:rPr>
          <w:rFonts w:eastAsia="Times New Roman" w:cs="Arial"/>
          <w:bCs/>
          <w:snapToGrid w:val="0"/>
        </w:rPr>
        <w:t>period of responsiveness testing (up to one month) were included in the estimates</w:t>
      </w:r>
      <w:r w:rsidR="006B30EE" w:rsidRPr="008940AC">
        <w:rPr>
          <w:rFonts w:eastAsia="Times New Roman" w:cs="Arial"/>
          <w:bCs/>
          <w:snapToGrid w:val="0"/>
        </w:rPr>
        <w:t xml:space="preserve">, </w:t>
      </w:r>
      <w:r w:rsidR="006B30EE" w:rsidRPr="00E3376E">
        <w:rPr>
          <w:rFonts w:eastAsia="Times New Roman" w:cs="Arial"/>
          <w:bCs/>
          <w:snapToGrid w:val="0"/>
        </w:rPr>
        <w:t xml:space="preserve">with </w:t>
      </w:r>
      <w:r w:rsidR="00E916D8">
        <w:rPr>
          <w:rFonts w:eastAsia="Times New Roman" w:cs="Arial"/>
          <w:bCs/>
          <w:noProof/>
          <w:snapToGrid w:val="0"/>
          <w:color w:val="000000"/>
          <w:highlight w:val="black"/>
        </w:rPr>
        <w:t>'''''' '''''''' '''''</w:t>
      </w:r>
      <w:r w:rsidR="006B30EE" w:rsidRPr="00E3376E">
        <w:rPr>
          <w:rFonts w:eastAsia="Times New Roman" w:cs="Arial"/>
          <w:bCs/>
          <w:snapToGrid w:val="0"/>
        </w:rPr>
        <w:t xml:space="preserve"> these doses to be rebated through an RSA</w:t>
      </w:r>
      <w:r w:rsidRPr="008940AC">
        <w:rPr>
          <w:rFonts w:eastAsia="Times New Roman" w:cs="Arial"/>
          <w:bCs/>
          <w:snapToGrid w:val="0"/>
        </w:rPr>
        <w:t xml:space="preserve">. However, the PBAC noted these were based on </w:t>
      </w:r>
      <w:r w:rsidR="009750B6" w:rsidRPr="008940AC">
        <w:rPr>
          <w:rFonts w:eastAsia="Times New Roman" w:cs="Arial"/>
          <w:bCs/>
          <w:snapToGrid w:val="0"/>
        </w:rPr>
        <w:t xml:space="preserve">a 28-day response testing period and </w:t>
      </w:r>
      <w:r w:rsidR="00872C7A" w:rsidRPr="008940AC">
        <w:rPr>
          <w:rFonts w:eastAsia="Times New Roman" w:cs="Arial"/>
          <w:bCs/>
          <w:snapToGrid w:val="0"/>
        </w:rPr>
        <w:t>may</w:t>
      </w:r>
      <w:r w:rsidR="009750B6" w:rsidRPr="008940AC">
        <w:rPr>
          <w:rFonts w:eastAsia="Times New Roman" w:cs="Arial"/>
          <w:bCs/>
          <w:snapToGrid w:val="0"/>
        </w:rPr>
        <w:t xml:space="preserve"> need to be</w:t>
      </w:r>
      <w:r w:rsidR="009750B6" w:rsidRPr="003F643A">
        <w:rPr>
          <w:rFonts w:eastAsia="Times New Roman" w:cs="Arial"/>
          <w:bCs/>
          <w:snapToGrid w:val="0"/>
        </w:rPr>
        <w:t xml:space="preserve"> adjusted for the shorter response testing periods outlined in the </w:t>
      </w:r>
      <w:r w:rsidR="006B30EE" w:rsidRPr="003F643A">
        <w:rPr>
          <w:rFonts w:eastAsia="Times New Roman" w:cs="Arial"/>
          <w:bCs/>
          <w:snapToGrid w:val="0"/>
        </w:rPr>
        <w:t>recommended restriction</w:t>
      </w:r>
      <w:r w:rsidR="009750B6" w:rsidRPr="003F643A">
        <w:rPr>
          <w:rFonts w:eastAsia="Times New Roman" w:cs="Arial"/>
          <w:bCs/>
          <w:snapToGrid w:val="0"/>
        </w:rPr>
        <w:t xml:space="preserve"> (24 hours for newborns and 7 days for older children and adolescents);</w:t>
      </w:r>
    </w:p>
    <w:p w:rsidR="009750B6" w:rsidRPr="003F643A" w:rsidRDefault="00974FC1" w:rsidP="001E123B">
      <w:pPr>
        <w:pStyle w:val="ListParagraph"/>
        <w:ind w:left="1077" w:hanging="357"/>
        <w:rPr>
          <w:rFonts w:eastAsia="Times New Roman" w:cs="Arial"/>
          <w:bCs/>
          <w:snapToGrid w:val="0"/>
        </w:rPr>
      </w:pPr>
      <w:r w:rsidRPr="00B03A99">
        <w:t>u</w:t>
      </w:r>
      <w:r w:rsidR="009750B6" w:rsidRPr="00B03A99">
        <w:t xml:space="preserve">tilisation was updated to reflect the </w:t>
      </w:r>
      <w:r w:rsidRPr="00B03A99">
        <w:t xml:space="preserve">eligible </w:t>
      </w:r>
      <w:r w:rsidR="009750B6" w:rsidRPr="00B03A99">
        <w:t xml:space="preserve">population </w:t>
      </w:r>
      <w:r w:rsidRPr="00B03A99">
        <w:t>comprising patients</w:t>
      </w:r>
      <w:r w:rsidR="009750B6" w:rsidRPr="00373CF7">
        <w:t xml:space="preserve"> aged 0 to 17 years as well as those who continue PBS-subsidised sapropterin once they turn 18 years of age</w:t>
      </w:r>
      <w:r w:rsidR="004C2AD1" w:rsidRPr="00373CF7">
        <w:t>; and</w:t>
      </w:r>
    </w:p>
    <w:p w:rsidR="009750B6" w:rsidRPr="003F643A" w:rsidRDefault="009750B6" w:rsidP="004C2AD1">
      <w:pPr>
        <w:pStyle w:val="ListParagraph"/>
        <w:ind w:left="1077" w:hanging="357"/>
        <w:contextualSpacing w:val="0"/>
        <w:rPr>
          <w:rFonts w:eastAsia="Times New Roman" w:cs="Arial"/>
          <w:bCs/>
          <w:snapToGrid w:val="0"/>
        </w:rPr>
      </w:pPr>
      <w:proofErr w:type="gramStart"/>
      <w:r w:rsidRPr="003F643A">
        <w:rPr>
          <w:rFonts w:eastAsia="Times New Roman" w:cs="Arial"/>
          <w:bCs/>
          <w:snapToGrid w:val="0"/>
        </w:rPr>
        <w:t>the</w:t>
      </w:r>
      <w:proofErr w:type="gramEnd"/>
      <w:r w:rsidRPr="003F643A">
        <w:rPr>
          <w:rFonts w:eastAsia="Times New Roman" w:cs="Arial"/>
          <w:bCs/>
          <w:snapToGrid w:val="0"/>
        </w:rPr>
        <w:t xml:space="preserve"> eligible population</w:t>
      </w:r>
      <w:r w:rsidR="00974FC1" w:rsidRPr="003F643A">
        <w:rPr>
          <w:rFonts w:eastAsia="Times New Roman" w:cs="Arial"/>
          <w:bCs/>
          <w:snapToGrid w:val="0"/>
        </w:rPr>
        <w:t xml:space="preserve">, </w:t>
      </w:r>
      <w:r w:rsidRPr="003F643A">
        <w:rPr>
          <w:rFonts w:eastAsia="Times New Roman" w:cs="Arial"/>
          <w:bCs/>
          <w:snapToGrid w:val="0"/>
        </w:rPr>
        <w:t xml:space="preserve">uptake </w:t>
      </w:r>
      <w:r w:rsidR="00974FC1" w:rsidRPr="003F643A">
        <w:rPr>
          <w:rFonts w:eastAsia="Times New Roman" w:cs="Arial"/>
          <w:bCs/>
          <w:snapToGrid w:val="0"/>
        </w:rPr>
        <w:t xml:space="preserve">rate </w:t>
      </w:r>
      <w:r w:rsidRPr="003F643A">
        <w:rPr>
          <w:rFonts w:eastAsia="Times New Roman" w:cs="Arial"/>
          <w:bCs/>
          <w:snapToGrid w:val="0"/>
        </w:rPr>
        <w:t xml:space="preserve">and compliance rates were </w:t>
      </w:r>
      <w:r w:rsidR="00974FC1" w:rsidRPr="003F643A">
        <w:rPr>
          <w:rFonts w:eastAsia="Times New Roman" w:cs="Arial"/>
          <w:bCs/>
          <w:snapToGrid w:val="0"/>
        </w:rPr>
        <w:t>revised in the pre-PBAC response to reflect values that the PBAC considered were reasonable.</w:t>
      </w:r>
    </w:p>
    <w:p w:rsidR="009750B6" w:rsidRPr="003F643A" w:rsidRDefault="009750B6" w:rsidP="00974FC1">
      <w:pPr>
        <w:pStyle w:val="ListParagraph"/>
        <w:widowControl w:val="0"/>
        <w:numPr>
          <w:ilvl w:val="1"/>
          <w:numId w:val="1"/>
        </w:numPr>
        <w:contextualSpacing w:val="0"/>
        <w:rPr>
          <w:bCs/>
        </w:rPr>
      </w:pPr>
      <w:r w:rsidRPr="003F643A">
        <w:rPr>
          <w:bCs/>
        </w:rPr>
        <w:t xml:space="preserve">The PBAC noted that the resubmission estimated that </w:t>
      </w:r>
      <w:r w:rsidR="00E916D8">
        <w:rPr>
          <w:noProof/>
          <w:color w:val="000000"/>
          <w:highlight w:val="black"/>
        </w:rPr>
        <w:t>''''''</w:t>
      </w:r>
      <w:r w:rsidRPr="00B03A99">
        <w:t>% of patients would respond to initial sapropterin responsiveness testing</w:t>
      </w:r>
      <w:r w:rsidR="00974FC1" w:rsidRPr="00B03A99">
        <w:t xml:space="preserve">. </w:t>
      </w:r>
      <w:r w:rsidR="004A4ABC" w:rsidRPr="00B03A99">
        <w:t>T</w:t>
      </w:r>
      <w:r w:rsidR="004C2AD1" w:rsidRPr="00B03A99">
        <w:t>he PBAC considered th</w:t>
      </w:r>
      <w:r w:rsidR="004A4ABC" w:rsidRPr="00373CF7">
        <w:t>is</w:t>
      </w:r>
      <w:r w:rsidR="00B206CC" w:rsidRPr="00373CF7">
        <w:t xml:space="preserve"> estimate</w:t>
      </w:r>
      <w:r w:rsidR="004C2AD1" w:rsidRPr="00373CF7">
        <w:t xml:space="preserve"> remained uncertain given the heterogeneity </w:t>
      </w:r>
      <w:r w:rsidR="00974FC1" w:rsidRPr="00373CF7">
        <w:t xml:space="preserve">between </w:t>
      </w:r>
      <w:r w:rsidR="004A4ABC" w:rsidRPr="00B03A99">
        <w:t xml:space="preserve">the </w:t>
      </w:r>
      <w:r w:rsidR="00974FC1" w:rsidRPr="00B03A99">
        <w:t>studies</w:t>
      </w:r>
      <w:r w:rsidR="004A4ABC" w:rsidRPr="00B03A99">
        <w:t xml:space="preserve"> it was based on</w:t>
      </w:r>
      <w:r w:rsidR="00974FC1" w:rsidRPr="00B03A99">
        <w:t xml:space="preserve"> (in terms of sapropterin dose and the patient population)</w:t>
      </w:r>
      <w:r w:rsidR="00B206CC" w:rsidRPr="00B03A99">
        <w:t>, and a potential lack of applicability to the PBS population</w:t>
      </w:r>
      <w:r w:rsidR="004A4ABC" w:rsidRPr="00B03A99">
        <w:t xml:space="preserve">. However, the PBAC considered that the </w:t>
      </w:r>
      <w:r w:rsidR="00E916D8">
        <w:rPr>
          <w:noProof/>
          <w:color w:val="000000"/>
          <w:highlight w:val="black"/>
        </w:rPr>
        <w:t>'''''</w:t>
      </w:r>
      <w:r w:rsidR="004A4ABC" w:rsidRPr="00B03A99">
        <w:t xml:space="preserve">% response rate was reasonable as it represented a mid-point between the response rates observed in </w:t>
      </w:r>
      <w:r w:rsidR="00B206CC" w:rsidRPr="00B03A99">
        <w:t xml:space="preserve">a range of </w:t>
      </w:r>
      <w:r w:rsidR="004A4ABC" w:rsidRPr="00B03A99">
        <w:t xml:space="preserve">studies </w:t>
      </w:r>
      <w:r w:rsidR="00872C7A" w:rsidRPr="00B03A99">
        <w:t>that used</w:t>
      </w:r>
      <w:r w:rsidR="004A4ABC" w:rsidRPr="00B03A99">
        <w:t xml:space="preserve"> 24-hour and 7-day testing periods</w:t>
      </w:r>
      <w:r w:rsidR="00B206CC" w:rsidRPr="00B03A99">
        <w:t>,</w:t>
      </w:r>
      <w:r w:rsidR="004A4ABC" w:rsidRPr="00B03A99">
        <w:t xml:space="preserve"> and was based on data that was likely to be the best available. </w:t>
      </w:r>
    </w:p>
    <w:p w:rsidR="004C2AD1" w:rsidRPr="00B03A99" w:rsidRDefault="004C2AD1" w:rsidP="006B30EE">
      <w:pPr>
        <w:pStyle w:val="ListParagraph"/>
        <w:numPr>
          <w:ilvl w:val="1"/>
          <w:numId w:val="1"/>
        </w:numPr>
        <w:contextualSpacing w:val="0"/>
      </w:pPr>
      <w:r w:rsidRPr="00B03A99">
        <w:t xml:space="preserve">The PBAC noted that the pre-PBAC response had proposed an RSA </w:t>
      </w:r>
      <w:r w:rsidRPr="00580ABD">
        <w:t xml:space="preserve">rebate </w:t>
      </w:r>
      <w:r w:rsidRPr="00E3376E">
        <w:t xml:space="preserve">such that the cost of sapropterin for </w:t>
      </w:r>
      <w:r w:rsidR="00D9744F" w:rsidRPr="00E3376E">
        <w:t xml:space="preserve">continuing </w:t>
      </w:r>
      <w:r w:rsidRPr="00E3376E">
        <w:t xml:space="preserve">patients aged ≥ 18 years </w:t>
      </w:r>
      <w:r w:rsidR="00E916D8">
        <w:rPr>
          <w:noProof/>
          <w:color w:val="000000"/>
          <w:highlight w:val="black"/>
        </w:rPr>
        <w:t>''' '''''''''''' ''''' ''''''' '''''''''''''''''' ''''''' ''''' '' ''''''''''''''' ''''''</w:t>
      </w:r>
      <w:r w:rsidR="0037778D" w:rsidRPr="00580ABD">
        <w:t>. The PBAC noted this would reduce</w:t>
      </w:r>
      <w:r w:rsidR="0037778D" w:rsidRPr="00373CF7">
        <w:t xml:space="preserve"> </w:t>
      </w:r>
      <w:r w:rsidRPr="00373CF7">
        <w:t xml:space="preserve">the financial impacts and may improve the cost-effectiveness in </w:t>
      </w:r>
      <w:r w:rsidR="00D9744F" w:rsidRPr="00373CF7">
        <w:t>this group of continuing patients</w:t>
      </w:r>
      <w:r w:rsidRPr="00B03A99">
        <w:t>.</w:t>
      </w:r>
    </w:p>
    <w:p w:rsidR="00B57649" w:rsidRPr="003F643A" w:rsidRDefault="007C738F" w:rsidP="007C738F">
      <w:pPr>
        <w:pStyle w:val="ListParagraph"/>
        <w:widowControl w:val="0"/>
        <w:numPr>
          <w:ilvl w:val="1"/>
          <w:numId w:val="1"/>
        </w:numPr>
        <w:contextualSpacing w:val="0"/>
        <w:rPr>
          <w:bCs/>
        </w:rPr>
      </w:pPr>
      <w:r w:rsidRPr="001F3C28">
        <w:rPr>
          <w:bCs/>
        </w:rPr>
        <w:t xml:space="preserve">The PBAC noted that the pre-PBAC response had proposed an RSA with </w:t>
      </w:r>
      <w:r w:rsidR="00E916D8">
        <w:rPr>
          <w:bCs/>
          <w:noProof/>
          <w:color w:val="000000"/>
          <w:highlight w:val="black"/>
        </w:rPr>
        <w:t>'''''''</w:t>
      </w:r>
      <w:r w:rsidRPr="001F3C28">
        <w:rPr>
          <w:bCs/>
        </w:rPr>
        <w:t xml:space="preserve">% rebates on expenditure above the estimated net cost to the PBS (in addition to the </w:t>
      </w:r>
      <w:r w:rsidR="00E916D8">
        <w:rPr>
          <w:bCs/>
          <w:noProof/>
          <w:color w:val="000000"/>
          <w:highlight w:val="black"/>
        </w:rPr>
        <w:t>'''''''</w:t>
      </w:r>
      <w:r w:rsidRPr="001F3C28">
        <w:rPr>
          <w:bCs/>
        </w:rPr>
        <w:t xml:space="preserve">% rebate on </w:t>
      </w:r>
      <w:r w:rsidRPr="00B03A99">
        <w:t>the cost to the PBS of all sapropterin used for initial responsiveness testing,</w:t>
      </w:r>
      <w:r w:rsidRPr="001F3C28">
        <w:rPr>
          <w:bCs/>
        </w:rPr>
        <w:t xml:space="preserve"> and a partial rebate for patients aged ≥ 18 years). </w:t>
      </w:r>
      <w:r w:rsidR="004672B2" w:rsidRPr="001F3C28">
        <w:rPr>
          <w:rFonts w:eastAsia="Times New Roman" w:cs="Arial"/>
          <w:bCs/>
          <w:snapToGrid w:val="0"/>
        </w:rPr>
        <w:t xml:space="preserve">The PBAC noted that based on the sponsor’s proposal to provide responsiveness testing doses </w:t>
      </w:r>
      <w:r w:rsidR="00E916D8">
        <w:rPr>
          <w:rFonts w:eastAsia="Times New Roman" w:cs="Arial"/>
          <w:bCs/>
          <w:noProof/>
          <w:snapToGrid w:val="0"/>
          <w:color w:val="000000"/>
          <w:highlight w:val="black"/>
        </w:rPr>
        <w:t>'''' ''''' ''''''''</w:t>
      </w:r>
      <w:r w:rsidR="004672B2" w:rsidRPr="001F3C28">
        <w:rPr>
          <w:rFonts w:eastAsia="Times New Roman" w:cs="Arial"/>
          <w:bCs/>
          <w:snapToGrid w:val="0"/>
        </w:rPr>
        <w:t xml:space="preserve"> and a rebate </w:t>
      </w:r>
      <w:r w:rsidR="004672B2" w:rsidRPr="00B03A99">
        <w:t xml:space="preserve">for patients aged </w:t>
      </w:r>
      <w:r w:rsidR="004672B2" w:rsidRPr="00B03A99">
        <w:rPr>
          <w:rFonts w:cstheme="minorHAnsi"/>
        </w:rPr>
        <w:t>≥</w:t>
      </w:r>
      <w:r w:rsidR="004672B2" w:rsidRPr="00B03A99">
        <w:t xml:space="preserve"> 18 years</w:t>
      </w:r>
      <w:r w:rsidR="004672B2" w:rsidRPr="003F643A">
        <w:rPr>
          <w:rFonts w:eastAsia="Times New Roman" w:cs="Arial"/>
          <w:bCs/>
          <w:snapToGrid w:val="0"/>
        </w:rPr>
        <w:t xml:space="preserve">, these should be deducted from the calculation of the RSA financial cap to ensure caps are set at the </w:t>
      </w:r>
      <w:r w:rsidR="00373CF7">
        <w:rPr>
          <w:rFonts w:eastAsia="Times New Roman" w:cs="Arial"/>
          <w:bCs/>
          <w:snapToGrid w:val="0"/>
        </w:rPr>
        <w:t>expect</w:t>
      </w:r>
      <w:r w:rsidR="003F643A">
        <w:rPr>
          <w:rFonts w:eastAsia="Times New Roman" w:cs="Arial"/>
          <w:bCs/>
          <w:snapToGrid w:val="0"/>
        </w:rPr>
        <w:t>ed</w:t>
      </w:r>
      <w:r w:rsidR="00373CF7">
        <w:rPr>
          <w:rFonts w:eastAsia="Times New Roman" w:cs="Arial"/>
          <w:bCs/>
          <w:snapToGrid w:val="0"/>
        </w:rPr>
        <w:t xml:space="preserve"> </w:t>
      </w:r>
      <w:r w:rsidR="004672B2" w:rsidRPr="003F643A">
        <w:rPr>
          <w:rFonts w:eastAsia="Times New Roman" w:cs="Arial"/>
          <w:bCs/>
          <w:snapToGrid w:val="0"/>
        </w:rPr>
        <w:t xml:space="preserve">actual cost to Government.  </w:t>
      </w:r>
      <w:r w:rsidR="00B57649" w:rsidRPr="003F643A">
        <w:rPr>
          <w:bCs/>
        </w:rPr>
        <w:t xml:space="preserve">The PBAC considered </w:t>
      </w:r>
      <w:r w:rsidR="00EF7337" w:rsidRPr="003F643A">
        <w:rPr>
          <w:bCs/>
        </w:rPr>
        <w:t xml:space="preserve">an </w:t>
      </w:r>
      <w:r w:rsidRPr="003F643A">
        <w:rPr>
          <w:bCs/>
        </w:rPr>
        <w:t>RSA</w:t>
      </w:r>
      <w:r w:rsidR="00EF7337" w:rsidRPr="003F643A">
        <w:rPr>
          <w:bCs/>
        </w:rPr>
        <w:t xml:space="preserve"> at the level of the estimated utilisation and </w:t>
      </w:r>
      <w:r w:rsidR="00E916D8">
        <w:rPr>
          <w:bCs/>
          <w:noProof/>
          <w:color w:val="000000"/>
          <w:highlight w:val="black"/>
        </w:rPr>
        <w:t>''''''''</w:t>
      </w:r>
      <w:r w:rsidR="00EF7337" w:rsidRPr="003F643A">
        <w:rPr>
          <w:bCs/>
        </w:rPr>
        <w:t>% rebate above the financial caps</w:t>
      </w:r>
      <w:r w:rsidRPr="003F643A">
        <w:rPr>
          <w:bCs/>
        </w:rPr>
        <w:t xml:space="preserve"> was appropriate and was necessary to </w:t>
      </w:r>
      <w:r w:rsidR="00B57649" w:rsidRPr="003F643A">
        <w:rPr>
          <w:bCs/>
        </w:rPr>
        <w:t>manage the high and uncertain cost-effectiveness</w:t>
      </w:r>
      <w:r w:rsidRPr="003F643A">
        <w:rPr>
          <w:bCs/>
        </w:rPr>
        <w:t>,</w:t>
      </w:r>
      <w:r w:rsidR="00B57649" w:rsidRPr="003F643A">
        <w:rPr>
          <w:bCs/>
        </w:rPr>
        <w:t xml:space="preserve"> the uncertain patient population</w:t>
      </w:r>
      <w:r w:rsidRPr="003F643A">
        <w:rPr>
          <w:bCs/>
        </w:rPr>
        <w:t xml:space="preserve">, </w:t>
      </w:r>
      <w:r w:rsidR="00EF7337" w:rsidRPr="003F643A">
        <w:rPr>
          <w:bCs/>
        </w:rPr>
        <w:t xml:space="preserve">including </w:t>
      </w:r>
      <w:r w:rsidRPr="003F643A">
        <w:rPr>
          <w:bCs/>
        </w:rPr>
        <w:t xml:space="preserve">the </w:t>
      </w:r>
      <w:r w:rsidRPr="00B03A99">
        <w:rPr>
          <w:rFonts w:cstheme="minorHAnsi"/>
          <w:szCs w:val="24"/>
        </w:rPr>
        <w:t xml:space="preserve">risk of use in patients not continuing to respond. </w:t>
      </w:r>
      <w:r w:rsidR="004672B2" w:rsidRPr="00B03A99">
        <w:rPr>
          <w:rFonts w:cstheme="minorHAnsi"/>
          <w:szCs w:val="24"/>
        </w:rPr>
        <w:t xml:space="preserve"> </w:t>
      </w:r>
    </w:p>
    <w:p w:rsidR="008E340B" w:rsidRPr="003F643A" w:rsidRDefault="008E340B" w:rsidP="008E340B">
      <w:pPr>
        <w:widowControl w:val="0"/>
        <w:numPr>
          <w:ilvl w:val="1"/>
          <w:numId w:val="1"/>
        </w:numPr>
        <w:spacing w:after="120"/>
        <w:jc w:val="both"/>
        <w:rPr>
          <w:rFonts w:asciiTheme="minorHAnsi" w:hAnsiTheme="minorHAnsi" w:cs="Arial"/>
          <w:bCs/>
          <w:snapToGrid w:val="0"/>
          <w:szCs w:val="22"/>
          <w:lang w:eastAsia="en-US"/>
        </w:rPr>
      </w:pPr>
      <w:r w:rsidRPr="003F643A">
        <w:rPr>
          <w:rFonts w:asciiTheme="minorHAnsi" w:hAnsiTheme="minorHAnsi" w:cs="Arial"/>
          <w:bCs/>
          <w:snapToGrid w:val="0"/>
          <w:szCs w:val="22"/>
          <w:lang w:eastAsia="en-US"/>
        </w:rPr>
        <w:t>The PBAC advised that</w:t>
      </w:r>
      <w:r w:rsidR="001F60BE" w:rsidRPr="003F643A">
        <w:rPr>
          <w:rFonts w:asciiTheme="minorHAnsi" w:hAnsiTheme="minorHAnsi" w:cs="Arial"/>
          <w:bCs/>
          <w:snapToGrid w:val="0"/>
          <w:szCs w:val="22"/>
          <w:lang w:eastAsia="en-US"/>
        </w:rPr>
        <w:t xml:space="preserve"> sapropterin </w:t>
      </w:r>
      <w:r w:rsidRPr="003F643A">
        <w:rPr>
          <w:rFonts w:asciiTheme="minorHAnsi" w:hAnsiTheme="minorHAnsi" w:cs="Arial"/>
          <w:bCs/>
          <w:snapToGrid w:val="0"/>
          <w:szCs w:val="22"/>
          <w:lang w:eastAsia="en-US"/>
        </w:rPr>
        <w:t xml:space="preserve">is suitable for prescribing by nurse practitioners.  </w:t>
      </w:r>
    </w:p>
    <w:p w:rsidR="008E340B" w:rsidRDefault="008E340B" w:rsidP="008E340B">
      <w:pPr>
        <w:widowControl w:val="0"/>
        <w:numPr>
          <w:ilvl w:val="1"/>
          <w:numId w:val="1"/>
        </w:numPr>
        <w:spacing w:after="120"/>
        <w:jc w:val="both"/>
        <w:rPr>
          <w:rFonts w:asciiTheme="minorHAnsi" w:hAnsiTheme="minorHAnsi" w:cs="Arial"/>
          <w:bCs/>
          <w:snapToGrid w:val="0"/>
          <w:szCs w:val="22"/>
          <w:lang w:eastAsia="en-US"/>
        </w:rPr>
      </w:pPr>
      <w:r w:rsidRPr="003F643A">
        <w:rPr>
          <w:rFonts w:asciiTheme="minorHAnsi" w:hAnsiTheme="minorHAnsi" w:cs="Arial"/>
          <w:bCs/>
          <w:snapToGrid w:val="0"/>
          <w:szCs w:val="22"/>
          <w:lang w:eastAsia="en-US"/>
        </w:rPr>
        <w:t>The PBAC recommended th</w:t>
      </w:r>
      <w:r w:rsidR="001F60BE" w:rsidRPr="003F643A">
        <w:rPr>
          <w:rFonts w:asciiTheme="minorHAnsi" w:hAnsiTheme="minorHAnsi" w:cs="Arial"/>
          <w:bCs/>
          <w:snapToGrid w:val="0"/>
          <w:szCs w:val="22"/>
          <w:lang w:eastAsia="en-US"/>
        </w:rPr>
        <w:t>at the Early Supply Rule should</w:t>
      </w:r>
      <w:r w:rsidRPr="003F643A">
        <w:rPr>
          <w:rFonts w:asciiTheme="minorHAnsi" w:hAnsiTheme="minorHAnsi" w:cs="Arial"/>
          <w:bCs/>
          <w:snapToGrid w:val="0"/>
          <w:szCs w:val="22"/>
          <w:lang w:eastAsia="en-US"/>
        </w:rPr>
        <w:t xml:space="preserve"> apply. </w:t>
      </w:r>
    </w:p>
    <w:p w:rsidR="00286A50" w:rsidRPr="00286A50" w:rsidRDefault="00286A50" w:rsidP="00286A50">
      <w:pPr>
        <w:widowControl w:val="0"/>
        <w:numPr>
          <w:ilvl w:val="1"/>
          <w:numId w:val="1"/>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lastRenderedPageBreak/>
        <w:t xml:space="preserve">The PBAC noted that this submission is not eligible for an Independent Review as it received a positive recommendation. </w:t>
      </w:r>
    </w:p>
    <w:p w:rsidR="008E340B" w:rsidRPr="003F643A" w:rsidRDefault="008E340B" w:rsidP="008E340B">
      <w:pPr>
        <w:widowControl w:val="0"/>
        <w:spacing w:before="240"/>
        <w:jc w:val="both"/>
        <w:rPr>
          <w:rFonts w:asciiTheme="minorHAnsi" w:hAnsiTheme="minorHAnsi" w:cs="Arial"/>
          <w:b/>
          <w:bCs/>
          <w:snapToGrid w:val="0"/>
          <w:szCs w:val="22"/>
          <w:lang w:eastAsia="en-US"/>
        </w:rPr>
      </w:pPr>
      <w:r w:rsidRPr="003F643A">
        <w:rPr>
          <w:rFonts w:asciiTheme="minorHAnsi" w:hAnsiTheme="minorHAnsi" w:cs="Arial"/>
          <w:b/>
          <w:bCs/>
          <w:snapToGrid w:val="0"/>
          <w:szCs w:val="22"/>
          <w:lang w:eastAsia="en-US"/>
        </w:rPr>
        <w:t>Outcome:</w:t>
      </w:r>
    </w:p>
    <w:p w:rsidR="008E340B" w:rsidRPr="003F643A" w:rsidRDefault="001F60BE" w:rsidP="008E340B">
      <w:pPr>
        <w:widowControl w:val="0"/>
        <w:jc w:val="both"/>
        <w:rPr>
          <w:rFonts w:asciiTheme="minorHAnsi" w:hAnsiTheme="minorHAnsi" w:cs="Arial"/>
          <w:bCs/>
          <w:snapToGrid w:val="0"/>
          <w:szCs w:val="22"/>
          <w:lang w:eastAsia="en-US"/>
        </w:rPr>
      </w:pPr>
      <w:r w:rsidRPr="003F643A">
        <w:rPr>
          <w:rFonts w:asciiTheme="minorHAnsi" w:hAnsiTheme="minorHAnsi" w:cs="Arial"/>
          <w:bCs/>
          <w:snapToGrid w:val="0"/>
          <w:szCs w:val="22"/>
          <w:lang w:eastAsia="en-US"/>
        </w:rPr>
        <w:t xml:space="preserve">Recommended </w:t>
      </w:r>
    </w:p>
    <w:p w:rsidR="008E340B" w:rsidRPr="003F643A" w:rsidRDefault="008E340B" w:rsidP="00CB40BF">
      <w:pPr>
        <w:widowControl w:val="0"/>
        <w:numPr>
          <w:ilvl w:val="0"/>
          <w:numId w:val="1"/>
        </w:numPr>
        <w:spacing w:before="240" w:after="120"/>
        <w:jc w:val="both"/>
        <w:outlineLvl w:val="0"/>
        <w:rPr>
          <w:rFonts w:asciiTheme="minorHAnsi" w:hAnsiTheme="minorHAnsi" w:cs="Arial"/>
          <w:b/>
          <w:bCs/>
          <w:snapToGrid w:val="0"/>
          <w:sz w:val="32"/>
          <w:szCs w:val="22"/>
          <w:lang w:eastAsia="en-US"/>
        </w:rPr>
      </w:pPr>
      <w:r w:rsidRPr="003F643A">
        <w:rPr>
          <w:rFonts w:asciiTheme="minorHAnsi" w:hAnsiTheme="minorHAnsi" w:cs="Arial"/>
          <w:b/>
          <w:bCs/>
          <w:snapToGrid w:val="0"/>
          <w:sz w:val="32"/>
          <w:szCs w:val="22"/>
          <w:lang w:eastAsia="en-US"/>
        </w:rPr>
        <w:t>Recommended listing</w:t>
      </w:r>
    </w:p>
    <w:p w:rsidR="008E340B" w:rsidRPr="00B03A99" w:rsidRDefault="006D2111" w:rsidP="00F93F10">
      <w:pPr>
        <w:widowControl w:val="0"/>
        <w:numPr>
          <w:ilvl w:val="1"/>
          <w:numId w:val="1"/>
        </w:numPr>
        <w:spacing w:after="120"/>
        <w:jc w:val="both"/>
        <w:rPr>
          <w:rFonts w:asciiTheme="minorHAnsi" w:hAnsiTheme="minorHAnsi" w:cs="Arial"/>
          <w:bCs/>
          <w:snapToGrid w:val="0"/>
          <w:szCs w:val="22"/>
          <w:lang w:eastAsia="en-US"/>
        </w:rPr>
      </w:pPr>
      <w:r w:rsidRPr="00CB40BF">
        <w:rPr>
          <w:rFonts w:asciiTheme="minorHAnsi" w:hAnsiTheme="minorHAnsi" w:cs="Arial"/>
          <w:b/>
          <w:bCs/>
          <w:snapToGrid w:val="0"/>
          <w:szCs w:val="22"/>
          <w:lang w:eastAsia="en-US"/>
        </w:rPr>
        <w:t>Add new listing</w:t>
      </w:r>
      <w:r w:rsidR="008E340B" w:rsidRPr="00B358AA">
        <w:rPr>
          <w:rFonts w:asciiTheme="minorHAnsi" w:hAnsiTheme="minorHAnsi" w:cs="Arial"/>
          <w:bCs/>
          <w:snapToGrid w:val="0"/>
          <w:szCs w:val="22"/>
          <w:lang w:eastAsia="en-US"/>
        </w:rPr>
        <w:t>:</w:t>
      </w:r>
      <w:r w:rsidRPr="00B358AA">
        <w:rPr>
          <w:rFonts w:asciiTheme="minorHAnsi" w:hAnsiTheme="minorHAnsi" w:cs="Arial"/>
          <w:bCs/>
          <w:snapToGrid w:val="0"/>
          <w:szCs w:val="22"/>
          <w:lang w:eastAsia="en-US"/>
        </w:rPr>
        <w:t xml:space="preserve"> </w:t>
      </w:r>
      <w:r w:rsidR="00605D6C">
        <w:rPr>
          <w:rFonts w:asciiTheme="minorHAnsi" w:hAnsiTheme="minorHAnsi" w:cs="Arial"/>
          <w:bCs/>
          <w:snapToGrid w:val="0"/>
          <w:szCs w:val="22"/>
          <w:lang w:eastAsia="en-US"/>
        </w:rPr>
        <w:t>Restriction t</w:t>
      </w:r>
      <w:r w:rsidRPr="00B358AA">
        <w:rPr>
          <w:rFonts w:asciiTheme="minorHAnsi" w:hAnsiTheme="minorHAnsi" w:cs="Arial"/>
          <w:bCs/>
          <w:snapToGrid w:val="0"/>
          <w:szCs w:val="22"/>
          <w:lang w:eastAsia="en-US"/>
        </w:rPr>
        <w:t>o be</w:t>
      </w:r>
      <w:r>
        <w:rPr>
          <w:rFonts w:asciiTheme="minorHAnsi" w:hAnsiTheme="minorHAnsi" w:cs="Arial"/>
          <w:bCs/>
          <w:snapToGrid w:val="0"/>
          <w:szCs w:val="22"/>
          <w:lang w:eastAsia="en-US"/>
        </w:rPr>
        <w:t xml:space="preserve"> finalised</w:t>
      </w:r>
      <w:r w:rsidR="00605D6C">
        <w:rPr>
          <w:rFonts w:asciiTheme="minorHAnsi" w:hAnsiTheme="minorHAnsi" w:cs="Arial"/>
          <w:bCs/>
          <w:snapToGrid w:val="0"/>
          <w:szCs w:val="22"/>
          <w:lang w:eastAsia="en-US"/>
        </w:rPr>
        <w:t xml:space="preserve">. Indicative restrictions are outlined below. </w:t>
      </w:r>
    </w:p>
    <w:p w:rsidR="00605D6C" w:rsidRPr="00605D6C" w:rsidRDefault="00605D6C" w:rsidP="008E340B">
      <w:pPr>
        <w:widowControl w:val="0"/>
        <w:jc w:val="both"/>
        <w:rPr>
          <w:rFonts w:asciiTheme="minorHAnsi" w:hAnsiTheme="minorHAnsi" w:cstheme="minorHAnsi"/>
          <w:i/>
          <w:snapToGrid w:val="0"/>
          <w:u w:val="single"/>
          <w:lang w:eastAsia="en-US"/>
        </w:rPr>
      </w:pPr>
      <w:r w:rsidRPr="00605D6C">
        <w:rPr>
          <w:rFonts w:asciiTheme="minorHAnsi" w:hAnsiTheme="minorHAnsi" w:cstheme="minorHAnsi"/>
          <w:i/>
          <w:snapToGrid w:val="0"/>
          <w:u w:val="single"/>
          <w:lang w:eastAsia="en-US"/>
        </w:rPr>
        <w:t>Initial responsiveness testing</w:t>
      </w:r>
    </w:p>
    <w:p w:rsidR="00605D6C" w:rsidRPr="00605D6C" w:rsidRDefault="00605D6C" w:rsidP="008E340B">
      <w:pPr>
        <w:widowControl w:val="0"/>
        <w:jc w:val="both"/>
        <w:rPr>
          <w:rFonts w:ascii="Arial" w:hAnsi="Arial" w:cs="Arial"/>
          <w:i/>
          <w:snapToGrid w:val="0"/>
          <w:sz w:val="22"/>
          <w:szCs w:val="20"/>
          <w:u w:val="single"/>
          <w:lang w:eastAsia="en-US"/>
        </w:rPr>
      </w:pPr>
    </w:p>
    <w:tbl>
      <w:tblPr>
        <w:tblStyle w:val="TableGrid"/>
        <w:tblW w:w="0" w:type="auto"/>
        <w:tblLook w:val="04A0" w:firstRow="1" w:lastRow="0" w:firstColumn="1" w:lastColumn="0" w:noHBand="0" w:noVBand="1"/>
        <w:tblCaption w:val="recommended listing"/>
      </w:tblPr>
      <w:tblGrid>
        <w:gridCol w:w="2093"/>
        <w:gridCol w:w="6429"/>
      </w:tblGrid>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Category/Program</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Section 85</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Prescriber type</w:t>
            </w:r>
          </w:p>
        </w:tc>
        <w:tc>
          <w:tcPr>
            <w:tcW w:w="6429" w:type="dxa"/>
          </w:tcPr>
          <w:p w:rsidR="00605D6C" w:rsidRPr="00605D6C" w:rsidRDefault="00605D6C" w:rsidP="00605D6C">
            <w:p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fldChar w:fldCharType="begin">
                <w:ffData>
                  <w:name w:val=""/>
                  <w:enabled/>
                  <w:calcOnExit w:val="0"/>
                  <w:checkBox>
                    <w:sizeAuto/>
                    <w:default w:val="1"/>
                  </w:checkBox>
                </w:ffData>
              </w:fldChar>
            </w:r>
            <w:r w:rsidRPr="00605D6C">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605D6C">
              <w:rPr>
                <w:rFonts w:ascii="Arial Narrow" w:eastAsia="Calibri" w:hAnsi="Arial Narrow" w:cstheme="minorHAnsi"/>
                <w:sz w:val="20"/>
                <w:szCs w:val="20"/>
                <w:lang w:eastAsia="en-US"/>
              </w:rPr>
              <w:fldChar w:fldCharType="end"/>
            </w:r>
            <w:r w:rsidRPr="00605D6C">
              <w:rPr>
                <w:rFonts w:ascii="Arial Narrow" w:eastAsia="Calibri" w:hAnsi="Arial Narrow" w:cstheme="minorHAnsi"/>
                <w:sz w:val="20"/>
                <w:szCs w:val="20"/>
                <w:lang w:eastAsia="en-US"/>
              </w:rPr>
              <w:t xml:space="preserve">Medical Practitioners  </w:t>
            </w:r>
            <w:r w:rsidRPr="00605D6C">
              <w:rPr>
                <w:rFonts w:ascii="Arial Narrow" w:eastAsia="Calibri" w:hAnsi="Arial Narrow" w:cstheme="minorHAnsi"/>
                <w:sz w:val="20"/>
                <w:szCs w:val="20"/>
                <w:lang w:eastAsia="en-US"/>
              </w:rPr>
              <w:fldChar w:fldCharType="begin">
                <w:ffData>
                  <w:name w:val="Check3"/>
                  <w:enabled/>
                  <w:calcOnExit w:val="0"/>
                  <w:checkBox>
                    <w:sizeAuto/>
                    <w:default w:val="1"/>
                  </w:checkBox>
                </w:ffData>
              </w:fldChar>
            </w:r>
            <w:r w:rsidRPr="00605D6C">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605D6C">
              <w:rPr>
                <w:rFonts w:ascii="Arial Narrow" w:eastAsia="Calibri" w:hAnsi="Arial Narrow" w:cstheme="minorHAnsi"/>
                <w:sz w:val="20"/>
                <w:szCs w:val="20"/>
                <w:lang w:eastAsia="en-US"/>
              </w:rPr>
              <w:fldChar w:fldCharType="end"/>
            </w:r>
            <w:r w:rsidRPr="00605D6C">
              <w:rPr>
                <w:rFonts w:ascii="Arial Narrow" w:eastAsia="Calibri" w:hAnsi="Arial Narrow" w:cstheme="minorHAnsi"/>
                <w:sz w:val="20"/>
                <w:szCs w:val="20"/>
                <w:lang w:eastAsia="en-US"/>
              </w:rPr>
              <w:t>Nurse practitioners</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Episodicity</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Condition:</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Hyperphenylalaninemia (HPA) due to phenylketonuria (PKU)</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PBS Indication:</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Hyperphenylalaninemia (HPA) due to phenylketonuria (PKU)</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Treatment phase: </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Initial – responsiveness testing</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Restriction method</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Authority Required – in Writing</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Treatment criteria</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Must be treated by a metabolic physician, or by a nurse practitioner experienced in the treatment of phenylketonuria in consultation with a metabolic physician</w:t>
            </w:r>
          </w:p>
        </w:tc>
      </w:tr>
      <w:tr w:rsidR="00605D6C" w:rsidRPr="00605D6C" w:rsidTr="00605D6C">
        <w:trPr>
          <w:trHeight w:val="1050"/>
        </w:trPr>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Clinical criteria</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Patient must have blood phenylalanine level above 360 </w:t>
            </w:r>
            <w:proofErr w:type="spellStart"/>
            <w:r w:rsidRPr="00605D6C">
              <w:rPr>
                <w:rFonts w:ascii="Arial Narrow" w:eastAsia="Calibri" w:hAnsi="Arial Narrow" w:cstheme="minorHAnsi"/>
                <w:sz w:val="20"/>
                <w:szCs w:val="20"/>
                <w:lang w:eastAsia="en-US"/>
              </w:rPr>
              <w:t>μmol</w:t>
            </w:r>
            <w:proofErr w:type="spellEnd"/>
            <w:r w:rsidRPr="00605D6C">
              <w:rPr>
                <w:rFonts w:ascii="Arial Narrow" w:eastAsia="Calibri" w:hAnsi="Arial Narrow" w:cstheme="minorHAnsi"/>
                <w:sz w:val="20"/>
                <w:szCs w:val="20"/>
                <w:lang w:eastAsia="en-US"/>
              </w:rPr>
              <w:t xml:space="preserve">/L if the patient is less than one month of age; OR </w:t>
            </w: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Patient must have blood phenylalanine level above 600 </w:t>
            </w:r>
            <w:proofErr w:type="spellStart"/>
            <w:r w:rsidRPr="00605D6C">
              <w:rPr>
                <w:rFonts w:ascii="Arial Narrow" w:eastAsia="Calibri" w:hAnsi="Arial Narrow" w:cstheme="minorHAnsi"/>
                <w:sz w:val="20"/>
                <w:szCs w:val="20"/>
                <w:lang w:eastAsia="en-US"/>
              </w:rPr>
              <w:t>μmol</w:t>
            </w:r>
            <w:proofErr w:type="spellEnd"/>
            <w:r w:rsidRPr="00605D6C">
              <w:rPr>
                <w:rFonts w:ascii="Arial Narrow" w:eastAsia="Calibri" w:hAnsi="Arial Narrow" w:cstheme="minorHAnsi"/>
                <w:sz w:val="20"/>
                <w:szCs w:val="20"/>
                <w:lang w:eastAsia="en-US"/>
              </w:rPr>
              <w:t xml:space="preserve">/L if the patient is aged one month to less than 18 years; </w:t>
            </w:r>
          </w:p>
          <w:p w:rsidR="00605D6C" w:rsidRPr="00605D6C" w:rsidRDefault="00605D6C" w:rsidP="00605D6C">
            <w:pPr>
              <w:jc w:val="both"/>
              <w:rPr>
                <w:rFonts w:ascii="Arial Narrow" w:eastAsia="Calibri" w:hAnsi="Arial Narrow" w:cstheme="minorHAnsi"/>
                <w: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AND </w:t>
            </w:r>
          </w:p>
          <w:p w:rsidR="00605D6C" w:rsidRPr="00605D6C" w:rsidRDefault="00605D6C" w:rsidP="00605D6C">
            <w:pPr>
              <w:jc w:val="both"/>
              <w:rPr>
                <w:rFonts w:ascii="Arial Narrow" w:eastAsia="Calibri" w:hAnsi="Arial Narrow" w:cstheme="minorHAnsi"/>
                <w: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The treatment must be for the purposes of responsiveness testing;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AND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Patient must have signed a patient or parent/guardian acknowledgement indicating that they understand and acknowledge that PBS-subsidised treatment will cease if they do not meet the predetermined response criteria for ongoing PBS-subsidised treatment, as outlined in the restriction for continuing treatment</w:t>
            </w:r>
            <w:r>
              <w:rPr>
                <w:rFonts w:ascii="Arial Narrow" w:eastAsia="Calibri" w:hAnsi="Arial Narrow" w:cstheme="minorHAnsi"/>
                <w:sz w:val="20"/>
                <w:szCs w:val="20"/>
                <w:lang w:eastAsia="en-US"/>
              </w:rPr>
              <w:t xml:space="preserve">. </w:t>
            </w:r>
            <w:r w:rsidRPr="00605D6C">
              <w:rPr>
                <w:rFonts w:ascii="Arial Narrow" w:eastAsia="Calibri" w:hAnsi="Arial Narrow" w:cstheme="minorHAnsi"/>
                <w:sz w:val="20"/>
                <w:szCs w:val="20"/>
                <w:lang w:eastAsia="en-US"/>
              </w:rPr>
              <w:t xml:space="preserve">  </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Population criteria</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The patient must be under 18 years of age</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Prescriber instructions</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The authority application must be made in writing and must include: </w:t>
            </w:r>
          </w:p>
          <w:p w:rsidR="00605D6C" w:rsidRPr="00605D6C" w:rsidRDefault="00605D6C" w:rsidP="00194806">
            <w:pPr>
              <w:numPr>
                <w:ilvl w:val="0"/>
                <w:numId w:val="11"/>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 completed authority prescription form </w:t>
            </w:r>
          </w:p>
          <w:p w:rsidR="00605D6C" w:rsidRPr="00605D6C" w:rsidRDefault="00605D6C" w:rsidP="00194806">
            <w:pPr>
              <w:numPr>
                <w:ilvl w:val="0"/>
                <w:numId w:val="11"/>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 completed Hyperphenylalaninemia (HPA) due to phenylketonuria PBS Authority Application – Supporting Information Form which includes the following: </w:t>
            </w:r>
          </w:p>
          <w:p w:rsidR="00605D6C" w:rsidRPr="00605D6C" w:rsidRDefault="00605D6C" w:rsidP="00194806">
            <w:pPr>
              <w:numPr>
                <w:ilvl w:val="0"/>
                <w:numId w:val="12"/>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Baseline blood phenylalanine levels prior to sapropterin responsiveness testing </w:t>
            </w:r>
          </w:p>
          <w:p w:rsidR="00605D6C" w:rsidRPr="00605D6C" w:rsidRDefault="00605D6C" w:rsidP="00194806">
            <w:pPr>
              <w:numPr>
                <w:ilvl w:val="0"/>
                <w:numId w:val="12"/>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Responsiveness testing trial commencement date </w:t>
            </w:r>
          </w:p>
          <w:p w:rsidR="00605D6C" w:rsidRPr="00605D6C" w:rsidRDefault="00605D6C" w:rsidP="00194806">
            <w:pPr>
              <w:numPr>
                <w:ilvl w:val="0"/>
                <w:numId w:val="12"/>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Documented diagnosis of PKU </w:t>
            </w:r>
          </w:p>
          <w:p w:rsidR="00605D6C" w:rsidRPr="00605D6C" w:rsidRDefault="00605D6C" w:rsidP="00194806">
            <w:pPr>
              <w:numPr>
                <w:ilvl w:val="0"/>
                <w:numId w:val="12"/>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 signed patient acknowledgement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Dietary phenylalanine intake must be maintained at a constant level during the responsiveness testing period.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Responsiveness testing period must be for 24 hours in patients aged less than one month and 7 days in patients aged one month to less than 18 years.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lastRenderedPageBreak/>
              <w:t xml:space="preserve">Patients or their parent/guardian should be assessed for their ability to comply with the sapropterin protocol and PKU diet prior to conducting initial responsiveness testing. </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lastRenderedPageBreak/>
              <w:t>Administrative advice</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Special pricing arrangements apply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Patients will be eligible for a maximum of one script as initial therapy to enable their response to treatment with sapropterin to be assessed.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Any queries concerning the arrangements to prescribe may be directed to the Department of Human Services on 1800 700 270 (hours of operation 8 a.m. to 5 p.m. EST Monday to Friday).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Prescribing information (including Authority Application forms and other relevant documentation as applicable) is available on the Department of Human Services website at www.humanservices.gov.au</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Applications for authority to prescribe should be forwarded to: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Department of Human Services</w:t>
            </w: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Complex Drugs</w:t>
            </w: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Reply Paid 9826</w:t>
            </w: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HOBART TAS 7001</w:t>
            </w:r>
          </w:p>
        </w:tc>
      </w:tr>
    </w:tbl>
    <w:p w:rsidR="00605D6C" w:rsidRPr="00605D6C" w:rsidRDefault="00605D6C" w:rsidP="00605D6C">
      <w:pPr>
        <w:rPr>
          <w:lang w:eastAsia="en-US"/>
        </w:rPr>
      </w:pPr>
    </w:p>
    <w:p w:rsidR="00605D6C" w:rsidRDefault="00605D6C" w:rsidP="00605D6C">
      <w:pPr>
        <w:keepNext/>
        <w:keepLines/>
        <w:rPr>
          <w:rFonts w:asciiTheme="minorHAnsi" w:hAnsiTheme="minorHAnsi" w:cstheme="minorHAnsi"/>
          <w:i/>
          <w:snapToGrid w:val="0"/>
          <w:u w:val="single"/>
          <w:lang w:eastAsia="en-US"/>
        </w:rPr>
      </w:pPr>
      <w:r w:rsidRPr="00605D6C">
        <w:rPr>
          <w:rFonts w:asciiTheme="minorHAnsi" w:hAnsiTheme="minorHAnsi" w:cstheme="minorHAnsi"/>
          <w:i/>
          <w:snapToGrid w:val="0"/>
          <w:u w:val="single"/>
          <w:lang w:eastAsia="en-US"/>
        </w:rPr>
        <w:lastRenderedPageBreak/>
        <w:t>First continuing restriction</w:t>
      </w:r>
    </w:p>
    <w:p w:rsidR="00605D6C" w:rsidRPr="00605D6C" w:rsidRDefault="00605D6C" w:rsidP="00605D6C">
      <w:pPr>
        <w:keepNext/>
        <w:keepLines/>
        <w:rPr>
          <w:rFonts w:asciiTheme="minorHAnsi" w:hAnsiTheme="minorHAnsi" w:cstheme="minorHAnsi"/>
          <w:i/>
          <w:snapToGrid w:val="0"/>
          <w:u w:val="single"/>
          <w:lang w:eastAsia="en-US"/>
        </w:rPr>
      </w:pPr>
    </w:p>
    <w:tbl>
      <w:tblPr>
        <w:tblStyle w:val="TableGrid"/>
        <w:tblW w:w="0" w:type="auto"/>
        <w:tblLook w:val="04A0" w:firstRow="1" w:lastRow="0" w:firstColumn="1" w:lastColumn="0" w:noHBand="0" w:noVBand="1"/>
        <w:tblCaption w:val="recommended listing"/>
      </w:tblPr>
      <w:tblGrid>
        <w:gridCol w:w="2093"/>
        <w:gridCol w:w="6429"/>
      </w:tblGrid>
      <w:tr w:rsidR="00605D6C" w:rsidRPr="00605D6C" w:rsidTr="00A9642F">
        <w:tc>
          <w:tcPr>
            <w:tcW w:w="2093"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Category/Program</w:t>
            </w:r>
          </w:p>
        </w:tc>
        <w:tc>
          <w:tcPr>
            <w:tcW w:w="6429"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Section 85</w:t>
            </w:r>
          </w:p>
        </w:tc>
      </w:tr>
      <w:tr w:rsidR="00605D6C" w:rsidRPr="00605D6C" w:rsidTr="00A9642F">
        <w:tc>
          <w:tcPr>
            <w:tcW w:w="2093"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Prescriber type</w:t>
            </w:r>
          </w:p>
        </w:tc>
        <w:tc>
          <w:tcPr>
            <w:tcW w:w="6429" w:type="dxa"/>
          </w:tcPr>
          <w:p w:rsidR="00605D6C" w:rsidRPr="00605D6C" w:rsidRDefault="00605D6C" w:rsidP="00605D6C">
            <w:pPr>
              <w:keepNext/>
              <w:keepLines/>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fldChar w:fldCharType="begin">
                <w:ffData>
                  <w:name w:val=""/>
                  <w:enabled/>
                  <w:calcOnExit w:val="0"/>
                  <w:checkBox>
                    <w:sizeAuto/>
                    <w:default w:val="1"/>
                  </w:checkBox>
                </w:ffData>
              </w:fldChar>
            </w:r>
            <w:r w:rsidRPr="00605D6C">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605D6C">
              <w:rPr>
                <w:rFonts w:ascii="Arial Narrow" w:eastAsia="Calibri" w:hAnsi="Arial Narrow" w:cstheme="minorHAnsi"/>
                <w:sz w:val="20"/>
                <w:szCs w:val="20"/>
                <w:lang w:eastAsia="en-US"/>
              </w:rPr>
              <w:fldChar w:fldCharType="end"/>
            </w:r>
            <w:r w:rsidRPr="00605D6C">
              <w:rPr>
                <w:rFonts w:ascii="Arial Narrow" w:eastAsia="Calibri" w:hAnsi="Arial Narrow" w:cstheme="minorHAnsi"/>
                <w:sz w:val="20"/>
                <w:szCs w:val="20"/>
                <w:lang w:eastAsia="en-US"/>
              </w:rPr>
              <w:t xml:space="preserve">Medical Practitioners  </w:t>
            </w:r>
          </w:p>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fldChar w:fldCharType="begin">
                <w:ffData>
                  <w:name w:val="Check3"/>
                  <w:enabled/>
                  <w:calcOnExit w:val="0"/>
                  <w:checkBox>
                    <w:sizeAuto/>
                    <w:default w:val="1"/>
                  </w:checkBox>
                </w:ffData>
              </w:fldChar>
            </w:r>
            <w:r w:rsidRPr="00605D6C">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605D6C">
              <w:rPr>
                <w:rFonts w:ascii="Arial Narrow" w:eastAsia="Calibri" w:hAnsi="Arial Narrow" w:cstheme="minorHAnsi"/>
                <w:sz w:val="20"/>
                <w:szCs w:val="20"/>
                <w:lang w:eastAsia="en-US"/>
              </w:rPr>
              <w:fldChar w:fldCharType="end"/>
            </w:r>
            <w:r w:rsidRPr="00605D6C">
              <w:rPr>
                <w:rFonts w:ascii="Arial Narrow" w:eastAsia="Calibri" w:hAnsi="Arial Narrow" w:cstheme="minorHAnsi"/>
                <w:sz w:val="20"/>
                <w:szCs w:val="20"/>
                <w:lang w:eastAsia="en-US"/>
              </w:rPr>
              <w:t>Nurse practitioners</w:t>
            </w:r>
          </w:p>
        </w:tc>
      </w:tr>
      <w:tr w:rsidR="00605D6C" w:rsidRPr="00605D6C" w:rsidTr="00A9642F">
        <w:tc>
          <w:tcPr>
            <w:tcW w:w="2093"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Episodicity</w:t>
            </w:r>
          </w:p>
        </w:tc>
        <w:tc>
          <w:tcPr>
            <w:tcW w:w="6429"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w:t>
            </w:r>
          </w:p>
        </w:tc>
      </w:tr>
      <w:tr w:rsidR="00605D6C" w:rsidRPr="00605D6C" w:rsidTr="00A9642F">
        <w:tc>
          <w:tcPr>
            <w:tcW w:w="2093"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Condition:</w:t>
            </w:r>
          </w:p>
        </w:tc>
        <w:tc>
          <w:tcPr>
            <w:tcW w:w="6429"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Hyperphenylalaninemia (HPA) due to phenylketonuria (PKU)</w:t>
            </w:r>
          </w:p>
        </w:tc>
      </w:tr>
      <w:tr w:rsidR="00605D6C" w:rsidRPr="00605D6C" w:rsidTr="00A9642F">
        <w:tc>
          <w:tcPr>
            <w:tcW w:w="2093"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PBS Indication:</w:t>
            </w:r>
          </w:p>
        </w:tc>
        <w:tc>
          <w:tcPr>
            <w:tcW w:w="6429"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Hyperphenylalaninemia (HPA) due to phenylketonuria (PKU)</w:t>
            </w:r>
          </w:p>
        </w:tc>
      </w:tr>
      <w:tr w:rsidR="00605D6C" w:rsidRPr="00605D6C" w:rsidTr="00A9642F">
        <w:tc>
          <w:tcPr>
            <w:tcW w:w="2093"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Treatment phase: </w:t>
            </w:r>
          </w:p>
        </w:tc>
        <w:tc>
          <w:tcPr>
            <w:tcW w:w="6429"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First continuing </w:t>
            </w:r>
          </w:p>
        </w:tc>
      </w:tr>
      <w:tr w:rsidR="00605D6C" w:rsidRPr="00605D6C" w:rsidTr="00A9642F">
        <w:tc>
          <w:tcPr>
            <w:tcW w:w="2093"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Restriction method</w:t>
            </w:r>
          </w:p>
        </w:tc>
        <w:tc>
          <w:tcPr>
            <w:tcW w:w="6429"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Authority Required – in Writing</w:t>
            </w:r>
          </w:p>
        </w:tc>
      </w:tr>
      <w:tr w:rsidR="00605D6C" w:rsidRPr="00605D6C" w:rsidTr="00A9642F">
        <w:tc>
          <w:tcPr>
            <w:tcW w:w="2093"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Treatment criteria</w:t>
            </w:r>
          </w:p>
        </w:tc>
        <w:tc>
          <w:tcPr>
            <w:tcW w:w="6429" w:type="dxa"/>
          </w:tcPr>
          <w:p w:rsidR="00605D6C" w:rsidRPr="00605D6C" w:rsidRDefault="00605D6C" w:rsidP="00605D6C">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Must be treated by a metabolic physician, or by a nurse practitioner experienced in the treatment of phenylketonuria in consultation with a metabolic physician</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Clinical criteria</w:t>
            </w:r>
          </w:p>
        </w:tc>
        <w:tc>
          <w:tcPr>
            <w:tcW w:w="6429" w:type="dxa"/>
          </w:tcPr>
          <w:p w:rsidR="00194806" w:rsidRPr="00605D6C" w:rsidRDefault="00605D6C" w:rsidP="00194806">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Patient must have previously received initial PBS-subsidised treatment with this drug for this condition for the purposes of responsiveness testing;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AND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Patient must have demonstrated a response to treatment with this drug of greater than or equal to a 30% reduction in phenylalanine levels from baseline during initial responsiveness testing.</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Population criteria</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Patient must have been under 18 years of age at the time treatment with this drug was initiated for this condition. </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Prescriber instructions</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The authority application must be made in writing and must include: </w:t>
            </w:r>
          </w:p>
          <w:p w:rsidR="00605D6C" w:rsidRPr="00605D6C" w:rsidRDefault="00605D6C" w:rsidP="00194806">
            <w:pPr>
              <w:keepNext/>
              <w:numPr>
                <w:ilvl w:val="0"/>
                <w:numId w:val="13"/>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 completed authority prescription form </w:t>
            </w:r>
          </w:p>
          <w:p w:rsidR="00605D6C" w:rsidRPr="00605D6C" w:rsidRDefault="00605D6C" w:rsidP="00194806">
            <w:pPr>
              <w:keepNext/>
              <w:numPr>
                <w:ilvl w:val="0"/>
                <w:numId w:val="13"/>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 completed Hyperphenylalaninemia (HPA) due to phenylketonuria PBS Authority Application – Supporting Information Form which includes: </w:t>
            </w:r>
          </w:p>
          <w:p w:rsidR="00605D6C" w:rsidRPr="00605D6C" w:rsidRDefault="00605D6C" w:rsidP="00194806">
            <w:pPr>
              <w:keepNext/>
              <w:numPr>
                <w:ilvl w:val="0"/>
                <w:numId w:val="14"/>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blood phenylalanine levels during sapropterin responsiveness testing</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Blood phenylalanine levels must be based on measurements taken during stable periods of the condition.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Dietary phenylalanine intake must be maintained at a constant level. </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Administrative advice</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Special pricing arrangements apply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Patients will be eligible for a maximum of </w:t>
            </w:r>
            <w:r>
              <w:rPr>
                <w:rFonts w:ascii="Arial Narrow" w:eastAsia="Calibri" w:hAnsi="Arial Narrow" w:cstheme="minorHAnsi"/>
                <w:sz w:val="20"/>
                <w:szCs w:val="20"/>
                <w:lang w:eastAsia="en-US"/>
              </w:rPr>
              <w:t>1</w:t>
            </w:r>
            <w:r w:rsidRPr="00605D6C">
              <w:rPr>
                <w:rFonts w:ascii="Arial Narrow" w:eastAsia="Calibri" w:hAnsi="Arial Narrow" w:cstheme="minorHAnsi"/>
                <w:sz w:val="20"/>
                <w:szCs w:val="20"/>
                <w:lang w:eastAsia="en-US"/>
              </w:rPr>
              <w:t xml:space="preserve"> script and </w:t>
            </w:r>
            <w:r>
              <w:rPr>
                <w:rFonts w:ascii="Arial Narrow" w:eastAsia="Calibri" w:hAnsi="Arial Narrow" w:cstheme="minorHAnsi"/>
                <w:sz w:val="20"/>
                <w:szCs w:val="20"/>
                <w:lang w:eastAsia="en-US"/>
              </w:rPr>
              <w:t>5</w:t>
            </w:r>
            <w:r w:rsidRPr="00605D6C">
              <w:rPr>
                <w:rFonts w:ascii="Arial Narrow" w:eastAsia="Calibri" w:hAnsi="Arial Narrow" w:cstheme="minorHAnsi"/>
                <w:sz w:val="20"/>
                <w:szCs w:val="20"/>
                <w:lang w:eastAsia="en-US"/>
              </w:rPr>
              <w:t xml:space="preserve"> repeats as first continuing therapy.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Any queries concerning the arrangements to prescribe may be directed to the Department of Human Services on 1800 700 270 (hours of operation 8 a.m. to 5 p.m. EST Monday to Friday).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Prescribing information (including Authority Application forms and other relevant documentation as applicable) is available on the Department of Human Services website at www.humanservices.gov.au</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Applications for authority to prescribe should be forwarded to: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Department of Human Services</w:t>
            </w: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Complex Drugs</w:t>
            </w: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Reply Paid 9826</w:t>
            </w: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HOBART TAS 7001</w:t>
            </w:r>
          </w:p>
          <w:p w:rsidR="00605D6C" w:rsidRPr="00605D6C" w:rsidRDefault="00605D6C" w:rsidP="00605D6C">
            <w:pPr>
              <w:keepNext/>
              <w:jc w:val="both"/>
              <w:rPr>
                <w:rFonts w:ascii="Arial Narrow" w:eastAsia="Calibri" w:hAnsi="Arial Narrow" w:cstheme="minorHAnsi"/>
                <w:sz w:val="20"/>
                <w:szCs w:val="20"/>
                <w:lang w:eastAsia="en-US"/>
              </w:rPr>
            </w:pPr>
          </w:p>
        </w:tc>
      </w:tr>
    </w:tbl>
    <w:p w:rsidR="00FF4C97" w:rsidRDefault="00FF4C97" w:rsidP="00605D6C">
      <w:pPr>
        <w:keepNext/>
        <w:keepLines/>
        <w:rPr>
          <w:rFonts w:asciiTheme="minorHAnsi" w:hAnsiTheme="minorHAnsi" w:cstheme="minorHAnsi"/>
          <w:i/>
          <w:snapToGrid w:val="0"/>
          <w:u w:val="single"/>
          <w:lang w:eastAsia="en-US"/>
        </w:rPr>
      </w:pPr>
    </w:p>
    <w:p w:rsidR="00FF4C97" w:rsidRDefault="00FF4C97" w:rsidP="00FF4C97">
      <w:pPr>
        <w:rPr>
          <w:snapToGrid w:val="0"/>
          <w:lang w:eastAsia="en-US"/>
        </w:rPr>
      </w:pPr>
      <w:r>
        <w:rPr>
          <w:snapToGrid w:val="0"/>
          <w:lang w:eastAsia="en-US"/>
        </w:rPr>
        <w:br w:type="page"/>
      </w:r>
    </w:p>
    <w:p w:rsidR="00605D6C" w:rsidRDefault="00605D6C" w:rsidP="00605D6C">
      <w:pPr>
        <w:keepNext/>
        <w:keepLines/>
        <w:rPr>
          <w:rFonts w:asciiTheme="minorHAnsi" w:hAnsiTheme="minorHAnsi" w:cstheme="minorHAnsi"/>
          <w:i/>
          <w:snapToGrid w:val="0"/>
          <w:u w:val="single"/>
          <w:lang w:eastAsia="en-US"/>
        </w:rPr>
      </w:pPr>
      <w:r>
        <w:rPr>
          <w:rFonts w:asciiTheme="minorHAnsi" w:hAnsiTheme="minorHAnsi" w:cstheme="minorHAnsi"/>
          <w:i/>
          <w:snapToGrid w:val="0"/>
          <w:u w:val="single"/>
          <w:lang w:eastAsia="en-US"/>
        </w:rPr>
        <w:lastRenderedPageBreak/>
        <w:t xml:space="preserve">Subsequent </w:t>
      </w:r>
      <w:r w:rsidRPr="00605D6C">
        <w:rPr>
          <w:rFonts w:asciiTheme="minorHAnsi" w:hAnsiTheme="minorHAnsi" w:cstheme="minorHAnsi"/>
          <w:i/>
          <w:snapToGrid w:val="0"/>
          <w:u w:val="single"/>
          <w:lang w:eastAsia="en-US"/>
        </w:rPr>
        <w:t>continuing restriction</w:t>
      </w:r>
    </w:p>
    <w:p w:rsidR="00605D6C" w:rsidRPr="00605D6C" w:rsidRDefault="00605D6C" w:rsidP="00605D6C">
      <w:pPr>
        <w:rPr>
          <w:lang w:eastAsia="en-US"/>
        </w:rPr>
      </w:pPr>
    </w:p>
    <w:tbl>
      <w:tblPr>
        <w:tblStyle w:val="TableGrid"/>
        <w:tblW w:w="0" w:type="auto"/>
        <w:tblLook w:val="04A0" w:firstRow="1" w:lastRow="0" w:firstColumn="1" w:lastColumn="0" w:noHBand="0" w:noVBand="1"/>
        <w:tblCaption w:val="Recommended listing"/>
      </w:tblPr>
      <w:tblGrid>
        <w:gridCol w:w="2093"/>
        <w:gridCol w:w="6429"/>
      </w:tblGrid>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Category/Program</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Section 85</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Prescriber type</w:t>
            </w:r>
          </w:p>
        </w:tc>
        <w:tc>
          <w:tcPr>
            <w:tcW w:w="6429" w:type="dxa"/>
          </w:tcPr>
          <w:p w:rsidR="00605D6C" w:rsidRPr="00605D6C" w:rsidRDefault="00605D6C" w:rsidP="00605D6C">
            <w:pPr>
              <w:keepNext/>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fldChar w:fldCharType="begin">
                <w:ffData>
                  <w:name w:val=""/>
                  <w:enabled/>
                  <w:calcOnExit w:val="0"/>
                  <w:checkBox>
                    <w:sizeAuto/>
                    <w:default w:val="1"/>
                  </w:checkBox>
                </w:ffData>
              </w:fldChar>
            </w:r>
            <w:r w:rsidRPr="00605D6C">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605D6C">
              <w:rPr>
                <w:rFonts w:ascii="Arial Narrow" w:eastAsia="Calibri" w:hAnsi="Arial Narrow" w:cstheme="minorHAnsi"/>
                <w:sz w:val="20"/>
                <w:szCs w:val="20"/>
                <w:lang w:eastAsia="en-US"/>
              </w:rPr>
              <w:fldChar w:fldCharType="end"/>
            </w:r>
            <w:r w:rsidRPr="00605D6C">
              <w:rPr>
                <w:rFonts w:ascii="Arial Narrow" w:eastAsia="Calibri" w:hAnsi="Arial Narrow" w:cstheme="minorHAnsi"/>
                <w:sz w:val="20"/>
                <w:szCs w:val="20"/>
                <w:lang w:eastAsia="en-US"/>
              </w:rPr>
              <w:t xml:space="preserve">Medical Practitioners  </w:t>
            </w: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fldChar w:fldCharType="begin">
                <w:ffData>
                  <w:name w:val="Check3"/>
                  <w:enabled/>
                  <w:calcOnExit w:val="0"/>
                  <w:checkBox>
                    <w:sizeAuto/>
                    <w:default w:val="1"/>
                  </w:checkBox>
                </w:ffData>
              </w:fldChar>
            </w:r>
            <w:r w:rsidRPr="00605D6C">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605D6C">
              <w:rPr>
                <w:rFonts w:ascii="Arial Narrow" w:eastAsia="Calibri" w:hAnsi="Arial Narrow" w:cstheme="minorHAnsi"/>
                <w:sz w:val="20"/>
                <w:szCs w:val="20"/>
                <w:lang w:eastAsia="en-US"/>
              </w:rPr>
              <w:fldChar w:fldCharType="end"/>
            </w:r>
            <w:r w:rsidRPr="00605D6C">
              <w:rPr>
                <w:rFonts w:ascii="Arial Narrow" w:eastAsia="Calibri" w:hAnsi="Arial Narrow" w:cstheme="minorHAnsi"/>
                <w:sz w:val="20"/>
                <w:szCs w:val="20"/>
                <w:lang w:eastAsia="en-US"/>
              </w:rPr>
              <w:t>Nurse practitioners</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Episodicity</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Condition:</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Hyperphenylalaninemia (HPA) due to phenylketonuria (PKU)</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PBS Indication:</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Hyperphenylalaninemia (HPA) due to phenylketonuria (PKU)</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Treatment phase: </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Subsequent continuing </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Restriction method</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Authority Required – in Writing</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Treatment criteria</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Must be treated by a metabolic physician, or by a nurse practitioner experienced in the treatment of phenylketonuria in consultation with a metabolic physician</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Clinical criteria</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Patient must have received First Continuing PBS-subsidised treatment with this drug for this condition; OR</w:t>
            </w: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Patient must have received Grandfather PBS-subsidised treatment with this drug for this condition;</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AND</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Patient must be undergoing regular phenylalanine testing and assessment of adherence to dietary modifications.</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Population criteria</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Patient must have been under 18 years of age at the time treatment with this drug was initiated for this condition.</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Prescriber instructions</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The authority application must be made in writing</w:t>
            </w:r>
          </w:p>
        </w:tc>
      </w:tr>
      <w:tr w:rsidR="00605D6C" w:rsidRPr="00605D6C" w:rsidTr="00A9642F">
        <w:tc>
          <w:tcPr>
            <w:tcW w:w="2093"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Administrative advice</w:t>
            </w:r>
          </w:p>
        </w:tc>
        <w:tc>
          <w:tcPr>
            <w:tcW w:w="6429" w:type="dxa"/>
          </w:tcPr>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Special pricing arrangements apply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Any queries concerning the arrangements to prescribe may be directed to the Department of Human Services on 1800 700 270 (hours of operation 8 a.m. to 5 p.m. EST Monday to Friday).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Prescribing information (including Authority Application forms and other relevant documentation as applicable) is available on the Department of Human Services website at www.humanservices.gov.au</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Applications for authority to prescribe should be forwarded to: </w:t>
            </w:r>
          </w:p>
          <w:p w:rsidR="00605D6C" w:rsidRPr="00605D6C" w:rsidRDefault="00605D6C" w:rsidP="00605D6C">
            <w:pPr>
              <w:keepNext/>
              <w:jc w:val="both"/>
              <w:rPr>
                <w:rFonts w:ascii="Arial Narrow" w:eastAsia="Calibri" w:hAnsi="Arial Narrow" w:cstheme="minorHAnsi"/>
                <w:sz w:val="20"/>
                <w:szCs w:val="20"/>
                <w:lang w:eastAsia="en-US"/>
              </w:rPr>
            </w:pP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Department of Human Services</w:t>
            </w: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Complex Drugs</w:t>
            </w: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Reply Paid 9826</w:t>
            </w:r>
          </w:p>
          <w:p w:rsidR="00605D6C" w:rsidRPr="00605D6C" w:rsidRDefault="00605D6C" w:rsidP="00605D6C">
            <w:pPr>
              <w:keepNext/>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HOBART TAS 7001</w:t>
            </w:r>
          </w:p>
          <w:p w:rsidR="00605D6C" w:rsidRPr="00605D6C" w:rsidRDefault="00605D6C" w:rsidP="00605D6C">
            <w:pPr>
              <w:keepNext/>
              <w:jc w:val="both"/>
              <w:rPr>
                <w:rFonts w:ascii="Arial Narrow" w:eastAsia="Calibri" w:hAnsi="Arial Narrow" w:cstheme="minorHAnsi"/>
                <w:sz w:val="20"/>
                <w:szCs w:val="20"/>
                <w:lang w:eastAsia="en-US"/>
              </w:rPr>
            </w:pPr>
          </w:p>
        </w:tc>
      </w:tr>
    </w:tbl>
    <w:p w:rsidR="00605D6C" w:rsidRPr="00605D6C" w:rsidRDefault="00605D6C" w:rsidP="00605D6C">
      <w:pPr>
        <w:rPr>
          <w:lang w:eastAsia="en-US"/>
        </w:rPr>
      </w:pPr>
    </w:p>
    <w:p w:rsidR="00605D6C" w:rsidRDefault="00605D6C" w:rsidP="00E43105">
      <w:pPr>
        <w:keepNext/>
        <w:keepLines/>
        <w:rPr>
          <w:rFonts w:asciiTheme="minorHAnsi" w:hAnsiTheme="minorHAnsi" w:cstheme="minorHAnsi"/>
          <w:i/>
          <w:snapToGrid w:val="0"/>
          <w:u w:val="single"/>
          <w:lang w:eastAsia="en-US"/>
        </w:rPr>
      </w:pPr>
      <w:r>
        <w:rPr>
          <w:rFonts w:asciiTheme="minorHAnsi" w:hAnsiTheme="minorHAnsi" w:cstheme="minorHAnsi"/>
          <w:i/>
          <w:snapToGrid w:val="0"/>
          <w:u w:val="single"/>
          <w:lang w:eastAsia="en-US"/>
        </w:rPr>
        <w:lastRenderedPageBreak/>
        <w:t xml:space="preserve">Grandfather </w:t>
      </w:r>
      <w:r w:rsidRPr="00605D6C">
        <w:rPr>
          <w:rFonts w:asciiTheme="minorHAnsi" w:hAnsiTheme="minorHAnsi" w:cstheme="minorHAnsi"/>
          <w:i/>
          <w:snapToGrid w:val="0"/>
          <w:u w:val="single"/>
          <w:lang w:eastAsia="en-US"/>
        </w:rPr>
        <w:t>restriction</w:t>
      </w:r>
    </w:p>
    <w:p w:rsidR="00605D6C" w:rsidRPr="00605D6C" w:rsidRDefault="00605D6C" w:rsidP="00E43105">
      <w:pPr>
        <w:keepNext/>
        <w:keepLines/>
        <w:rPr>
          <w:lang w:eastAsia="en-US"/>
        </w:rPr>
      </w:pPr>
    </w:p>
    <w:tbl>
      <w:tblPr>
        <w:tblStyle w:val="TableGrid"/>
        <w:tblW w:w="0" w:type="auto"/>
        <w:tblLook w:val="04A0" w:firstRow="1" w:lastRow="0" w:firstColumn="1" w:lastColumn="0" w:noHBand="0" w:noVBand="1"/>
        <w:tblCaption w:val="Recommended listing"/>
      </w:tblPr>
      <w:tblGrid>
        <w:gridCol w:w="2093"/>
        <w:gridCol w:w="6429"/>
      </w:tblGrid>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bookmarkStart w:id="1" w:name="_GoBack" w:colFirst="0" w:colLast="2"/>
            <w:r w:rsidRPr="00605D6C">
              <w:rPr>
                <w:rFonts w:ascii="Arial Narrow" w:eastAsia="Calibri" w:hAnsi="Arial Narrow" w:cstheme="minorHAnsi"/>
                <w:sz w:val="20"/>
                <w:szCs w:val="20"/>
                <w:lang w:eastAsia="en-US"/>
              </w:rPr>
              <w:t>Category/Program</w:t>
            </w:r>
          </w:p>
        </w:tc>
        <w:tc>
          <w:tcPr>
            <w:tcW w:w="6429"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Section 85</w:t>
            </w:r>
          </w:p>
        </w:tc>
      </w:tr>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Prescriber type</w:t>
            </w:r>
          </w:p>
        </w:tc>
        <w:tc>
          <w:tcPr>
            <w:tcW w:w="6429" w:type="dxa"/>
          </w:tcPr>
          <w:p w:rsidR="00605D6C" w:rsidRPr="00605D6C" w:rsidRDefault="00605D6C" w:rsidP="00E43105">
            <w:pPr>
              <w:keepNext/>
              <w:keepLines/>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fldChar w:fldCharType="begin">
                <w:ffData>
                  <w:name w:val=""/>
                  <w:enabled/>
                  <w:calcOnExit w:val="0"/>
                  <w:checkBox>
                    <w:sizeAuto/>
                    <w:default w:val="1"/>
                  </w:checkBox>
                </w:ffData>
              </w:fldChar>
            </w:r>
            <w:r w:rsidRPr="00605D6C">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605D6C">
              <w:rPr>
                <w:rFonts w:ascii="Arial Narrow" w:eastAsia="Calibri" w:hAnsi="Arial Narrow" w:cstheme="minorHAnsi"/>
                <w:sz w:val="20"/>
                <w:szCs w:val="20"/>
                <w:lang w:eastAsia="en-US"/>
              </w:rPr>
              <w:fldChar w:fldCharType="end"/>
            </w:r>
            <w:r w:rsidRPr="00605D6C">
              <w:rPr>
                <w:rFonts w:ascii="Arial Narrow" w:eastAsia="Calibri" w:hAnsi="Arial Narrow" w:cstheme="minorHAnsi"/>
                <w:sz w:val="20"/>
                <w:szCs w:val="20"/>
                <w:lang w:eastAsia="en-US"/>
              </w:rPr>
              <w:t xml:space="preserve">Medical Practitioners  </w:t>
            </w:r>
            <w:r w:rsidRPr="00605D6C">
              <w:rPr>
                <w:rFonts w:ascii="Arial Narrow" w:eastAsia="Calibri" w:hAnsi="Arial Narrow" w:cstheme="minorHAnsi"/>
                <w:sz w:val="20"/>
                <w:szCs w:val="20"/>
                <w:lang w:eastAsia="en-US"/>
              </w:rPr>
              <w:fldChar w:fldCharType="begin">
                <w:ffData>
                  <w:name w:val="Check3"/>
                  <w:enabled/>
                  <w:calcOnExit w:val="0"/>
                  <w:checkBox>
                    <w:sizeAuto/>
                    <w:default w:val="1"/>
                  </w:checkBox>
                </w:ffData>
              </w:fldChar>
            </w:r>
            <w:r w:rsidRPr="00605D6C">
              <w:rPr>
                <w:rFonts w:ascii="Arial Narrow" w:eastAsia="Calibri" w:hAnsi="Arial Narrow" w:cstheme="minorHAnsi"/>
                <w:sz w:val="20"/>
                <w:szCs w:val="20"/>
                <w:lang w:eastAsia="en-US"/>
              </w:rPr>
              <w:instrText xml:space="preserve"> FORMCHECKBOX </w:instrText>
            </w:r>
            <w:r w:rsidR="004D0474">
              <w:rPr>
                <w:rFonts w:ascii="Arial Narrow" w:eastAsia="Calibri" w:hAnsi="Arial Narrow" w:cstheme="minorHAnsi"/>
                <w:sz w:val="20"/>
                <w:szCs w:val="20"/>
                <w:lang w:eastAsia="en-US"/>
              </w:rPr>
            </w:r>
            <w:r w:rsidR="004D0474">
              <w:rPr>
                <w:rFonts w:ascii="Arial Narrow" w:eastAsia="Calibri" w:hAnsi="Arial Narrow" w:cstheme="minorHAnsi"/>
                <w:sz w:val="20"/>
                <w:szCs w:val="20"/>
                <w:lang w:eastAsia="en-US"/>
              </w:rPr>
              <w:fldChar w:fldCharType="separate"/>
            </w:r>
            <w:r w:rsidRPr="00605D6C">
              <w:rPr>
                <w:rFonts w:ascii="Arial Narrow" w:eastAsia="Calibri" w:hAnsi="Arial Narrow" w:cstheme="minorHAnsi"/>
                <w:sz w:val="20"/>
                <w:szCs w:val="20"/>
                <w:lang w:eastAsia="en-US"/>
              </w:rPr>
              <w:fldChar w:fldCharType="end"/>
            </w:r>
            <w:r w:rsidRPr="00605D6C">
              <w:rPr>
                <w:rFonts w:ascii="Arial Narrow" w:eastAsia="Calibri" w:hAnsi="Arial Narrow" w:cstheme="minorHAnsi"/>
                <w:sz w:val="20"/>
                <w:szCs w:val="20"/>
                <w:lang w:eastAsia="en-US"/>
              </w:rPr>
              <w:t>Nurse practitioners</w:t>
            </w:r>
          </w:p>
        </w:tc>
      </w:tr>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Episodicity</w:t>
            </w:r>
          </w:p>
        </w:tc>
        <w:tc>
          <w:tcPr>
            <w:tcW w:w="6429"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w:t>
            </w:r>
          </w:p>
        </w:tc>
      </w:tr>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Condition:</w:t>
            </w:r>
          </w:p>
        </w:tc>
        <w:tc>
          <w:tcPr>
            <w:tcW w:w="6429"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Hyperphenylalaninemia (HPA) due to phenylketonuria (PKU)</w:t>
            </w:r>
          </w:p>
        </w:tc>
      </w:tr>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PBS Indication:</w:t>
            </w:r>
          </w:p>
        </w:tc>
        <w:tc>
          <w:tcPr>
            <w:tcW w:w="6429"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Hyperphenylalaninemia (HPA) due to phenylketonuria (PKU)</w:t>
            </w:r>
          </w:p>
        </w:tc>
      </w:tr>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Treatment phase: </w:t>
            </w:r>
          </w:p>
        </w:tc>
        <w:tc>
          <w:tcPr>
            <w:tcW w:w="6429"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Grandfather  treatment</w:t>
            </w:r>
          </w:p>
        </w:tc>
      </w:tr>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Restriction method</w:t>
            </w:r>
          </w:p>
        </w:tc>
        <w:tc>
          <w:tcPr>
            <w:tcW w:w="6429"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Authority Required – in Writing</w:t>
            </w:r>
          </w:p>
        </w:tc>
      </w:tr>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Treatment criteria</w:t>
            </w:r>
          </w:p>
        </w:tc>
        <w:tc>
          <w:tcPr>
            <w:tcW w:w="6429"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Must be treated by a metabolic physician, or by a nurse practitioner experienced in the treatment of phenylketonuria in consultation with a metabolic physician</w:t>
            </w:r>
          </w:p>
        </w:tc>
      </w:tr>
      <w:tr w:rsidR="00605D6C" w:rsidRPr="00605D6C" w:rsidTr="00A9642F">
        <w:tc>
          <w:tcPr>
            <w:tcW w:w="2093" w:type="dxa"/>
          </w:tcPr>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Clinical criteria</w:t>
            </w:r>
          </w:p>
        </w:tc>
        <w:tc>
          <w:tcPr>
            <w:tcW w:w="6429" w:type="dxa"/>
          </w:tcPr>
          <w:p w:rsidR="00E43105" w:rsidRPr="00B12258"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Patient must have previously received non-PBS subsidised treatment with this drug for this condition prior to {listing date}</w:t>
            </w:r>
          </w:p>
          <w:p w:rsidR="00605D6C" w:rsidRPr="00605D6C" w:rsidRDefault="00605D6C" w:rsidP="00E43105">
            <w:pPr>
              <w:keepNext/>
              <w:keepLines/>
              <w:jc w:val="both"/>
              <w:rPr>
                <w:rFonts w:ascii="Arial Narrow" w:eastAsia="Calibri" w:hAnsi="Arial Narrow" w:cstheme="minorHAnsi"/>
                <w:sz w:val="20"/>
                <w:szCs w:val="20"/>
                <w:lang w:eastAsia="en-US"/>
              </w:rPr>
            </w:pPr>
          </w:p>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AND </w:t>
            </w:r>
          </w:p>
          <w:p w:rsidR="00605D6C" w:rsidRPr="00605D6C" w:rsidRDefault="00605D6C" w:rsidP="00E43105">
            <w:pPr>
              <w:keepNext/>
              <w:keepLines/>
              <w:jc w:val="both"/>
              <w:rPr>
                <w:rFonts w:ascii="Arial Narrow" w:eastAsia="Calibri" w:hAnsi="Arial Narrow" w:cstheme="minorHAnsi"/>
                <w:sz w:val="20"/>
                <w:szCs w:val="20"/>
                <w:lang w:eastAsia="en-US"/>
              </w:rPr>
            </w:pPr>
          </w:p>
          <w:p w:rsidR="00605D6C" w:rsidRPr="00605D6C" w:rsidRDefault="00605D6C" w:rsidP="00E43105">
            <w:pPr>
              <w:keepNext/>
              <w:keepLines/>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Patient must have demonstrated a response to treatment with this drug of greater than or equal to 30% reduction in phenylalanine levels from baseline during initial responsiveness testing.</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Population criteria</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Patient must have been under 18 years of age at the time treatment with this drug was initiated for this condition. </w:t>
            </w:r>
          </w:p>
        </w:tc>
      </w:tr>
      <w:tr w:rsidR="00605D6C" w:rsidRPr="00605D6C" w:rsidTr="00A9642F">
        <w:tc>
          <w:tcPr>
            <w:tcW w:w="2093"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Prescriber instructions</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The authority application must be made in writing and must include: </w:t>
            </w:r>
          </w:p>
          <w:p w:rsidR="00605D6C" w:rsidRPr="00605D6C" w:rsidRDefault="00605D6C" w:rsidP="00194806">
            <w:pPr>
              <w:numPr>
                <w:ilvl w:val="0"/>
                <w:numId w:val="9"/>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 completed authority prescription form </w:t>
            </w:r>
          </w:p>
          <w:p w:rsidR="00605D6C" w:rsidRPr="00605D6C" w:rsidRDefault="00605D6C" w:rsidP="00194806">
            <w:pPr>
              <w:numPr>
                <w:ilvl w:val="0"/>
                <w:numId w:val="9"/>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 completed Hyperphenylalaninemia (HPA) due to phenylketonuria PBS Authority Application – Supporting Information Form which includes: </w:t>
            </w:r>
          </w:p>
          <w:p w:rsidR="00605D6C" w:rsidRPr="00605D6C" w:rsidRDefault="00605D6C" w:rsidP="00194806">
            <w:pPr>
              <w:numPr>
                <w:ilvl w:val="0"/>
                <w:numId w:val="10"/>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blood phenylalanine levels at baseline</w:t>
            </w:r>
          </w:p>
          <w:p w:rsidR="00605D6C" w:rsidRPr="00605D6C" w:rsidRDefault="00605D6C" w:rsidP="00194806">
            <w:pPr>
              <w:numPr>
                <w:ilvl w:val="0"/>
                <w:numId w:val="10"/>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blood phenylalanine levels during sapropterin responsiveness testing</w:t>
            </w:r>
          </w:p>
          <w:p w:rsidR="00605D6C" w:rsidRPr="00605D6C" w:rsidRDefault="00605D6C" w:rsidP="00194806">
            <w:pPr>
              <w:numPr>
                <w:ilvl w:val="0"/>
                <w:numId w:val="10"/>
              </w:numPr>
              <w:contextualSpacing/>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documented diagnosis of PKU</w:t>
            </w: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Blood phenylalanine levels must be based on measurements taken during stable periods of the condition. </w:t>
            </w:r>
          </w:p>
          <w:p w:rsidR="00605D6C" w:rsidRPr="00605D6C" w:rsidRDefault="00605D6C" w:rsidP="00605D6C">
            <w:pPr>
              <w:jc w:val="both"/>
              <w:rPr>
                <w:rFonts w:ascii="Arial Narrow" w:eastAsia="Calibri" w:hAnsi="Arial Narrow" w:cstheme="minorHAnsi"/>
                <w:sz w:val="20"/>
                <w:szCs w:val="20"/>
                <w:lang w:eastAsia="en-US"/>
              </w:rPr>
            </w:pPr>
          </w:p>
          <w:p w:rsid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Dietary phenylalanine intake must be maintained at constant levels</w:t>
            </w:r>
            <w:r w:rsidR="00194806">
              <w:rPr>
                <w:rFonts w:ascii="Arial Narrow" w:eastAsia="Calibri" w:hAnsi="Arial Narrow" w:cstheme="minorHAnsi"/>
                <w:sz w:val="20"/>
                <w:szCs w:val="20"/>
                <w:lang w:eastAsia="en-US"/>
              </w:rPr>
              <w:t>.</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194806">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 patient may qualify for PBS-subsidised treatment under this restriction once only. For continuing PBS-subsidised treatment, a grandfathered patient must qualify under the Subsequent continuing treatment criteria.  </w:t>
            </w:r>
          </w:p>
        </w:tc>
      </w:tr>
      <w:tr w:rsidR="00605D6C" w:rsidRPr="00605D6C" w:rsidTr="00A9642F">
        <w:tc>
          <w:tcPr>
            <w:tcW w:w="2093" w:type="dxa"/>
          </w:tcPr>
          <w:p w:rsidR="00605D6C" w:rsidRPr="00605D6C" w:rsidRDefault="00605D6C" w:rsidP="00CB40BF">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Administ</w:t>
            </w:r>
            <w:r w:rsidR="00CB40BF">
              <w:rPr>
                <w:rFonts w:ascii="Arial Narrow" w:eastAsia="Calibri" w:hAnsi="Arial Narrow" w:cstheme="minorHAnsi"/>
                <w:sz w:val="20"/>
                <w:szCs w:val="20"/>
                <w:lang w:eastAsia="en-US"/>
              </w:rPr>
              <w:t>r</w:t>
            </w:r>
            <w:r w:rsidRPr="00605D6C">
              <w:rPr>
                <w:rFonts w:ascii="Arial Narrow" w:eastAsia="Calibri" w:hAnsi="Arial Narrow" w:cstheme="minorHAnsi"/>
                <w:sz w:val="20"/>
                <w:szCs w:val="20"/>
                <w:lang w:eastAsia="en-US"/>
              </w:rPr>
              <w:t>ative advice</w:t>
            </w:r>
          </w:p>
        </w:tc>
        <w:tc>
          <w:tcPr>
            <w:tcW w:w="6429" w:type="dxa"/>
          </w:tcPr>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Special pricing arrangements apply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Any queries concerning the arrangements to prescribe may be directed to the Department of Human Services on 1800 700 270 (hours of operation 8 a.m. to 5 p.m. EST Monday to Friday).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Prescribing information (including Authority Application forms and other relevant documentation as applicable) is available on the Department of Human Services website at www.humanservices.gov.au</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 xml:space="preserve">Applications for authority to prescribe should be forwarded to: </w:t>
            </w:r>
          </w:p>
          <w:p w:rsidR="00605D6C" w:rsidRPr="00605D6C" w:rsidRDefault="00605D6C" w:rsidP="00605D6C">
            <w:pPr>
              <w:jc w:val="both"/>
              <w:rPr>
                <w:rFonts w:ascii="Arial Narrow" w:eastAsia="Calibri" w:hAnsi="Arial Narrow" w:cstheme="minorHAnsi"/>
                <w:sz w:val="20"/>
                <w:szCs w:val="20"/>
                <w:lang w:eastAsia="en-US"/>
              </w:rPr>
            </w:pP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Department of Human Services</w:t>
            </w: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Complex Drugs</w:t>
            </w:r>
          </w:p>
          <w:p w:rsidR="00605D6C" w:rsidRPr="00605D6C" w:rsidRDefault="00605D6C" w:rsidP="00605D6C">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Reply Paid 9826</w:t>
            </w:r>
          </w:p>
          <w:p w:rsidR="00605D6C" w:rsidRPr="00605D6C" w:rsidRDefault="00605D6C" w:rsidP="00194806">
            <w:pPr>
              <w:jc w:val="both"/>
              <w:rPr>
                <w:rFonts w:ascii="Arial Narrow" w:eastAsia="Calibri" w:hAnsi="Arial Narrow" w:cstheme="minorHAnsi"/>
                <w:sz w:val="20"/>
                <w:szCs w:val="20"/>
                <w:lang w:eastAsia="en-US"/>
              </w:rPr>
            </w:pPr>
            <w:r w:rsidRPr="00605D6C">
              <w:rPr>
                <w:rFonts w:ascii="Arial Narrow" w:eastAsia="Calibri" w:hAnsi="Arial Narrow" w:cstheme="minorHAnsi"/>
                <w:sz w:val="20"/>
                <w:szCs w:val="20"/>
                <w:lang w:eastAsia="en-US"/>
              </w:rPr>
              <w:t>HOBART TAS 7001</w:t>
            </w:r>
          </w:p>
        </w:tc>
      </w:tr>
      <w:bookmarkEnd w:id="1"/>
    </w:tbl>
    <w:p w:rsidR="00D74FBD" w:rsidRDefault="00D74FBD" w:rsidP="00CB40BF">
      <w:pPr>
        <w:widowControl w:val="0"/>
        <w:jc w:val="both"/>
        <w:rPr>
          <w:rFonts w:ascii="Arial" w:hAnsi="Arial" w:cs="Arial"/>
          <w:snapToGrid w:val="0"/>
          <w:sz w:val="22"/>
          <w:szCs w:val="20"/>
          <w:lang w:eastAsia="en-US"/>
        </w:rPr>
      </w:pPr>
    </w:p>
    <w:p w:rsidR="00354BD6" w:rsidRPr="00FD04AB" w:rsidRDefault="00D74FBD" w:rsidP="00D74FBD">
      <w:pPr>
        <w:widowControl w:val="0"/>
        <w:numPr>
          <w:ilvl w:val="0"/>
          <w:numId w:val="1"/>
        </w:numPr>
        <w:spacing w:before="240" w:after="120"/>
        <w:jc w:val="both"/>
        <w:outlineLvl w:val="0"/>
        <w:rPr>
          <w:rFonts w:asciiTheme="minorHAnsi" w:hAnsiTheme="minorHAnsi" w:cs="Arial"/>
          <w:b/>
          <w:bCs/>
          <w:snapToGrid w:val="0"/>
          <w:sz w:val="32"/>
          <w:szCs w:val="22"/>
          <w:lang w:eastAsia="en-US"/>
        </w:rPr>
      </w:pPr>
      <w:r>
        <w:rPr>
          <w:rFonts w:ascii="Arial" w:hAnsi="Arial" w:cs="Arial"/>
          <w:snapToGrid w:val="0"/>
          <w:sz w:val="22"/>
          <w:szCs w:val="20"/>
          <w:lang w:eastAsia="en-US"/>
        </w:rPr>
        <w:br w:type="column"/>
      </w:r>
      <w:r w:rsidRPr="00FD04AB">
        <w:rPr>
          <w:rFonts w:asciiTheme="minorHAnsi" w:hAnsiTheme="minorHAnsi" w:cs="Arial"/>
          <w:b/>
          <w:bCs/>
          <w:snapToGrid w:val="0"/>
          <w:sz w:val="32"/>
          <w:szCs w:val="22"/>
          <w:lang w:eastAsia="en-US"/>
        </w:rPr>
        <w:lastRenderedPageBreak/>
        <w:t>Context for Decision</w:t>
      </w:r>
    </w:p>
    <w:p w:rsidR="00D74FBD" w:rsidRPr="00FD04AB" w:rsidRDefault="00D74FBD" w:rsidP="00E3376E">
      <w:pPr>
        <w:spacing w:after="120"/>
        <w:ind w:left="720"/>
        <w:jc w:val="both"/>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74FBD" w:rsidRPr="00FD04AB" w:rsidRDefault="00D74FBD" w:rsidP="009B7C0F">
      <w:pPr>
        <w:widowControl w:val="0"/>
        <w:numPr>
          <w:ilvl w:val="0"/>
          <w:numId w:val="1"/>
        </w:numPr>
        <w:spacing w:before="240" w:after="120"/>
        <w:jc w:val="both"/>
        <w:outlineLvl w:val="0"/>
        <w:rPr>
          <w:rFonts w:asciiTheme="minorHAnsi" w:hAnsiTheme="minorHAnsi" w:cs="Arial"/>
          <w:b/>
          <w:bCs/>
          <w:snapToGrid w:val="0"/>
          <w:sz w:val="32"/>
          <w:szCs w:val="22"/>
          <w:lang w:eastAsia="en-US"/>
        </w:rPr>
      </w:pPr>
      <w:r w:rsidRPr="00FD04AB">
        <w:rPr>
          <w:rFonts w:asciiTheme="minorHAnsi" w:hAnsiTheme="minorHAnsi" w:cs="Arial"/>
          <w:b/>
          <w:bCs/>
          <w:snapToGrid w:val="0"/>
          <w:sz w:val="32"/>
          <w:szCs w:val="22"/>
          <w:lang w:eastAsia="en-US"/>
        </w:rPr>
        <w:t>Sponsor’s Comment</w:t>
      </w:r>
    </w:p>
    <w:p w:rsidR="006A64A1" w:rsidRPr="00FD04AB" w:rsidRDefault="006A64A1" w:rsidP="002F5449">
      <w:pPr>
        <w:spacing w:after="120"/>
        <w:ind w:left="720"/>
        <w:jc w:val="both"/>
        <w:rPr>
          <w:rFonts w:asciiTheme="minorHAnsi" w:eastAsiaTheme="minorHAnsi" w:hAnsiTheme="minorHAnsi"/>
          <w:bCs/>
        </w:rPr>
      </w:pPr>
      <w:proofErr w:type="spellStart"/>
      <w:r>
        <w:rPr>
          <w:rFonts w:asciiTheme="minorHAnsi" w:eastAsiaTheme="minorHAnsi" w:hAnsiTheme="minorHAnsi"/>
          <w:bCs/>
        </w:rPr>
        <w:t>BioMarin</w:t>
      </w:r>
      <w:proofErr w:type="spellEnd"/>
      <w:r>
        <w:rPr>
          <w:rFonts w:asciiTheme="minorHAnsi" w:eastAsiaTheme="minorHAnsi" w:hAnsiTheme="minorHAnsi"/>
          <w:bCs/>
        </w:rPr>
        <w:t xml:space="preserve"> welcomes the positive recommendation and would like to thank the PBAC for its consideration of PKU. Further, </w:t>
      </w:r>
      <w:proofErr w:type="spellStart"/>
      <w:r>
        <w:rPr>
          <w:rFonts w:asciiTheme="minorHAnsi" w:eastAsiaTheme="minorHAnsi" w:hAnsiTheme="minorHAnsi"/>
          <w:bCs/>
        </w:rPr>
        <w:t>BioMarin</w:t>
      </w:r>
      <w:proofErr w:type="spellEnd"/>
      <w:r>
        <w:rPr>
          <w:rFonts w:asciiTheme="minorHAnsi" w:eastAsiaTheme="minorHAnsi" w:hAnsiTheme="minorHAnsi"/>
          <w:bCs/>
        </w:rPr>
        <w:t xml:space="preserve"> would also like to recognise the input received from patients, families and health care professionals.</w:t>
      </w:r>
    </w:p>
    <w:p w:rsidR="006A64A1" w:rsidRPr="00FD04AB" w:rsidRDefault="006A64A1" w:rsidP="00D74FBD">
      <w:pPr>
        <w:spacing w:after="120" w:line="276" w:lineRule="auto"/>
        <w:ind w:left="720"/>
        <w:rPr>
          <w:rFonts w:asciiTheme="minorHAnsi" w:eastAsiaTheme="minorHAnsi" w:hAnsiTheme="minorHAnsi"/>
          <w:bCs/>
        </w:rPr>
      </w:pPr>
    </w:p>
    <w:p w:rsidR="00605D6C" w:rsidRPr="003F643A" w:rsidRDefault="00605D6C" w:rsidP="00CB40BF">
      <w:pPr>
        <w:widowControl w:val="0"/>
        <w:jc w:val="both"/>
        <w:rPr>
          <w:rFonts w:ascii="Arial" w:hAnsi="Arial" w:cs="Arial"/>
          <w:snapToGrid w:val="0"/>
          <w:sz w:val="22"/>
          <w:szCs w:val="20"/>
          <w:lang w:eastAsia="en-US"/>
        </w:rPr>
      </w:pPr>
    </w:p>
    <w:sectPr w:rsidR="00605D6C" w:rsidRPr="003F643A" w:rsidSect="00507239">
      <w:headerReference w:type="even" r:id="rId9"/>
      <w:headerReference w:type="default" r:id="rId10"/>
      <w:footerReference w:type="even" r:id="rId11"/>
      <w:footerReference w:type="default" r:id="rId12"/>
      <w:headerReference w:type="first" r:id="rId13"/>
      <w:footerReference w:type="first" r:id="rId14"/>
      <w:pgSz w:w="11906" w:h="16838" w:code="9"/>
      <w:pgMar w:top="1440" w:right="1274"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6D8" w:rsidRDefault="00E916D8">
      <w:r>
        <w:separator/>
      </w:r>
    </w:p>
    <w:p w:rsidR="00E916D8" w:rsidRDefault="00E916D8"/>
  </w:endnote>
  <w:endnote w:type="continuationSeparator" w:id="0">
    <w:p w:rsidR="00E916D8" w:rsidRDefault="00E916D8">
      <w:r>
        <w:continuationSeparator/>
      </w:r>
    </w:p>
    <w:p w:rsidR="00E916D8" w:rsidRDefault="00E91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4078"/>
      <w:gridCol w:w="1252"/>
      <w:gridCol w:w="4078"/>
    </w:tblGrid>
    <w:tr w:rsidR="00146836" w:rsidTr="005A3173">
      <w:trPr>
        <w:trHeight w:val="151"/>
      </w:trPr>
      <w:tc>
        <w:tcPr>
          <w:tcW w:w="2250" w:type="pct"/>
          <w:tcBorders>
            <w:top w:val="nil"/>
            <w:left w:val="nil"/>
            <w:bottom w:val="single" w:sz="4" w:space="0" w:color="4F81BD"/>
            <w:right w:val="nil"/>
          </w:tcBorders>
        </w:tcPr>
        <w:p w:rsidR="00146836" w:rsidRPr="005A3173" w:rsidRDefault="001468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46836" w:rsidRPr="005A3173" w:rsidRDefault="001468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46836" w:rsidRPr="005A3173" w:rsidRDefault="00146836" w:rsidP="005A3173">
          <w:pPr>
            <w:pStyle w:val="Header"/>
            <w:spacing w:line="276" w:lineRule="auto"/>
            <w:rPr>
              <w:rFonts w:ascii="Calibri" w:eastAsia="MS Gothic" w:hAnsi="Calibri"/>
              <w:b/>
              <w:bCs/>
              <w:color w:val="4F81BD"/>
            </w:rPr>
          </w:pPr>
        </w:p>
      </w:tc>
    </w:tr>
    <w:tr w:rsidR="00146836" w:rsidTr="005A3173">
      <w:trPr>
        <w:trHeight w:val="150"/>
      </w:trPr>
      <w:tc>
        <w:tcPr>
          <w:tcW w:w="2250" w:type="pct"/>
          <w:tcBorders>
            <w:top w:val="single" w:sz="4" w:space="0" w:color="4F81BD"/>
            <w:left w:val="nil"/>
            <w:bottom w:val="nil"/>
            <w:right w:val="nil"/>
          </w:tcBorders>
        </w:tcPr>
        <w:p w:rsidR="00146836" w:rsidRPr="005A3173" w:rsidRDefault="00146836" w:rsidP="005A3173">
          <w:pPr>
            <w:pStyle w:val="Header"/>
            <w:spacing w:line="276" w:lineRule="auto"/>
            <w:rPr>
              <w:rFonts w:ascii="Calibri" w:eastAsia="MS Gothic" w:hAnsi="Calibri"/>
              <w:b/>
              <w:bCs/>
              <w:color w:val="4F81BD"/>
            </w:rPr>
          </w:pPr>
        </w:p>
      </w:tc>
      <w:tc>
        <w:tcPr>
          <w:tcW w:w="0" w:type="auto"/>
          <w:vMerge/>
          <w:vAlign w:val="center"/>
          <w:hideMark/>
        </w:tcPr>
        <w:p w:rsidR="00146836" w:rsidRPr="005A3173" w:rsidRDefault="001468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46836" w:rsidRPr="005A3173" w:rsidRDefault="00146836" w:rsidP="005A3173">
          <w:pPr>
            <w:pStyle w:val="Header"/>
            <w:spacing w:line="276" w:lineRule="auto"/>
            <w:rPr>
              <w:rFonts w:ascii="Calibri" w:eastAsia="MS Gothic" w:hAnsi="Calibri"/>
              <w:b/>
              <w:bCs/>
              <w:color w:val="4F81BD"/>
            </w:rPr>
          </w:pPr>
        </w:p>
      </w:tc>
    </w:tr>
  </w:tbl>
  <w:p w:rsidR="00146836" w:rsidRDefault="0014683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6836" w:rsidRDefault="00146836">
    <w:pPr>
      <w:pStyle w:val="Footer"/>
    </w:pPr>
  </w:p>
  <w:p w:rsidR="00146836" w:rsidRDefault="0014683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836" w:rsidRPr="00D74FBD" w:rsidRDefault="004D0474">
    <w:pPr>
      <w:pStyle w:val="Footer"/>
      <w:jc w:val="center"/>
      <w:rPr>
        <w:rFonts w:asciiTheme="minorHAnsi" w:hAnsiTheme="minorHAnsi" w:cstheme="minorHAnsi"/>
      </w:rPr>
    </w:pPr>
    <w:sdt>
      <w:sdtPr>
        <w:id w:val="-786424193"/>
        <w:docPartObj>
          <w:docPartGallery w:val="Page Numbers (Bottom of Page)"/>
          <w:docPartUnique/>
        </w:docPartObj>
      </w:sdtPr>
      <w:sdtEndPr>
        <w:rPr>
          <w:rFonts w:asciiTheme="minorHAnsi" w:hAnsiTheme="minorHAnsi" w:cstheme="minorHAnsi"/>
          <w:noProof/>
        </w:rPr>
      </w:sdtEndPr>
      <w:sdtContent>
        <w:r w:rsidR="00146836" w:rsidRPr="00D74FBD">
          <w:rPr>
            <w:rFonts w:asciiTheme="minorHAnsi" w:hAnsiTheme="minorHAnsi" w:cstheme="minorHAnsi"/>
          </w:rPr>
          <w:fldChar w:fldCharType="begin"/>
        </w:r>
        <w:r w:rsidR="00146836" w:rsidRPr="00D74FBD">
          <w:rPr>
            <w:rFonts w:asciiTheme="minorHAnsi" w:hAnsiTheme="minorHAnsi" w:cstheme="minorHAnsi"/>
          </w:rPr>
          <w:instrText xml:space="preserve"> PAGE   \* MERGEFORMAT </w:instrText>
        </w:r>
        <w:r w:rsidR="00146836" w:rsidRPr="00D74FBD">
          <w:rPr>
            <w:rFonts w:asciiTheme="minorHAnsi" w:hAnsiTheme="minorHAnsi" w:cstheme="minorHAnsi"/>
          </w:rPr>
          <w:fldChar w:fldCharType="separate"/>
        </w:r>
        <w:r>
          <w:rPr>
            <w:rFonts w:asciiTheme="minorHAnsi" w:hAnsiTheme="minorHAnsi" w:cstheme="minorHAnsi"/>
            <w:noProof/>
          </w:rPr>
          <w:t>25</w:t>
        </w:r>
        <w:r w:rsidR="00146836" w:rsidRPr="00D74FBD">
          <w:rPr>
            <w:rFonts w:asciiTheme="minorHAnsi" w:hAnsiTheme="minorHAnsi" w:cstheme="min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78"/>
      <w:gridCol w:w="1252"/>
      <w:gridCol w:w="4078"/>
    </w:tblGrid>
    <w:tr w:rsidR="00146836" w:rsidTr="005A3173">
      <w:trPr>
        <w:trHeight w:val="151"/>
      </w:trPr>
      <w:tc>
        <w:tcPr>
          <w:tcW w:w="2250" w:type="pct"/>
          <w:tcBorders>
            <w:top w:val="nil"/>
            <w:left w:val="nil"/>
            <w:bottom w:val="single" w:sz="4" w:space="0" w:color="4F81BD"/>
            <w:right w:val="nil"/>
          </w:tcBorders>
        </w:tcPr>
        <w:p w:rsidR="00146836" w:rsidRPr="005A3173" w:rsidRDefault="001468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46836" w:rsidRPr="005A3173" w:rsidRDefault="001468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46836" w:rsidRPr="005A3173" w:rsidRDefault="00146836" w:rsidP="005A3173">
          <w:pPr>
            <w:pStyle w:val="Header"/>
            <w:spacing w:line="276" w:lineRule="auto"/>
            <w:rPr>
              <w:rFonts w:ascii="Calibri" w:eastAsia="MS Gothic" w:hAnsi="Calibri"/>
              <w:b/>
              <w:bCs/>
              <w:color w:val="4F81BD"/>
            </w:rPr>
          </w:pPr>
        </w:p>
      </w:tc>
    </w:tr>
    <w:tr w:rsidR="00146836" w:rsidTr="005A3173">
      <w:trPr>
        <w:trHeight w:val="150"/>
      </w:trPr>
      <w:tc>
        <w:tcPr>
          <w:tcW w:w="2250" w:type="pct"/>
          <w:tcBorders>
            <w:top w:val="single" w:sz="4" w:space="0" w:color="4F81BD"/>
            <w:left w:val="nil"/>
            <w:bottom w:val="nil"/>
            <w:right w:val="nil"/>
          </w:tcBorders>
        </w:tcPr>
        <w:p w:rsidR="00146836" w:rsidRPr="005A3173" w:rsidRDefault="00146836" w:rsidP="005A3173">
          <w:pPr>
            <w:pStyle w:val="Header"/>
            <w:spacing w:line="276" w:lineRule="auto"/>
            <w:rPr>
              <w:rFonts w:ascii="Calibri" w:eastAsia="MS Gothic" w:hAnsi="Calibri"/>
              <w:b/>
              <w:bCs/>
              <w:color w:val="4F81BD"/>
            </w:rPr>
          </w:pPr>
        </w:p>
      </w:tc>
      <w:tc>
        <w:tcPr>
          <w:tcW w:w="0" w:type="auto"/>
          <w:vMerge/>
          <w:vAlign w:val="center"/>
          <w:hideMark/>
        </w:tcPr>
        <w:p w:rsidR="00146836" w:rsidRPr="005A3173" w:rsidRDefault="001468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46836" w:rsidRPr="005A3173" w:rsidRDefault="0014683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4078"/>
      <w:gridCol w:w="1252"/>
      <w:gridCol w:w="4078"/>
    </w:tblGrid>
    <w:tr w:rsidR="00146836" w:rsidTr="005A3173">
      <w:trPr>
        <w:trHeight w:val="151"/>
      </w:trPr>
      <w:tc>
        <w:tcPr>
          <w:tcW w:w="2250" w:type="pct"/>
          <w:tcBorders>
            <w:top w:val="nil"/>
            <w:left w:val="nil"/>
            <w:bottom w:val="single" w:sz="4" w:space="0" w:color="4F81BD"/>
            <w:right w:val="nil"/>
          </w:tcBorders>
        </w:tcPr>
        <w:p w:rsidR="00146836" w:rsidRPr="005A3173" w:rsidRDefault="001468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46836" w:rsidRPr="005A3173" w:rsidRDefault="001468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46836" w:rsidRPr="005A3173" w:rsidRDefault="00146836" w:rsidP="005A3173">
          <w:pPr>
            <w:pStyle w:val="Header"/>
            <w:spacing w:line="276" w:lineRule="auto"/>
            <w:rPr>
              <w:rFonts w:ascii="Calibri" w:eastAsia="MS Gothic" w:hAnsi="Calibri"/>
              <w:b/>
              <w:bCs/>
              <w:color w:val="4F81BD"/>
            </w:rPr>
          </w:pPr>
        </w:p>
      </w:tc>
    </w:tr>
    <w:tr w:rsidR="00146836" w:rsidTr="005A3173">
      <w:trPr>
        <w:trHeight w:val="150"/>
      </w:trPr>
      <w:tc>
        <w:tcPr>
          <w:tcW w:w="2250" w:type="pct"/>
          <w:tcBorders>
            <w:top w:val="single" w:sz="4" w:space="0" w:color="4F81BD"/>
            <w:left w:val="nil"/>
            <w:bottom w:val="nil"/>
            <w:right w:val="nil"/>
          </w:tcBorders>
        </w:tcPr>
        <w:p w:rsidR="00146836" w:rsidRPr="005A3173" w:rsidRDefault="00146836" w:rsidP="005A3173">
          <w:pPr>
            <w:pStyle w:val="Header"/>
            <w:spacing w:line="276" w:lineRule="auto"/>
            <w:rPr>
              <w:rFonts w:ascii="Calibri" w:eastAsia="MS Gothic" w:hAnsi="Calibri"/>
              <w:b/>
              <w:bCs/>
              <w:color w:val="4F81BD"/>
            </w:rPr>
          </w:pPr>
        </w:p>
      </w:tc>
      <w:tc>
        <w:tcPr>
          <w:tcW w:w="0" w:type="auto"/>
          <w:vMerge/>
          <w:vAlign w:val="center"/>
          <w:hideMark/>
        </w:tcPr>
        <w:p w:rsidR="00146836" w:rsidRPr="005A3173" w:rsidRDefault="001468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46836" w:rsidRPr="005A3173" w:rsidRDefault="00146836" w:rsidP="005A3173">
          <w:pPr>
            <w:pStyle w:val="Header"/>
            <w:spacing w:line="276" w:lineRule="auto"/>
            <w:rPr>
              <w:rFonts w:ascii="Calibri" w:eastAsia="MS Gothic" w:hAnsi="Calibri"/>
              <w:b/>
              <w:bCs/>
              <w:color w:val="4F81BD"/>
            </w:rPr>
          </w:pPr>
        </w:p>
      </w:tc>
    </w:tr>
  </w:tbl>
  <w:p w:rsidR="00146836" w:rsidRPr="007C0F57" w:rsidRDefault="0014683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46836" w:rsidRPr="007C0F57" w:rsidRDefault="00146836" w:rsidP="007C0F57">
    <w:pPr>
      <w:pStyle w:val="Footer"/>
      <w:jc w:val="center"/>
      <w:rPr>
        <w:b/>
        <w:i/>
        <w:sz w:val="20"/>
        <w:szCs w:val="20"/>
      </w:rPr>
    </w:pPr>
    <w:r w:rsidRPr="007C0F57">
      <w:rPr>
        <w:b/>
        <w:i/>
        <w:sz w:val="20"/>
        <w:szCs w:val="20"/>
      </w:rPr>
      <w:t>Commercial-in-Confidence</w:t>
    </w:r>
  </w:p>
  <w:p w:rsidR="00146836" w:rsidRDefault="001468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6D8" w:rsidRDefault="00E916D8">
      <w:r>
        <w:separator/>
      </w:r>
    </w:p>
    <w:p w:rsidR="00E916D8" w:rsidRDefault="00E916D8"/>
  </w:footnote>
  <w:footnote w:type="continuationSeparator" w:id="0">
    <w:p w:rsidR="00E916D8" w:rsidRDefault="00E916D8">
      <w:r>
        <w:continuationSeparator/>
      </w:r>
    </w:p>
    <w:p w:rsidR="00E916D8" w:rsidRDefault="00E916D8"/>
  </w:footnote>
  <w:footnote w:id="1">
    <w:p w:rsidR="00146836" w:rsidRDefault="00146836" w:rsidP="00404CDB">
      <w:pPr>
        <w:pStyle w:val="FootnoteText"/>
      </w:pPr>
      <w:r>
        <w:rPr>
          <w:rStyle w:val="FootnoteReference"/>
        </w:rPr>
        <w:footnoteRef/>
      </w:r>
      <w:r>
        <w:t xml:space="preserve"> BH4 in the Management of PKU; </w:t>
      </w:r>
      <w:r w:rsidRPr="002677F3">
        <w:t>Australasian Society for Inborn Errors of Metabolism</w:t>
      </w:r>
      <w:r>
        <w:t xml:space="preserve"> (</w:t>
      </w:r>
      <w:r w:rsidRPr="00404CDB">
        <w:t>ASIEM</w:t>
      </w:r>
      <w:r>
        <w:t>)</w:t>
      </w:r>
      <w:r w:rsidRPr="00404CDB">
        <w:t xml:space="preserve"> Clinical Guideline Document</w:t>
      </w:r>
      <w:r>
        <w:t>. Accessed at:</w:t>
      </w:r>
      <w:r w:rsidRPr="002677F3">
        <w:t xml:space="preserve"> https://www.hgsa.org.au/documents/item/8655</w:t>
      </w:r>
    </w:p>
  </w:footnote>
  <w:footnote w:id="2">
    <w:p w:rsidR="00146836" w:rsidRDefault="00146836">
      <w:pPr>
        <w:pStyle w:val="FootnoteText"/>
      </w:pPr>
      <w:r>
        <w:rPr>
          <w:rStyle w:val="FootnoteReference"/>
        </w:rPr>
        <w:footnoteRef/>
      </w:r>
      <w:r>
        <w:t xml:space="preserve"> </w:t>
      </w:r>
      <w:r w:rsidRPr="00F57302">
        <w:t>Australasian consensus guidelines for the management of phenylketonuria (PKU) throughout the lifespan</w:t>
      </w:r>
      <w:r>
        <w:t>. Accessed at:</w:t>
      </w:r>
      <w:r w:rsidRPr="00F57302">
        <w:t xml:space="preserve"> https://www.hgsa.org.au/documents/item/8664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121"/>
      <w:gridCol w:w="1252"/>
      <w:gridCol w:w="3916"/>
    </w:tblGrid>
    <w:tr w:rsidR="00146836" w:rsidRPr="008E0D90" w:rsidTr="00A06225">
      <w:trPr>
        <w:trHeight w:val="151"/>
      </w:trPr>
      <w:tc>
        <w:tcPr>
          <w:tcW w:w="2389" w:type="pct"/>
          <w:tcBorders>
            <w:top w:val="nil"/>
            <w:left w:val="nil"/>
            <w:bottom w:val="single" w:sz="4" w:space="0" w:color="4F81BD"/>
            <w:right w:val="nil"/>
          </w:tcBorders>
        </w:tcPr>
        <w:p w:rsidR="00146836" w:rsidRPr="00A06225" w:rsidRDefault="00146836">
          <w:pPr>
            <w:pStyle w:val="Header"/>
            <w:spacing w:line="276" w:lineRule="auto"/>
            <w:rPr>
              <w:rFonts w:ascii="Cambria" w:eastAsia="MS Gothic" w:hAnsi="Cambria"/>
              <w:b/>
              <w:bCs/>
              <w:color w:val="4F81BD"/>
            </w:rPr>
          </w:pPr>
        </w:p>
      </w:tc>
      <w:tc>
        <w:tcPr>
          <w:tcW w:w="333" w:type="pct"/>
          <w:vMerge w:val="restart"/>
          <w:noWrap/>
          <w:vAlign w:val="center"/>
          <w:hideMark/>
        </w:tcPr>
        <w:p w:rsidR="00146836" w:rsidRPr="00A06225" w:rsidRDefault="0014683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46836" w:rsidRPr="00A06225" w:rsidRDefault="00146836">
          <w:pPr>
            <w:pStyle w:val="Header"/>
            <w:spacing w:line="276" w:lineRule="auto"/>
            <w:rPr>
              <w:rFonts w:ascii="Cambria" w:eastAsia="MS Gothic" w:hAnsi="Cambria"/>
              <w:b/>
              <w:bCs/>
              <w:color w:val="4F81BD"/>
            </w:rPr>
          </w:pPr>
        </w:p>
      </w:tc>
    </w:tr>
    <w:tr w:rsidR="00146836" w:rsidRPr="008E0D90" w:rsidTr="00A06225">
      <w:trPr>
        <w:trHeight w:val="150"/>
      </w:trPr>
      <w:tc>
        <w:tcPr>
          <w:tcW w:w="2389" w:type="pct"/>
          <w:tcBorders>
            <w:top w:val="single" w:sz="4" w:space="0" w:color="4F81BD"/>
            <w:left w:val="nil"/>
            <w:bottom w:val="nil"/>
            <w:right w:val="nil"/>
          </w:tcBorders>
        </w:tcPr>
        <w:p w:rsidR="00146836" w:rsidRPr="00A06225" w:rsidRDefault="00146836">
          <w:pPr>
            <w:pStyle w:val="Header"/>
            <w:spacing w:line="276" w:lineRule="auto"/>
            <w:rPr>
              <w:rFonts w:ascii="Cambria" w:eastAsia="MS Gothic" w:hAnsi="Cambria"/>
              <w:b/>
              <w:bCs/>
              <w:color w:val="4F81BD"/>
            </w:rPr>
          </w:pPr>
        </w:p>
      </w:tc>
      <w:tc>
        <w:tcPr>
          <w:tcW w:w="0" w:type="auto"/>
          <w:vMerge/>
          <w:vAlign w:val="center"/>
          <w:hideMark/>
        </w:tcPr>
        <w:p w:rsidR="00146836" w:rsidRPr="00A06225" w:rsidRDefault="00146836">
          <w:pPr>
            <w:rPr>
              <w:rFonts w:ascii="Cambria" w:hAnsi="Cambria"/>
              <w:color w:val="4F81BD"/>
              <w:sz w:val="22"/>
              <w:szCs w:val="22"/>
            </w:rPr>
          </w:pPr>
        </w:p>
      </w:tc>
      <w:tc>
        <w:tcPr>
          <w:tcW w:w="2278" w:type="pct"/>
          <w:tcBorders>
            <w:top w:val="single" w:sz="4" w:space="0" w:color="4F81BD"/>
            <w:left w:val="nil"/>
            <w:bottom w:val="nil"/>
            <w:right w:val="nil"/>
          </w:tcBorders>
        </w:tcPr>
        <w:p w:rsidR="00146836" w:rsidRPr="00A06225" w:rsidRDefault="00146836">
          <w:pPr>
            <w:pStyle w:val="Header"/>
            <w:spacing w:line="276" w:lineRule="auto"/>
            <w:rPr>
              <w:rFonts w:ascii="Cambria" w:eastAsia="MS Gothic" w:hAnsi="Cambria"/>
              <w:b/>
              <w:bCs/>
              <w:color w:val="4F81BD"/>
            </w:rPr>
          </w:pPr>
        </w:p>
      </w:tc>
    </w:tr>
  </w:tbl>
  <w:p w:rsidR="00146836" w:rsidRDefault="00146836">
    <w:pPr>
      <w:pStyle w:val="Header"/>
    </w:pPr>
  </w:p>
  <w:p w:rsidR="00146836" w:rsidRDefault="0014683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836" w:rsidRPr="00D74FBD" w:rsidRDefault="00146836" w:rsidP="00D74FBD">
    <w:pPr>
      <w:widowControl w:val="0"/>
      <w:jc w:val="center"/>
      <w:rPr>
        <w:rFonts w:ascii="Calibri" w:hAnsi="Calibri" w:cs="Arial"/>
        <w:i/>
        <w:snapToGrid w:val="0"/>
        <w:lang w:eastAsia="en-US"/>
      </w:rPr>
    </w:pPr>
    <w:r w:rsidRPr="00D74FBD">
      <w:rPr>
        <w:rFonts w:ascii="Calibri" w:hAnsi="Calibri" w:cs="Arial"/>
        <w:i/>
        <w:snapToGrid w:val="0"/>
        <w:lang w:eastAsia="en-US"/>
      </w:rPr>
      <w:t>Public Summary Document – November 2018 PBAC Meeting</w:t>
    </w:r>
  </w:p>
  <w:p w:rsidR="00146836" w:rsidRDefault="00146836"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74B" w:rsidRDefault="00EF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7BF66C8"/>
    <w:multiLevelType w:val="hybridMultilevel"/>
    <w:tmpl w:val="28801F62"/>
    <w:lvl w:ilvl="0" w:tplc="90CC553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F1A0DF8"/>
    <w:multiLevelType w:val="hybridMultilevel"/>
    <w:tmpl w:val="E10E6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2346A1E">
      <w:numFmt w:val="bullet"/>
      <w:lvlText w:val="-"/>
      <w:lvlJc w:val="left"/>
      <w:pPr>
        <w:ind w:left="2880" w:hanging="360"/>
      </w:pPr>
      <w:rPr>
        <w:rFonts w:ascii="Times New Roman" w:eastAsiaTheme="minorHAnsi" w:hAnsi="Times New Roman"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96E5F"/>
    <w:multiLevelType w:val="hybridMultilevel"/>
    <w:tmpl w:val="3C88AB90"/>
    <w:lvl w:ilvl="0" w:tplc="5CE05C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CE013F"/>
    <w:multiLevelType w:val="hybridMultilevel"/>
    <w:tmpl w:val="1F8E142E"/>
    <w:lvl w:ilvl="0" w:tplc="8B4EDA6C">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18F6F7B"/>
    <w:multiLevelType w:val="hybridMultilevel"/>
    <w:tmpl w:val="3C88AB90"/>
    <w:lvl w:ilvl="0" w:tplc="5CE05C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265E6"/>
    <w:multiLevelType w:val="hybridMultilevel"/>
    <w:tmpl w:val="28EEB52C"/>
    <w:lvl w:ilvl="0" w:tplc="6F966AAE">
      <w:start w:val="2"/>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3B2F53"/>
    <w:multiLevelType w:val="hybridMultilevel"/>
    <w:tmpl w:val="B900E270"/>
    <w:lvl w:ilvl="0" w:tplc="90CC553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D4F7366"/>
    <w:multiLevelType w:val="multilevel"/>
    <w:tmpl w:val="C182466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5948CB"/>
    <w:multiLevelType w:val="hybridMultilevel"/>
    <w:tmpl w:val="28801F62"/>
    <w:lvl w:ilvl="0" w:tplc="90CC553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74E367B"/>
    <w:multiLevelType w:val="hybridMultilevel"/>
    <w:tmpl w:val="91A6F6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84D033C"/>
    <w:multiLevelType w:val="multilevel"/>
    <w:tmpl w:val="AEEE77A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D26DC4"/>
    <w:multiLevelType w:val="hybridMultilevel"/>
    <w:tmpl w:val="3C88AB90"/>
    <w:lvl w:ilvl="0" w:tplc="5CE05C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0"/>
  </w:num>
  <w:num w:numId="3">
    <w:abstractNumId w:val="12"/>
  </w:num>
  <w:num w:numId="4">
    <w:abstractNumId w:val="4"/>
  </w:num>
  <w:num w:numId="5">
    <w:abstractNumId w:val="9"/>
  </w:num>
  <w:num w:numId="6">
    <w:abstractNumId w:val="6"/>
  </w:num>
  <w:num w:numId="7">
    <w:abstractNumId w:val="11"/>
  </w:num>
  <w:num w:numId="8">
    <w:abstractNumId w:val="7"/>
  </w:num>
  <w:num w:numId="9">
    <w:abstractNumId w:val="5"/>
  </w:num>
  <w:num w:numId="10">
    <w:abstractNumId w:val="10"/>
  </w:num>
  <w:num w:numId="11">
    <w:abstractNumId w:val="3"/>
  </w:num>
  <w:num w:numId="12">
    <w:abstractNumId w:val="8"/>
  </w:num>
  <w:num w:numId="13">
    <w:abstractNumId w:val="13"/>
  </w:num>
  <w:num w:numId="14">
    <w:abstractNumId w:val="1"/>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067"/>
    <w:rsid w:val="000025AD"/>
    <w:rsid w:val="0000335D"/>
    <w:rsid w:val="00003929"/>
    <w:rsid w:val="00003DA1"/>
    <w:rsid w:val="000064D3"/>
    <w:rsid w:val="0001084A"/>
    <w:rsid w:val="00013B74"/>
    <w:rsid w:val="00020460"/>
    <w:rsid w:val="00021E42"/>
    <w:rsid w:val="000226EF"/>
    <w:rsid w:val="00022CDC"/>
    <w:rsid w:val="0002464A"/>
    <w:rsid w:val="00024C22"/>
    <w:rsid w:val="000278FD"/>
    <w:rsid w:val="0003106B"/>
    <w:rsid w:val="0003767E"/>
    <w:rsid w:val="0004161D"/>
    <w:rsid w:val="000421A1"/>
    <w:rsid w:val="0004240E"/>
    <w:rsid w:val="00042B3C"/>
    <w:rsid w:val="00045E26"/>
    <w:rsid w:val="000514B5"/>
    <w:rsid w:val="00054AEB"/>
    <w:rsid w:val="0005627E"/>
    <w:rsid w:val="00057745"/>
    <w:rsid w:val="00060E64"/>
    <w:rsid w:val="00065D35"/>
    <w:rsid w:val="000660CF"/>
    <w:rsid w:val="00066755"/>
    <w:rsid w:val="00067119"/>
    <w:rsid w:val="00071131"/>
    <w:rsid w:val="000770D0"/>
    <w:rsid w:val="00077143"/>
    <w:rsid w:val="00080EE3"/>
    <w:rsid w:val="00082169"/>
    <w:rsid w:val="000867FD"/>
    <w:rsid w:val="00090491"/>
    <w:rsid w:val="0009092D"/>
    <w:rsid w:val="00090D58"/>
    <w:rsid w:val="000923F3"/>
    <w:rsid w:val="000969AD"/>
    <w:rsid w:val="000A3113"/>
    <w:rsid w:val="000A601D"/>
    <w:rsid w:val="000B27DA"/>
    <w:rsid w:val="000B318A"/>
    <w:rsid w:val="000B558D"/>
    <w:rsid w:val="000B64F3"/>
    <w:rsid w:val="000B719F"/>
    <w:rsid w:val="000B7F06"/>
    <w:rsid w:val="000C1367"/>
    <w:rsid w:val="000C6996"/>
    <w:rsid w:val="000C7DB6"/>
    <w:rsid w:val="000C7F3D"/>
    <w:rsid w:val="000D23BA"/>
    <w:rsid w:val="000D36D2"/>
    <w:rsid w:val="000E01AF"/>
    <w:rsid w:val="000E681E"/>
    <w:rsid w:val="000F0003"/>
    <w:rsid w:val="000F0E1C"/>
    <w:rsid w:val="000F37D4"/>
    <w:rsid w:val="000F4E6A"/>
    <w:rsid w:val="00101601"/>
    <w:rsid w:val="001027B1"/>
    <w:rsid w:val="0010339C"/>
    <w:rsid w:val="00104227"/>
    <w:rsid w:val="001107BF"/>
    <w:rsid w:val="00113A2B"/>
    <w:rsid w:val="001174C7"/>
    <w:rsid w:val="0012290C"/>
    <w:rsid w:val="0012417C"/>
    <w:rsid w:val="001242F8"/>
    <w:rsid w:val="00127794"/>
    <w:rsid w:val="001330E2"/>
    <w:rsid w:val="00142395"/>
    <w:rsid w:val="00142714"/>
    <w:rsid w:val="001452ED"/>
    <w:rsid w:val="00146836"/>
    <w:rsid w:val="00161B5A"/>
    <w:rsid w:val="00163329"/>
    <w:rsid w:val="00163CCF"/>
    <w:rsid w:val="00164623"/>
    <w:rsid w:val="00165B64"/>
    <w:rsid w:val="0017189D"/>
    <w:rsid w:val="00172ADA"/>
    <w:rsid w:val="00180713"/>
    <w:rsid w:val="00182916"/>
    <w:rsid w:val="001830CE"/>
    <w:rsid w:val="00183C04"/>
    <w:rsid w:val="001844BA"/>
    <w:rsid w:val="0018633F"/>
    <w:rsid w:val="0018643B"/>
    <w:rsid w:val="0019060E"/>
    <w:rsid w:val="00192665"/>
    <w:rsid w:val="00194806"/>
    <w:rsid w:val="001948D7"/>
    <w:rsid w:val="00196307"/>
    <w:rsid w:val="001A0805"/>
    <w:rsid w:val="001A1FCB"/>
    <w:rsid w:val="001A33EA"/>
    <w:rsid w:val="001A377C"/>
    <w:rsid w:val="001A5780"/>
    <w:rsid w:val="001A57FD"/>
    <w:rsid w:val="001A7E21"/>
    <w:rsid w:val="001B017F"/>
    <w:rsid w:val="001B2BBC"/>
    <w:rsid w:val="001B5129"/>
    <w:rsid w:val="001B65DB"/>
    <w:rsid w:val="001C055E"/>
    <w:rsid w:val="001C1195"/>
    <w:rsid w:val="001D211F"/>
    <w:rsid w:val="001D4070"/>
    <w:rsid w:val="001D4186"/>
    <w:rsid w:val="001D434B"/>
    <w:rsid w:val="001D5ECA"/>
    <w:rsid w:val="001E123B"/>
    <w:rsid w:val="001E15F4"/>
    <w:rsid w:val="001E2D3D"/>
    <w:rsid w:val="001E2D9D"/>
    <w:rsid w:val="001E35F8"/>
    <w:rsid w:val="001E69D5"/>
    <w:rsid w:val="001F1850"/>
    <w:rsid w:val="001F3C28"/>
    <w:rsid w:val="001F4CE7"/>
    <w:rsid w:val="001F60BE"/>
    <w:rsid w:val="001F63A4"/>
    <w:rsid w:val="00201AD9"/>
    <w:rsid w:val="00202107"/>
    <w:rsid w:val="00203798"/>
    <w:rsid w:val="00203FAC"/>
    <w:rsid w:val="0020688C"/>
    <w:rsid w:val="00210CAF"/>
    <w:rsid w:val="00213CFB"/>
    <w:rsid w:val="00217BE1"/>
    <w:rsid w:val="00224675"/>
    <w:rsid w:val="00225386"/>
    <w:rsid w:val="00233A06"/>
    <w:rsid w:val="00233D60"/>
    <w:rsid w:val="002341B9"/>
    <w:rsid w:val="002373D9"/>
    <w:rsid w:val="00240E62"/>
    <w:rsid w:val="00251A8C"/>
    <w:rsid w:val="00260BF3"/>
    <w:rsid w:val="0026130A"/>
    <w:rsid w:val="0026531C"/>
    <w:rsid w:val="002677F3"/>
    <w:rsid w:val="00271BA1"/>
    <w:rsid w:val="00275763"/>
    <w:rsid w:val="002762FA"/>
    <w:rsid w:val="00277505"/>
    <w:rsid w:val="00284962"/>
    <w:rsid w:val="00286A50"/>
    <w:rsid w:val="002906AE"/>
    <w:rsid w:val="00291939"/>
    <w:rsid w:val="00292F24"/>
    <w:rsid w:val="0029458F"/>
    <w:rsid w:val="00294ED2"/>
    <w:rsid w:val="0029528E"/>
    <w:rsid w:val="00297EBA"/>
    <w:rsid w:val="002A104C"/>
    <w:rsid w:val="002A2B5B"/>
    <w:rsid w:val="002A4960"/>
    <w:rsid w:val="002A58BB"/>
    <w:rsid w:val="002A76DC"/>
    <w:rsid w:val="002A7B6E"/>
    <w:rsid w:val="002B0839"/>
    <w:rsid w:val="002B1AE6"/>
    <w:rsid w:val="002B2DE8"/>
    <w:rsid w:val="002B30F8"/>
    <w:rsid w:val="002B5596"/>
    <w:rsid w:val="002B63E1"/>
    <w:rsid w:val="002C1625"/>
    <w:rsid w:val="002C212F"/>
    <w:rsid w:val="002C4569"/>
    <w:rsid w:val="002C71D6"/>
    <w:rsid w:val="002D1AA8"/>
    <w:rsid w:val="002D268B"/>
    <w:rsid w:val="002D4543"/>
    <w:rsid w:val="002D5B02"/>
    <w:rsid w:val="002D5B20"/>
    <w:rsid w:val="002E1536"/>
    <w:rsid w:val="002E3153"/>
    <w:rsid w:val="002E6694"/>
    <w:rsid w:val="002E72CA"/>
    <w:rsid w:val="002E7B44"/>
    <w:rsid w:val="002F1DE6"/>
    <w:rsid w:val="002F5449"/>
    <w:rsid w:val="002F600D"/>
    <w:rsid w:val="00300983"/>
    <w:rsid w:val="00300AD6"/>
    <w:rsid w:val="00300BDF"/>
    <w:rsid w:val="00313F39"/>
    <w:rsid w:val="00314487"/>
    <w:rsid w:val="00315875"/>
    <w:rsid w:val="00317C6C"/>
    <w:rsid w:val="00325026"/>
    <w:rsid w:val="00326E79"/>
    <w:rsid w:val="00326FBD"/>
    <w:rsid w:val="0033518A"/>
    <w:rsid w:val="003367EF"/>
    <w:rsid w:val="00340C58"/>
    <w:rsid w:val="00341AE4"/>
    <w:rsid w:val="003514CC"/>
    <w:rsid w:val="00352BA1"/>
    <w:rsid w:val="00354BD6"/>
    <w:rsid w:val="003571BD"/>
    <w:rsid w:val="00357313"/>
    <w:rsid w:val="00360707"/>
    <w:rsid w:val="003618BF"/>
    <w:rsid w:val="00361D8E"/>
    <w:rsid w:val="00362311"/>
    <w:rsid w:val="00367253"/>
    <w:rsid w:val="00367564"/>
    <w:rsid w:val="00373CF7"/>
    <w:rsid w:val="00376811"/>
    <w:rsid w:val="0037778D"/>
    <w:rsid w:val="0038314C"/>
    <w:rsid w:val="003872CF"/>
    <w:rsid w:val="003923D8"/>
    <w:rsid w:val="00393B52"/>
    <w:rsid w:val="00393D7E"/>
    <w:rsid w:val="0039758A"/>
    <w:rsid w:val="0039782C"/>
    <w:rsid w:val="003A3F98"/>
    <w:rsid w:val="003A5B4A"/>
    <w:rsid w:val="003B0B28"/>
    <w:rsid w:val="003B23C5"/>
    <w:rsid w:val="003B2A75"/>
    <w:rsid w:val="003B6124"/>
    <w:rsid w:val="003C0A93"/>
    <w:rsid w:val="003C2FB5"/>
    <w:rsid w:val="003C4162"/>
    <w:rsid w:val="003C682A"/>
    <w:rsid w:val="003D2CAF"/>
    <w:rsid w:val="003D487F"/>
    <w:rsid w:val="003D4AC4"/>
    <w:rsid w:val="003D63B7"/>
    <w:rsid w:val="003D7DD7"/>
    <w:rsid w:val="003E468B"/>
    <w:rsid w:val="003E6379"/>
    <w:rsid w:val="003E72B1"/>
    <w:rsid w:val="003F3228"/>
    <w:rsid w:val="003F5C8C"/>
    <w:rsid w:val="003F643A"/>
    <w:rsid w:val="00404CDB"/>
    <w:rsid w:val="00415E57"/>
    <w:rsid w:val="004252EC"/>
    <w:rsid w:val="0043499E"/>
    <w:rsid w:val="00440CCD"/>
    <w:rsid w:val="004465BD"/>
    <w:rsid w:val="00454217"/>
    <w:rsid w:val="00464DE9"/>
    <w:rsid w:val="00465BC2"/>
    <w:rsid w:val="00466ADA"/>
    <w:rsid w:val="004672B2"/>
    <w:rsid w:val="00467CB9"/>
    <w:rsid w:val="004714C3"/>
    <w:rsid w:val="0047191D"/>
    <w:rsid w:val="00473517"/>
    <w:rsid w:val="00473B63"/>
    <w:rsid w:val="00474DA6"/>
    <w:rsid w:val="00476245"/>
    <w:rsid w:val="00483035"/>
    <w:rsid w:val="00483749"/>
    <w:rsid w:val="00484DEA"/>
    <w:rsid w:val="00485940"/>
    <w:rsid w:val="00487596"/>
    <w:rsid w:val="00490AFB"/>
    <w:rsid w:val="00492563"/>
    <w:rsid w:val="00497A27"/>
    <w:rsid w:val="004A1ED9"/>
    <w:rsid w:val="004A2484"/>
    <w:rsid w:val="004A4ABC"/>
    <w:rsid w:val="004A5A85"/>
    <w:rsid w:val="004A71D1"/>
    <w:rsid w:val="004B1A4B"/>
    <w:rsid w:val="004B2E63"/>
    <w:rsid w:val="004B483F"/>
    <w:rsid w:val="004B5640"/>
    <w:rsid w:val="004B62B6"/>
    <w:rsid w:val="004C1BD7"/>
    <w:rsid w:val="004C25EC"/>
    <w:rsid w:val="004C2AD1"/>
    <w:rsid w:val="004C31FE"/>
    <w:rsid w:val="004C691D"/>
    <w:rsid w:val="004C6C07"/>
    <w:rsid w:val="004D03B9"/>
    <w:rsid w:val="004D0474"/>
    <w:rsid w:val="004D17BC"/>
    <w:rsid w:val="004D3AD6"/>
    <w:rsid w:val="004D65AF"/>
    <w:rsid w:val="004D7E2D"/>
    <w:rsid w:val="004E692D"/>
    <w:rsid w:val="004E75C0"/>
    <w:rsid w:val="004F6325"/>
    <w:rsid w:val="00501554"/>
    <w:rsid w:val="00501B74"/>
    <w:rsid w:val="005056B1"/>
    <w:rsid w:val="00507239"/>
    <w:rsid w:val="00507AEE"/>
    <w:rsid w:val="00507F77"/>
    <w:rsid w:val="00514CD7"/>
    <w:rsid w:val="005249B4"/>
    <w:rsid w:val="0053011D"/>
    <w:rsid w:val="005319B2"/>
    <w:rsid w:val="00532402"/>
    <w:rsid w:val="00532C74"/>
    <w:rsid w:val="00534E2E"/>
    <w:rsid w:val="005359AF"/>
    <w:rsid w:val="00540E5B"/>
    <w:rsid w:val="00544552"/>
    <w:rsid w:val="005463F7"/>
    <w:rsid w:val="005545F9"/>
    <w:rsid w:val="005570C2"/>
    <w:rsid w:val="00562224"/>
    <w:rsid w:val="0056227A"/>
    <w:rsid w:val="005737B4"/>
    <w:rsid w:val="00577C4D"/>
    <w:rsid w:val="00580ABD"/>
    <w:rsid w:val="00581932"/>
    <w:rsid w:val="00593869"/>
    <w:rsid w:val="005963BB"/>
    <w:rsid w:val="00596A1A"/>
    <w:rsid w:val="005A3173"/>
    <w:rsid w:val="005A3223"/>
    <w:rsid w:val="005A3DA3"/>
    <w:rsid w:val="005A52C4"/>
    <w:rsid w:val="005A798A"/>
    <w:rsid w:val="005B0A45"/>
    <w:rsid w:val="005B4892"/>
    <w:rsid w:val="005B5155"/>
    <w:rsid w:val="005B60E5"/>
    <w:rsid w:val="005B724C"/>
    <w:rsid w:val="005C707E"/>
    <w:rsid w:val="005D03AB"/>
    <w:rsid w:val="005D1B7F"/>
    <w:rsid w:val="005D5017"/>
    <w:rsid w:val="005D546C"/>
    <w:rsid w:val="005D5DC5"/>
    <w:rsid w:val="005E1333"/>
    <w:rsid w:val="005E41C5"/>
    <w:rsid w:val="005E49E6"/>
    <w:rsid w:val="005E5299"/>
    <w:rsid w:val="005F625B"/>
    <w:rsid w:val="005F7852"/>
    <w:rsid w:val="00601A91"/>
    <w:rsid w:val="00601D84"/>
    <w:rsid w:val="00602BA3"/>
    <w:rsid w:val="00605D6C"/>
    <w:rsid w:val="00611DB9"/>
    <w:rsid w:val="006129FD"/>
    <w:rsid w:val="00612E34"/>
    <w:rsid w:val="00614159"/>
    <w:rsid w:val="00614C09"/>
    <w:rsid w:val="00617C00"/>
    <w:rsid w:val="006234EB"/>
    <w:rsid w:val="006263BF"/>
    <w:rsid w:val="0062748A"/>
    <w:rsid w:val="00630A2C"/>
    <w:rsid w:val="0063682E"/>
    <w:rsid w:val="006411D1"/>
    <w:rsid w:val="006436CD"/>
    <w:rsid w:val="00651169"/>
    <w:rsid w:val="00653D69"/>
    <w:rsid w:val="006553F5"/>
    <w:rsid w:val="006605D1"/>
    <w:rsid w:val="00660E10"/>
    <w:rsid w:val="00665662"/>
    <w:rsid w:val="006670BE"/>
    <w:rsid w:val="00670A76"/>
    <w:rsid w:val="006711AA"/>
    <w:rsid w:val="00672B57"/>
    <w:rsid w:val="00675622"/>
    <w:rsid w:val="00675EA7"/>
    <w:rsid w:val="0067747D"/>
    <w:rsid w:val="00681227"/>
    <w:rsid w:val="00682D4B"/>
    <w:rsid w:val="006904C1"/>
    <w:rsid w:val="006906DB"/>
    <w:rsid w:val="00691E6C"/>
    <w:rsid w:val="006946D6"/>
    <w:rsid w:val="006957EE"/>
    <w:rsid w:val="00696129"/>
    <w:rsid w:val="0069786D"/>
    <w:rsid w:val="00697CF2"/>
    <w:rsid w:val="00697DDB"/>
    <w:rsid w:val="006A12A5"/>
    <w:rsid w:val="006A64A1"/>
    <w:rsid w:val="006B0D94"/>
    <w:rsid w:val="006B25A3"/>
    <w:rsid w:val="006B26C9"/>
    <w:rsid w:val="006B30EE"/>
    <w:rsid w:val="006B485D"/>
    <w:rsid w:val="006B59BC"/>
    <w:rsid w:val="006B7571"/>
    <w:rsid w:val="006C3340"/>
    <w:rsid w:val="006C3905"/>
    <w:rsid w:val="006C6D65"/>
    <w:rsid w:val="006C708E"/>
    <w:rsid w:val="006D14E7"/>
    <w:rsid w:val="006D2111"/>
    <w:rsid w:val="006D6493"/>
    <w:rsid w:val="006D6EC7"/>
    <w:rsid w:val="006D70DB"/>
    <w:rsid w:val="006E0020"/>
    <w:rsid w:val="006E0B48"/>
    <w:rsid w:val="006E7F8E"/>
    <w:rsid w:val="006F5125"/>
    <w:rsid w:val="007016D7"/>
    <w:rsid w:val="00702B6F"/>
    <w:rsid w:val="00703310"/>
    <w:rsid w:val="00703A12"/>
    <w:rsid w:val="00712E99"/>
    <w:rsid w:val="00712F9B"/>
    <w:rsid w:val="0071340B"/>
    <w:rsid w:val="007174BB"/>
    <w:rsid w:val="0072025D"/>
    <w:rsid w:val="00721F08"/>
    <w:rsid w:val="00722158"/>
    <w:rsid w:val="00722514"/>
    <w:rsid w:val="00723C1F"/>
    <w:rsid w:val="007303F6"/>
    <w:rsid w:val="007353D3"/>
    <w:rsid w:val="00735D0D"/>
    <w:rsid w:val="007446D8"/>
    <w:rsid w:val="007466A9"/>
    <w:rsid w:val="00751E58"/>
    <w:rsid w:val="00752DAE"/>
    <w:rsid w:val="00753D7E"/>
    <w:rsid w:val="0075509C"/>
    <w:rsid w:val="0076420C"/>
    <w:rsid w:val="00774327"/>
    <w:rsid w:val="00774B9D"/>
    <w:rsid w:val="007753C2"/>
    <w:rsid w:val="00775D7A"/>
    <w:rsid w:val="007769E2"/>
    <w:rsid w:val="00776CBF"/>
    <w:rsid w:val="007838B8"/>
    <w:rsid w:val="0079059C"/>
    <w:rsid w:val="00790F71"/>
    <w:rsid w:val="007976D3"/>
    <w:rsid w:val="007A01A8"/>
    <w:rsid w:val="007A0BB0"/>
    <w:rsid w:val="007B5215"/>
    <w:rsid w:val="007C0F57"/>
    <w:rsid w:val="007C14B1"/>
    <w:rsid w:val="007C2D62"/>
    <w:rsid w:val="007C3447"/>
    <w:rsid w:val="007C40B6"/>
    <w:rsid w:val="007C6945"/>
    <w:rsid w:val="007C729F"/>
    <w:rsid w:val="007C738F"/>
    <w:rsid w:val="007C7BB8"/>
    <w:rsid w:val="007D2C37"/>
    <w:rsid w:val="007E1D28"/>
    <w:rsid w:val="007E5FCA"/>
    <w:rsid w:val="007E6142"/>
    <w:rsid w:val="007E6533"/>
    <w:rsid w:val="007E6BAE"/>
    <w:rsid w:val="007F2641"/>
    <w:rsid w:val="007F492D"/>
    <w:rsid w:val="007F7C36"/>
    <w:rsid w:val="00805AD0"/>
    <w:rsid w:val="00806796"/>
    <w:rsid w:val="008067C8"/>
    <w:rsid w:val="008074F7"/>
    <w:rsid w:val="00814818"/>
    <w:rsid w:val="008151D6"/>
    <w:rsid w:val="00826F6D"/>
    <w:rsid w:val="008306F3"/>
    <w:rsid w:val="0083168E"/>
    <w:rsid w:val="00835A10"/>
    <w:rsid w:val="00856DDD"/>
    <w:rsid w:val="00857374"/>
    <w:rsid w:val="00857DB4"/>
    <w:rsid w:val="00860D5A"/>
    <w:rsid w:val="008622BF"/>
    <w:rsid w:val="00862CAE"/>
    <w:rsid w:val="00863E68"/>
    <w:rsid w:val="00864DD5"/>
    <w:rsid w:val="00865AE7"/>
    <w:rsid w:val="00866891"/>
    <w:rsid w:val="00871272"/>
    <w:rsid w:val="00872C7A"/>
    <w:rsid w:val="00877D19"/>
    <w:rsid w:val="00882085"/>
    <w:rsid w:val="00883188"/>
    <w:rsid w:val="008835C5"/>
    <w:rsid w:val="00885A7F"/>
    <w:rsid w:val="008940AC"/>
    <w:rsid w:val="00896423"/>
    <w:rsid w:val="00896DAD"/>
    <w:rsid w:val="00897BBA"/>
    <w:rsid w:val="00897D58"/>
    <w:rsid w:val="00897F22"/>
    <w:rsid w:val="008A1393"/>
    <w:rsid w:val="008A1956"/>
    <w:rsid w:val="008A1CC2"/>
    <w:rsid w:val="008A1DF5"/>
    <w:rsid w:val="008A31FA"/>
    <w:rsid w:val="008A4937"/>
    <w:rsid w:val="008A50F1"/>
    <w:rsid w:val="008B0C23"/>
    <w:rsid w:val="008B497A"/>
    <w:rsid w:val="008B6804"/>
    <w:rsid w:val="008C1402"/>
    <w:rsid w:val="008C6DE8"/>
    <w:rsid w:val="008C7DFD"/>
    <w:rsid w:val="008D1B5C"/>
    <w:rsid w:val="008D2812"/>
    <w:rsid w:val="008D2F37"/>
    <w:rsid w:val="008D3C82"/>
    <w:rsid w:val="008D447E"/>
    <w:rsid w:val="008D7A41"/>
    <w:rsid w:val="008E340B"/>
    <w:rsid w:val="008E3680"/>
    <w:rsid w:val="008E5870"/>
    <w:rsid w:val="008F032A"/>
    <w:rsid w:val="008F1434"/>
    <w:rsid w:val="008F1E2B"/>
    <w:rsid w:val="008F4DC6"/>
    <w:rsid w:val="008F58EA"/>
    <w:rsid w:val="008F5DA6"/>
    <w:rsid w:val="008F71D0"/>
    <w:rsid w:val="008F7355"/>
    <w:rsid w:val="00901164"/>
    <w:rsid w:val="00903483"/>
    <w:rsid w:val="00905B6F"/>
    <w:rsid w:val="009067B7"/>
    <w:rsid w:val="00912B70"/>
    <w:rsid w:val="00913A6D"/>
    <w:rsid w:val="009144A4"/>
    <w:rsid w:val="00914D0D"/>
    <w:rsid w:val="00921591"/>
    <w:rsid w:val="0092191F"/>
    <w:rsid w:val="009300CD"/>
    <w:rsid w:val="00930937"/>
    <w:rsid w:val="009330CE"/>
    <w:rsid w:val="00933E6C"/>
    <w:rsid w:val="0093716F"/>
    <w:rsid w:val="00937958"/>
    <w:rsid w:val="00937AEA"/>
    <w:rsid w:val="00942160"/>
    <w:rsid w:val="009512AA"/>
    <w:rsid w:val="0095146F"/>
    <w:rsid w:val="00951FA1"/>
    <w:rsid w:val="00954B57"/>
    <w:rsid w:val="00954D40"/>
    <w:rsid w:val="00956B49"/>
    <w:rsid w:val="00957F20"/>
    <w:rsid w:val="009602C5"/>
    <w:rsid w:val="00962223"/>
    <w:rsid w:val="00962CF9"/>
    <w:rsid w:val="009640B5"/>
    <w:rsid w:val="00966D0D"/>
    <w:rsid w:val="00970E71"/>
    <w:rsid w:val="00971BC2"/>
    <w:rsid w:val="00974C21"/>
    <w:rsid w:val="00974C4B"/>
    <w:rsid w:val="00974FC1"/>
    <w:rsid w:val="009750B6"/>
    <w:rsid w:val="0097568C"/>
    <w:rsid w:val="00976FA2"/>
    <w:rsid w:val="009811EE"/>
    <w:rsid w:val="00982EE3"/>
    <w:rsid w:val="00986818"/>
    <w:rsid w:val="0099766D"/>
    <w:rsid w:val="009A3DC0"/>
    <w:rsid w:val="009A4727"/>
    <w:rsid w:val="009A5828"/>
    <w:rsid w:val="009A6932"/>
    <w:rsid w:val="009B0F67"/>
    <w:rsid w:val="009B3E41"/>
    <w:rsid w:val="009B730D"/>
    <w:rsid w:val="009B7C0F"/>
    <w:rsid w:val="009C1888"/>
    <w:rsid w:val="009C2011"/>
    <w:rsid w:val="009C2DD2"/>
    <w:rsid w:val="009C5820"/>
    <w:rsid w:val="009C703C"/>
    <w:rsid w:val="009D3CAA"/>
    <w:rsid w:val="009E2D13"/>
    <w:rsid w:val="009E40E1"/>
    <w:rsid w:val="009E48DD"/>
    <w:rsid w:val="009F169A"/>
    <w:rsid w:val="009F33A7"/>
    <w:rsid w:val="009F4E46"/>
    <w:rsid w:val="009F5B65"/>
    <w:rsid w:val="009F5F2E"/>
    <w:rsid w:val="009F6B81"/>
    <w:rsid w:val="00A055E4"/>
    <w:rsid w:val="00A06225"/>
    <w:rsid w:val="00A110CD"/>
    <w:rsid w:val="00A128E6"/>
    <w:rsid w:val="00A272DF"/>
    <w:rsid w:val="00A309CC"/>
    <w:rsid w:val="00A32014"/>
    <w:rsid w:val="00A340F1"/>
    <w:rsid w:val="00A34E6C"/>
    <w:rsid w:val="00A37C8D"/>
    <w:rsid w:val="00A37CCE"/>
    <w:rsid w:val="00A403F7"/>
    <w:rsid w:val="00A418E6"/>
    <w:rsid w:val="00A449B1"/>
    <w:rsid w:val="00A51E0C"/>
    <w:rsid w:val="00A5273B"/>
    <w:rsid w:val="00A53A9D"/>
    <w:rsid w:val="00A553B6"/>
    <w:rsid w:val="00A55FEE"/>
    <w:rsid w:val="00A60712"/>
    <w:rsid w:val="00A60C26"/>
    <w:rsid w:val="00A62C1A"/>
    <w:rsid w:val="00A63CF5"/>
    <w:rsid w:val="00A6426D"/>
    <w:rsid w:val="00A6493C"/>
    <w:rsid w:val="00A665C1"/>
    <w:rsid w:val="00A70622"/>
    <w:rsid w:val="00A70715"/>
    <w:rsid w:val="00A70977"/>
    <w:rsid w:val="00A75D37"/>
    <w:rsid w:val="00A7751F"/>
    <w:rsid w:val="00A77613"/>
    <w:rsid w:val="00A77DAA"/>
    <w:rsid w:val="00A800BC"/>
    <w:rsid w:val="00A804F3"/>
    <w:rsid w:val="00A80765"/>
    <w:rsid w:val="00A8390C"/>
    <w:rsid w:val="00A907BD"/>
    <w:rsid w:val="00A928BD"/>
    <w:rsid w:val="00A92CF4"/>
    <w:rsid w:val="00A93F29"/>
    <w:rsid w:val="00A96027"/>
    <w:rsid w:val="00A9642F"/>
    <w:rsid w:val="00AA4D1C"/>
    <w:rsid w:val="00AA780C"/>
    <w:rsid w:val="00AB22D4"/>
    <w:rsid w:val="00AB3114"/>
    <w:rsid w:val="00AB6900"/>
    <w:rsid w:val="00AC193C"/>
    <w:rsid w:val="00AC5206"/>
    <w:rsid w:val="00AC7222"/>
    <w:rsid w:val="00AD7983"/>
    <w:rsid w:val="00AE11A5"/>
    <w:rsid w:val="00AE13E2"/>
    <w:rsid w:val="00AE13ED"/>
    <w:rsid w:val="00AE22D3"/>
    <w:rsid w:val="00AF42A7"/>
    <w:rsid w:val="00AF62DF"/>
    <w:rsid w:val="00AF68CC"/>
    <w:rsid w:val="00B01EF8"/>
    <w:rsid w:val="00B03A99"/>
    <w:rsid w:val="00B1059E"/>
    <w:rsid w:val="00B12258"/>
    <w:rsid w:val="00B176C8"/>
    <w:rsid w:val="00B205AA"/>
    <w:rsid w:val="00B206CC"/>
    <w:rsid w:val="00B22E84"/>
    <w:rsid w:val="00B25F75"/>
    <w:rsid w:val="00B26B3F"/>
    <w:rsid w:val="00B26FD8"/>
    <w:rsid w:val="00B304B1"/>
    <w:rsid w:val="00B326EF"/>
    <w:rsid w:val="00B326F2"/>
    <w:rsid w:val="00B358AA"/>
    <w:rsid w:val="00B4225B"/>
    <w:rsid w:val="00B42548"/>
    <w:rsid w:val="00B42818"/>
    <w:rsid w:val="00B43E90"/>
    <w:rsid w:val="00B467DC"/>
    <w:rsid w:val="00B5121B"/>
    <w:rsid w:val="00B529A2"/>
    <w:rsid w:val="00B52D1A"/>
    <w:rsid w:val="00B54936"/>
    <w:rsid w:val="00B55F9D"/>
    <w:rsid w:val="00B5606B"/>
    <w:rsid w:val="00B56118"/>
    <w:rsid w:val="00B568F7"/>
    <w:rsid w:val="00B57649"/>
    <w:rsid w:val="00B610D8"/>
    <w:rsid w:val="00B66CD2"/>
    <w:rsid w:val="00B6773F"/>
    <w:rsid w:val="00B67E1E"/>
    <w:rsid w:val="00B801BA"/>
    <w:rsid w:val="00B84B6D"/>
    <w:rsid w:val="00B84B9C"/>
    <w:rsid w:val="00B84D5C"/>
    <w:rsid w:val="00B851F5"/>
    <w:rsid w:val="00B912A3"/>
    <w:rsid w:val="00B92AB8"/>
    <w:rsid w:val="00B9456E"/>
    <w:rsid w:val="00BA1BA1"/>
    <w:rsid w:val="00BA3EEC"/>
    <w:rsid w:val="00BA7C36"/>
    <w:rsid w:val="00BB1CCD"/>
    <w:rsid w:val="00BB467B"/>
    <w:rsid w:val="00BB5895"/>
    <w:rsid w:val="00BB69F5"/>
    <w:rsid w:val="00BB7996"/>
    <w:rsid w:val="00BB7EC3"/>
    <w:rsid w:val="00BC021F"/>
    <w:rsid w:val="00BC46B7"/>
    <w:rsid w:val="00BC4B9A"/>
    <w:rsid w:val="00BC76A4"/>
    <w:rsid w:val="00BD23AB"/>
    <w:rsid w:val="00BD399C"/>
    <w:rsid w:val="00BD784C"/>
    <w:rsid w:val="00BE7E80"/>
    <w:rsid w:val="00BF2D3F"/>
    <w:rsid w:val="00BF4CB6"/>
    <w:rsid w:val="00C00DA7"/>
    <w:rsid w:val="00C02AD0"/>
    <w:rsid w:val="00C02E4A"/>
    <w:rsid w:val="00C062EC"/>
    <w:rsid w:val="00C06EEE"/>
    <w:rsid w:val="00C12768"/>
    <w:rsid w:val="00C15719"/>
    <w:rsid w:val="00C16E13"/>
    <w:rsid w:val="00C1761C"/>
    <w:rsid w:val="00C20600"/>
    <w:rsid w:val="00C23577"/>
    <w:rsid w:val="00C27B58"/>
    <w:rsid w:val="00C31FFA"/>
    <w:rsid w:val="00C3448C"/>
    <w:rsid w:val="00C35996"/>
    <w:rsid w:val="00C4120C"/>
    <w:rsid w:val="00C4214A"/>
    <w:rsid w:val="00C43E95"/>
    <w:rsid w:val="00C4547B"/>
    <w:rsid w:val="00C4747E"/>
    <w:rsid w:val="00C5086B"/>
    <w:rsid w:val="00C51458"/>
    <w:rsid w:val="00C5342C"/>
    <w:rsid w:val="00C55E5D"/>
    <w:rsid w:val="00C603D4"/>
    <w:rsid w:val="00C61793"/>
    <w:rsid w:val="00C6256A"/>
    <w:rsid w:val="00C664A6"/>
    <w:rsid w:val="00C771E4"/>
    <w:rsid w:val="00C77462"/>
    <w:rsid w:val="00C77891"/>
    <w:rsid w:val="00C80005"/>
    <w:rsid w:val="00C82398"/>
    <w:rsid w:val="00C828A6"/>
    <w:rsid w:val="00C848EE"/>
    <w:rsid w:val="00C91449"/>
    <w:rsid w:val="00C92D10"/>
    <w:rsid w:val="00C95632"/>
    <w:rsid w:val="00CA0613"/>
    <w:rsid w:val="00CA0CC4"/>
    <w:rsid w:val="00CA23F0"/>
    <w:rsid w:val="00CA315A"/>
    <w:rsid w:val="00CA6301"/>
    <w:rsid w:val="00CA6D5E"/>
    <w:rsid w:val="00CB40BF"/>
    <w:rsid w:val="00CB5EAD"/>
    <w:rsid w:val="00CC0F8E"/>
    <w:rsid w:val="00CC188B"/>
    <w:rsid w:val="00CC4688"/>
    <w:rsid w:val="00CC5768"/>
    <w:rsid w:val="00CC761F"/>
    <w:rsid w:val="00CC7D81"/>
    <w:rsid w:val="00CD766F"/>
    <w:rsid w:val="00CE10C4"/>
    <w:rsid w:val="00CE27B5"/>
    <w:rsid w:val="00CE50E7"/>
    <w:rsid w:val="00CE768A"/>
    <w:rsid w:val="00CF07F4"/>
    <w:rsid w:val="00CF0BA0"/>
    <w:rsid w:val="00CF5C7C"/>
    <w:rsid w:val="00D00560"/>
    <w:rsid w:val="00D0161D"/>
    <w:rsid w:val="00D0321E"/>
    <w:rsid w:val="00D0641F"/>
    <w:rsid w:val="00D06430"/>
    <w:rsid w:val="00D066BE"/>
    <w:rsid w:val="00D115F4"/>
    <w:rsid w:val="00D1325D"/>
    <w:rsid w:val="00D1455A"/>
    <w:rsid w:val="00D15A4A"/>
    <w:rsid w:val="00D239D3"/>
    <w:rsid w:val="00D26BAB"/>
    <w:rsid w:val="00D26E4D"/>
    <w:rsid w:val="00D31150"/>
    <w:rsid w:val="00D3138B"/>
    <w:rsid w:val="00D3280C"/>
    <w:rsid w:val="00D3406A"/>
    <w:rsid w:val="00D34E61"/>
    <w:rsid w:val="00D37271"/>
    <w:rsid w:val="00D4232A"/>
    <w:rsid w:val="00D4572C"/>
    <w:rsid w:val="00D45BE5"/>
    <w:rsid w:val="00D45F4A"/>
    <w:rsid w:val="00D469B2"/>
    <w:rsid w:val="00D52BDE"/>
    <w:rsid w:val="00D61B10"/>
    <w:rsid w:val="00D6224D"/>
    <w:rsid w:val="00D63A41"/>
    <w:rsid w:val="00D66AEE"/>
    <w:rsid w:val="00D741EB"/>
    <w:rsid w:val="00D74FBD"/>
    <w:rsid w:val="00D805E9"/>
    <w:rsid w:val="00D830CA"/>
    <w:rsid w:val="00D83605"/>
    <w:rsid w:val="00D84934"/>
    <w:rsid w:val="00D91271"/>
    <w:rsid w:val="00D919F5"/>
    <w:rsid w:val="00D934EF"/>
    <w:rsid w:val="00D94F03"/>
    <w:rsid w:val="00D95278"/>
    <w:rsid w:val="00D9744F"/>
    <w:rsid w:val="00D97994"/>
    <w:rsid w:val="00DA2392"/>
    <w:rsid w:val="00DA24FB"/>
    <w:rsid w:val="00DA2CB5"/>
    <w:rsid w:val="00DA4051"/>
    <w:rsid w:val="00DA4218"/>
    <w:rsid w:val="00DA4BAC"/>
    <w:rsid w:val="00DA5F19"/>
    <w:rsid w:val="00DA66FD"/>
    <w:rsid w:val="00DB1362"/>
    <w:rsid w:val="00DB3CEF"/>
    <w:rsid w:val="00DC0F56"/>
    <w:rsid w:val="00DC242E"/>
    <w:rsid w:val="00DC4FB6"/>
    <w:rsid w:val="00DC5AB5"/>
    <w:rsid w:val="00DD0199"/>
    <w:rsid w:val="00DD0C1B"/>
    <w:rsid w:val="00DD1739"/>
    <w:rsid w:val="00DD74D8"/>
    <w:rsid w:val="00DD7A97"/>
    <w:rsid w:val="00DE0F1D"/>
    <w:rsid w:val="00DE1259"/>
    <w:rsid w:val="00DE1E04"/>
    <w:rsid w:val="00DE38B8"/>
    <w:rsid w:val="00DE6D27"/>
    <w:rsid w:val="00DF217D"/>
    <w:rsid w:val="00DF26A7"/>
    <w:rsid w:val="00E02483"/>
    <w:rsid w:val="00E0598D"/>
    <w:rsid w:val="00E131F1"/>
    <w:rsid w:val="00E15627"/>
    <w:rsid w:val="00E164B3"/>
    <w:rsid w:val="00E16910"/>
    <w:rsid w:val="00E23065"/>
    <w:rsid w:val="00E231DA"/>
    <w:rsid w:val="00E27E20"/>
    <w:rsid w:val="00E30C0D"/>
    <w:rsid w:val="00E322D8"/>
    <w:rsid w:val="00E3376E"/>
    <w:rsid w:val="00E34193"/>
    <w:rsid w:val="00E34CCE"/>
    <w:rsid w:val="00E35150"/>
    <w:rsid w:val="00E35753"/>
    <w:rsid w:val="00E41F3D"/>
    <w:rsid w:val="00E42BDB"/>
    <w:rsid w:val="00E43105"/>
    <w:rsid w:val="00E5014D"/>
    <w:rsid w:val="00E5306D"/>
    <w:rsid w:val="00E57EEB"/>
    <w:rsid w:val="00E60B62"/>
    <w:rsid w:val="00E61148"/>
    <w:rsid w:val="00E61AF1"/>
    <w:rsid w:val="00E62D94"/>
    <w:rsid w:val="00E65E54"/>
    <w:rsid w:val="00E7033F"/>
    <w:rsid w:val="00E709DA"/>
    <w:rsid w:val="00E74D87"/>
    <w:rsid w:val="00E76AC0"/>
    <w:rsid w:val="00E80155"/>
    <w:rsid w:val="00E80878"/>
    <w:rsid w:val="00E814E3"/>
    <w:rsid w:val="00E81F28"/>
    <w:rsid w:val="00E8355B"/>
    <w:rsid w:val="00E838F6"/>
    <w:rsid w:val="00E848C0"/>
    <w:rsid w:val="00E916D8"/>
    <w:rsid w:val="00E91B96"/>
    <w:rsid w:val="00E94106"/>
    <w:rsid w:val="00E941A1"/>
    <w:rsid w:val="00E95CE3"/>
    <w:rsid w:val="00EA095C"/>
    <w:rsid w:val="00EA2825"/>
    <w:rsid w:val="00EB0B63"/>
    <w:rsid w:val="00EB1936"/>
    <w:rsid w:val="00EB2349"/>
    <w:rsid w:val="00EB3617"/>
    <w:rsid w:val="00EB3FD7"/>
    <w:rsid w:val="00EB5088"/>
    <w:rsid w:val="00EC2165"/>
    <w:rsid w:val="00EC4FE5"/>
    <w:rsid w:val="00EC5BA0"/>
    <w:rsid w:val="00ED1644"/>
    <w:rsid w:val="00ED2593"/>
    <w:rsid w:val="00ED2F4F"/>
    <w:rsid w:val="00ED7D9C"/>
    <w:rsid w:val="00EE2677"/>
    <w:rsid w:val="00EE3D1C"/>
    <w:rsid w:val="00EE5F14"/>
    <w:rsid w:val="00EE5F9C"/>
    <w:rsid w:val="00EE7B68"/>
    <w:rsid w:val="00EF2836"/>
    <w:rsid w:val="00EF44A0"/>
    <w:rsid w:val="00EF4F95"/>
    <w:rsid w:val="00EF4FED"/>
    <w:rsid w:val="00EF574B"/>
    <w:rsid w:val="00EF7337"/>
    <w:rsid w:val="00F03C3C"/>
    <w:rsid w:val="00F050BD"/>
    <w:rsid w:val="00F05657"/>
    <w:rsid w:val="00F1364E"/>
    <w:rsid w:val="00F15356"/>
    <w:rsid w:val="00F16225"/>
    <w:rsid w:val="00F163AF"/>
    <w:rsid w:val="00F17E31"/>
    <w:rsid w:val="00F20BB4"/>
    <w:rsid w:val="00F22460"/>
    <w:rsid w:val="00F25578"/>
    <w:rsid w:val="00F258E5"/>
    <w:rsid w:val="00F300BC"/>
    <w:rsid w:val="00F3334E"/>
    <w:rsid w:val="00F35BDB"/>
    <w:rsid w:val="00F36353"/>
    <w:rsid w:val="00F36CCB"/>
    <w:rsid w:val="00F374E5"/>
    <w:rsid w:val="00F418E6"/>
    <w:rsid w:val="00F43AF2"/>
    <w:rsid w:val="00F4439D"/>
    <w:rsid w:val="00F47FA4"/>
    <w:rsid w:val="00F50EC4"/>
    <w:rsid w:val="00F514B4"/>
    <w:rsid w:val="00F550CF"/>
    <w:rsid w:val="00F55377"/>
    <w:rsid w:val="00F560EB"/>
    <w:rsid w:val="00F57302"/>
    <w:rsid w:val="00F57A6D"/>
    <w:rsid w:val="00F638CC"/>
    <w:rsid w:val="00F64388"/>
    <w:rsid w:val="00F64CC1"/>
    <w:rsid w:val="00F671E2"/>
    <w:rsid w:val="00F7019E"/>
    <w:rsid w:val="00F72317"/>
    <w:rsid w:val="00F73C59"/>
    <w:rsid w:val="00F7779E"/>
    <w:rsid w:val="00F80475"/>
    <w:rsid w:val="00F806E6"/>
    <w:rsid w:val="00F816E9"/>
    <w:rsid w:val="00F819BF"/>
    <w:rsid w:val="00F8247A"/>
    <w:rsid w:val="00F85A86"/>
    <w:rsid w:val="00F93F10"/>
    <w:rsid w:val="00F9629A"/>
    <w:rsid w:val="00F97EFC"/>
    <w:rsid w:val="00FA3D17"/>
    <w:rsid w:val="00FA4993"/>
    <w:rsid w:val="00FA556C"/>
    <w:rsid w:val="00FA5883"/>
    <w:rsid w:val="00FA6055"/>
    <w:rsid w:val="00FB322F"/>
    <w:rsid w:val="00FB442F"/>
    <w:rsid w:val="00FB62A5"/>
    <w:rsid w:val="00FC1326"/>
    <w:rsid w:val="00FC1929"/>
    <w:rsid w:val="00FC3C66"/>
    <w:rsid w:val="00FC5B46"/>
    <w:rsid w:val="00FD3072"/>
    <w:rsid w:val="00FD4D91"/>
    <w:rsid w:val="00FD6D8E"/>
    <w:rsid w:val="00FE0D2F"/>
    <w:rsid w:val="00FE0E94"/>
    <w:rsid w:val="00FE1E8D"/>
    <w:rsid w:val="00FE3D9D"/>
    <w:rsid w:val="00FE485A"/>
    <w:rsid w:val="00FE5808"/>
    <w:rsid w:val="00FF00BD"/>
    <w:rsid w:val="00FF16C8"/>
    <w:rsid w:val="00FF1ED4"/>
    <w:rsid w:val="00FF2801"/>
    <w:rsid w:val="00FF4C97"/>
    <w:rsid w:val="00FF6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11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06"/>
    <w:rPr>
      <w:sz w:val="24"/>
      <w:szCs w:val="24"/>
    </w:rPr>
  </w:style>
  <w:style w:type="paragraph" w:styleId="Heading1">
    <w:name w:val="heading 1"/>
    <w:basedOn w:val="ListParagraph"/>
    <w:next w:val="Normal"/>
    <w:link w:val="Heading1Char"/>
    <w:uiPriority w:val="1"/>
    <w:qFormat/>
    <w:rsid w:val="00C603D4"/>
    <w:pPr>
      <w:ind w:left="0"/>
      <w:outlineLvl w:val="0"/>
    </w:pPr>
    <w:rPr>
      <w:b/>
    </w:rPr>
  </w:style>
  <w:style w:type="paragraph" w:styleId="Heading2">
    <w:name w:val="heading 2"/>
    <w:basedOn w:val="Normal"/>
    <w:next w:val="Normal"/>
    <w:link w:val="Heading2Char"/>
    <w:uiPriority w:val="1"/>
    <w:qFormat/>
    <w:rsid w:val="00A9642F"/>
    <w:pPr>
      <w:keepNext/>
      <w:spacing w:before="120" w:after="120"/>
      <w:outlineLvl w:val="1"/>
    </w:pPr>
    <w:rPr>
      <w:rFonts w:asciiTheme="minorHAnsi" w:hAnsiTheme="minorHAnsi" w:cstheme="minorHAnsi"/>
      <w:b/>
      <w:i/>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D4D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814818"/>
    <w:pPr>
      <w:numPr>
        <w:numId w:val="4"/>
      </w:numPr>
      <w:spacing w:after="120"/>
      <w:contextualSpacing/>
      <w:jc w:val="both"/>
    </w:pPr>
    <w:rPr>
      <w:rFonts w:asciiTheme="minorHAnsi" w:eastAsiaTheme="minorHAnsi" w:hAnsiTheme="minorHAnsi" w:cstheme="minorBidi"/>
      <w:szCs w:val="22"/>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rsid w:val="00814818"/>
    <w:rPr>
      <w:rFonts w:asciiTheme="minorHAnsi" w:eastAsiaTheme="minorHAnsi" w:hAnsiTheme="minorHAnsi" w:cstheme="minorBidi"/>
      <w:sz w:val="24"/>
      <w:szCs w:val="22"/>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Theme="minorHAnsi" w:eastAsiaTheme="minorHAnsi" w:hAnsiTheme="minorHAnsi" w:cstheme="minorBidi"/>
      <w:b/>
      <w:sz w:val="24"/>
      <w:szCs w:val="22"/>
      <w:lang w:eastAsia="en-US"/>
    </w:rPr>
  </w:style>
  <w:style w:type="character" w:customStyle="1" w:styleId="Heading2Char">
    <w:name w:val="Heading 2 Char"/>
    <w:basedOn w:val="DefaultParagraphFont"/>
    <w:link w:val="Heading2"/>
    <w:uiPriority w:val="1"/>
    <w:rsid w:val="00A9642F"/>
    <w:rPr>
      <w:rFonts w:asciiTheme="minorHAnsi" w:hAnsiTheme="minorHAnsi" w:cstheme="minorHAnsi"/>
      <w:b/>
      <w:i/>
      <w:sz w:val="28"/>
      <w:szCs w:val="28"/>
    </w:rPr>
  </w:style>
  <w:style w:type="table" w:customStyle="1" w:styleId="TableGrid1">
    <w:name w:val="Table Grid1"/>
    <w:basedOn w:val="TableNormal"/>
    <w:next w:val="TableGrid"/>
    <w:uiPriority w:val="59"/>
    <w:rsid w:val="00C344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23577"/>
    <w:pPr>
      <w:spacing w:after="120"/>
    </w:pPr>
  </w:style>
  <w:style w:type="character" w:customStyle="1" w:styleId="BodyTextChar">
    <w:name w:val="Body Text Char"/>
    <w:basedOn w:val="DefaultParagraphFont"/>
    <w:link w:val="BodyText"/>
    <w:rsid w:val="00C23577"/>
    <w:rPr>
      <w:sz w:val="24"/>
      <w:szCs w:val="24"/>
    </w:rPr>
  </w:style>
  <w:style w:type="table" w:customStyle="1" w:styleId="Summarybox1">
    <w:name w:val="Summary box1"/>
    <w:basedOn w:val="TableNormal"/>
    <w:next w:val="TableGrid"/>
    <w:uiPriority w:val="59"/>
    <w:rsid w:val="00A70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A3EEC"/>
    <w:pPr>
      <w:widowControl w:val="0"/>
      <w:jc w:val="both"/>
    </w:pPr>
    <w:rPr>
      <w:rFonts w:ascii="Calibri" w:hAnsi="Calibri" w:cs="Arial"/>
      <w:snapToGrid w:val="0"/>
      <w:sz w:val="20"/>
      <w:szCs w:val="20"/>
      <w:lang w:eastAsia="en-US"/>
    </w:rPr>
  </w:style>
  <w:style w:type="character" w:customStyle="1" w:styleId="FootnoteTextChar">
    <w:name w:val="Footnote Text Char"/>
    <w:basedOn w:val="DefaultParagraphFont"/>
    <w:link w:val="FootnoteText"/>
    <w:uiPriority w:val="99"/>
    <w:rsid w:val="00BA3EEC"/>
    <w:rPr>
      <w:rFonts w:ascii="Calibri" w:hAnsi="Calibri" w:cs="Arial"/>
      <w:snapToGrid w:val="0"/>
      <w:lang w:eastAsia="en-US"/>
    </w:rPr>
  </w:style>
  <w:style w:type="character" w:styleId="FootnoteReference">
    <w:name w:val="footnote reference"/>
    <w:basedOn w:val="DefaultParagraphFont"/>
    <w:unhideWhenUsed/>
    <w:rsid w:val="00BA3EEC"/>
    <w:rPr>
      <w:vertAlign w:val="superscript"/>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nhideWhenUsed/>
    <w:qFormat/>
    <w:rsid w:val="00B67E1E"/>
    <w:pPr>
      <w:spacing w:line="360" w:lineRule="auto"/>
      <w:jc w:val="both"/>
    </w:pPr>
    <w:rPr>
      <w:rFonts w:ascii="Calibri" w:eastAsiaTheme="minorHAnsi" w:hAnsi="Calibri" w:cstheme="minorBidi"/>
      <w:b/>
      <w:bCs/>
      <w:sz w:val="22"/>
      <w:szCs w:val="18"/>
      <w:lang w:eastAsia="en-US"/>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rsid w:val="00B67E1E"/>
    <w:rPr>
      <w:rFonts w:ascii="Calibri" w:eastAsiaTheme="minorHAnsi" w:hAnsi="Calibri" w:cstheme="minorBidi"/>
      <w:b/>
      <w:bCs/>
      <w:sz w:val="22"/>
      <w:szCs w:val="18"/>
      <w:lang w:eastAsia="en-US"/>
    </w:rPr>
  </w:style>
  <w:style w:type="table" w:customStyle="1" w:styleId="Summarybox8">
    <w:name w:val="Summary box8"/>
    <w:basedOn w:val="TableNormal"/>
    <w:next w:val="TableGrid"/>
    <w:uiPriority w:val="59"/>
    <w:rsid w:val="00612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uiPriority w:val="2"/>
    <w:rsid w:val="00E35753"/>
    <w:rPr>
      <w:rFonts w:ascii="Arial" w:hAnsi="Arial"/>
      <w:lang w:eastAsia="en-US"/>
    </w:rPr>
  </w:style>
  <w:style w:type="character" w:customStyle="1" w:styleId="Heading4Char">
    <w:name w:val="Heading 4 Char"/>
    <w:basedOn w:val="DefaultParagraphFont"/>
    <w:link w:val="Heading4"/>
    <w:semiHidden/>
    <w:rsid w:val="00FD4D91"/>
    <w:rPr>
      <w:rFonts w:asciiTheme="majorHAnsi" w:eastAsiaTheme="majorEastAsia" w:hAnsiTheme="majorHAnsi" w:cstheme="majorBidi"/>
      <w:b/>
      <w:bCs/>
      <w:i/>
      <w:iCs/>
      <w:color w:val="4F81BD" w:themeColor="accent1"/>
      <w:sz w:val="24"/>
      <w:szCs w:val="24"/>
    </w:rPr>
  </w:style>
  <w:style w:type="paragraph" w:customStyle="1" w:styleId="Bulletpoints">
    <w:name w:val="Bullet points"/>
    <w:basedOn w:val="ListParagraph"/>
    <w:qFormat/>
    <w:rsid w:val="001D4070"/>
    <w:pPr>
      <w:widowControl w:val="0"/>
      <w:numPr>
        <w:numId w:val="6"/>
      </w:numPr>
      <w:tabs>
        <w:tab w:val="num" w:pos="360"/>
      </w:tabs>
      <w:spacing w:after="0"/>
      <w:ind w:firstLine="0"/>
      <w:contextualSpacing w:val="0"/>
    </w:pPr>
    <w:rPr>
      <w:rFonts w:ascii="Calibri" w:eastAsia="Times New Roman" w:hAnsi="Calibri" w:cs="Arial"/>
      <w:snapToGrid w:val="0"/>
      <w:szCs w:val="24"/>
    </w:rPr>
  </w:style>
  <w:style w:type="paragraph" w:styleId="Revision">
    <w:name w:val="Revision"/>
    <w:hidden/>
    <w:uiPriority w:val="71"/>
    <w:rsid w:val="00EE2677"/>
    <w:rPr>
      <w:sz w:val="24"/>
      <w:szCs w:val="24"/>
    </w:rPr>
  </w:style>
  <w:style w:type="character" w:styleId="PlaceholderText">
    <w:name w:val="Placeholder Text"/>
    <w:basedOn w:val="DefaultParagraphFont"/>
    <w:uiPriority w:val="99"/>
    <w:unhideWhenUsed/>
    <w:rsid w:val="00102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4704">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7217593">
      <w:bodyDiv w:val="1"/>
      <w:marLeft w:val="0"/>
      <w:marRight w:val="0"/>
      <w:marTop w:val="0"/>
      <w:marBottom w:val="0"/>
      <w:divBdr>
        <w:top w:val="none" w:sz="0" w:space="0" w:color="auto"/>
        <w:left w:val="none" w:sz="0" w:space="0" w:color="auto"/>
        <w:bottom w:val="none" w:sz="0" w:space="0" w:color="auto"/>
        <w:right w:val="none" w:sz="0" w:space="0" w:color="auto"/>
      </w:divBdr>
    </w:div>
    <w:div w:id="91321484">
      <w:bodyDiv w:val="1"/>
      <w:marLeft w:val="0"/>
      <w:marRight w:val="0"/>
      <w:marTop w:val="0"/>
      <w:marBottom w:val="0"/>
      <w:divBdr>
        <w:top w:val="none" w:sz="0" w:space="0" w:color="auto"/>
        <w:left w:val="none" w:sz="0" w:space="0" w:color="auto"/>
        <w:bottom w:val="none" w:sz="0" w:space="0" w:color="auto"/>
        <w:right w:val="none" w:sz="0" w:space="0" w:color="auto"/>
      </w:divBdr>
    </w:div>
    <w:div w:id="289944781">
      <w:bodyDiv w:val="1"/>
      <w:marLeft w:val="0"/>
      <w:marRight w:val="0"/>
      <w:marTop w:val="0"/>
      <w:marBottom w:val="0"/>
      <w:divBdr>
        <w:top w:val="none" w:sz="0" w:space="0" w:color="auto"/>
        <w:left w:val="none" w:sz="0" w:space="0" w:color="auto"/>
        <w:bottom w:val="none" w:sz="0" w:space="0" w:color="auto"/>
        <w:right w:val="none" w:sz="0" w:space="0" w:color="auto"/>
      </w:divBdr>
    </w:div>
    <w:div w:id="338966163">
      <w:bodyDiv w:val="1"/>
      <w:marLeft w:val="0"/>
      <w:marRight w:val="0"/>
      <w:marTop w:val="0"/>
      <w:marBottom w:val="0"/>
      <w:divBdr>
        <w:top w:val="none" w:sz="0" w:space="0" w:color="auto"/>
        <w:left w:val="none" w:sz="0" w:space="0" w:color="auto"/>
        <w:bottom w:val="none" w:sz="0" w:space="0" w:color="auto"/>
        <w:right w:val="none" w:sz="0" w:space="0" w:color="auto"/>
      </w:divBdr>
    </w:div>
    <w:div w:id="480736926">
      <w:bodyDiv w:val="1"/>
      <w:marLeft w:val="0"/>
      <w:marRight w:val="0"/>
      <w:marTop w:val="0"/>
      <w:marBottom w:val="0"/>
      <w:divBdr>
        <w:top w:val="none" w:sz="0" w:space="0" w:color="auto"/>
        <w:left w:val="none" w:sz="0" w:space="0" w:color="auto"/>
        <w:bottom w:val="none" w:sz="0" w:space="0" w:color="auto"/>
        <w:right w:val="none" w:sz="0" w:space="0" w:color="auto"/>
      </w:divBdr>
    </w:div>
    <w:div w:id="552887814">
      <w:bodyDiv w:val="1"/>
      <w:marLeft w:val="0"/>
      <w:marRight w:val="0"/>
      <w:marTop w:val="0"/>
      <w:marBottom w:val="0"/>
      <w:divBdr>
        <w:top w:val="none" w:sz="0" w:space="0" w:color="auto"/>
        <w:left w:val="none" w:sz="0" w:space="0" w:color="auto"/>
        <w:bottom w:val="none" w:sz="0" w:space="0" w:color="auto"/>
        <w:right w:val="none" w:sz="0" w:space="0" w:color="auto"/>
      </w:divBdr>
    </w:div>
    <w:div w:id="58302927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0559947">
      <w:bodyDiv w:val="1"/>
      <w:marLeft w:val="0"/>
      <w:marRight w:val="0"/>
      <w:marTop w:val="0"/>
      <w:marBottom w:val="0"/>
      <w:divBdr>
        <w:top w:val="none" w:sz="0" w:space="0" w:color="auto"/>
        <w:left w:val="none" w:sz="0" w:space="0" w:color="auto"/>
        <w:bottom w:val="none" w:sz="0" w:space="0" w:color="auto"/>
        <w:right w:val="none" w:sz="0" w:space="0" w:color="auto"/>
      </w:divBdr>
    </w:div>
    <w:div w:id="954095483">
      <w:bodyDiv w:val="1"/>
      <w:marLeft w:val="0"/>
      <w:marRight w:val="0"/>
      <w:marTop w:val="0"/>
      <w:marBottom w:val="0"/>
      <w:divBdr>
        <w:top w:val="none" w:sz="0" w:space="0" w:color="auto"/>
        <w:left w:val="none" w:sz="0" w:space="0" w:color="auto"/>
        <w:bottom w:val="none" w:sz="0" w:space="0" w:color="auto"/>
        <w:right w:val="none" w:sz="0" w:space="0" w:color="auto"/>
      </w:divBdr>
    </w:div>
    <w:div w:id="1134562692">
      <w:bodyDiv w:val="1"/>
      <w:marLeft w:val="0"/>
      <w:marRight w:val="0"/>
      <w:marTop w:val="0"/>
      <w:marBottom w:val="0"/>
      <w:divBdr>
        <w:top w:val="none" w:sz="0" w:space="0" w:color="auto"/>
        <w:left w:val="none" w:sz="0" w:space="0" w:color="auto"/>
        <w:bottom w:val="none" w:sz="0" w:space="0" w:color="auto"/>
        <w:right w:val="none" w:sz="0" w:space="0" w:color="auto"/>
      </w:divBdr>
    </w:div>
    <w:div w:id="1199393664">
      <w:bodyDiv w:val="1"/>
      <w:marLeft w:val="0"/>
      <w:marRight w:val="0"/>
      <w:marTop w:val="0"/>
      <w:marBottom w:val="0"/>
      <w:divBdr>
        <w:top w:val="none" w:sz="0" w:space="0" w:color="auto"/>
        <w:left w:val="none" w:sz="0" w:space="0" w:color="auto"/>
        <w:bottom w:val="none" w:sz="0" w:space="0" w:color="auto"/>
        <w:right w:val="none" w:sz="0" w:space="0" w:color="auto"/>
      </w:divBdr>
    </w:div>
    <w:div w:id="1317613511">
      <w:bodyDiv w:val="1"/>
      <w:marLeft w:val="0"/>
      <w:marRight w:val="0"/>
      <w:marTop w:val="0"/>
      <w:marBottom w:val="0"/>
      <w:divBdr>
        <w:top w:val="none" w:sz="0" w:space="0" w:color="auto"/>
        <w:left w:val="none" w:sz="0" w:space="0" w:color="auto"/>
        <w:bottom w:val="none" w:sz="0" w:space="0" w:color="auto"/>
        <w:right w:val="none" w:sz="0" w:space="0" w:color="auto"/>
      </w:divBdr>
    </w:div>
    <w:div w:id="1517309587">
      <w:bodyDiv w:val="1"/>
      <w:marLeft w:val="0"/>
      <w:marRight w:val="0"/>
      <w:marTop w:val="0"/>
      <w:marBottom w:val="0"/>
      <w:divBdr>
        <w:top w:val="none" w:sz="0" w:space="0" w:color="auto"/>
        <w:left w:val="none" w:sz="0" w:space="0" w:color="auto"/>
        <w:bottom w:val="none" w:sz="0" w:space="0" w:color="auto"/>
        <w:right w:val="none" w:sz="0" w:space="0" w:color="auto"/>
      </w:divBdr>
    </w:div>
    <w:div w:id="1555123678">
      <w:bodyDiv w:val="1"/>
      <w:marLeft w:val="0"/>
      <w:marRight w:val="0"/>
      <w:marTop w:val="0"/>
      <w:marBottom w:val="0"/>
      <w:divBdr>
        <w:top w:val="none" w:sz="0" w:space="0" w:color="auto"/>
        <w:left w:val="none" w:sz="0" w:space="0" w:color="auto"/>
        <w:bottom w:val="none" w:sz="0" w:space="0" w:color="auto"/>
        <w:right w:val="none" w:sz="0" w:space="0" w:color="auto"/>
      </w:divBdr>
    </w:div>
    <w:div w:id="161921752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1621286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64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F470-567E-483A-A7FD-CF6BA566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10598</Words>
  <Characters>63063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2019-02-20T05:43:00Z</dcterms:created>
  <dcterms:modified xsi:type="dcterms:W3CDTF">2019-02-25T04:55:00Z</dcterms:modified>
</cp:coreProperties>
</file>