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D45" w:rsidRDefault="000717B9" w:rsidP="009E1F17">
      <w:pPr>
        <w:rPr>
          <w:b/>
          <w:sz w:val="36"/>
          <w:szCs w:val="36"/>
        </w:rPr>
      </w:pPr>
      <w:bookmarkStart w:id="0" w:name="_Toc341702043"/>
      <w:bookmarkStart w:id="1" w:name="_Toc380742621"/>
      <w:bookmarkStart w:id="2" w:name="_Toc380746188"/>
      <w:bookmarkStart w:id="3" w:name="_Toc380746314"/>
      <w:bookmarkStart w:id="4" w:name="_Toc380746595"/>
      <w:bookmarkStart w:id="5" w:name="_Toc521916418"/>
      <w:r>
        <w:rPr>
          <w:b/>
          <w:sz w:val="36"/>
          <w:szCs w:val="36"/>
        </w:rPr>
        <w:t>6.09</w:t>
      </w:r>
      <w:r>
        <w:rPr>
          <w:b/>
          <w:sz w:val="36"/>
          <w:szCs w:val="36"/>
        </w:rPr>
        <w:tab/>
      </w:r>
      <w:r>
        <w:rPr>
          <w:b/>
          <w:sz w:val="36"/>
          <w:szCs w:val="36"/>
        </w:rPr>
        <w:tab/>
        <w:t xml:space="preserve">RIVAROXABAN, </w:t>
      </w:r>
    </w:p>
    <w:p w:rsidR="00636D45" w:rsidRDefault="000717B9" w:rsidP="00636D45">
      <w:pPr>
        <w:ind w:left="720" w:firstLine="720"/>
        <w:rPr>
          <w:b/>
          <w:sz w:val="36"/>
          <w:szCs w:val="36"/>
        </w:rPr>
      </w:pPr>
      <w:r>
        <w:rPr>
          <w:b/>
          <w:sz w:val="36"/>
          <w:szCs w:val="36"/>
        </w:rPr>
        <w:t>Tablet,</w:t>
      </w:r>
      <w:r w:rsidR="009E1F17" w:rsidRPr="009E1F17">
        <w:rPr>
          <w:b/>
          <w:sz w:val="36"/>
          <w:szCs w:val="36"/>
        </w:rPr>
        <w:t xml:space="preserve"> 10 mg, </w:t>
      </w:r>
    </w:p>
    <w:p w:rsidR="009E1F17" w:rsidRDefault="009E1F17" w:rsidP="00636D45">
      <w:pPr>
        <w:ind w:left="720" w:firstLine="720"/>
        <w:rPr>
          <w:b/>
          <w:sz w:val="36"/>
          <w:szCs w:val="36"/>
        </w:rPr>
      </w:pPr>
      <w:proofErr w:type="spellStart"/>
      <w:r w:rsidRPr="009E1F17">
        <w:rPr>
          <w:b/>
          <w:sz w:val="36"/>
          <w:szCs w:val="36"/>
        </w:rPr>
        <w:t>Xarelto</w:t>
      </w:r>
      <w:proofErr w:type="spellEnd"/>
      <w:r w:rsidRPr="009E1F17">
        <w:rPr>
          <w:rFonts w:cs="Calibri"/>
          <w:b/>
          <w:sz w:val="36"/>
          <w:szCs w:val="36"/>
        </w:rPr>
        <w:t>®</w:t>
      </w:r>
      <w:r w:rsidRPr="009E1F17">
        <w:rPr>
          <w:b/>
          <w:sz w:val="36"/>
          <w:szCs w:val="36"/>
        </w:rPr>
        <w:t xml:space="preserve">, </w:t>
      </w:r>
      <w:r w:rsidR="003D2E02">
        <w:rPr>
          <w:b/>
          <w:sz w:val="36"/>
          <w:szCs w:val="36"/>
        </w:rPr>
        <w:t>Bayer Australia Limited</w:t>
      </w:r>
    </w:p>
    <w:p w:rsidR="009E1F17" w:rsidRPr="005547F4" w:rsidRDefault="009E1F17" w:rsidP="009E1F17">
      <w:pPr>
        <w:rPr>
          <w:highlight w:val="yellow"/>
        </w:rPr>
      </w:pPr>
    </w:p>
    <w:p w:rsidR="009E1F17" w:rsidRPr="00100A7A" w:rsidRDefault="009E1F17" w:rsidP="00100A7A">
      <w:pPr>
        <w:pStyle w:val="PBACHeading1"/>
      </w:pPr>
      <w:bookmarkStart w:id="6" w:name="_Toc524446003"/>
      <w:r w:rsidRPr="00100A7A">
        <w:t>Purpose of Application</w:t>
      </w:r>
      <w:bookmarkEnd w:id="6"/>
    </w:p>
    <w:p w:rsidR="009E1F17" w:rsidRPr="005E7399" w:rsidRDefault="005E7399" w:rsidP="009E1F17">
      <w:pPr>
        <w:numPr>
          <w:ilvl w:val="1"/>
          <w:numId w:val="3"/>
        </w:numPr>
        <w:spacing w:after="160"/>
      </w:pPr>
      <w:r w:rsidRPr="005E7399">
        <w:t xml:space="preserve">The submission requested extending the listing of rivaroxaban 10mg to include an Authority Required (STREAMLINED) listing for </w:t>
      </w:r>
      <w:r w:rsidR="009E1F17" w:rsidRPr="005E7399">
        <w:t>the prevention of recurrent venous thromboembolism (VTE</w:t>
      </w:r>
      <w:r w:rsidRPr="005E7399">
        <w:t xml:space="preserve">). </w:t>
      </w:r>
      <w:r w:rsidR="009E1F17" w:rsidRPr="005E7399">
        <w:t xml:space="preserve"> </w:t>
      </w:r>
    </w:p>
    <w:p w:rsidR="009E1F17" w:rsidRDefault="009E1F17" w:rsidP="009E1F17">
      <w:pPr>
        <w:numPr>
          <w:ilvl w:val="1"/>
          <w:numId w:val="3"/>
        </w:numPr>
        <w:spacing w:after="160"/>
      </w:pPr>
      <w:r w:rsidRPr="009E1F17">
        <w:t xml:space="preserve">The basis for the submission was a cost-minimisation analysis against rivaroxaban 20 mg and </w:t>
      </w:r>
      <w:proofErr w:type="spellStart"/>
      <w:r w:rsidRPr="009E1F17">
        <w:t>apixaban</w:t>
      </w:r>
      <w:proofErr w:type="spellEnd"/>
      <w:r w:rsidRPr="009E1F17">
        <w:t xml:space="preserve"> 2.5 mg, informed by a direct comparison between rivaroxaban 10 mg and rivaroxaban 20 mg (Einstein CHOICE), and an indirect treatment comparison (ITC) between rivaroxaban 10 mg and </w:t>
      </w:r>
      <w:proofErr w:type="spellStart"/>
      <w:r w:rsidRPr="009E1F17">
        <w:t>apixaban</w:t>
      </w:r>
      <w:proofErr w:type="spellEnd"/>
      <w:r w:rsidRPr="009E1F17">
        <w:t xml:space="preserve"> 2.5 mg. The key components of the submission are summarised in Table 1.</w:t>
      </w:r>
    </w:p>
    <w:p w:rsidR="009E1F17" w:rsidRPr="009E1F17" w:rsidRDefault="009E1F17" w:rsidP="009E1F17">
      <w:pPr>
        <w:keepNext/>
        <w:rPr>
          <w:rFonts w:ascii="Arial Narrow" w:hAnsi="Arial Narrow"/>
          <w:b/>
          <w:bCs/>
          <w:sz w:val="20"/>
          <w:szCs w:val="20"/>
        </w:rPr>
      </w:pPr>
      <w:r w:rsidRPr="009E1F17">
        <w:rPr>
          <w:rFonts w:ascii="Arial Narrow" w:hAnsi="Arial Narrow"/>
          <w:b/>
          <w:bCs/>
          <w:sz w:val="20"/>
          <w:szCs w:val="20"/>
        </w:rPr>
        <w:t xml:space="preserve">Table </w:t>
      </w:r>
      <w:r w:rsidR="00C56905">
        <w:rPr>
          <w:rFonts w:ascii="Arial Narrow" w:hAnsi="Arial Narrow"/>
          <w:b/>
          <w:bCs/>
          <w:noProof/>
          <w:sz w:val="20"/>
          <w:szCs w:val="20"/>
        </w:rPr>
        <w:t>1</w:t>
      </w:r>
      <w:r w:rsidRPr="009E1F17">
        <w:rPr>
          <w:rFonts w:ascii="Arial Narrow" w:hAnsi="Arial Narrow"/>
          <w:b/>
          <w:bCs/>
          <w:sz w:val="20"/>
          <w:szCs w:val="20"/>
        </w:rPr>
        <w:t>: Key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484"/>
      </w:tblGrid>
      <w:tr w:rsidR="009E1F17" w:rsidRPr="009E1F17" w:rsidTr="00701F69">
        <w:trPr>
          <w:cantSplit/>
          <w:tblHeader/>
        </w:trPr>
        <w:tc>
          <w:tcPr>
            <w:tcW w:w="1696" w:type="dxa"/>
            <w:shd w:val="clear" w:color="auto" w:fill="auto"/>
          </w:tcPr>
          <w:p w:rsidR="009E1F17" w:rsidRPr="009E1F17" w:rsidRDefault="009E1F17" w:rsidP="0003695A">
            <w:pPr>
              <w:jc w:val="left"/>
              <w:rPr>
                <w:rFonts w:ascii="Arial Narrow" w:hAnsi="Arial Narrow" w:cs="Times New Roman"/>
                <w:b/>
                <w:snapToGrid/>
                <w:sz w:val="20"/>
                <w:szCs w:val="20"/>
              </w:rPr>
            </w:pPr>
            <w:r w:rsidRPr="009E1F17">
              <w:rPr>
                <w:rFonts w:ascii="Arial Narrow" w:hAnsi="Arial Narrow" w:cs="Times New Roman"/>
                <w:b/>
                <w:snapToGrid/>
                <w:sz w:val="20"/>
              </w:rPr>
              <w:t>Component</w:t>
            </w:r>
          </w:p>
        </w:tc>
        <w:tc>
          <w:tcPr>
            <w:tcW w:w="7484" w:type="dxa"/>
            <w:shd w:val="clear" w:color="auto" w:fill="auto"/>
          </w:tcPr>
          <w:p w:rsidR="009E1F17" w:rsidRPr="009E1F17" w:rsidRDefault="009E1F17" w:rsidP="0003695A">
            <w:pPr>
              <w:jc w:val="left"/>
              <w:rPr>
                <w:rFonts w:ascii="Arial Narrow" w:hAnsi="Arial Narrow" w:cs="Times New Roman"/>
                <w:b/>
                <w:snapToGrid/>
                <w:sz w:val="20"/>
              </w:rPr>
            </w:pPr>
            <w:r w:rsidRPr="009E1F17">
              <w:rPr>
                <w:rFonts w:ascii="Arial Narrow" w:hAnsi="Arial Narrow" w:cs="Times New Roman"/>
                <w:b/>
                <w:snapToGrid/>
                <w:sz w:val="20"/>
              </w:rPr>
              <w:t>Description</w:t>
            </w:r>
          </w:p>
        </w:tc>
      </w:tr>
      <w:tr w:rsidR="009E1F17" w:rsidRPr="009E1F17" w:rsidTr="00701F69">
        <w:trPr>
          <w:cantSplit/>
        </w:trPr>
        <w:tc>
          <w:tcPr>
            <w:tcW w:w="1696" w:type="dxa"/>
            <w:shd w:val="clear" w:color="auto" w:fill="auto"/>
          </w:tcPr>
          <w:p w:rsidR="009E1F17" w:rsidRPr="009E1F17" w:rsidRDefault="009E1F17" w:rsidP="0003695A">
            <w:pPr>
              <w:jc w:val="left"/>
              <w:rPr>
                <w:rFonts w:ascii="Arial Narrow" w:hAnsi="Arial Narrow" w:cs="Times New Roman"/>
                <w:snapToGrid/>
                <w:sz w:val="20"/>
              </w:rPr>
            </w:pPr>
            <w:r w:rsidRPr="009E1F17">
              <w:rPr>
                <w:rFonts w:ascii="Arial Narrow" w:hAnsi="Arial Narrow" w:cs="Times New Roman"/>
                <w:snapToGrid/>
                <w:sz w:val="20"/>
              </w:rPr>
              <w:t>Population</w:t>
            </w:r>
          </w:p>
        </w:tc>
        <w:tc>
          <w:tcPr>
            <w:tcW w:w="7484" w:type="dxa"/>
            <w:shd w:val="clear" w:color="auto" w:fill="auto"/>
          </w:tcPr>
          <w:p w:rsidR="009E1F17" w:rsidRPr="009E1F17" w:rsidRDefault="009E1F17" w:rsidP="0003695A">
            <w:pPr>
              <w:jc w:val="left"/>
              <w:rPr>
                <w:rFonts w:ascii="Arial Narrow" w:hAnsi="Arial Narrow" w:cs="Times New Roman"/>
                <w:snapToGrid/>
                <w:sz w:val="20"/>
              </w:rPr>
            </w:pPr>
            <w:r w:rsidRPr="009E1F17">
              <w:rPr>
                <w:rFonts w:ascii="Arial Narrow" w:hAnsi="Arial Narrow" w:cs="Times New Roman"/>
                <w:snapToGrid/>
                <w:sz w:val="20"/>
              </w:rPr>
              <w:t>Adults with a history of VTE.</w:t>
            </w:r>
          </w:p>
        </w:tc>
      </w:tr>
      <w:tr w:rsidR="009E1F17" w:rsidRPr="009E1F17" w:rsidTr="00701F69">
        <w:trPr>
          <w:cantSplit/>
        </w:trPr>
        <w:tc>
          <w:tcPr>
            <w:tcW w:w="1696" w:type="dxa"/>
            <w:shd w:val="clear" w:color="auto" w:fill="auto"/>
          </w:tcPr>
          <w:p w:rsidR="009E1F17" w:rsidRPr="009E1F17" w:rsidRDefault="009E1F17" w:rsidP="0003695A">
            <w:pPr>
              <w:jc w:val="left"/>
              <w:rPr>
                <w:rFonts w:ascii="Arial Narrow" w:hAnsi="Arial Narrow" w:cs="Times New Roman"/>
                <w:snapToGrid/>
                <w:sz w:val="20"/>
              </w:rPr>
            </w:pPr>
            <w:r w:rsidRPr="009E1F17">
              <w:rPr>
                <w:rFonts w:ascii="Arial Narrow" w:hAnsi="Arial Narrow" w:cs="Times New Roman"/>
                <w:snapToGrid/>
                <w:sz w:val="20"/>
              </w:rPr>
              <w:t>Intervention</w:t>
            </w:r>
          </w:p>
        </w:tc>
        <w:tc>
          <w:tcPr>
            <w:tcW w:w="7484" w:type="dxa"/>
            <w:shd w:val="clear" w:color="auto" w:fill="auto"/>
          </w:tcPr>
          <w:p w:rsidR="009E1F17" w:rsidRPr="009E1F17" w:rsidRDefault="009E1F17" w:rsidP="0003695A">
            <w:pPr>
              <w:jc w:val="left"/>
              <w:rPr>
                <w:rFonts w:ascii="Arial Narrow" w:hAnsi="Arial Narrow" w:cs="Times New Roman"/>
                <w:snapToGrid/>
                <w:sz w:val="20"/>
              </w:rPr>
            </w:pPr>
            <w:r w:rsidRPr="009E1F17">
              <w:rPr>
                <w:rFonts w:ascii="Arial Narrow" w:hAnsi="Arial Narrow" w:cs="Times New Roman"/>
                <w:snapToGrid/>
                <w:sz w:val="20"/>
              </w:rPr>
              <w:t>Extended treatment with rivaroxaban 10 mg once daily for prevention of VTE recurrence.</w:t>
            </w:r>
          </w:p>
        </w:tc>
      </w:tr>
      <w:tr w:rsidR="009E1F17" w:rsidRPr="009E1F17" w:rsidTr="00701F69">
        <w:trPr>
          <w:cantSplit/>
        </w:trPr>
        <w:tc>
          <w:tcPr>
            <w:tcW w:w="1696" w:type="dxa"/>
            <w:shd w:val="clear" w:color="auto" w:fill="auto"/>
          </w:tcPr>
          <w:p w:rsidR="009E1F17" w:rsidRPr="009E1F17" w:rsidRDefault="009E1F17" w:rsidP="0003695A">
            <w:pPr>
              <w:jc w:val="left"/>
              <w:rPr>
                <w:rFonts w:ascii="Arial Narrow" w:hAnsi="Arial Narrow" w:cs="Times New Roman"/>
                <w:snapToGrid/>
                <w:sz w:val="20"/>
              </w:rPr>
            </w:pPr>
            <w:r w:rsidRPr="009E1F17">
              <w:rPr>
                <w:rFonts w:ascii="Arial Narrow" w:hAnsi="Arial Narrow" w:cs="Times New Roman"/>
                <w:snapToGrid/>
                <w:sz w:val="20"/>
              </w:rPr>
              <w:t>Comparator</w:t>
            </w:r>
          </w:p>
        </w:tc>
        <w:tc>
          <w:tcPr>
            <w:tcW w:w="7484" w:type="dxa"/>
            <w:shd w:val="clear" w:color="auto" w:fill="auto"/>
          </w:tcPr>
          <w:p w:rsidR="009E1F17" w:rsidRPr="009E1F17" w:rsidRDefault="009E1F17" w:rsidP="0003695A">
            <w:pPr>
              <w:jc w:val="left"/>
              <w:rPr>
                <w:rFonts w:ascii="Arial Narrow" w:hAnsi="Arial Narrow" w:cs="Times New Roman"/>
                <w:snapToGrid/>
                <w:sz w:val="20"/>
              </w:rPr>
            </w:pPr>
            <w:r w:rsidRPr="009E1F17">
              <w:rPr>
                <w:rFonts w:ascii="Arial Narrow" w:hAnsi="Arial Narrow" w:cs="Times New Roman"/>
                <w:snapToGrid/>
                <w:sz w:val="20"/>
              </w:rPr>
              <w:t>1) Prevention of VTE recurrence with rivaroxaban 20 mg once daily.</w:t>
            </w:r>
          </w:p>
          <w:p w:rsidR="009E1F17" w:rsidRPr="009E1F17" w:rsidRDefault="009E1F17" w:rsidP="0003695A">
            <w:pPr>
              <w:jc w:val="left"/>
              <w:rPr>
                <w:rFonts w:ascii="Arial Narrow" w:hAnsi="Arial Narrow" w:cs="Times New Roman"/>
                <w:snapToGrid/>
                <w:sz w:val="20"/>
              </w:rPr>
            </w:pPr>
            <w:r w:rsidRPr="009E1F17">
              <w:rPr>
                <w:rFonts w:ascii="Arial Narrow" w:hAnsi="Arial Narrow" w:cs="Times New Roman"/>
                <w:snapToGrid/>
                <w:sz w:val="20"/>
              </w:rPr>
              <w:t xml:space="preserve">2) Prevention of VTE recurrence with </w:t>
            </w:r>
            <w:proofErr w:type="spellStart"/>
            <w:r w:rsidRPr="009E1F17">
              <w:rPr>
                <w:rFonts w:ascii="Arial Narrow" w:hAnsi="Arial Narrow" w:cs="Times New Roman"/>
                <w:snapToGrid/>
                <w:sz w:val="20"/>
              </w:rPr>
              <w:t>apixaban</w:t>
            </w:r>
            <w:proofErr w:type="spellEnd"/>
            <w:r w:rsidRPr="009E1F17">
              <w:rPr>
                <w:rFonts w:ascii="Arial Narrow" w:hAnsi="Arial Narrow" w:cs="Times New Roman"/>
                <w:snapToGrid/>
                <w:sz w:val="20"/>
              </w:rPr>
              <w:t xml:space="preserve"> 2.5 mg twice daily.</w:t>
            </w:r>
          </w:p>
        </w:tc>
      </w:tr>
      <w:tr w:rsidR="009E1F17" w:rsidRPr="009E1F17" w:rsidTr="00701F69">
        <w:trPr>
          <w:cantSplit/>
        </w:trPr>
        <w:tc>
          <w:tcPr>
            <w:tcW w:w="1696" w:type="dxa"/>
            <w:shd w:val="clear" w:color="auto" w:fill="auto"/>
          </w:tcPr>
          <w:p w:rsidR="009E1F17" w:rsidRPr="009E1F17" w:rsidRDefault="009E1F17" w:rsidP="0003695A">
            <w:pPr>
              <w:jc w:val="left"/>
              <w:rPr>
                <w:rFonts w:ascii="Arial Narrow" w:hAnsi="Arial Narrow" w:cs="Times New Roman"/>
                <w:snapToGrid/>
                <w:sz w:val="20"/>
              </w:rPr>
            </w:pPr>
            <w:r w:rsidRPr="009E1F17">
              <w:rPr>
                <w:rFonts w:ascii="Arial Narrow" w:hAnsi="Arial Narrow" w:cs="Times New Roman"/>
                <w:snapToGrid/>
                <w:sz w:val="20"/>
              </w:rPr>
              <w:t>Outcomes</w:t>
            </w:r>
          </w:p>
        </w:tc>
        <w:tc>
          <w:tcPr>
            <w:tcW w:w="7484" w:type="dxa"/>
            <w:shd w:val="clear" w:color="auto" w:fill="auto"/>
          </w:tcPr>
          <w:p w:rsidR="009E1F17" w:rsidRPr="009E1F17" w:rsidRDefault="009E1F17" w:rsidP="0003695A">
            <w:pPr>
              <w:jc w:val="left"/>
              <w:rPr>
                <w:rFonts w:ascii="Arial Narrow" w:hAnsi="Arial Narrow" w:cs="Times New Roman"/>
                <w:snapToGrid/>
                <w:sz w:val="20"/>
              </w:rPr>
            </w:pPr>
            <w:r w:rsidRPr="009E1F17">
              <w:rPr>
                <w:rFonts w:ascii="Arial Narrow" w:hAnsi="Arial Narrow" w:cs="Times New Roman"/>
                <w:snapToGrid/>
                <w:sz w:val="20"/>
              </w:rPr>
              <w:t>Efficacy: VTE-related mortality, VTE recurrence.</w:t>
            </w:r>
          </w:p>
          <w:p w:rsidR="009E1F17" w:rsidRPr="009E1F17" w:rsidRDefault="009E1F17" w:rsidP="0003695A">
            <w:pPr>
              <w:jc w:val="left"/>
              <w:rPr>
                <w:rFonts w:ascii="Arial Narrow" w:hAnsi="Arial Narrow" w:cs="Times New Roman"/>
                <w:snapToGrid/>
                <w:sz w:val="20"/>
              </w:rPr>
            </w:pPr>
            <w:r w:rsidRPr="009E1F17">
              <w:rPr>
                <w:rFonts w:ascii="Arial Narrow" w:hAnsi="Arial Narrow" w:cs="Times New Roman"/>
                <w:snapToGrid/>
                <w:sz w:val="20"/>
              </w:rPr>
              <w:t xml:space="preserve">Safety: major bleeding, clinically relevant </w:t>
            </w:r>
            <w:proofErr w:type="spellStart"/>
            <w:r w:rsidRPr="009E1F17">
              <w:rPr>
                <w:rFonts w:ascii="Arial Narrow" w:hAnsi="Arial Narrow" w:cs="Times New Roman"/>
                <w:snapToGrid/>
                <w:sz w:val="20"/>
              </w:rPr>
              <w:t>nonmajor</w:t>
            </w:r>
            <w:proofErr w:type="spellEnd"/>
            <w:r w:rsidRPr="009E1F17">
              <w:rPr>
                <w:rFonts w:ascii="Arial Narrow" w:hAnsi="Arial Narrow" w:cs="Times New Roman"/>
                <w:snapToGrid/>
                <w:sz w:val="20"/>
              </w:rPr>
              <w:t xml:space="preserve"> bleeding (CRNM), serious adverse events.</w:t>
            </w:r>
          </w:p>
        </w:tc>
      </w:tr>
      <w:tr w:rsidR="009E1F17" w:rsidRPr="009E1F17" w:rsidTr="00701F69">
        <w:trPr>
          <w:cantSplit/>
        </w:trPr>
        <w:tc>
          <w:tcPr>
            <w:tcW w:w="1696" w:type="dxa"/>
            <w:shd w:val="clear" w:color="auto" w:fill="auto"/>
          </w:tcPr>
          <w:p w:rsidR="009E1F17" w:rsidRPr="009E1F17" w:rsidRDefault="009E1F17" w:rsidP="0003695A">
            <w:pPr>
              <w:jc w:val="left"/>
              <w:rPr>
                <w:rFonts w:ascii="Arial Narrow" w:hAnsi="Arial Narrow" w:cs="Times New Roman"/>
                <w:snapToGrid/>
                <w:sz w:val="20"/>
              </w:rPr>
            </w:pPr>
            <w:r w:rsidRPr="009E1F17">
              <w:rPr>
                <w:rFonts w:ascii="Arial Narrow" w:hAnsi="Arial Narrow" w:cs="Times New Roman"/>
                <w:snapToGrid/>
                <w:sz w:val="20"/>
              </w:rPr>
              <w:t>Clinical claim</w:t>
            </w:r>
          </w:p>
        </w:tc>
        <w:tc>
          <w:tcPr>
            <w:tcW w:w="7484" w:type="dxa"/>
            <w:shd w:val="clear" w:color="auto" w:fill="auto"/>
          </w:tcPr>
          <w:p w:rsidR="009E1F17" w:rsidRPr="009E1F17" w:rsidRDefault="009E1F17" w:rsidP="0003695A">
            <w:pPr>
              <w:jc w:val="left"/>
              <w:rPr>
                <w:rFonts w:ascii="Arial Narrow" w:hAnsi="Arial Narrow" w:cs="Times New Roman"/>
                <w:snapToGrid/>
                <w:sz w:val="20"/>
              </w:rPr>
            </w:pPr>
            <w:r w:rsidRPr="009E1F17">
              <w:rPr>
                <w:rFonts w:ascii="Arial Narrow" w:hAnsi="Arial Narrow" w:cs="Times New Roman"/>
                <w:snapToGrid/>
                <w:sz w:val="20"/>
              </w:rPr>
              <w:t>In adults with a history of VTE, prevention of recurrent VTE with rivaroxaban 10 mg once daily is therapeutically equivalent to:</w:t>
            </w:r>
          </w:p>
          <w:p w:rsidR="009E1F17" w:rsidRPr="009E1F17" w:rsidRDefault="009E1F17" w:rsidP="0003695A">
            <w:pPr>
              <w:jc w:val="left"/>
              <w:rPr>
                <w:rFonts w:ascii="Arial Narrow" w:hAnsi="Arial Narrow" w:cs="Times New Roman"/>
                <w:snapToGrid/>
                <w:sz w:val="20"/>
              </w:rPr>
            </w:pPr>
            <w:r w:rsidRPr="009E1F17">
              <w:rPr>
                <w:rFonts w:ascii="Arial Narrow" w:hAnsi="Arial Narrow" w:cs="Times New Roman"/>
                <w:snapToGrid/>
                <w:sz w:val="20"/>
              </w:rPr>
              <w:t>• Rivaroxaban 20 mg once daily in terms of the risk of VTE recurrence and VTE-related death, whilst offering a slightly better safety profile in terms of major and CRNM bleeding; and</w:t>
            </w:r>
          </w:p>
          <w:p w:rsidR="009E1F17" w:rsidRPr="009E1F17" w:rsidRDefault="009E1F17" w:rsidP="0003695A">
            <w:pPr>
              <w:jc w:val="left"/>
              <w:rPr>
                <w:rFonts w:ascii="Arial Narrow" w:hAnsi="Arial Narrow" w:cs="Times New Roman"/>
                <w:snapToGrid/>
                <w:sz w:val="20"/>
              </w:rPr>
            </w:pPr>
            <w:r w:rsidRPr="009E1F17">
              <w:rPr>
                <w:rFonts w:ascii="Arial Narrow" w:hAnsi="Arial Narrow" w:cs="Times New Roman"/>
                <w:snapToGrid/>
                <w:sz w:val="20"/>
              </w:rPr>
              <w:t xml:space="preserve">• </w:t>
            </w:r>
            <w:proofErr w:type="spellStart"/>
            <w:r w:rsidRPr="009E1F17">
              <w:rPr>
                <w:rFonts w:ascii="Arial Narrow" w:hAnsi="Arial Narrow" w:cs="Times New Roman"/>
                <w:snapToGrid/>
                <w:sz w:val="20"/>
              </w:rPr>
              <w:t>Apixaban</w:t>
            </w:r>
            <w:proofErr w:type="spellEnd"/>
            <w:r w:rsidRPr="009E1F17">
              <w:rPr>
                <w:rFonts w:ascii="Arial Narrow" w:hAnsi="Arial Narrow" w:cs="Times New Roman"/>
                <w:snapToGrid/>
                <w:sz w:val="20"/>
              </w:rPr>
              <w:t xml:space="preserve"> 2.5 mg twice daily in terms of the risk of recurrent VTE and VTE-related death, major and CRNM bleeding.</w:t>
            </w:r>
          </w:p>
          <w:p w:rsidR="009E1F17" w:rsidRPr="00636D45" w:rsidRDefault="009E1F17" w:rsidP="0003695A">
            <w:pPr>
              <w:jc w:val="left"/>
              <w:rPr>
                <w:rFonts w:ascii="Arial Narrow" w:hAnsi="Arial Narrow" w:cs="Times New Roman"/>
                <w:snapToGrid/>
                <w:sz w:val="20"/>
              </w:rPr>
            </w:pPr>
            <w:r w:rsidRPr="00636D45">
              <w:rPr>
                <w:rFonts w:ascii="Arial Narrow" w:hAnsi="Arial Narrow" w:cs="Times New Roman"/>
                <w:snapToGrid/>
                <w:sz w:val="20"/>
              </w:rPr>
              <w:t>The clinical and safety claims were supported by the evidence presented in the submission.</w:t>
            </w:r>
          </w:p>
        </w:tc>
      </w:tr>
    </w:tbl>
    <w:p w:rsidR="009E1F17" w:rsidRPr="009E1F17" w:rsidRDefault="009E1F17" w:rsidP="009E1F17">
      <w:pPr>
        <w:rPr>
          <w:rFonts w:ascii="Arial Narrow" w:hAnsi="Arial Narrow"/>
          <w:sz w:val="20"/>
        </w:rPr>
      </w:pPr>
      <w:r w:rsidRPr="009E1F17">
        <w:rPr>
          <w:rFonts w:ascii="Arial Narrow" w:hAnsi="Arial Narrow"/>
          <w:sz w:val="18"/>
        </w:rPr>
        <w:t>Source: Table 1.1, p2 of the submission</w:t>
      </w:r>
    </w:p>
    <w:p w:rsidR="00100A7A" w:rsidRPr="00C26E9D" w:rsidRDefault="009E1F17" w:rsidP="00C26E9D">
      <w:pPr>
        <w:spacing w:after="240"/>
        <w:rPr>
          <w:rFonts w:ascii="Arial Narrow" w:hAnsi="Arial Narrow"/>
          <w:sz w:val="18"/>
        </w:rPr>
      </w:pPr>
      <w:r w:rsidRPr="009E1F17">
        <w:rPr>
          <w:rFonts w:ascii="Arial Narrow" w:hAnsi="Arial Narrow"/>
          <w:sz w:val="18"/>
        </w:rPr>
        <w:t xml:space="preserve">Abbreviations: CRNM=clinically relevant </w:t>
      </w:r>
      <w:proofErr w:type="spellStart"/>
      <w:r w:rsidRPr="009E1F17">
        <w:rPr>
          <w:rFonts w:ascii="Arial Narrow" w:hAnsi="Arial Narrow"/>
          <w:sz w:val="18"/>
        </w:rPr>
        <w:t>nonmajor</w:t>
      </w:r>
      <w:proofErr w:type="spellEnd"/>
      <w:r w:rsidRPr="009E1F17">
        <w:rPr>
          <w:rFonts w:ascii="Arial Narrow" w:hAnsi="Arial Narrow"/>
          <w:sz w:val="18"/>
        </w:rPr>
        <w:t>; VTE=venous thromboembolism</w:t>
      </w:r>
    </w:p>
    <w:p w:rsidR="009E1F17" w:rsidRPr="00100A7A" w:rsidRDefault="009E1F17" w:rsidP="00100A7A">
      <w:pPr>
        <w:pStyle w:val="PBACHeading1"/>
      </w:pPr>
      <w:bookmarkStart w:id="7" w:name="_Toc524446004"/>
      <w:r w:rsidRPr="00100A7A">
        <w:t>Requested listing</w:t>
      </w:r>
      <w:bookmarkEnd w:id="7"/>
      <w:r w:rsidRPr="00100A7A">
        <w:t xml:space="preserve"> </w:t>
      </w:r>
    </w:p>
    <w:p w:rsidR="00100A7A" w:rsidRDefault="009E1F17" w:rsidP="009E1F17">
      <w:pPr>
        <w:numPr>
          <w:ilvl w:val="1"/>
          <w:numId w:val="3"/>
        </w:numPr>
        <w:spacing w:after="160"/>
        <w:rPr>
          <w:rFonts w:asciiTheme="minorHAnsi" w:hAnsiTheme="minorHAnsi" w:cstheme="minorHAnsi"/>
          <w:szCs w:val="24"/>
        </w:rPr>
      </w:pPr>
      <w:r w:rsidRPr="009E1F17">
        <w:t>The proposed listing was consistent with the clinical and economic evidence presented in the submission and the PBS restrictions applied to the comparators (</w:t>
      </w:r>
      <w:proofErr w:type="gramStart"/>
      <w:r w:rsidRPr="009E1F17">
        <w:t>rivaroxaban</w:t>
      </w:r>
      <w:proofErr w:type="gramEnd"/>
      <w:r w:rsidRPr="009E1F17">
        <w:t xml:space="preserve"> 20 mg and </w:t>
      </w:r>
      <w:proofErr w:type="spellStart"/>
      <w:r w:rsidRPr="009E1F17">
        <w:t>apixaban</w:t>
      </w:r>
      <w:proofErr w:type="spellEnd"/>
      <w:r w:rsidRPr="009E1F17">
        <w:t xml:space="preserve"> 2.5 mg) for the prevention of recurrent VTE. The proposed PBS listing </w:t>
      </w:r>
      <w:r w:rsidR="00330534">
        <w:t>is</w:t>
      </w:r>
      <w:r w:rsidRPr="009E1F17">
        <w:t xml:space="preserve"> </w:t>
      </w:r>
      <w:r w:rsidR="00330534">
        <w:t xml:space="preserve">presented </w:t>
      </w:r>
      <w:r w:rsidR="00920CC0">
        <w:t xml:space="preserve">in the table </w:t>
      </w:r>
      <w:r w:rsidR="00330534">
        <w:t>below</w:t>
      </w:r>
      <w:r w:rsidRPr="009E1F17">
        <w:rPr>
          <w:rFonts w:asciiTheme="minorHAnsi" w:hAnsiTheme="minorHAnsi" w:cstheme="minorHAnsi"/>
          <w:szCs w:val="24"/>
        </w:rPr>
        <w:t>.</w:t>
      </w:r>
      <w:r w:rsidR="00330534">
        <w:rPr>
          <w:rFonts w:asciiTheme="minorHAnsi" w:hAnsiTheme="minorHAnsi" w:cstheme="minorHAnsi"/>
          <w:szCs w:val="24"/>
        </w:rPr>
        <w:t xml:space="preserve"> </w:t>
      </w:r>
    </w:p>
    <w:p w:rsidR="009E1F17" w:rsidRPr="009E1F17" w:rsidRDefault="00330534" w:rsidP="009E1F17">
      <w:pPr>
        <w:numPr>
          <w:ilvl w:val="1"/>
          <w:numId w:val="3"/>
        </w:numPr>
        <w:spacing w:after="160"/>
        <w:rPr>
          <w:rFonts w:asciiTheme="minorHAnsi" w:hAnsiTheme="minorHAnsi" w:cstheme="minorHAnsi"/>
          <w:szCs w:val="24"/>
        </w:rPr>
      </w:pPr>
      <w:r w:rsidRPr="0019538A">
        <w:rPr>
          <w:rFonts w:eastAsia="SimSun"/>
          <w:iCs/>
          <w:color w:val="000000"/>
        </w:rPr>
        <w:t>Suggestions and additions proposed by the Secretariat to the requested listing are added in italics</w:t>
      </w:r>
      <w:r w:rsidR="00100A7A">
        <w:rPr>
          <w:rFonts w:eastAsia="SimSun"/>
          <w:iCs/>
          <w:color w:val="000000"/>
        </w:rPr>
        <w:t>.</w:t>
      </w:r>
    </w:p>
    <w:tbl>
      <w:tblPr>
        <w:tblW w:w="9072" w:type="dxa"/>
        <w:tblInd w:w="108" w:type="dxa"/>
        <w:tblLayout w:type="fixed"/>
        <w:tblLook w:val="0000" w:firstRow="0" w:lastRow="0" w:firstColumn="0" w:lastColumn="0" w:noHBand="0" w:noVBand="0"/>
      </w:tblPr>
      <w:tblGrid>
        <w:gridCol w:w="1843"/>
        <w:gridCol w:w="1418"/>
        <w:gridCol w:w="567"/>
        <w:gridCol w:w="850"/>
        <w:gridCol w:w="1701"/>
        <w:gridCol w:w="1134"/>
        <w:gridCol w:w="1559"/>
      </w:tblGrid>
      <w:tr w:rsidR="00330534" w:rsidRPr="003B567A" w:rsidTr="00EF368B">
        <w:trPr>
          <w:cantSplit/>
          <w:trHeight w:val="471"/>
        </w:trPr>
        <w:tc>
          <w:tcPr>
            <w:tcW w:w="3261" w:type="dxa"/>
            <w:gridSpan w:val="2"/>
            <w:tcBorders>
              <w:bottom w:val="single" w:sz="4" w:space="0" w:color="auto"/>
            </w:tcBorders>
          </w:tcPr>
          <w:p w:rsidR="00330534" w:rsidRPr="00EF368B" w:rsidRDefault="00330534" w:rsidP="00EF368B">
            <w:pPr>
              <w:keepNext/>
              <w:ind w:left="-108"/>
              <w:rPr>
                <w:rFonts w:ascii="Arial Narrow" w:hAnsi="Arial Narrow"/>
                <w:b/>
                <w:sz w:val="20"/>
                <w:szCs w:val="20"/>
              </w:rPr>
            </w:pPr>
            <w:r w:rsidRPr="00EF368B">
              <w:rPr>
                <w:rFonts w:ascii="Arial Narrow" w:hAnsi="Arial Narrow"/>
                <w:b/>
                <w:sz w:val="20"/>
                <w:szCs w:val="20"/>
              </w:rPr>
              <w:lastRenderedPageBreak/>
              <w:t>Name, Restriction,</w:t>
            </w:r>
          </w:p>
          <w:p w:rsidR="00330534" w:rsidRPr="00EF368B" w:rsidRDefault="00330534" w:rsidP="00EF368B">
            <w:pPr>
              <w:keepNext/>
              <w:ind w:left="-108"/>
              <w:rPr>
                <w:rFonts w:ascii="Arial Narrow" w:hAnsi="Arial Narrow"/>
                <w:b/>
                <w:sz w:val="20"/>
                <w:szCs w:val="20"/>
              </w:rPr>
            </w:pPr>
            <w:r w:rsidRPr="00EF368B">
              <w:rPr>
                <w:rFonts w:ascii="Arial Narrow" w:hAnsi="Arial Narrow"/>
                <w:b/>
                <w:sz w:val="20"/>
                <w:szCs w:val="20"/>
              </w:rPr>
              <w:t>Manner of administration and form</w:t>
            </w:r>
          </w:p>
        </w:tc>
        <w:tc>
          <w:tcPr>
            <w:tcW w:w="567" w:type="dxa"/>
            <w:tcBorders>
              <w:bottom w:val="single" w:sz="4" w:space="0" w:color="auto"/>
            </w:tcBorders>
          </w:tcPr>
          <w:p w:rsidR="00330534" w:rsidRPr="00EF368B" w:rsidRDefault="00330534" w:rsidP="00EF368B">
            <w:pPr>
              <w:keepNext/>
              <w:ind w:left="-108"/>
              <w:rPr>
                <w:rFonts w:ascii="Arial Narrow" w:hAnsi="Arial Narrow"/>
                <w:b/>
                <w:sz w:val="20"/>
                <w:szCs w:val="20"/>
              </w:rPr>
            </w:pPr>
            <w:r w:rsidRPr="00EF368B">
              <w:rPr>
                <w:rFonts w:ascii="Arial Narrow" w:hAnsi="Arial Narrow"/>
                <w:b/>
                <w:sz w:val="20"/>
                <w:szCs w:val="20"/>
              </w:rPr>
              <w:t>Max.</w:t>
            </w:r>
          </w:p>
          <w:p w:rsidR="00330534" w:rsidRPr="00EF368B" w:rsidRDefault="00330534" w:rsidP="00EF368B">
            <w:pPr>
              <w:keepNext/>
              <w:ind w:left="-108"/>
              <w:rPr>
                <w:rFonts w:ascii="Arial Narrow" w:hAnsi="Arial Narrow"/>
                <w:b/>
                <w:sz w:val="20"/>
                <w:szCs w:val="20"/>
              </w:rPr>
            </w:pPr>
            <w:r w:rsidRPr="00EF368B">
              <w:rPr>
                <w:rFonts w:ascii="Arial Narrow" w:hAnsi="Arial Narrow"/>
                <w:b/>
                <w:sz w:val="20"/>
                <w:szCs w:val="20"/>
              </w:rPr>
              <w:t>Qty</w:t>
            </w:r>
          </w:p>
        </w:tc>
        <w:tc>
          <w:tcPr>
            <w:tcW w:w="850" w:type="dxa"/>
            <w:tcBorders>
              <w:bottom w:val="single" w:sz="4" w:space="0" w:color="auto"/>
            </w:tcBorders>
          </w:tcPr>
          <w:p w:rsidR="00330534" w:rsidRPr="00EF368B" w:rsidRDefault="00330534" w:rsidP="00EF368B">
            <w:pPr>
              <w:keepNext/>
              <w:ind w:left="-108"/>
              <w:rPr>
                <w:rFonts w:ascii="Arial Narrow" w:hAnsi="Arial Narrow"/>
                <w:b/>
                <w:sz w:val="20"/>
                <w:szCs w:val="20"/>
              </w:rPr>
            </w:pPr>
            <w:r w:rsidRPr="00EF368B">
              <w:rPr>
                <w:rFonts w:ascii="Arial Narrow" w:hAnsi="Arial Narrow"/>
                <w:b/>
                <w:sz w:val="20"/>
                <w:szCs w:val="20"/>
              </w:rPr>
              <w:t>№.of</w:t>
            </w:r>
          </w:p>
          <w:p w:rsidR="00330534" w:rsidRPr="00EF368B" w:rsidRDefault="00330534" w:rsidP="00EF368B">
            <w:pPr>
              <w:keepNext/>
              <w:ind w:left="-108"/>
              <w:rPr>
                <w:rFonts w:ascii="Arial Narrow" w:hAnsi="Arial Narrow"/>
                <w:b/>
                <w:sz w:val="20"/>
                <w:szCs w:val="20"/>
              </w:rPr>
            </w:pPr>
            <w:r w:rsidRPr="00EF368B">
              <w:rPr>
                <w:rFonts w:ascii="Arial Narrow" w:hAnsi="Arial Narrow"/>
                <w:b/>
                <w:sz w:val="20"/>
                <w:szCs w:val="20"/>
              </w:rPr>
              <w:t>Rpts</w:t>
            </w:r>
          </w:p>
        </w:tc>
        <w:tc>
          <w:tcPr>
            <w:tcW w:w="1701" w:type="dxa"/>
            <w:tcBorders>
              <w:bottom w:val="single" w:sz="4" w:space="0" w:color="auto"/>
            </w:tcBorders>
          </w:tcPr>
          <w:p w:rsidR="00330534" w:rsidRPr="00EF368B" w:rsidRDefault="00330534" w:rsidP="00EF368B">
            <w:pPr>
              <w:keepNext/>
              <w:ind w:left="-108"/>
              <w:rPr>
                <w:rFonts w:ascii="Arial Narrow" w:hAnsi="Arial Narrow"/>
                <w:b/>
                <w:sz w:val="20"/>
                <w:szCs w:val="20"/>
              </w:rPr>
            </w:pPr>
            <w:r w:rsidRPr="00EF368B">
              <w:rPr>
                <w:rFonts w:ascii="Arial Narrow" w:hAnsi="Arial Narrow"/>
                <w:b/>
                <w:sz w:val="20"/>
                <w:szCs w:val="20"/>
              </w:rPr>
              <w:t>Dispensed Price for Max. Qty</w:t>
            </w:r>
          </w:p>
        </w:tc>
        <w:tc>
          <w:tcPr>
            <w:tcW w:w="2693" w:type="dxa"/>
            <w:gridSpan w:val="2"/>
            <w:tcBorders>
              <w:bottom w:val="single" w:sz="4" w:space="0" w:color="auto"/>
            </w:tcBorders>
          </w:tcPr>
          <w:p w:rsidR="00330534" w:rsidRPr="00EF368B" w:rsidRDefault="00330534" w:rsidP="00EF368B">
            <w:pPr>
              <w:keepNext/>
              <w:jc w:val="left"/>
              <w:rPr>
                <w:rFonts w:ascii="Arial Narrow" w:hAnsi="Arial Narrow"/>
                <w:b/>
                <w:sz w:val="20"/>
                <w:szCs w:val="20"/>
                <w:lang w:val="fr-FR"/>
              </w:rPr>
            </w:pPr>
            <w:r w:rsidRPr="00EF368B">
              <w:rPr>
                <w:rFonts w:ascii="Arial Narrow" w:hAnsi="Arial Narrow"/>
                <w:b/>
                <w:sz w:val="20"/>
                <w:szCs w:val="20"/>
              </w:rPr>
              <w:t>Proprietary Name and Manufacturer</w:t>
            </w:r>
          </w:p>
        </w:tc>
      </w:tr>
      <w:tr w:rsidR="00330534" w:rsidRPr="003B567A" w:rsidTr="00EF368B">
        <w:trPr>
          <w:cantSplit/>
          <w:trHeight w:val="577"/>
        </w:trPr>
        <w:tc>
          <w:tcPr>
            <w:tcW w:w="3261" w:type="dxa"/>
            <w:gridSpan w:val="2"/>
          </w:tcPr>
          <w:p w:rsidR="00330534" w:rsidRPr="006A5CEC" w:rsidRDefault="00330534" w:rsidP="00EF368B">
            <w:pPr>
              <w:keepNext/>
              <w:ind w:left="-108"/>
              <w:rPr>
                <w:rFonts w:ascii="Arial Narrow" w:hAnsi="Arial Narrow"/>
                <w:smallCaps/>
                <w:sz w:val="20"/>
                <w:szCs w:val="20"/>
              </w:rPr>
            </w:pPr>
            <w:r w:rsidRPr="006A5CEC">
              <w:rPr>
                <w:rFonts w:ascii="Arial Narrow" w:hAnsi="Arial Narrow"/>
                <w:smallCaps/>
                <w:sz w:val="20"/>
                <w:szCs w:val="20"/>
              </w:rPr>
              <w:t>RIVAROXABAN</w:t>
            </w:r>
          </w:p>
          <w:p w:rsidR="00330534" w:rsidRPr="00F32DAC" w:rsidRDefault="00330534" w:rsidP="00EF368B">
            <w:pPr>
              <w:keepNext/>
              <w:ind w:left="-108"/>
              <w:rPr>
                <w:sz w:val="20"/>
                <w:szCs w:val="20"/>
              </w:rPr>
            </w:pPr>
            <w:r w:rsidRPr="006A5CEC">
              <w:rPr>
                <w:rFonts w:ascii="Arial Narrow" w:hAnsi="Arial Narrow"/>
                <w:sz w:val="20"/>
                <w:szCs w:val="20"/>
              </w:rPr>
              <w:t>10 mg tablet</w:t>
            </w:r>
            <w:r w:rsidRPr="006A5CEC">
              <w:rPr>
                <w:rFonts w:ascii="Arial Narrow" w:hAnsi="Arial Narrow"/>
                <w:smallCaps/>
                <w:sz w:val="20"/>
                <w:szCs w:val="20"/>
              </w:rPr>
              <w:t>, 30</w:t>
            </w:r>
            <w:r w:rsidRPr="003B567A">
              <w:rPr>
                <w:smallCaps/>
                <w:sz w:val="20"/>
                <w:szCs w:val="20"/>
              </w:rPr>
              <w:t xml:space="preserve"> </w:t>
            </w:r>
          </w:p>
        </w:tc>
        <w:tc>
          <w:tcPr>
            <w:tcW w:w="567" w:type="dxa"/>
          </w:tcPr>
          <w:p w:rsidR="00330534" w:rsidRPr="006A5CEC" w:rsidRDefault="00363324" w:rsidP="00EF368B">
            <w:pPr>
              <w:keepNext/>
              <w:ind w:left="-108"/>
              <w:rPr>
                <w:rFonts w:ascii="Arial Narrow" w:hAnsi="Arial Narrow"/>
                <w:sz w:val="20"/>
                <w:szCs w:val="20"/>
              </w:rPr>
            </w:pPr>
            <w:r>
              <w:rPr>
                <w:rFonts w:ascii="Arial Narrow" w:hAnsi="Arial Narrow"/>
                <w:sz w:val="20"/>
                <w:szCs w:val="20"/>
              </w:rPr>
              <w:t>1</w:t>
            </w:r>
          </w:p>
        </w:tc>
        <w:tc>
          <w:tcPr>
            <w:tcW w:w="850" w:type="dxa"/>
          </w:tcPr>
          <w:p w:rsidR="00330534" w:rsidRPr="006A5CEC" w:rsidRDefault="00330534" w:rsidP="00EF368B">
            <w:pPr>
              <w:keepNext/>
              <w:ind w:left="-108"/>
              <w:rPr>
                <w:rFonts w:ascii="Arial Narrow" w:hAnsi="Arial Narrow"/>
                <w:sz w:val="20"/>
                <w:szCs w:val="20"/>
              </w:rPr>
            </w:pPr>
            <w:r w:rsidRPr="006A5CEC">
              <w:rPr>
                <w:rFonts w:ascii="Arial Narrow" w:hAnsi="Arial Narrow"/>
                <w:sz w:val="20"/>
                <w:szCs w:val="20"/>
              </w:rPr>
              <w:t>5</w:t>
            </w:r>
          </w:p>
        </w:tc>
        <w:tc>
          <w:tcPr>
            <w:tcW w:w="1701" w:type="dxa"/>
          </w:tcPr>
          <w:p w:rsidR="00330534" w:rsidRPr="006A5CEC" w:rsidRDefault="00330534" w:rsidP="00EF368B">
            <w:pPr>
              <w:keepNext/>
              <w:ind w:left="-108"/>
              <w:rPr>
                <w:rFonts w:ascii="Arial Narrow" w:hAnsi="Arial Narrow"/>
                <w:sz w:val="20"/>
                <w:szCs w:val="20"/>
              </w:rPr>
            </w:pPr>
            <w:r w:rsidRPr="006A5CEC">
              <w:rPr>
                <w:rFonts w:ascii="Arial Narrow" w:hAnsi="Arial Narrow"/>
                <w:sz w:val="20"/>
                <w:szCs w:val="20"/>
              </w:rPr>
              <w:t>$92.74 (published)</w:t>
            </w:r>
          </w:p>
          <w:p w:rsidR="00330534" w:rsidRPr="006A5CEC" w:rsidRDefault="00330534" w:rsidP="00EF368B">
            <w:pPr>
              <w:keepNext/>
              <w:ind w:left="-108"/>
              <w:rPr>
                <w:rFonts w:ascii="Arial Narrow" w:hAnsi="Arial Narrow"/>
                <w:sz w:val="20"/>
                <w:szCs w:val="20"/>
              </w:rPr>
            </w:pPr>
            <w:r w:rsidRPr="006A5CEC">
              <w:rPr>
                <w:rFonts w:ascii="Arial Narrow" w:hAnsi="Arial Narrow"/>
                <w:sz w:val="20"/>
                <w:szCs w:val="20"/>
              </w:rPr>
              <w:t>$</w:t>
            </w:r>
            <w:r w:rsidR="00E9538E">
              <w:rPr>
                <w:rFonts w:ascii="Arial Narrow" w:hAnsi="Arial Narrow"/>
                <w:noProof/>
                <w:color w:val="000000"/>
                <w:sz w:val="20"/>
                <w:szCs w:val="20"/>
                <w:highlight w:val="black"/>
              </w:rPr>
              <w:t>'''''''''''''''</w:t>
            </w:r>
            <w:r w:rsidRPr="006A5CEC">
              <w:rPr>
                <w:rFonts w:ascii="Arial Narrow" w:hAnsi="Arial Narrow"/>
                <w:sz w:val="20"/>
                <w:szCs w:val="20"/>
              </w:rPr>
              <w:t xml:space="preserve"> (effective)</w:t>
            </w:r>
          </w:p>
        </w:tc>
        <w:tc>
          <w:tcPr>
            <w:tcW w:w="1134" w:type="dxa"/>
          </w:tcPr>
          <w:p w:rsidR="00330534" w:rsidRPr="006A5CEC" w:rsidRDefault="00330534" w:rsidP="00EF368B">
            <w:pPr>
              <w:keepNext/>
              <w:rPr>
                <w:rFonts w:ascii="Arial Narrow" w:hAnsi="Arial Narrow"/>
                <w:sz w:val="20"/>
                <w:szCs w:val="20"/>
              </w:rPr>
            </w:pPr>
            <w:proofErr w:type="spellStart"/>
            <w:r w:rsidRPr="006A5CEC">
              <w:rPr>
                <w:rFonts w:ascii="Arial Narrow" w:hAnsi="Arial Narrow"/>
                <w:sz w:val="20"/>
                <w:szCs w:val="20"/>
              </w:rPr>
              <w:t>Xarelto</w:t>
            </w:r>
            <w:proofErr w:type="spellEnd"/>
            <w:r w:rsidRPr="006A5CEC">
              <w:rPr>
                <w:rFonts w:ascii="Arial Narrow" w:hAnsi="Arial Narrow"/>
                <w:sz w:val="20"/>
                <w:szCs w:val="20"/>
              </w:rPr>
              <w:t>®</w:t>
            </w:r>
          </w:p>
        </w:tc>
        <w:tc>
          <w:tcPr>
            <w:tcW w:w="1559" w:type="dxa"/>
          </w:tcPr>
          <w:p w:rsidR="00330534" w:rsidRPr="006A5CEC" w:rsidRDefault="00330534" w:rsidP="00EF368B">
            <w:pPr>
              <w:keepNext/>
              <w:jc w:val="left"/>
              <w:rPr>
                <w:rFonts w:ascii="Arial Narrow" w:hAnsi="Arial Narrow"/>
                <w:sz w:val="20"/>
                <w:szCs w:val="20"/>
              </w:rPr>
            </w:pPr>
            <w:r w:rsidRPr="006A5CEC">
              <w:rPr>
                <w:rFonts w:ascii="Arial Narrow" w:hAnsi="Arial Narrow"/>
                <w:sz w:val="20"/>
                <w:szCs w:val="20"/>
              </w:rPr>
              <w:t>Bayer Australia Limited</w:t>
            </w:r>
          </w:p>
        </w:tc>
      </w:tr>
      <w:tr w:rsidR="00330534" w:rsidRPr="003B567A" w:rsidTr="00EF368B">
        <w:trPr>
          <w:cantSplit/>
          <w:trHeight w:val="47"/>
        </w:trPr>
        <w:tc>
          <w:tcPr>
            <w:tcW w:w="1843" w:type="dxa"/>
            <w:tcBorders>
              <w:top w:val="single" w:sz="4" w:space="0" w:color="auto"/>
              <w:left w:val="single" w:sz="4" w:space="0" w:color="auto"/>
              <w:bottom w:val="single" w:sz="4" w:space="0" w:color="auto"/>
              <w:right w:val="single" w:sz="4" w:space="0" w:color="auto"/>
            </w:tcBorders>
          </w:tcPr>
          <w:p w:rsidR="00330534" w:rsidRPr="006A5CEC" w:rsidRDefault="00330534" w:rsidP="00EF368B">
            <w:pPr>
              <w:rPr>
                <w:rFonts w:ascii="Arial Narrow" w:hAnsi="Arial Narrow"/>
                <w:b/>
                <w:sz w:val="20"/>
                <w:szCs w:val="20"/>
              </w:rPr>
            </w:pPr>
            <w:r w:rsidRPr="006A5CEC">
              <w:rPr>
                <w:rFonts w:ascii="Arial Narrow" w:hAnsi="Arial Narrow"/>
                <w:b/>
                <w:sz w:val="20"/>
                <w:szCs w:val="20"/>
              </w:rPr>
              <w:t>Category / Program</w:t>
            </w:r>
          </w:p>
        </w:tc>
        <w:tc>
          <w:tcPr>
            <w:tcW w:w="7229" w:type="dxa"/>
            <w:gridSpan w:val="6"/>
            <w:tcBorders>
              <w:top w:val="single" w:sz="4" w:space="0" w:color="auto"/>
              <w:left w:val="single" w:sz="4" w:space="0" w:color="auto"/>
              <w:bottom w:val="single" w:sz="4" w:space="0" w:color="auto"/>
              <w:right w:val="single" w:sz="4" w:space="0" w:color="auto"/>
            </w:tcBorders>
          </w:tcPr>
          <w:p w:rsidR="00330534" w:rsidRPr="006A5CEC" w:rsidRDefault="00330534" w:rsidP="00EF368B">
            <w:pPr>
              <w:rPr>
                <w:rFonts w:ascii="Arial Narrow" w:hAnsi="Arial Narrow"/>
                <w:i/>
                <w:sz w:val="20"/>
                <w:szCs w:val="20"/>
              </w:rPr>
            </w:pPr>
            <w:r w:rsidRPr="006A5CEC">
              <w:rPr>
                <w:rFonts w:ascii="Arial Narrow" w:hAnsi="Arial Narrow"/>
                <w:i/>
                <w:sz w:val="20"/>
                <w:szCs w:val="20"/>
              </w:rPr>
              <w:t>GENERAL – General Schedule (Code GE)</w:t>
            </w:r>
          </w:p>
        </w:tc>
      </w:tr>
      <w:tr w:rsidR="00330534" w:rsidRPr="003B567A" w:rsidTr="00EF368B">
        <w:trPr>
          <w:cantSplit/>
          <w:trHeight w:val="47"/>
        </w:trPr>
        <w:tc>
          <w:tcPr>
            <w:tcW w:w="1843" w:type="dxa"/>
            <w:tcBorders>
              <w:top w:val="single" w:sz="4" w:space="0" w:color="auto"/>
              <w:left w:val="single" w:sz="4" w:space="0" w:color="auto"/>
              <w:bottom w:val="single" w:sz="4" w:space="0" w:color="auto"/>
              <w:right w:val="single" w:sz="4" w:space="0" w:color="auto"/>
            </w:tcBorders>
          </w:tcPr>
          <w:p w:rsidR="00330534" w:rsidRPr="006A5CEC" w:rsidRDefault="00330534" w:rsidP="00EF368B">
            <w:pPr>
              <w:rPr>
                <w:rFonts w:ascii="Arial Narrow" w:hAnsi="Arial Narrow"/>
                <w:b/>
                <w:sz w:val="20"/>
                <w:szCs w:val="20"/>
              </w:rPr>
            </w:pPr>
            <w:r w:rsidRPr="006A5CEC">
              <w:rPr>
                <w:rFonts w:ascii="Arial Narrow" w:hAnsi="Arial Narrow"/>
                <w:b/>
                <w:sz w:val="20"/>
                <w:szCs w:val="20"/>
              </w:rPr>
              <w:t>Prescriber type:</w:t>
            </w:r>
          </w:p>
        </w:tc>
        <w:tc>
          <w:tcPr>
            <w:tcW w:w="7229" w:type="dxa"/>
            <w:gridSpan w:val="6"/>
            <w:tcBorders>
              <w:top w:val="single" w:sz="4" w:space="0" w:color="auto"/>
              <w:left w:val="single" w:sz="4" w:space="0" w:color="auto"/>
              <w:bottom w:val="single" w:sz="4" w:space="0" w:color="auto"/>
              <w:right w:val="single" w:sz="4" w:space="0" w:color="auto"/>
            </w:tcBorders>
          </w:tcPr>
          <w:p w:rsidR="00330534" w:rsidRPr="006A5CEC" w:rsidRDefault="00330534" w:rsidP="00EF368B">
            <w:pPr>
              <w:rPr>
                <w:rFonts w:ascii="Arial Narrow" w:hAnsi="Arial Narrow"/>
                <w:sz w:val="20"/>
                <w:szCs w:val="20"/>
              </w:rPr>
            </w:pPr>
            <w:r w:rsidRPr="006A5CEC">
              <w:rPr>
                <w:rFonts w:ascii="Arial Narrow" w:hAnsi="Arial Narrow"/>
                <w:sz w:val="20"/>
                <w:szCs w:val="20"/>
              </w:rPr>
              <w:fldChar w:fldCharType="begin">
                <w:ffData>
                  <w:name w:val="Check1"/>
                  <w:enabled/>
                  <w:calcOnExit w:val="0"/>
                  <w:checkBox>
                    <w:sizeAuto/>
                    <w:default w:val="0"/>
                  </w:checkBox>
                </w:ffData>
              </w:fldChar>
            </w:r>
            <w:r w:rsidRPr="006A5CEC">
              <w:rPr>
                <w:rFonts w:ascii="Arial Narrow" w:hAnsi="Arial Narrow"/>
                <w:sz w:val="20"/>
                <w:szCs w:val="20"/>
              </w:rPr>
              <w:instrText xml:space="preserve"> FORMCHECKBOX </w:instrText>
            </w:r>
            <w:r w:rsidR="00506A83">
              <w:rPr>
                <w:rFonts w:ascii="Arial Narrow" w:hAnsi="Arial Narrow"/>
                <w:sz w:val="20"/>
                <w:szCs w:val="20"/>
              </w:rPr>
            </w:r>
            <w:r w:rsidR="00506A83">
              <w:rPr>
                <w:rFonts w:ascii="Arial Narrow" w:hAnsi="Arial Narrow"/>
                <w:sz w:val="20"/>
                <w:szCs w:val="20"/>
              </w:rPr>
              <w:fldChar w:fldCharType="separate"/>
            </w:r>
            <w:r w:rsidRPr="006A5CEC">
              <w:rPr>
                <w:rFonts w:ascii="Arial Narrow" w:hAnsi="Arial Narrow"/>
                <w:sz w:val="20"/>
                <w:szCs w:val="20"/>
              </w:rPr>
              <w:fldChar w:fldCharType="end"/>
            </w:r>
            <w:r w:rsidRPr="006A5CEC">
              <w:rPr>
                <w:rFonts w:ascii="Arial Narrow" w:hAnsi="Arial Narrow"/>
                <w:sz w:val="20"/>
                <w:szCs w:val="20"/>
              </w:rPr>
              <w:t xml:space="preserve">Dental  </w:t>
            </w:r>
            <w:r w:rsidRPr="006A5CEC">
              <w:rPr>
                <w:rFonts w:ascii="Arial Narrow" w:hAnsi="Arial Narrow"/>
                <w:sz w:val="20"/>
                <w:szCs w:val="20"/>
              </w:rPr>
              <w:fldChar w:fldCharType="begin">
                <w:ffData>
                  <w:name w:val=""/>
                  <w:enabled/>
                  <w:calcOnExit w:val="0"/>
                  <w:checkBox>
                    <w:sizeAuto/>
                    <w:default w:val="1"/>
                  </w:checkBox>
                </w:ffData>
              </w:fldChar>
            </w:r>
            <w:r w:rsidRPr="006A5CEC">
              <w:rPr>
                <w:rFonts w:ascii="Arial Narrow" w:hAnsi="Arial Narrow"/>
                <w:sz w:val="20"/>
                <w:szCs w:val="20"/>
              </w:rPr>
              <w:instrText xml:space="preserve"> FORMCHECKBOX </w:instrText>
            </w:r>
            <w:r w:rsidR="00506A83">
              <w:rPr>
                <w:rFonts w:ascii="Arial Narrow" w:hAnsi="Arial Narrow"/>
                <w:sz w:val="20"/>
                <w:szCs w:val="20"/>
              </w:rPr>
            </w:r>
            <w:r w:rsidR="00506A83">
              <w:rPr>
                <w:rFonts w:ascii="Arial Narrow" w:hAnsi="Arial Narrow"/>
                <w:sz w:val="20"/>
                <w:szCs w:val="20"/>
              </w:rPr>
              <w:fldChar w:fldCharType="separate"/>
            </w:r>
            <w:r w:rsidRPr="006A5CEC">
              <w:rPr>
                <w:rFonts w:ascii="Arial Narrow" w:hAnsi="Arial Narrow"/>
                <w:sz w:val="20"/>
                <w:szCs w:val="20"/>
              </w:rPr>
              <w:fldChar w:fldCharType="end"/>
            </w:r>
            <w:r w:rsidRPr="006A5CEC">
              <w:rPr>
                <w:rFonts w:ascii="Arial Narrow" w:hAnsi="Arial Narrow"/>
                <w:sz w:val="20"/>
                <w:szCs w:val="20"/>
              </w:rPr>
              <w:t xml:space="preserve">Medical Practitioners  </w:t>
            </w:r>
            <w:r w:rsidRPr="006A5CEC">
              <w:rPr>
                <w:rFonts w:ascii="Arial Narrow" w:hAnsi="Arial Narrow"/>
                <w:sz w:val="20"/>
                <w:szCs w:val="20"/>
              </w:rPr>
              <w:fldChar w:fldCharType="begin">
                <w:ffData>
                  <w:name w:val="Check3"/>
                  <w:enabled/>
                  <w:calcOnExit w:val="0"/>
                  <w:checkBox>
                    <w:sizeAuto/>
                    <w:default w:val="1"/>
                  </w:checkBox>
                </w:ffData>
              </w:fldChar>
            </w:r>
            <w:r w:rsidRPr="006A5CEC">
              <w:rPr>
                <w:rFonts w:ascii="Arial Narrow" w:hAnsi="Arial Narrow"/>
                <w:sz w:val="20"/>
                <w:szCs w:val="20"/>
              </w:rPr>
              <w:instrText xml:space="preserve"> FORMCHECKBOX </w:instrText>
            </w:r>
            <w:r w:rsidR="00506A83">
              <w:rPr>
                <w:rFonts w:ascii="Arial Narrow" w:hAnsi="Arial Narrow"/>
                <w:sz w:val="20"/>
                <w:szCs w:val="20"/>
              </w:rPr>
            </w:r>
            <w:r w:rsidR="00506A83">
              <w:rPr>
                <w:rFonts w:ascii="Arial Narrow" w:hAnsi="Arial Narrow"/>
                <w:sz w:val="20"/>
                <w:szCs w:val="20"/>
              </w:rPr>
              <w:fldChar w:fldCharType="separate"/>
            </w:r>
            <w:r w:rsidRPr="006A5CEC">
              <w:rPr>
                <w:rFonts w:ascii="Arial Narrow" w:hAnsi="Arial Narrow"/>
                <w:sz w:val="20"/>
                <w:szCs w:val="20"/>
              </w:rPr>
              <w:fldChar w:fldCharType="end"/>
            </w:r>
            <w:r w:rsidRPr="006A5CEC">
              <w:rPr>
                <w:rFonts w:ascii="Arial Narrow" w:hAnsi="Arial Narrow"/>
                <w:sz w:val="20"/>
                <w:szCs w:val="20"/>
              </w:rPr>
              <w:t xml:space="preserve">Nurse practitioners  </w:t>
            </w:r>
            <w:r w:rsidRPr="006A5CEC">
              <w:rPr>
                <w:rFonts w:ascii="Arial Narrow" w:hAnsi="Arial Narrow"/>
                <w:sz w:val="20"/>
                <w:szCs w:val="20"/>
              </w:rPr>
              <w:fldChar w:fldCharType="begin">
                <w:ffData>
                  <w:name w:val=""/>
                  <w:enabled/>
                  <w:calcOnExit w:val="0"/>
                  <w:checkBox>
                    <w:sizeAuto/>
                    <w:default w:val="0"/>
                  </w:checkBox>
                </w:ffData>
              </w:fldChar>
            </w:r>
            <w:r w:rsidRPr="006A5CEC">
              <w:rPr>
                <w:rFonts w:ascii="Arial Narrow" w:hAnsi="Arial Narrow"/>
                <w:sz w:val="20"/>
                <w:szCs w:val="20"/>
              </w:rPr>
              <w:instrText xml:space="preserve"> FORMCHECKBOX </w:instrText>
            </w:r>
            <w:r w:rsidR="00506A83">
              <w:rPr>
                <w:rFonts w:ascii="Arial Narrow" w:hAnsi="Arial Narrow"/>
                <w:sz w:val="20"/>
                <w:szCs w:val="20"/>
              </w:rPr>
            </w:r>
            <w:r w:rsidR="00506A83">
              <w:rPr>
                <w:rFonts w:ascii="Arial Narrow" w:hAnsi="Arial Narrow"/>
                <w:sz w:val="20"/>
                <w:szCs w:val="20"/>
              </w:rPr>
              <w:fldChar w:fldCharType="separate"/>
            </w:r>
            <w:r w:rsidRPr="006A5CEC">
              <w:rPr>
                <w:rFonts w:ascii="Arial Narrow" w:hAnsi="Arial Narrow"/>
                <w:sz w:val="20"/>
                <w:szCs w:val="20"/>
              </w:rPr>
              <w:fldChar w:fldCharType="end"/>
            </w:r>
            <w:r w:rsidRPr="006A5CEC">
              <w:rPr>
                <w:rFonts w:ascii="Arial Narrow" w:hAnsi="Arial Narrow"/>
                <w:sz w:val="20"/>
                <w:szCs w:val="20"/>
              </w:rPr>
              <w:t>Optometrists</w:t>
            </w:r>
            <w:r w:rsidR="00EF368B">
              <w:rPr>
                <w:rFonts w:ascii="Arial Narrow" w:hAnsi="Arial Narrow"/>
                <w:sz w:val="20"/>
                <w:szCs w:val="20"/>
              </w:rPr>
              <w:t xml:space="preserve"> </w:t>
            </w:r>
            <w:r w:rsidRPr="006A5CEC">
              <w:rPr>
                <w:rFonts w:ascii="Arial Narrow" w:hAnsi="Arial Narrow"/>
                <w:sz w:val="20"/>
                <w:szCs w:val="20"/>
              </w:rPr>
              <w:fldChar w:fldCharType="begin">
                <w:ffData>
                  <w:name w:val="Check5"/>
                  <w:enabled/>
                  <w:calcOnExit w:val="0"/>
                  <w:checkBox>
                    <w:sizeAuto/>
                    <w:default w:val="0"/>
                  </w:checkBox>
                </w:ffData>
              </w:fldChar>
            </w:r>
            <w:r w:rsidRPr="006A5CEC">
              <w:rPr>
                <w:rFonts w:ascii="Arial Narrow" w:hAnsi="Arial Narrow"/>
                <w:sz w:val="20"/>
                <w:szCs w:val="20"/>
              </w:rPr>
              <w:instrText xml:space="preserve"> FORMCHECKBOX </w:instrText>
            </w:r>
            <w:r w:rsidR="00506A83">
              <w:rPr>
                <w:rFonts w:ascii="Arial Narrow" w:hAnsi="Arial Narrow"/>
                <w:sz w:val="20"/>
                <w:szCs w:val="20"/>
              </w:rPr>
            </w:r>
            <w:r w:rsidR="00506A83">
              <w:rPr>
                <w:rFonts w:ascii="Arial Narrow" w:hAnsi="Arial Narrow"/>
                <w:sz w:val="20"/>
                <w:szCs w:val="20"/>
              </w:rPr>
              <w:fldChar w:fldCharType="separate"/>
            </w:r>
            <w:r w:rsidRPr="006A5CEC">
              <w:rPr>
                <w:rFonts w:ascii="Arial Narrow" w:hAnsi="Arial Narrow"/>
                <w:sz w:val="20"/>
                <w:szCs w:val="20"/>
              </w:rPr>
              <w:fldChar w:fldCharType="end"/>
            </w:r>
            <w:r w:rsidRPr="006A5CEC">
              <w:rPr>
                <w:rFonts w:ascii="Arial Narrow" w:hAnsi="Arial Narrow"/>
                <w:sz w:val="20"/>
                <w:szCs w:val="20"/>
              </w:rPr>
              <w:t>Midwives</w:t>
            </w:r>
          </w:p>
        </w:tc>
      </w:tr>
      <w:tr w:rsidR="00330534" w:rsidRPr="003B567A" w:rsidTr="00EF368B">
        <w:trPr>
          <w:cantSplit/>
          <w:trHeight w:val="79"/>
        </w:trPr>
        <w:tc>
          <w:tcPr>
            <w:tcW w:w="1843" w:type="dxa"/>
            <w:tcBorders>
              <w:top w:val="single" w:sz="4" w:space="0" w:color="auto"/>
              <w:left w:val="single" w:sz="4" w:space="0" w:color="auto"/>
              <w:bottom w:val="single" w:sz="4" w:space="0" w:color="auto"/>
              <w:right w:val="single" w:sz="4" w:space="0" w:color="auto"/>
            </w:tcBorders>
          </w:tcPr>
          <w:p w:rsidR="00330534" w:rsidRPr="006A5CEC" w:rsidRDefault="00330534" w:rsidP="00EF368B">
            <w:pPr>
              <w:rPr>
                <w:rFonts w:ascii="Arial Narrow" w:hAnsi="Arial Narrow"/>
                <w:b/>
                <w:sz w:val="20"/>
                <w:szCs w:val="20"/>
              </w:rPr>
            </w:pPr>
            <w:r w:rsidRPr="006A5CEC">
              <w:rPr>
                <w:rFonts w:ascii="Arial Narrow" w:hAnsi="Arial Narrow"/>
                <w:b/>
                <w:sz w:val="20"/>
                <w:szCs w:val="20"/>
              </w:rPr>
              <w:t>Condition:</w:t>
            </w:r>
          </w:p>
        </w:tc>
        <w:tc>
          <w:tcPr>
            <w:tcW w:w="7229" w:type="dxa"/>
            <w:gridSpan w:val="6"/>
            <w:tcBorders>
              <w:top w:val="single" w:sz="4" w:space="0" w:color="auto"/>
              <w:left w:val="single" w:sz="4" w:space="0" w:color="auto"/>
              <w:bottom w:val="single" w:sz="4" w:space="0" w:color="auto"/>
              <w:right w:val="single" w:sz="4" w:space="0" w:color="auto"/>
            </w:tcBorders>
          </w:tcPr>
          <w:p w:rsidR="00330534" w:rsidRPr="006A5CEC" w:rsidRDefault="00F23EB4" w:rsidP="00EF368B">
            <w:pPr>
              <w:rPr>
                <w:rFonts w:ascii="Arial Narrow" w:hAnsi="Arial Narrow"/>
                <w:sz w:val="20"/>
                <w:szCs w:val="20"/>
              </w:rPr>
            </w:pPr>
            <w:r>
              <w:rPr>
                <w:rFonts w:ascii="Arial Narrow" w:hAnsi="Arial Narrow"/>
                <w:sz w:val="20"/>
                <w:szCs w:val="20"/>
              </w:rPr>
              <w:t>Prevention of recurrent v</w:t>
            </w:r>
            <w:r w:rsidR="00330534" w:rsidRPr="006A5CEC">
              <w:rPr>
                <w:rFonts w:ascii="Arial Narrow" w:hAnsi="Arial Narrow"/>
                <w:sz w:val="20"/>
                <w:szCs w:val="20"/>
              </w:rPr>
              <w:t>enous thromboembolism</w:t>
            </w:r>
          </w:p>
        </w:tc>
      </w:tr>
      <w:tr w:rsidR="00330534" w:rsidRPr="003B567A" w:rsidTr="00EF368B">
        <w:trPr>
          <w:cantSplit/>
          <w:trHeight w:val="111"/>
        </w:trPr>
        <w:tc>
          <w:tcPr>
            <w:tcW w:w="1843" w:type="dxa"/>
            <w:tcBorders>
              <w:top w:val="single" w:sz="4" w:space="0" w:color="auto"/>
              <w:left w:val="single" w:sz="4" w:space="0" w:color="auto"/>
              <w:bottom w:val="single" w:sz="4" w:space="0" w:color="auto"/>
              <w:right w:val="single" w:sz="4" w:space="0" w:color="auto"/>
            </w:tcBorders>
          </w:tcPr>
          <w:p w:rsidR="00330534" w:rsidRPr="006A5CEC" w:rsidRDefault="00330534" w:rsidP="00EF368B">
            <w:pPr>
              <w:rPr>
                <w:rFonts w:ascii="Arial Narrow" w:hAnsi="Arial Narrow"/>
                <w:b/>
                <w:sz w:val="20"/>
                <w:szCs w:val="20"/>
              </w:rPr>
            </w:pPr>
            <w:r w:rsidRPr="006A5CEC">
              <w:rPr>
                <w:rFonts w:ascii="Arial Narrow" w:hAnsi="Arial Narrow"/>
                <w:b/>
                <w:sz w:val="20"/>
                <w:szCs w:val="20"/>
              </w:rPr>
              <w:t>PBS Indication:</w:t>
            </w:r>
          </w:p>
        </w:tc>
        <w:tc>
          <w:tcPr>
            <w:tcW w:w="7229" w:type="dxa"/>
            <w:gridSpan w:val="6"/>
            <w:tcBorders>
              <w:top w:val="single" w:sz="4" w:space="0" w:color="auto"/>
              <w:left w:val="single" w:sz="4" w:space="0" w:color="auto"/>
              <w:bottom w:val="single" w:sz="4" w:space="0" w:color="auto"/>
              <w:right w:val="single" w:sz="4" w:space="0" w:color="auto"/>
            </w:tcBorders>
          </w:tcPr>
          <w:p w:rsidR="00330534" w:rsidRPr="006A5CEC" w:rsidRDefault="00330534" w:rsidP="00EF368B">
            <w:pPr>
              <w:rPr>
                <w:rFonts w:ascii="Arial Narrow" w:hAnsi="Arial Narrow"/>
                <w:sz w:val="20"/>
                <w:szCs w:val="20"/>
              </w:rPr>
            </w:pPr>
            <w:r w:rsidRPr="006A5CEC">
              <w:rPr>
                <w:rFonts w:ascii="Arial Narrow" w:hAnsi="Arial Narrow"/>
                <w:sz w:val="20"/>
                <w:szCs w:val="20"/>
              </w:rPr>
              <w:t>Prevention of recurrent venous thromboembolism</w:t>
            </w:r>
          </w:p>
        </w:tc>
      </w:tr>
      <w:tr w:rsidR="00330534" w:rsidRPr="003B567A" w:rsidTr="00EF368B">
        <w:trPr>
          <w:cantSplit/>
          <w:trHeight w:val="157"/>
        </w:trPr>
        <w:tc>
          <w:tcPr>
            <w:tcW w:w="1843" w:type="dxa"/>
            <w:tcBorders>
              <w:top w:val="single" w:sz="4" w:space="0" w:color="auto"/>
              <w:left w:val="single" w:sz="4" w:space="0" w:color="auto"/>
              <w:bottom w:val="single" w:sz="4" w:space="0" w:color="auto"/>
              <w:right w:val="single" w:sz="4" w:space="0" w:color="auto"/>
            </w:tcBorders>
          </w:tcPr>
          <w:p w:rsidR="00330534" w:rsidRPr="006A5CEC" w:rsidRDefault="00330534" w:rsidP="00EF368B">
            <w:pPr>
              <w:rPr>
                <w:rFonts w:ascii="Arial Narrow" w:hAnsi="Arial Narrow"/>
                <w:b/>
                <w:sz w:val="20"/>
                <w:szCs w:val="20"/>
              </w:rPr>
            </w:pPr>
            <w:r w:rsidRPr="006A5CEC">
              <w:rPr>
                <w:rFonts w:ascii="Arial Narrow" w:hAnsi="Arial Narrow"/>
                <w:b/>
                <w:sz w:val="20"/>
                <w:szCs w:val="20"/>
              </w:rPr>
              <w:t>Treatment phase:</w:t>
            </w:r>
          </w:p>
        </w:tc>
        <w:tc>
          <w:tcPr>
            <w:tcW w:w="7229" w:type="dxa"/>
            <w:gridSpan w:val="6"/>
            <w:tcBorders>
              <w:top w:val="single" w:sz="4" w:space="0" w:color="auto"/>
              <w:left w:val="single" w:sz="4" w:space="0" w:color="auto"/>
              <w:bottom w:val="single" w:sz="4" w:space="0" w:color="auto"/>
              <w:right w:val="single" w:sz="4" w:space="0" w:color="auto"/>
            </w:tcBorders>
          </w:tcPr>
          <w:p w:rsidR="00330534" w:rsidRPr="006A5CEC" w:rsidRDefault="00330534" w:rsidP="00EF368B">
            <w:pPr>
              <w:rPr>
                <w:rFonts w:ascii="Arial Narrow" w:hAnsi="Arial Narrow"/>
                <w:sz w:val="20"/>
                <w:szCs w:val="20"/>
              </w:rPr>
            </w:pPr>
            <w:r w:rsidRPr="006A5CEC">
              <w:rPr>
                <w:rFonts w:ascii="Arial Narrow" w:hAnsi="Arial Narrow"/>
                <w:sz w:val="20"/>
                <w:szCs w:val="20"/>
              </w:rPr>
              <w:t>Continuing treatment</w:t>
            </w:r>
          </w:p>
        </w:tc>
      </w:tr>
      <w:tr w:rsidR="00330534" w:rsidRPr="003B567A" w:rsidTr="00EF368B">
        <w:trPr>
          <w:cantSplit/>
          <w:trHeight w:val="360"/>
        </w:trPr>
        <w:tc>
          <w:tcPr>
            <w:tcW w:w="1843" w:type="dxa"/>
            <w:tcBorders>
              <w:top w:val="single" w:sz="4" w:space="0" w:color="auto"/>
              <w:left w:val="single" w:sz="4" w:space="0" w:color="auto"/>
              <w:bottom w:val="single" w:sz="4" w:space="0" w:color="auto"/>
              <w:right w:val="single" w:sz="4" w:space="0" w:color="auto"/>
            </w:tcBorders>
          </w:tcPr>
          <w:p w:rsidR="00330534" w:rsidRPr="005805A7" w:rsidRDefault="00330534" w:rsidP="00EF368B">
            <w:pPr>
              <w:jc w:val="left"/>
              <w:rPr>
                <w:rFonts w:ascii="Arial Narrow" w:hAnsi="Arial Narrow"/>
                <w:b/>
                <w:sz w:val="20"/>
                <w:szCs w:val="20"/>
              </w:rPr>
            </w:pPr>
            <w:r w:rsidRPr="005805A7">
              <w:rPr>
                <w:rFonts w:ascii="Arial Narrow" w:hAnsi="Arial Narrow"/>
                <w:b/>
                <w:sz w:val="20"/>
                <w:szCs w:val="20"/>
              </w:rPr>
              <w:t>Restriction Level / Method:</w:t>
            </w:r>
          </w:p>
        </w:tc>
        <w:tc>
          <w:tcPr>
            <w:tcW w:w="7229" w:type="dxa"/>
            <w:gridSpan w:val="6"/>
            <w:tcBorders>
              <w:top w:val="single" w:sz="4" w:space="0" w:color="auto"/>
              <w:left w:val="single" w:sz="4" w:space="0" w:color="auto"/>
              <w:bottom w:val="single" w:sz="4" w:space="0" w:color="auto"/>
              <w:right w:val="single" w:sz="4" w:space="0" w:color="auto"/>
            </w:tcBorders>
          </w:tcPr>
          <w:p w:rsidR="00330534" w:rsidRPr="005805A7" w:rsidRDefault="00330534" w:rsidP="00EF368B">
            <w:pPr>
              <w:rPr>
                <w:rFonts w:ascii="Arial Narrow" w:hAnsi="Arial Narrow"/>
                <w:sz w:val="20"/>
                <w:szCs w:val="20"/>
              </w:rPr>
            </w:pPr>
            <w:r w:rsidRPr="005805A7">
              <w:rPr>
                <w:rFonts w:ascii="Arial Narrow" w:hAnsi="Arial Narrow"/>
                <w:sz w:val="20"/>
                <w:szCs w:val="20"/>
              </w:rPr>
              <w:fldChar w:fldCharType="begin">
                <w:ffData>
                  <w:name w:val="Check1"/>
                  <w:enabled/>
                  <w:calcOnExit w:val="0"/>
                  <w:checkBox>
                    <w:sizeAuto/>
                    <w:default w:val="0"/>
                  </w:checkBox>
                </w:ffData>
              </w:fldChar>
            </w:r>
            <w:r w:rsidRPr="005805A7">
              <w:rPr>
                <w:rFonts w:ascii="Arial Narrow" w:hAnsi="Arial Narrow"/>
                <w:sz w:val="20"/>
                <w:szCs w:val="20"/>
              </w:rPr>
              <w:instrText xml:space="preserve"> FORMCHECKBOX </w:instrText>
            </w:r>
            <w:r w:rsidR="00506A83">
              <w:rPr>
                <w:rFonts w:ascii="Arial Narrow" w:hAnsi="Arial Narrow"/>
                <w:sz w:val="20"/>
                <w:szCs w:val="20"/>
              </w:rPr>
            </w:r>
            <w:r w:rsidR="00506A83">
              <w:rPr>
                <w:rFonts w:ascii="Arial Narrow" w:hAnsi="Arial Narrow"/>
                <w:sz w:val="20"/>
                <w:szCs w:val="20"/>
              </w:rPr>
              <w:fldChar w:fldCharType="separate"/>
            </w:r>
            <w:r w:rsidRPr="005805A7">
              <w:rPr>
                <w:rFonts w:ascii="Arial Narrow" w:hAnsi="Arial Narrow"/>
                <w:sz w:val="20"/>
                <w:szCs w:val="20"/>
              </w:rPr>
              <w:fldChar w:fldCharType="end"/>
            </w:r>
            <w:r w:rsidRPr="005805A7">
              <w:rPr>
                <w:rFonts w:ascii="Arial Narrow" w:hAnsi="Arial Narrow"/>
                <w:sz w:val="20"/>
                <w:szCs w:val="20"/>
              </w:rPr>
              <w:t>Restricted benefit</w:t>
            </w:r>
          </w:p>
          <w:p w:rsidR="00330534" w:rsidRPr="005805A7" w:rsidRDefault="00330534" w:rsidP="00EF368B">
            <w:pPr>
              <w:rPr>
                <w:rFonts w:ascii="Arial Narrow" w:hAnsi="Arial Narrow"/>
                <w:sz w:val="20"/>
                <w:szCs w:val="20"/>
              </w:rPr>
            </w:pPr>
            <w:r w:rsidRPr="005805A7">
              <w:rPr>
                <w:rFonts w:ascii="Arial Narrow" w:hAnsi="Arial Narrow"/>
                <w:sz w:val="20"/>
                <w:szCs w:val="20"/>
              </w:rPr>
              <w:fldChar w:fldCharType="begin">
                <w:ffData>
                  <w:name w:val=""/>
                  <w:enabled/>
                  <w:calcOnExit w:val="0"/>
                  <w:checkBox>
                    <w:sizeAuto/>
                    <w:default w:val="0"/>
                  </w:checkBox>
                </w:ffData>
              </w:fldChar>
            </w:r>
            <w:r w:rsidRPr="005805A7">
              <w:rPr>
                <w:rFonts w:ascii="Arial Narrow" w:hAnsi="Arial Narrow"/>
                <w:sz w:val="20"/>
                <w:szCs w:val="20"/>
              </w:rPr>
              <w:instrText xml:space="preserve"> FORMCHECKBOX </w:instrText>
            </w:r>
            <w:r w:rsidR="00506A83">
              <w:rPr>
                <w:rFonts w:ascii="Arial Narrow" w:hAnsi="Arial Narrow"/>
                <w:sz w:val="20"/>
                <w:szCs w:val="20"/>
              </w:rPr>
            </w:r>
            <w:r w:rsidR="00506A83">
              <w:rPr>
                <w:rFonts w:ascii="Arial Narrow" w:hAnsi="Arial Narrow"/>
                <w:sz w:val="20"/>
                <w:szCs w:val="20"/>
              </w:rPr>
              <w:fldChar w:fldCharType="separate"/>
            </w:r>
            <w:r w:rsidRPr="005805A7">
              <w:rPr>
                <w:rFonts w:ascii="Arial Narrow" w:hAnsi="Arial Narrow"/>
                <w:sz w:val="20"/>
                <w:szCs w:val="20"/>
              </w:rPr>
              <w:fldChar w:fldCharType="end"/>
            </w:r>
            <w:r w:rsidRPr="005805A7">
              <w:rPr>
                <w:rFonts w:ascii="Arial Narrow" w:hAnsi="Arial Narrow"/>
                <w:sz w:val="20"/>
                <w:szCs w:val="20"/>
              </w:rPr>
              <w:t>Authority Required - In Writing</w:t>
            </w:r>
          </w:p>
          <w:p w:rsidR="00330534" w:rsidRPr="005805A7" w:rsidRDefault="00330534" w:rsidP="00EF368B">
            <w:pPr>
              <w:rPr>
                <w:rFonts w:ascii="Arial Narrow" w:hAnsi="Arial Narrow"/>
                <w:sz w:val="20"/>
                <w:szCs w:val="20"/>
              </w:rPr>
            </w:pPr>
            <w:r w:rsidRPr="005805A7">
              <w:rPr>
                <w:rFonts w:ascii="Arial Narrow" w:hAnsi="Arial Narrow"/>
                <w:sz w:val="20"/>
                <w:szCs w:val="20"/>
              </w:rPr>
              <w:fldChar w:fldCharType="begin">
                <w:ffData>
                  <w:name w:val=""/>
                  <w:enabled/>
                  <w:calcOnExit w:val="0"/>
                  <w:checkBox>
                    <w:sizeAuto/>
                    <w:default w:val="0"/>
                  </w:checkBox>
                </w:ffData>
              </w:fldChar>
            </w:r>
            <w:r w:rsidRPr="005805A7">
              <w:rPr>
                <w:rFonts w:ascii="Arial Narrow" w:hAnsi="Arial Narrow"/>
                <w:sz w:val="20"/>
                <w:szCs w:val="20"/>
              </w:rPr>
              <w:instrText xml:space="preserve"> FORMCHECKBOX </w:instrText>
            </w:r>
            <w:r w:rsidR="00506A83">
              <w:rPr>
                <w:rFonts w:ascii="Arial Narrow" w:hAnsi="Arial Narrow"/>
                <w:sz w:val="20"/>
                <w:szCs w:val="20"/>
              </w:rPr>
            </w:r>
            <w:r w:rsidR="00506A83">
              <w:rPr>
                <w:rFonts w:ascii="Arial Narrow" w:hAnsi="Arial Narrow"/>
                <w:sz w:val="20"/>
                <w:szCs w:val="20"/>
              </w:rPr>
              <w:fldChar w:fldCharType="separate"/>
            </w:r>
            <w:r w:rsidRPr="005805A7">
              <w:rPr>
                <w:rFonts w:ascii="Arial Narrow" w:hAnsi="Arial Narrow"/>
                <w:sz w:val="20"/>
                <w:szCs w:val="20"/>
              </w:rPr>
              <w:fldChar w:fldCharType="end"/>
            </w:r>
            <w:r w:rsidRPr="005805A7">
              <w:rPr>
                <w:rFonts w:ascii="Arial Narrow" w:hAnsi="Arial Narrow"/>
                <w:sz w:val="20"/>
                <w:szCs w:val="20"/>
              </w:rPr>
              <w:t>Authority Required - Telephone</w:t>
            </w:r>
          </w:p>
          <w:p w:rsidR="00330534" w:rsidRPr="005805A7" w:rsidRDefault="00330534" w:rsidP="00EF368B">
            <w:pPr>
              <w:rPr>
                <w:rFonts w:ascii="Arial Narrow" w:hAnsi="Arial Narrow"/>
                <w:sz w:val="20"/>
                <w:szCs w:val="20"/>
              </w:rPr>
            </w:pPr>
            <w:r w:rsidRPr="005805A7">
              <w:rPr>
                <w:rFonts w:ascii="Arial Narrow" w:hAnsi="Arial Narrow"/>
                <w:sz w:val="20"/>
                <w:szCs w:val="20"/>
              </w:rPr>
              <w:fldChar w:fldCharType="begin">
                <w:ffData>
                  <w:name w:val=""/>
                  <w:enabled/>
                  <w:calcOnExit w:val="0"/>
                  <w:checkBox>
                    <w:sizeAuto/>
                    <w:default w:val="0"/>
                  </w:checkBox>
                </w:ffData>
              </w:fldChar>
            </w:r>
            <w:r w:rsidRPr="005805A7">
              <w:rPr>
                <w:rFonts w:ascii="Arial Narrow" w:hAnsi="Arial Narrow"/>
                <w:sz w:val="20"/>
                <w:szCs w:val="20"/>
              </w:rPr>
              <w:instrText xml:space="preserve"> FORMCHECKBOX </w:instrText>
            </w:r>
            <w:r w:rsidR="00506A83">
              <w:rPr>
                <w:rFonts w:ascii="Arial Narrow" w:hAnsi="Arial Narrow"/>
                <w:sz w:val="20"/>
                <w:szCs w:val="20"/>
              </w:rPr>
            </w:r>
            <w:r w:rsidR="00506A83">
              <w:rPr>
                <w:rFonts w:ascii="Arial Narrow" w:hAnsi="Arial Narrow"/>
                <w:sz w:val="20"/>
                <w:szCs w:val="20"/>
              </w:rPr>
              <w:fldChar w:fldCharType="separate"/>
            </w:r>
            <w:r w:rsidRPr="005805A7">
              <w:rPr>
                <w:rFonts w:ascii="Arial Narrow" w:hAnsi="Arial Narrow"/>
                <w:sz w:val="20"/>
                <w:szCs w:val="20"/>
              </w:rPr>
              <w:fldChar w:fldCharType="end"/>
            </w:r>
            <w:r w:rsidRPr="005805A7">
              <w:rPr>
                <w:rFonts w:ascii="Arial Narrow" w:hAnsi="Arial Narrow"/>
                <w:sz w:val="20"/>
                <w:szCs w:val="20"/>
              </w:rPr>
              <w:t>Authority Required - Emergency</w:t>
            </w:r>
          </w:p>
          <w:p w:rsidR="00330534" w:rsidRPr="005805A7" w:rsidRDefault="00330534" w:rsidP="00EF368B">
            <w:pPr>
              <w:rPr>
                <w:rFonts w:ascii="Arial Narrow" w:hAnsi="Arial Narrow"/>
                <w:sz w:val="20"/>
                <w:szCs w:val="20"/>
              </w:rPr>
            </w:pPr>
            <w:r w:rsidRPr="005805A7">
              <w:rPr>
                <w:rFonts w:ascii="Arial Narrow" w:hAnsi="Arial Narrow"/>
                <w:sz w:val="20"/>
                <w:szCs w:val="20"/>
              </w:rPr>
              <w:fldChar w:fldCharType="begin">
                <w:ffData>
                  <w:name w:val=""/>
                  <w:enabled/>
                  <w:calcOnExit w:val="0"/>
                  <w:checkBox>
                    <w:sizeAuto/>
                    <w:default w:val="0"/>
                  </w:checkBox>
                </w:ffData>
              </w:fldChar>
            </w:r>
            <w:r w:rsidRPr="005805A7">
              <w:rPr>
                <w:rFonts w:ascii="Arial Narrow" w:hAnsi="Arial Narrow"/>
                <w:sz w:val="20"/>
                <w:szCs w:val="20"/>
              </w:rPr>
              <w:instrText xml:space="preserve"> FORMCHECKBOX </w:instrText>
            </w:r>
            <w:r w:rsidR="00506A83">
              <w:rPr>
                <w:rFonts w:ascii="Arial Narrow" w:hAnsi="Arial Narrow"/>
                <w:sz w:val="20"/>
                <w:szCs w:val="20"/>
              </w:rPr>
            </w:r>
            <w:r w:rsidR="00506A83">
              <w:rPr>
                <w:rFonts w:ascii="Arial Narrow" w:hAnsi="Arial Narrow"/>
                <w:sz w:val="20"/>
                <w:szCs w:val="20"/>
              </w:rPr>
              <w:fldChar w:fldCharType="separate"/>
            </w:r>
            <w:r w:rsidRPr="005805A7">
              <w:rPr>
                <w:rFonts w:ascii="Arial Narrow" w:hAnsi="Arial Narrow"/>
                <w:sz w:val="20"/>
                <w:szCs w:val="20"/>
              </w:rPr>
              <w:fldChar w:fldCharType="end"/>
            </w:r>
            <w:r w:rsidRPr="005805A7">
              <w:rPr>
                <w:rFonts w:ascii="Arial Narrow" w:hAnsi="Arial Narrow"/>
                <w:sz w:val="20"/>
                <w:szCs w:val="20"/>
              </w:rPr>
              <w:t>Authority Required - Electronic</w:t>
            </w:r>
          </w:p>
          <w:p w:rsidR="00330534" w:rsidRPr="005805A7" w:rsidRDefault="00330534" w:rsidP="00EF368B">
            <w:pPr>
              <w:rPr>
                <w:rFonts w:ascii="Arial Narrow" w:hAnsi="Arial Narrow"/>
                <w:sz w:val="20"/>
                <w:szCs w:val="20"/>
              </w:rPr>
            </w:pPr>
            <w:r w:rsidRPr="005805A7">
              <w:rPr>
                <w:rFonts w:ascii="Arial Narrow" w:hAnsi="Arial Narrow"/>
                <w:sz w:val="20"/>
                <w:szCs w:val="20"/>
              </w:rPr>
              <w:fldChar w:fldCharType="begin">
                <w:ffData>
                  <w:name w:val="Check5"/>
                  <w:enabled/>
                  <w:calcOnExit w:val="0"/>
                  <w:checkBox>
                    <w:sizeAuto/>
                    <w:default w:val="1"/>
                  </w:checkBox>
                </w:ffData>
              </w:fldChar>
            </w:r>
            <w:r w:rsidRPr="005805A7">
              <w:rPr>
                <w:rFonts w:ascii="Arial Narrow" w:hAnsi="Arial Narrow"/>
                <w:sz w:val="20"/>
                <w:szCs w:val="20"/>
              </w:rPr>
              <w:instrText xml:space="preserve"> FORMCHECKBOX </w:instrText>
            </w:r>
            <w:r w:rsidR="00506A83">
              <w:rPr>
                <w:rFonts w:ascii="Arial Narrow" w:hAnsi="Arial Narrow"/>
                <w:sz w:val="20"/>
                <w:szCs w:val="20"/>
              </w:rPr>
            </w:r>
            <w:r w:rsidR="00506A83">
              <w:rPr>
                <w:rFonts w:ascii="Arial Narrow" w:hAnsi="Arial Narrow"/>
                <w:sz w:val="20"/>
                <w:szCs w:val="20"/>
              </w:rPr>
              <w:fldChar w:fldCharType="separate"/>
            </w:r>
            <w:r w:rsidRPr="005805A7">
              <w:rPr>
                <w:rFonts w:ascii="Arial Narrow" w:hAnsi="Arial Narrow"/>
                <w:sz w:val="20"/>
                <w:szCs w:val="20"/>
              </w:rPr>
              <w:fldChar w:fldCharType="end"/>
            </w:r>
            <w:r w:rsidRPr="005805A7">
              <w:rPr>
                <w:rFonts w:ascii="Arial Narrow" w:hAnsi="Arial Narrow"/>
                <w:sz w:val="20"/>
                <w:szCs w:val="20"/>
              </w:rPr>
              <w:t>Streamlined</w:t>
            </w:r>
          </w:p>
        </w:tc>
      </w:tr>
      <w:tr w:rsidR="00330534" w:rsidRPr="003B567A" w:rsidTr="00EF368B">
        <w:trPr>
          <w:cantSplit/>
          <w:trHeight w:val="47"/>
        </w:trPr>
        <w:tc>
          <w:tcPr>
            <w:tcW w:w="1843" w:type="dxa"/>
            <w:tcBorders>
              <w:top w:val="single" w:sz="4" w:space="0" w:color="auto"/>
              <w:left w:val="single" w:sz="4" w:space="0" w:color="auto"/>
              <w:bottom w:val="single" w:sz="4" w:space="0" w:color="auto"/>
              <w:right w:val="single" w:sz="4" w:space="0" w:color="auto"/>
            </w:tcBorders>
          </w:tcPr>
          <w:p w:rsidR="00330534" w:rsidRPr="005805A7" w:rsidRDefault="00330534" w:rsidP="00EF368B">
            <w:pPr>
              <w:rPr>
                <w:rFonts w:ascii="Arial Narrow" w:hAnsi="Arial Narrow"/>
                <w:b/>
                <w:sz w:val="20"/>
                <w:szCs w:val="20"/>
              </w:rPr>
            </w:pPr>
            <w:r w:rsidRPr="005805A7">
              <w:rPr>
                <w:rFonts w:ascii="Arial Narrow" w:hAnsi="Arial Narrow"/>
                <w:b/>
                <w:sz w:val="20"/>
                <w:szCs w:val="20"/>
              </w:rPr>
              <w:t>Clinical criteria:</w:t>
            </w:r>
          </w:p>
        </w:tc>
        <w:tc>
          <w:tcPr>
            <w:tcW w:w="7229" w:type="dxa"/>
            <w:gridSpan w:val="6"/>
            <w:tcBorders>
              <w:top w:val="single" w:sz="4" w:space="0" w:color="auto"/>
              <w:left w:val="single" w:sz="4" w:space="0" w:color="auto"/>
              <w:bottom w:val="single" w:sz="4" w:space="0" w:color="auto"/>
              <w:right w:val="single" w:sz="4" w:space="0" w:color="auto"/>
            </w:tcBorders>
          </w:tcPr>
          <w:p w:rsidR="00330534" w:rsidRPr="005805A7" w:rsidRDefault="00330534" w:rsidP="00EF368B">
            <w:pPr>
              <w:rPr>
                <w:rFonts w:ascii="Arial Narrow" w:hAnsi="Arial Narrow"/>
                <w:sz w:val="20"/>
                <w:szCs w:val="20"/>
              </w:rPr>
            </w:pPr>
            <w:r w:rsidRPr="005805A7">
              <w:rPr>
                <w:rFonts w:ascii="Arial Narrow" w:hAnsi="Arial Narrow"/>
                <w:sz w:val="20"/>
                <w:szCs w:val="20"/>
              </w:rPr>
              <w:t>Patient must have a history of venous thromboembolism.</w:t>
            </w:r>
          </w:p>
        </w:tc>
      </w:tr>
      <w:tr w:rsidR="00330534" w:rsidRPr="003B567A" w:rsidTr="00EF368B">
        <w:trPr>
          <w:cantSplit/>
          <w:trHeight w:val="360"/>
        </w:trPr>
        <w:tc>
          <w:tcPr>
            <w:tcW w:w="1843" w:type="dxa"/>
            <w:tcBorders>
              <w:top w:val="single" w:sz="4" w:space="0" w:color="auto"/>
              <w:left w:val="single" w:sz="4" w:space="0" w:color="auto"/>
              <w:bottom w:val="single" w:sz="4" w:space="0" w:color="auto"/>
              <w:right w:val="single" w:sz="4" w:space="0" w:color="auto"/>
            </w:tcBorders>
          </w:tcPr>
          <w:p w:rsidR="00330534" w:rsidRPr="00EF368B" w:rsidRDefault="00330534" w:rsidP="00EF368B">
            <w:pPr>
              <w:rPr>
                <w:rFonts w:ascii="Arial Narrow" w:hAnsi="Arial Narrow"/>
                <w:b/>
                <w:sz w:val="20"/>
                <w:szCs w:val="20"/>
              </w:rPr>
            </w:pPr>
            <w:r w:rsidRPr="00EF368B">
              <w:rPr>
                <w:rFonts w:ascii="Arial Narrow" w:hAnsi="Arial Narrow"/>
                <w:b/>
                <w:sz w:val="20"/>
                <w:szCs w:val="20"/>
              </w:rPr>
              <w:t>Administrative Advice</w:t>
            </w:r>
          </w:p>
        </w:tc>
        <w:tc>
          <w:tcPr>
            <w:tcW w:w="7229" w:type="dxa"/>
            <w:gridSpan w:val="6"/>
            <w:tcBorders>
              <w:top w:val="single" w:sz="4" w:space="0" w:color="auto"/>
              <w:left w:val="single" w:sz="4" w:space="0" w:color="auto"/>
              <w:bottom w:val="single" w:sz="4" w:space="0" w:color="auto"/>
              <w:right w:val="single" w:sz="4" w:space="0" w:color="auto"/>
            </w:tcBorders>
          </w:tcPr>
          <w:p w:rsidR="00330534" w:rsidRPr="00355980" w:rsidRDefault="00330534" w:rsidP="00EF368B">
            <w:pPr>
              <w:rPr>
                <w:rFonts w:ascii="Arial Narrow" w:hAnsi="Arial Narrow"/>
                <w:i/>
                <w:sz w:val="20"/>
              </w:rPr>
            </w:pPr>
            <w:r w:rsidRPr="00355980">
              <w:rPr>
                <w:rFonts w:ascii="Arial Narrow" w:hAnsi="Arial Narrow"/>
                <w:i/>
                <w:sz w:val="20"/>
              </w:rPr>
              <w:t>No increase in the maximum quantity or number of units may be authorised.</w:t>
            </w:r>
          </w:p>
          <w:p w:rsidR="00330534" w:rsidRPr="00355980" w:rsidRDefault="00330534" w:rsidP="00EF368B">
            <w:pPr>
              <w:rPr>
                <w:rFonts w:ascii="Arial Narrow" w:hAnsi="Arial Narrow"/>
                <w:b/>
                <w:bCs/>
                <w:i/>
                <w:sz w:val="20"/>
                <w:u w:val="single"/>
              </w:rPr>
            </w:pPr>
          </w:p>
          <w:p w:rsidR="00330534" w:rsidRPr="00355980" w:rsidRDefault="00330534" w:rsidP="00EF368B">
            <w:pPr>
              <w:rPr>
                <w:rFonts w:ascii="Arial Narrow" w:hAnsi="Arial Narrow"/>
                <w:i/>
                <w:sz w:val="20"/>
              </w:rPr>
            </w:pPr>
            <w:r w:rsidRPr="00355980">
              <w:rPr>
                <w:rFonts w:ascii="Arial Narrow" w:hAnsi="Arial Narrow"/>
                <w:i/>
                <w:sz w:val="20"/>
              </w:rPr>
              <w:t>No increase in the maximum number of repeats may be authorised.</w:t>
            </w:r>
          </w:p>
          <w:p w:rsidR="00330534" w:rsidRPr="00355980" w:rsidRDefault="00330534" w:rsidP="00EF368B">
            <w:pPr>
              <w:rPr>
                <w:rFonts w:ascii="Arial Narrow" w:hAnsi="Arial Narrow"/>
                <w:b/>
                <w:bCs/>
                <w:i/>
                <w:sz w:val="20"/>
                <w:u w:val="single"/>
              </w:rPr>
            </w:pPr>
          </w:p>
          <w:p w:rsidR="00330534" w:rsidRPr="00355980" w:rsidRDefault="00330534" w:rsidP="00EF368B">
            <w:pPr>
              <w:rPr>
                <w:rFonts w:ascii="Arial Narrow" w:hAnsi="Arial Narrow"/>
                <w:i/>
                <w:sz w:val="20"/>
              </w:rPr>
            </w:pPr>
            <w:r w:rsidRPr="00355980">
              <w:rPr>
                <w:rFonts w:ascii="Arial Narrow" w:hAnsi="Arial Narrow"/>
                <w:b/>
                <w:bCs/>
                <w:i/>
                <w:sz w:val="20"/>
                <w:u w:val="single"/>
              </w:rPr>
              <w:t>Note</w:t>
            </w:r>
          </w:p>
          <w:p w:rsidR="00330534" w:rsidRPr="00355980" w:rsidRDefault="00330534" w:rsidP="00EF368B">
            <w:pPr>
              <w:rPr>
                <w:rFonts w:ascii="Arial Narrow" w:hAnsi="Arial Narrow"/>
                <w:i/>
                <w:sz w:val="20"/>
              </w:rPr>
            </w:pPr>
            <w:r w:rsidRPr="00355980">
              <w:rPr>
                <w:rFonts w:ascii="Arial Narrow" w:hAnsi="Arial Narrow"/>
                <w:b/>
                <w:bCs/>
                <w:i/>
                <w:sz w:val="20"/>
              </w:rPr>
              <w:t>Shared Care Model</w:t>
            </w:r>
            <w:r w:rsidRPr="00355980">
              <w:rPr>
                <w:rFonts w:ascii="Arial Narrow" w:hAnsi="Arial Narrow"/>
                <w:i/>
                <w:sz w:val="20"/>
              </w:rPr>
              <w:t>:</w:t>
            </w:r>
          </w:p>
          <w:p w:rsidR="00330534" w:rsidRPr="00355980" w:rsidRDefault="00330534" w:rsidP="00EF368B">
            <w:pPr>
              <w:rPr>
                <w:rFonts w:ascii="Arial Narrow" w:hAnsi="Arial Narrow"/>
                <w:i/>
                <w:sz w:val="20"/>
              </w:rPr>
            </w:pPr>
            <w:r w:rsidRPr="00355980">
              <w:rPr>
                <w:rFonts w:ascii="Arial Narrow" w:hAnsi="Arial Narrow"/>
                <w:i/>
                <w:sz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p w:rsidR="00330534" w:rsidRPr="00355980" w:rsidRDefault="00330534" w:rsidP="00EF368B">
            <w:pPr>
              <w:rPr>
                <w:rFonts w:ascii="Arial Narrow" w:hAnsi="Arial Narrow"/>
                <w:i/>
                <w:sz w:val="20"/>
                <w:lang w:eastAsia="zh-CN"/>
              </w:rPr>
            </w:pPr>
          </w:p>
          <w:p w:rsidR="00330534" w:rsidRPr="003B567A" w:rsidRDefault="00330534" w:rsidP="00EF368B">
            <w:pPr>
              <w:rPr>
                <w:sz w:val="20"/>
                <w:szCs w:val="20"/>
              </w:rPr>
            </w:pPr>
            <w:r w:rsidRPr="00355980">
              <w:rPr>
                <w:rFonts w:ascii="Arial Narrow" w:hAnsi="Arial Narrow"/>
                <w:i/>
                <w:sz w:val="20"/>
                <w:lang w:eastAsia="zh-CN"/>
              </w:rPr>
              <w:t>Special Pricing Arrangements apply</w:t>
            </w:r>
            <w:r w:rsidRPr="00355980">
              <w:rPr>
                <w:rFonts w:ascii="Arial Narrow" w:hAnsi="Arial Narrow" w:hint="eastAsia"/>
                <w:i/>
                <w:sz w:val="20"/>
                <w:lang w:eastAsia="zh-CN"/>
              </w:rPr>
              <w:t>.</w:t>
            </w:r>
          </w:p>
        </w:tc>
      </w:tr>
    </w:tbl>
    <w:p w:rsidR="00330534" w:rsidRPr="009E1F17" w:rsidRDefault="00330534" w:rsidP="00330534">
      <w:pPr>
        <w:tabs>
          <w:tab w:val="left" w:pos="950"/>
        </w:tabs>
        <w:rPr>
          <w:rFonts w:ascii="Arial Narrow" w:hAnsi="Arial Narrow"/>
          <w:sz w:val="18"/>
          <w:szCs w:val="18"/>
        </w:rPr>
      </w:pPr>
    </w:p>
    <w:p w:rsidR="009E1F17" w:rsidRPr="005547F4" w:rsidRDefault="009E1F17" w:rsidP="009E1F17">
      <w:pPr>
        <w:widowControl/>
        <w:numPr>
          <w:ilvl w:val="1"/>
          <w:numId w:val="3"/>
        </w:numPr>
        <w:spacing w:after="160"/>
      </w:pPr>
      <w:r w:rsidRPr="009E1F17">
        <w:rPr>
          <w:color w:val="000000" w:themeColor="text1"/>
        </w:rPr>
        <w:t xml:space="preserve">The submission acknowledged that rivaroxaban 20 mg is listed under a special pricing arrangement (SPA). Accordingly, the submission proposed that it would accept the cost-minimising price resulting from applying the estimated dose relativity between rivaroxaban 10 mg and rivaroxaban 20 mg and </w:t>
      </w:r>
      <w:r w:rsidRPr="009E1F17">
        <w:t xml:space="preserve">the same SPA (via a confidential rebate of </w:t>
      </w:r>
      <w:r w:rsidR="00E9538E">
        <w:rPr>
          <w:noProof/>
          <w:color w:val="000000"/>
          <w:highlight w:val="black"/>
        </w:rPr>
        <w:t>'''''''''''</w:t>
      </w:r>
      <w:r w:rsidRPr="009E1F17">
        <w:t>%) to</w:t>
      </w:r>
      <w:r w:rsidRPr="009E1F17">
        <w:rPr>
          <w:color w:val="000000" w:themeColor="text1"/>
        </w:rPr>
        <w:t xml:space="preserve"> calculate the effective price for rivaroxaban 10 mg.</w:t>
      </w:r>
    </w:p>
    <w:p w:rsidR="0047304B" w:rsidRPr="009E1F17" w:rsidRDefault="009E1F17" w:rsidP="00100A7A">
      <w:pPr>
        <w:pStyle w:val="PBACHeading1"/>
      </w:pPr>
      <w:bookmarkStart w:id="8" w:name="_Toc524446005"/>
      <w:r w:rsidRPr="009E1F17">
        <w:t>Background</w:t>
      </w:r>
      <w:bookmarkEnd w:id="8"/>
      <w:r w:rsidRPr="009E1F17">
        <w:t xml:space="preserve"> </w:t>
      </w:r>
    </w:p>
    <w:p w:rsidR="009E1F17" w:rsidRPr="005E7399" w:rsidRDefault="0047304B" w:rsidP="009E1F17">
      <w:pPr>
        <w:numPr>
          <w:ilvl w:val="1"/>
          <w:numId w:val="3"/>
        </w:numPr>
        <w:spacing w:after="160"/>
        <w:rPr>
          <w:i/>
        </w:rPr>
      </w:pPr>
      <w:r w:rsidRPr="00FE2D90">
        <w:t>R</w:t>
      </w:r>
      <w:r w:rsidR="009E1F17" w:rsidRPr="00FE2D90">
        <w:t>ivaroxaban</w:t>
      </w:r>
      <w:r w:rsidR="009E1F17" w:rsidRPr="009E1F17">
        <w:t xml:space="preserve"> 10 mg </w:t>
      </w:r>
      <w:r w:rsidR="00117E11">
        <w:t>was listed on the ARTG on 18 September 2018</w:t>
      </w:r>
      <w:r w:rsidR="00F96915">
        <w:t xml:space="preserve"> </w:t>
      </w:r>
      <w:r w:rsidR="009E1F17" w:rsidRPr="009E1F17">
        <w:t xml:space="preserve">for prevention of recurrent VTE. </w:t>
      </w:r>
      <w:r w:rsidR="00F96915">
        <w:t xml:space="preserve">The </w:t>
      </w:r>
      <w:r w:rsidR="000F68C9">
        <w:t>Product Information states that</w:t>
      </w:r>
      <w:r w:rsidR="00F96915">
        <w:t xml:space="preserve"> </w:t>
      </w:r>
      <w:r w:rsidR="000F68C9">
        <w:t>“</w:t>
      </w:r>
      <w:r w:rsidR="00F96915" w:rsidRPr="00F96915">
        <w:rPr>
          <w:rFonts w:cs="Calibri"/>
          <w:iCs/>
          <w:szCs w:val="24"/>
        </w:rPr>
        <w:t xml:space="preserve">Following completion of six to twelve months therapy, based on an individual assessment of the risk of recurrent DVT or PE against the risk for bleeding, dose reduction to 10 mg </w:t>
      </w:r>
      <w:proofErr w:type="spellStart"/>
      <w:r w:rsidR="00F96915" w:rsidRPr="00F96915">
        <w:rPr>
          <w:rFonts w:cs="Calibri"/>
          <w:iCs/>
          <w:szCs w:val="24"/>
        </w:rPr>
        <w:t>Xarelto</w:t>
      </w:r>
      <w:proofErr w:type="spellEnd"/>
      <w:r w:rsidR="00F96915" w:rsidRPr="00F96915">
        <w:rPr>
          <w:rFonts w:cs="Calibri"/>
          <w:iCs/>
          <w:szCs w:val="24"/>
        </w:rPr>
        <w:t xml:space="preserve"> once daily may be considered</w:t>
      </w:r>
      <w:r w:rsidR="000F68C9">
        <w:rPr>
          <w:rFonts w:cs="Calibri"/>
          <w:iCs/>
          <w:szCs w:val="24"/>
        </w:rPr>
        <w:t>”</w:t>
      </w:r>
      <w:r w:rsidR="00F96915" w:rsidRPr="00F96915">
        <w:rPr>
          <w:rFonts w:cs="Calibri"/>
          <w:iCs/>
          <w:szCs w:val="24"/>
        </w:rPr>
        <w:t>.</w:t>
      </w:r>
      <w:r w:rsidR="00F96915" w:rsidRPr="009E1F17">
        <w:t xml:space="preserve"> </w:t>
      </w:r>
    </w:p>
    <w:p w:rsidR="00CD0C53" w:rsidRDefault="005E7399" w:rsidP="005E7399">
      <w:pPr>
        <w:numPr>
          <w:ilvl w:val="1"/>
          <w:numId w:val="3"/>
        </w:numPr>
        <w:spacing w:after="160"/>
      </w:pPr>
      <w:r w:rsidRPr="005E7399">
        <w:t xml:space="preserve">This is the first submission to the PBAC requesting listing of rivaroxaban 10 mg for the prevention of recurrent venous thromboembolism (VTE; Authority Required Code 4132). </w:t>
      </w:r>
    </w:p>
    <w:p w:rsidR="00CD0C53" w:rsidRDefault="00CD0C53">
      <w:pPr>
        <w:widowControl/>
        <w:jc w:val="left"/>
      </w:pPr>
      <w:r>
        <w:br w:type="page"/>
      </w:r>
    </w:p>
    <w:p w:rsidR="003939A5" w:rsidRPr="009E1F17" w:rsidRDefault="009E1F17" w:rsidP="00100A7A">
      <w:pPr>
        <w:pStyle w:val="PBACHeading1"/>
      </w:pPr>
      <w:bookmarkStart w:id="9" w:name="_Toc524446006"/>
      <w:r w:rsidRPr="009E1F17">
        <w:lastRenderedPageBreak/>
        <w:t>Population and disease</w:t>
      </w:r>
      <w:bookmarkEnd w:id="9"/>
    </w:p>
    <w:p w:rsidR="009E1F17" w:rsidRPr="009E1F17" w:rsidRDefault="009E1F17" w:rsidP="009E1F17">
      <w:pPr>
        <w:numPr>
          <w:ilvl w:val="1"/>
          <w:numId w:val="3"/>
        </w:numPr>
        <w:spacing w:after="160"/>
      </w:pPr>
      <w:r w:rsidRPr="009E1F17">
        <w:t>VTE comprises deep venous thrombosis (DVT) and pulmonary embolism (PE). It has a high risk of recurrence, can impair patients’ quality of life, and is associated with significant morbidity and mortality. VTE is usually classified according to whether it has been provoked (is associated with underlying risk factors) or unprovoked (occurrence in the absence of underlying risk factors). Approximately 50% of VTE patien</w:t>
      </w:r>
      <w:r w:rsidR="005C1421">
        <w:t xml:space="preserve">ts experience unprovoked events. </w:t>
      </w:r>
    </w:p>
    <w:p w:rsidR="009E1F17" w:rsidRDefault="009E1F17" w:rsidP="009E1F17">
      <w:pPr>
        <w:widowControl/>
        <w:numPr>
          <w:ilvl w:val="1"/>
          <w:numId w:val="3"/>
        </w:numPr>
        <w:spacing w:after="160"/>
      </w:pPr>
      <w:r w:rsidRPr="009E1F17">
        <w:t xml:space="preserve">The submission proposed the use of rivaroxaban 10 mg as a treatment alternative to rivaroxaban 20 mg or </w:t>
      </w:r>
      <w:proofErr w:type="spellStart"/>
      <w:r w:rsidRPr="009E1F17">
        <w:t>apixaban</w:t>
      </w:r>
      <w:proofErr w:type="spellEnd"/>
      <w:r w:rsidRPr="009E1F17">
        <w:t xml:space="preserve"> 2.5 mg for prevention of VTE in adults with unprovoked VTE at high risk of a recurrence, or in those with provoked VTE who have a persistent provoking factor other than cancer. </w:t>
      </w:r>
      <w:r w:rsidRPr="00636D45">
        <w:t>This was appropriate.</w:t>
      </w:r>
    </w:p>
    <w:p w:rsidR="003939A5" w:rsidRPr="005C1421" w:rsidRDefault="009E1F17" w:rsidP="00100A7A">
      <w:pPr>
        <w:pStyle w:val="PBACHeading1"/>
        <w:rPr>
          <w:snapToGrid/>
          <w:lang w:val="en-US" w:eastAsia="en-AU"/>
        </w:rPr>
      </w:pPr>
      <w:bookmarkStart w:id="10" w:name="_Toc524446007"/>
      <w:r w:rsidRPr="009E1F17">
        <w:rPr>
          <w:snapToGrid/>
          <w:lang w:val="en-US" w:eastAsia="en-AU"/>
        </w:rPr>
        <w:t>Comparato</w:t>
      </w:r>
      <w:bookmarkEnd w:id="10"/>
      <w:r w:rsidR="003939A5">
        <w:rPr>
          <w:snapToGrid/>
          <w:lang w:val="en-US" w:eastAsia="en-AU"/>
        </w:rPr>
        <w:t>r</w:t>
      </w:r>
    </w:p>
    <w:p w:rsidR="009E1F17" w:rsidRPr="005547F4" w:rsidRDefault="009E1F17" w:rsidP="009E1F17">
      <w:pPr>
        <w:numPr>
          <w:ilvl w:val="1"/>
          <w:numId w:val="3"/>
        </w:numPr>
        <w:spacing w:after="160"/>
      </w:pPr>
      <w:r w:rsidRPr="009E1F17">
        <w:rPr>
          <w:snapToGrid/>
          <w:lang w:val="en-US" w:eastAsia="en-AU"/>
        </w:rPr>
        <w:t xml:space="preserve">The submission nominated rivaroxaban 20 mg (2268J) and </w:t>
      </w:r>
      <w:proofErr w:type="spellStart"/>
      <w:r w:rsidRPr="009E1F17">
        <w:rPr>
          <w:snapToGrid/>
          <w:lang w:val="en-US" w:eastAsia="en-AU"/>
        </w:rPr>
        <w:t>apixaban</w:t>
      </w:r>
      <w:proofErr w:type="spellEnd"/>
      <w:r w:rsidRPr="009E1F17">
        <w:rPr>
          <w:snapToGrid/>
          <w:lang w:val="en-US" w:eastAsia="en-AU"/>
        </w:rPr>
        <w:t xml:space="preserve"> 2.5 mg (2744K) as the main clinical comparators. </w:t>
      </w:r>
      <w:r w:rsidRPr="00636D45">
        <w:rPr>
          <w:snapToGrid/>
          <w:lang w:val="en-US" w:eastAsia="en-AU"/>
        </w:rPr>
        <w:t xml:space="preserve">These comparators are appropriate given that: (1) rivaroxaban 10 mg is intended to provide a lower strength alternative to rivaroxaban 20 mg in patients requiring VTE prophylaxis; (2) they are from the same pharmacological group of therapies (direct acting factor </w:t>
      </w:r>
      <w:proofErr w:type="spellStart"/>
      <w:r w:rsidRPr="00636D45">
        <w:rPr>
          <w:snapToGrid/>
          <w:lang w:val="en-US" w:eastAsia="en-AU"/>
        </w:rPr>
        <w:t>Xa</w:t>
      </w:r>
      <w:proofErr w:type="spellEnd"/>
      <w:r w:rsidRPr="00636D45">
        <w:rPr>
          <w:snapToGrid/>
          <w:lang w:val="en-US" w:eastAsia="en-AU"/>
        </w:rPr>
        <w:t xml:space="preserve"> inhibitors); and (3) </w:t>
      </w:r>
      <w:r w:rsidRPr="00636D45">
        <w:t>these are the only treatments for prevention of VTE (Authority Code 4132) currently listed on the PBS</w:t>
      </w:r>
      <w:r w:rsidRPr="00636D45">
        <w:rPr>
          <w:snapToGrid/>
          <w:lang w:val="en-US" w:eastAsia="en-AU"/>
        </w:rPr>
        <w:t>.</w:t>
      </w:r>
      <w:r w:rsidR="00193B53">
        <w:rPr>
          <w:snapToGrid/>
          <w:lang w:val="en-US" w:eastAsia="en-AU"/>
        </w:rPr>
        <w:t xml:space="preserve"> The Pre</w:t>
      </w:r>
      <w:r w:rsidR="006B66DB">
        <w:rPr>
          <w:snapToGrid/>
          <w:lang w:val="en-US" w:eastAsia="en-AU"/>
        </w:rPr>
        <w:t>-</w:t>
      </w:r>
      <w:r w:rsidR="00193B53">
        <w:rPr>
          <w:snapToGrid/>
          <w:lang w:val="en-US" w:eastAsia="en-AU"/>
        </w:rPr>
        <w:t xml:space="preserve">PBAC Response stated that dose flexibility is relevant in this indication, and that </w:t>
      </w:r>
      <w:proofErr w:type="spellStart"/>
      <w:r w:rsidR="00193B53">
        <w:rPr>
          <w:snapToGrid/>
          <w:lang w:val="en-US" w:eastAsia="en-AU"/>
        </w:rPr>
        <w:t>apixaban</w:t>
      </w:r>
      <w:proofErr w:type="spellEnd"/>
      <w:r w:rsidR="00193B53">
        <w:rPr>
          <w:snapToGrid/>
          <w:lang w:val="en-US" w:eastAsia="en-AU"/>
        </w:rPr>
        <w:t xml:space="preserve"> does not offer dose flexibility.</w:t>
      </w:r>
    </w:p>
    <w:p w:rsidR="009E1F17" w:rsidRPr="00355980" w:rsidRDefault="009E1F17" w:rsidP="00100A7A">
      <w:pPr>
        <w:pStyle w:val="PBACHeading1"/>
      </w:pPr>
      <w:bookmarkStart w:id="11" w:name="_Toc524446008"/>
      <w:r w:rsidRPr="00355980">
        <w:t>Consideration of the evidence</w:t>
      </w:r>
      <w:bookmarkEnd w:id="11"/>
    </w:p>
    <w:p w:rsidR="005547F4" w:rsidRPr="00355980" w:rsidRDefault="005547F4" w:rsidP="00100A7A">
      <w:pPr>
        <w:pStyle w:val="Heading2"/>
      </w:pPr>
      <w:r w:rsidRPr="00355980">
        <w:t>Sponsor hearing</w:t>
      </w:r>
    </w:p>
    <w:p w:rsidR="005547F4" w:rsidRPr="00355980" w:rsidRDefault="005547F4" w:rsidP="005547F4">
      <w:pPr>
        <w:numPr>
          <w:ilvl w:val="1"/>
          <w:numId w:val="3"/>
        </w:numPr>
        <w:spacing w:after="120"/>
        <w:rPr>
          <w:rFonts w:asciiTheme="minorHAnsi" w:hAnsiTheme="minorHAnsi"/>
          <w:bCs/>
        </w:rPr>
      </w:pPr>
      <w:r w:rsidRPr="00355980">
        <w:rPr>
          <w:rFonts w:asciiTheme="minorHAnsi" w:hAnsiTheme="minorHAnsi"/>
          <w:bCs/>
        </w:rPr>
        <w:t xml:space="preserve">There was no </w:t>
      </w:r>
      <w:r w:rsidR="00100A7A">
        <w:rPr>
          <w:rFonts w:asciiTheme="minorHAnsi" w:hAnsiTheme="minorHAnsi"/>
          <w:bCs/>
        </w:rPr>
        <w:t xml:space="preserve">sponsor </w:t>
      </w:r>
      <w:r w:rsidRPr="00355980">
        <w:rPr>
          <w:rFonts w:asciiTheme="minorHAnsi" w:hAnsiTheme="minorHAnsi"/>
          <w:bCs/>
        </w:rPr>
        <w:t>hearing for this item.</w:t>
      </w:r>
    </w:p>
    <w:p w:rsidR="005547F4" w:rsidRPr="00DD3A5F" w:rsidRDefault="005547F4" w:rsidP="00100A7A">
      <w:pPr>
        <w:pStyle w:val="Heading2"/>
      </w:pPr>
      <w:r w:rsidRPr="00DD3A5F">
        <w:t>Consumer comments</w:t>
      </w:r>
    </w:p>
    <w:p w:rsidR="003939A5" w:rsidRPr="005C1421" w:rsidRDefault="00100A7A" w:rsidP="005C1421">
      <w:pPr>
        <w:numPr>
          <w:ilvl w:val="1"/>
          <w:numId w:val="3"/>
        </w:numPr>
        <w:spacing w:after="240"/>
        <w:rPr>
          <w:rFonts w:asciiTheme="minorHAnsi" w:hAnsiTheme="minorHAnsi"/>
          <w:bCs/>
        </w:rPr>
      </w:pPr>
      <w:r>
        <w:rPr>
          <w:rFonts w:asciiTheme="minorHAnsi" w:hAnsiTheme="minorHAnsi"/>
          <w:bCs/>
        </w:rPr>
        <w:t>The PBAC noted that n</w:t>
      </w:r>
      <w:r w:rsidR="00355980" w:rsidRPr="00DD3A5F">
        <w:rPr>
          <w:rFonts w:asciiTheme="minorHAnsi" w:hAnsiTheme="minorHAnsi"/>
          <w:bCs/>
        </w:rPr>
        <w:t>o consumer comments were received for this item.</w:t>
      </w:r>
    </w:p>
    <w:p w:rsidR="009E1F17" w:rsidRPr="00100A7A" w:rsidRDefault="009E1F17" w:rsidP="00100A7A">
      <w:pPr>
        <w:pStyle w:val="Heading2"/>
      </w:pPr>
      <w:r w:rsidRPr="00100A7A">
        <w:t>Clinical trials</w:t>
      </w:r>
    </w:p>
    <w:p w:rsidR="009E1F17" w:rsidRPr="009E1F17" w:rsidRDefault="009E1F17" w:rsidP="009E1F17">
      <w:pPr>
        <w:numPr>
          <w:ilvl w:val="1"/>
          <w:numId w:val="3"/>
        </w:numPr>
        <w:spacing w:after="160"/>
      </w:pPr>
      <w:r w:rsidRPr="009E1F17">
        <w:t xml:space="preserve">The submission was based on one head-to-head </w:t>
      </w:r>
      <w:r w:rsidRPr="009E1F17">
        <w:rPr>
          <w:snapToGrid/>
          <w:lang w:val="en-US" w:eastAsia="en-AU"/>
        </w:rPr>
        <w:t xml:space="preserve">trial comparing rivaroxaban 10 mg to rivaroxaban 20 mg (Einstein CHOICE) and an ITC of rivaroxaban 10 mg and </w:t>
      </w:r>
      <w:proofErr w:type="spellStart"/>
      <w:r w:rsidRPr="009E1F17">
        <w:rPr>
          <w:snapToGrid/>
          <w:lang w:val="en-US" w:eastAsia="en-AU"/>
        </w:rPr>
        <w:t>apixaban</w:t>
      </w:r>
      <w:proofErr w:type="spellEnd"/>
      <w:r w:rsidRPr="009E1F17">
        <w:rPr>
          <w:snapToGrid/>
          <w:lang w:val="en-US" w:eastAsia="en-AU"/>
        </w:rPr>
        <w:t xml:space="preserve"> 2.5 mg; via aspirin and placebo, and via rivaroxaban 20 mg and placebo, as common comparators. </w:t>
      </w:r>
      <w:r w:rsidRPr="00636D45">
        <w:rPr>
          <w:snapToGrid/>
          <w:lang w:val="en-US" w:eastAsia="en-AU"/>
        </w:rPr>
        <w:t xml:space="preserve">This was appropriate. The submission presented three direct </w:t>
      </w:r>
      <w:proofErr w:type="spellStart"/>
      <w:r w:rsidRPr="00636D45">
        <w:rPr>
          <w:snapToGrid/>
          <w:lang w:val="en-US" w:eastAsia="en-AU"/>
        </w:rPr>
        <w:t>randomised</w:t>
      </w:r>
      <w:proofErr w:type="spellEnd"/>
      <w:r w:rsidRPr="00636D45">
        <w:rPr>
          <w:snapToGrid/>
          <w:lang w:val="en-US" w:eastAsia="en-AU"/>
        </w:rPr>
        <w:t xml:space="preserve"> controlled trials containing either rivaroxaban or </w:t>
      </w:r>
      <w:proofErr w:type="spellStart"/>
      <w:r w:rsidRPr="00636D45">
        <w:rPr>
          <w:snapToGrid/>
          <w:lang w:val="en-US" w:eastAsia="en-AU"/>
        </w:rPr>
        <w:t>apixaban</w:t>
      </w:r>
      <w:proofErr w:type="spellEnd"/>
      <w:r w:rsidRPr="00636D45">
        <w:rPr>
          <w:snapToGrid/>
          <w:lang w:val="en-US" w:eastAsia="en-AU"/>
        </w:rPr>
        <w:t xml:space="preserve"> (RCTs; Einstein CHOICE, Einstein EXT and Amplify EXT) and two RCTs (WARFSA and ASPIRE) sourced from one meta-analysis (Robertson 2017) used as the basis of the ITC. No other relevant studies were identified.</w:t>
      </w:r>
    </w:p>
    <w:p w:rsidR="009E1F17" w:rsidRPr="009E1F17" w:rsidRDefault="009E1F17" w:rsidP="009E1F17">
      <w:pPr>
        <w:widowControl/>
        <w:numPr>
          <w:ilvl w:val="1"/>
          <w:numId w:val="3"/>
        </w:numPr>
        <w:spacing w:after="160"/>
      </w:pPr>
      <w:r w:rsidRPr="009E1F17">
        <w:rPr>
          <w:rFonts w:cs="Calibri"/>
          <w:snapToGrid/>
          <w:szCs w:val="24"/>
          <w:lang w:val="en-US" w:eastAsia="en-AU"/>
        </w:rPr>
        <w:t xml:space="preserve">Details of the trials presented in the submission are provided in </w:t>
      </w:r>
      <w:r w:rsidR="00C56905" w:rsidRPr="00C56905">
        <w:rPr>
          <w:rFonts w:asciiTheme="minorHAnsi" w:hAnsiTheme="minorHAnsi" w:cstheme="minorHAnsi"/>
          <w:szCs w:val="24"/>
        </w:rPr>
        <w:t>Table</w:t>
      </w:r>
      <w:r w:rsidR="00C56905" w:rsidRPr="009E1F17">
        <w:rPr>
          <w:rFonts w:ascii="Arial Narrow" w:hAnsi="Arial Narrow"/>
          <w:b/>
          <w:sz w:val="20"/>
          <w:szCs w:val="20"/>
        </w:rPr>
        <w:t xml:space="preserve"> </w:t>
      </w:r>
      <w:r w:rsidR="00C56905" w:rsidRPr="00C56905">
        <w:rPr>
          <w:rFonts w:asciiTheme="minorHAnsi" w:hAnsiTheme="minorHAnsi" w:cstheme="minorHAnsi"/>
          <w:noProof/>
          <w:szCs w:val="24"/>
        </w:rPr>
        <w:t>3</w:t>
      </w:r>
      <w:r w:rsidRPr="009E1F17">
        <w:rPr>
          <w:rFonts w:cs="Calibri"/>
          <w:snapToGrid/>
          <w:szCs w:val="24"/>
          <w:lang w:val="en-US" w:eastAsia="en-AU"/>
        </w:rPr>
        <w:t>.</w:t>
      </w:r>
    </w:p>
    <w:p w:rsidR="009E1F17" w:rsidRPr="009E1F17" w:rsidRDefault="009E1F17" w:rsidP="007477ED">
      <w:pPr>
        <w:keepNext/>
        <w:rPr>
          <w:rFonts w:ascii="Arial Narrow" w:hAnsi="Arial Narrow"/>
          <w:b/>
          <w:sz w:val="20"/>
          <w:szCs w:val="20"/>
        </w:rPr>
      </w:pPr>
      <w:bookmarkStart w:id="12" w:name="_Ref523398347"/>
      <w:r w:rsidRPr="009E1F17">
        <w:rPr>
          <w:rFonts w:ascii="Arial Narrow" w:hAnsi="Arial Narrow"/>
          <w:b/>
          <w:sz w:val="20"/>
          <w:szCs w:val="20"/>
        </w:rPr>
        <w:lastRenderedPageBreak/>
        <w:t xml:space="preserve">Table </w:t>
      </w:r>
      <w:r w:rsidR="00C56905">
        <w:rPr>
          <w:rFonts w:ascii="Arial Narrow" w:hAnsi="Arial Narrow"/>
          <w:b/>
          <w:noProof/>
          <w:sz w:val="20"/>
          <w:szCs w:val="20"/>
        </w:rPr>
        <w:t>3</w:t>
      </w:r>
      <w:bookmarkEnd w:id="12"/>
      <w:r w:rsidRPr="009E1F17">
        <w:rPr>
          <w:rFonts w:ascii="Arial Narrow" w:hAnsi="Arial Narrow"/>
          <w:b/>
          <w:sz w:val="20"/>
          <w:szCs w:val="20"/>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055"/>
        <w:gridCol w:w="2528"/>
      </w:tblGrid>
      <w:tr w:rsidR="009E1F17" w:rsidRPr="009E1F17" w:rsidTr="00701F69">
        <w:trPr>
          <w:tblHeader/>
        </w:trPr>
        <w:tc>
          <w:tcPr>
            <w:tcW w:w="795" w:type="pct"/>
            <w:vAlign w:val="center"/>
          </w:tcPr>
          <w:p w:rsidR="009E1F17" w:rsidRPr="009E1F17" w:rsidRDefault="009E1F17" w:rsidP="007477ED">
            <w:pPr>
              <w:keepNext/>
              <w:widowControl/>
              <w:jc w:val="left"/>
              <w:rPr>
                <w:rFonts w:ascii="Arial Narrow" w:hAnsi="Arial Narrow" w:cs="Times New Roman"/>
                <w:b/>
                <w:snapToGrid/>
                <w:sz w:val="20"/>
                <w:szCs w:val="20"/>
              </w:rPr>
            </w:pPr>
            <w:r w:rsidRPr="009E1F17">
              <w:rPr>
                <w:rFonts w:ascii="Arial Narrow" w:hAnsi="Arial Narrow" w:cs="Times New Roman"/>
                <w:b/>
                <w:snapToGrid/>
                <w:sz w:val="20"/>
                <w:szCs w:val="20"/>
              </w:rPr>
              <w:t>Trial ID</w:t>
            </w:r>
          </w:p>
        </w:tc>
        <w:tc>
          <w:tcPr>
            <w:tcW w:w="2803" w:type="pct"/>
            <w:vAlign w:val="center"/>
          </w:tcPr>
          <w:p w:rsidR="009E1F17" w:rsidRPr="009E1F17" w:rsidRDefault="009E1F17" w:rsidP="007477ED">
            <w:pPr>
              <w:keepNext/>
              <w:widowControl/>
              <w:jc w:val="left"/>
              <w:rPr>
                <w:rFonts w:ascii="Arial Narrow" w:hAnsi="Arial Narrow" w:cs="Times New Roman"/>
                <w:b/>
                <w:snapToGrid/>
                <w:sz w:val="20"/>
                <w:szCs w:val="20"/>
              </w:rPr>
            </w:pPr>
            <w:r w:rsidRPr="009E1F17">
              <w:rPr>
                <w:rFonts w:ascii="Arial Narrow" w:hAnsi="Arial Narrow" w:cs="Times New Roman"/>
                <w:b/>
                <w:snapToGrid/>
                <w:sz w:val="20"/>
                <w:szCs w:val="20"/>
              </w:rPr>
              <w:t>Protocol title/ Publication title</w:t>
            </w:r>
          </w:p>
        </w:tc>
        <w:tc>
          <w:tcPr>
            <w:tcW w:w="1402" w:type="pct"/>
            <w:vAlign w:val="center"/>
          </w:tcPr>
          <w:p w:rsidR="009E1F17" w:rsidRPr="009E1F17" w:rsidRDefault="009E1F17" w:rsidP="007477ED">
            <w:pPr>
              <w:keepNext/>
              <w:widowControl/>
              <w:jc w:val="left"/>
              <w:rPr>
                <w:rFonts w:ascii="Arial Narrow" w:hAnsi="Arial Narrow" w:cs="Times New Roman"/>
                <w:b/>
                <w:snapToGrid/>
                <w:sz w:val="20"/>
                <w:szCs w:val="20"/>
              </w:rPr>
            </w:pPr>
            <w:r w:rsidRPr="009E1F17">
              <w:rPr>
                <w:rFonts w:ascii="Arial Narrow" w:hAnsi="Arial Narrow" w:cs="Times New Roman"/>
                <w:b/>
                <w:snapToGrid/>
                <w:sz w:val="20"/>
                <w:szCs w:val="20"/>
              </w:rPr>
              <w:t>Publication citation</w:t>
            </w:r>
          </w:p>
        </w:tc>
      </w:tr>
      <w:tr w:rsidR="009E1F17" w:rsidRPr="009E1F17" w:rsidTr="00701F69">
        <w:tc>
          <w:tcPr>
            <w:tcW w:w="795" w:type="pct"/>
            <w:vMerge w:val="restart"/>
            <w:vAlign w:val="center"/>
          </w:tcPr>
          <w:p w:rsidR="009E1F17" w:rsidRPr="009E1F17" w:rsidRDefault="009E1F17" w:rsidP="007477ED">
            <w:pPr>
              <w:keepNext/>
              <w:widowControl/>
              <w:jc w:val="left"/>
              <w:rPr>
                <w:rFonts w:ascii="Arial Narrow" w:hAnsi="Arial Narrow" w:cs="Times New Roman"/>
                <w:snapToGrid/>
                <w:sz w:val="20"/>
                <w:szCs w:val="20"/>
              </w:rPr>
            </w:pPr>
            <w:r w:rsidRPr="009E1F17">
              <w:rPr>
                <w:rFonts w:ascii="Arial Narrow" w:hAnsi="Arial Narrow" w:cs="Times New Roman"/>
                <w:snapToGrid/>
                <w:sz w:val="20"/>
                <w:szCs w:val="20"/>
              </w:rPr>
              <w:t>Einstein CHOICE</w:t>
            </w:r>
          </w:p>
        </w:tc>
        <w:tc>
          <w:tcPr>
            <w:tcW w:w="2803" w:type="pct"/>
            <w:tcBorders>
              <w:bottom w:val="nil"/>
            </w:tcBorders>
            <w:vAlign w:val="center"/>
          </w:tcPr>
          <w:p w:rsidR="009E1F17" w:rsidRPr="009E1F17" w:rsidRDefault="009E1F17" w:rsidP="007477ED">
            <w:pPr>
              <w:keepNext/>
              <w:widowControl/>
              <w:jc w:val="left"/>
              <w:rPr>
                <w:rFonts w:ascii="Arial Narrow" w:hAnsi="Arial Narrow" w:cs="Times New Roman"/>
                <w:snapToGrid/>
                <w:sz w:val="20"/>
                <w:szCs w:val="20"/>
              </w:rPr>
            </w:pPr>
            <w:r w:rsidRPr="009E1F17">
              <w:rPr>
                <w:rFonts w:ascii="Arial Narrow" w:hAnsi="Arial Narrow" w:cs="Times New Roman"/>
                <w:snapToGrid/>
                <w:sz w:val="20"/>
                <w:szCs w:val="20"/>
              </w:rPr>
              <w:t>CSR Einstein CHOICE: Reduced-dosed rivaroxaban and standard-dosed rivaroxaban verses ASA in the long-term prevention of recurrent symptomatic venous thromboembolism in patients with symptomatic deep-vein thrombosis and/or pulmonary embolism. The Einstein CHOICE study</w:t>
            </w:r>
          </w:p>
        </w:tc>
        <w:tc>
          <w:tcPr>
            <w:tcW w:w="1402" w:type="pct"/>
            <w:tcBorders>
              <w:bottom w:val="nil"/>
            </w:tcBorders>
            <w:vAlign w:val="center"/>
          </w:tcPr>
          <w:p w:rsidR="009E1F17" w:rsidRPr="009E1F17" w:rsidRDefault="009E1F17" w:rsidP="007477ED">
            <w:pPr>
              <w:keepNext/>
              <w:widowControl/>
              <w:jc w:val="left"/>
              <w:rPr>
                <w:rFonts w:ascii="Arial Narrow" w:hAnsi="Arial Narrow" w:cs="Times New Roman"/>
                <w:snapToGrid/>
                <w:sz w:val="20"/>
                <w:szCs w:val="20"/>
              </w:rPr>
            </w:pPr>
            <w:r w:rsidRPr="009E1F17">
              <w:rPr>
                <w:rFonts w:ascii="Arial Narrow" w:hAnsi="Arial Narrow" w:cs="Times New Roman"/>
                <w:snapToGrid/>
                <w:sz w:val="20"/>
                <w:szCs w:val="20"/>
              </w:rPr>
              <w:t>Sponsor internal database</w:t>
            </w:r>
          </w:p>
          <w:p w:rsidR="009E1F17" w:rsidRPr="009E1F17" w:rsidRDefault="009E1F17" w:rsidP="007477ED">
            <w:pPr>
              <w:keepNext/>
              <w:widowControl/>
              <w:jc w:val="left"/>
              <w:rPr>
                <w:rFonts w:ascii="Arial Narrow" w:hAnsi="Arial Narrow" w:cs="Times New Roman"/>
                <w:snapToGrid/>
                <w:sz w:val="20"/>
                <w:szCs w:val="20"/>
              </w:rPr>
            </w:pPr>
            <w:r w:rsidRPr="009E1F17">
              <w:rPr>
                <w:rFonts w:ascii="Arial Narrow" w:hAnsi="Arial Narrow" w:cs="Times New Roman"/>
                <w:snapToGrid/>
                <w:sz w:val="20"/>
                <w:szCs w:val="20"/>
              </w:rPr>
              <w:t xml:space="preserve">February 2017 </w:t>
            </w:r>
          </w:p>
          <w:p w:rsidR="009E1F17" w:rsidRPr="009E1F17" w:rsidRDefault="009E1F17" w:rsidP="007477ED">
            <w:pPr>
              <w:keepNext/>
              <w:widowControl/>
              <w:jc w:val="left"/>
              <w:rPr>
                <w:rFonts w:ascii="Arial Narrow" w:hAnsi="Arial Narrow" w:cs="Times New Roman"/>
                <w:snapToGrid/>
                <w:sz w:val="20"/>
                <w:szCs w:val="20"/>
                <w:highlight w:val="yellow"/>
              </w:rPr>
            </w:pPr>
          </w:p>
        </w:tc>
      </w:tr>
      <w:tr w:rsidR="009E1F17" w:rsidRPr="009E1F17" w:rsidTr="00701F69">
        <w:tc>
          <w:tcPr>
            <w:tcW w:w="795" w:type="pct"/>
            <w:vMerge/>
            <w:vAlign w:val="center"/>
          </w:tcPr>
          <w:p w:rsidR="009E1F17" w:rsidRPr="009E1F17" w:rsidRDefault="009E1F17" w:rsidP="009E1F17">
            <w:pPr>
              <w:widowControl/>
              <w:jc w:val="left"/>
              <w:rPr>
                <w:rFonts w:ascii="Arial Narrow" w:hAnsi="Arial Narrow" w:cs="Times New Roman"/>
                <w:snapToGrid/>
                <w:sz w:val="20"/>
                <w:szCs w:val="20"/>
              </w:rPr>
            </w:pPr>
          </w:p>
        </w:tc>
        <w:tc>
          <w:tcPr>
            <w:tcW w:w="2803" w:type="pct"/>
            <w:tcBorders>
              <w:bottom w:val="nil"/>
            </w:tcBorders>
            <w:vAlign w:val="center"/>
          </w:tcPr>
          <w:p w:rsidR="009E1F17" w:rsidRPr="009E1F17" w:rsidRDefault="009E1F17" w:rsidP="009E1F17">
            <w:pPr>
              <w:widowControl/>
              <w:jc w:val="left"/>
              <w:rPr>
                <w:rFonts w:ascii="Arial Narrow" w:hAnsi="Arial Narrow" w:cs="Times New Roman"/>
                <w:snapToGrid/>
                <w:sz w:val="20"/>
                <w:szCs w:val="20"/>
              </w:rPr>
            </w:pPr>
            <w:proofErr w:type="spellStart"/>
            <w:r w:rsidRPr="009E1F17">
              <w:rPr>
                <w:rFonts w:ascii="Arial Narrow" w:hAnsi="Arial Narrow" w:cs="Times New Roman"/>
                <w:snapToGrid/>
                <w:sz w:val="20"/>
                <w:szCs w:val="20"/>
              </w:rPr>
              <w:t>Weitz</w:t>
            </w:r>
            <w:proofErr w:type="spellEnd"/>
            <w:r w:rsidRPr="009E1F17">
              <w:rPr>
                <w:rFonts w:ascii="Arial Narrow" w:hAnsi="Arial Narrow" w:cs="Times New Roman"/>
                <w:snapToGrid/>
                <w:sz w:val="20"/>
                <w:szCs w:val="20"/>
              </w:rPr>
              <w:t xml:space="preserve"> J, Lensing A, </w:t>
            </w:r>
            <w:proofErr w:type="spellStart"/>
            <w:r w:rsidRPr="009E1F17">
              <w:rPr>
                <w:rFonts w:ascii="Arial Narrow" w:hAnsi="Arial Narrow" w:cs="Times New Roman"/>
                <w:snapToGrid/>
                <w:sz w:val="20"/>
                <w:szCs w:val="20"/>
              </w:rPr>
              <w:t>Prins</w:t>
            </w:r>
            <w:proofErr w:type="spellEnd"/>
            <w:r w:rsidRPr="009E1F17">
              <w:rPr>
                <w:rFonts w:ascii="Arial Narrow" w:hAnsi="Arial Narrow" w:cs="Times New Roman"/>
                <w:snapToGrid/>
                <w:sz w:val="20"/>
                <w:szCs w:val="20"/>
              </w:rPr>
              <w:t xml:space="preserve"> M, et al. Rivaroxaban or aspirin for extended treatment of venous thromboembolism. </w:t>
            </w:r>
          </w:p>
        </w:tc>
        <w:tc>
          <w:tcPr>
            <w:tcW w:w="1402" w:type="pct"/>
            <w:tcBorders>
              <w:bottom w:val="nil"/>
            </w:tcBorders>
            <w:vAlign w:val="center"/>
          </w:tcPr>
          <w:p w:rsidR="009E1F17" w:rsidRPr="009E1F17" w:rsidRDefault="009E1F17" w:rsidP="009E1F17">
            <w:pPr>
              <w:widowControl/>
              <w:jc w:val="left"/>
              <w:rPr>
                <w:rFonts w:ascii="Arial Narrow" w:hAnsi="Arial Narrow" w:cs="Times New Roman"/>
                <w:snapToGrid/>
                <w:sz w:val="20"/>
                <w:szCs w:val="20"/>
              </w:rPr>
            </w:pPr>
            <w:r w:rsidRPr="009E1F17">
              <w:rPr>
                <w:rFonts w:ascii="Arial Narrow" w:hAnsi="Arial Narrow" w:cs="Times New Roman"/>
                <w:snapToGrid/>
                <w:sz w:val="20"/>
                <w:szCs w:val="20"/>
              </w:rPr>
              <w:t>New England Journal of Medicine. 2017;376(13):1211-1222</w:t>
            </w:r>
          </w:p>
        </w:tc>
      </w:tr>
      <w:tr w:rsidR="009E1F17" w:rsidRPr="009E1F17" w:rsidTr="00701F69">
        <w:tc>
          <w:tcPr>
            <w:tcW w:w="795" w:type="pct"/>
            <w:vMerge/>
            <w:vAlign w:val="center"/>
          </w:tcPr>
          <w:p w:rsidR="009E1F17" w:rsidRPr="009E1F17" w:rsidRDefault="009E1F17" w:rsidP="009E1F17">
            <w:pPr>
              <w:widowControl/>
              <w:jc w:val="left"/>
              <w:rPr>
                <w:rFonts w:ascii="Arial Narrow" w:hAnsi="Arial Narrow" w:cs="Times New Roman"/>
                <w:snapToGrid/>
                <w:sz w:val="20"/>
                <w:szCs w:val="20"/>
              </w:rPr>
            </w:pPr>
          </w:p>
        </w:tc>
        <w:tc>
          <w:tcPr>
            <w:tcW w:w="2803" w:type="pct"/>
            <w:tcBorders>
              <w:bottom w:val="nil"/>
            </w:tcBorders>
            <w:vAlign w:val="center"/>
          </w:tcPr>
          <w:p w:rsidR="009E1F17" w:rsidRPr="009E1F17" w:rsidRDefault="009E1F17" w:rsidP="009E1F17">
            <w:pPr>
              <w:widowControl/>
              <w:jc w:val="left"/>
              <w:rPr>
                <w:rFonts w:ascii="Arial Narrow" w:hAnsi="Arial Narrow" w:cs="Times New Roman"/>
                <w:snapToGrid/>
                <w:sz w:val="20"/>
                <w:szCs w:val="20"/>
              </w:rPr>
            </w:pPr>
            <w:r w:rsidRPr="009E1F17">
              <w:rPr>
                <w:rFonts w:ascii="Arial Narrow" w:hAnsi="Arial Narrow" w:cs="Times New Roman"/>
                <w:snapToGrid/>
                <w:sz w:val="20"/>
                <w:szCs w:val="20"/>
              </w:rPr>
              <w:t>Reduced-dosed rivaroxaban in the long-term prevention of recurrent symptomatic VTE (venous thromboembolism) (Einstein Choice). NCT02064439</w:t>
            </w:r>
          </w:p>
        </w:tc>
        <w:tc>
          <w:tcPr>
            <w:tcW w:w="1402" w:type="pct"/>
            <w:tcBorders>
              <w:bottom w:val="nil"/>
            </w:tcBorders>
            <w:vAlign w:val="center"/>
          </w:tcPr>
          <w:p w:rsidR="009E1F17" w:rsidRPr="009E1F17" w:rsidRDefault="009E1F17" w:rsidP="009E1F17">
            <w:pPr>
              <w:widowControl/>
              <w:jc w:val="left"/>
              <w:rPr>
                <w:rFonts w:ascii="Arial Narrow" w:hAnsi="Arial Narrow" w:cs="Times New Roman"/>
                <w:snapToGrid/>
                <w:sz w:val="20"/>
                <w:szCs w:val="20"/>
              </w:rPr>
            </w:pPr>
            <w:r w:rsidRPr="009E1F17">
              <w:rPr>
                <w:rFonts w:ascii="Arial Narrow" w:hAnsi="Arial Narrow" w:cs="Times New Roman"/>
                <w:snapToGrid/>
                <w:sz w:val="20"/>
                <w:szCs w:val="20"/>
              </w:rPr>
              <w:t>Registry search</w:t>
            </w:r>
          </w:p>
        </w:tc>
      </w:tr>
      <w:tr w:rsidR="009E1F17" w:rsidRPr="009E1F17" w:rsidTr="00701F69">
        <w:tc>
          <w:tcPr>
            <w:tcW w:w="795" w:type="pct"/>
            <w:vMerge/>
            <w:tcBorders>
              <w:bottom w:val="nil"/>
            </w:tcBorders>
            <w:vAlign w:val="center"/>
          </w:tcPr>
          <w:p w:rsidR="009E1F17" w:rsidRPr="009E1F17" w:rsidRDefault="009E1F17" w:rsidP="009E1F17">
            <w:pPr>
              <w:widowControl/>
              <w:jc w:val="left"/>
              <w:rPr>
                <w:rFonts w:ascii="Arial Narrow" w:hAnsi="Arial Narrow" w:cs="Times New Roman"/>
                <w:snapToGrid/>
                <w:sz w:val="20"/>
                <w:szCs w:val="20"/>
              </w:rPr>
            </w:pPr>
          </w:p>
        </w:tc>
        <w:tc>
          <w:tcPr>
            <w:tcW w:w="2803" w:type="pct"/>
            <w:tcBorders>
              <w:bottom w:val="nil"/>
            </w:tcBorders>
            <w:vAlign w:val="center"/>
          </w:tcPr>
          <w:p w:rsidR="009E1F17" w:rsidRPr="009E1F17" w:rsidRDefault="009E1F17" w:rsidP="009E1F17">
            <w:pPr>
              <w:widowControl/>
              <w:jc w:val="left"/>
              <w:rPr>
                <w:rFonts w:ascii="Arial Narrow" w:hAnsi="Arial Narrow" w:cs="Times New Roman"/>
                <w:snapToGrid/>
                <w:sz w:val="20"/>
                <w:szCs w:val="20"/>
              </w:rPr>
            </w:pPr>
            <w:r w:rsidRPr="009E1F17">
              <w:rPr>
                <w:rFonts w:ascii="Arial Narrow" w:hAnsi="Arial Narrow" w:cs="Times New Roman"/>
                <w:snapToGrid/>
                <w:sz w:val="20"/>
                <w:szCs w:val="20"/>
              </w:rPr>
              <w:t xml:space="preserve">Reduced-dosed rivaroxaban and standard-dosed rivaroxaban verses ASA in the long-term prevention of recurrent symptomatic venous thromboembolism in patients with symptomatic deep-vein thrombosis and/or pulmonary embolism. The Einstein CHOICE study. </w:t>
            </w:r>
            <w:proofErr w:type="spellStart"/>
            <w:r w:rsidRPr="009E1F17">
              <w:rPr>
                <w:rFonts w:ascii="Arial Narrow" w:hAnsi="Arial Narrow" w:cs="Times New Roman"/>
                <w:snapToGrid/>
                <w:sz w:val="20"/>
                <w:szCs w:val="20"/>
              </w:rPr>
              <w:t>EudraCT</w:t>
            </w:r>
            <w:proofErr w:type="spellEnd"/>
            <w:r w:rsidRPr="009E1F17">
              <w:rPr>
                <w:rFonts w:ascii="Arial Narrow" w:hAnsi="Arial Narrow" w:cs="Times New Roman"/>
                <w:snapToGrid/>
                <w:sz w:val="20"/>
                <w:szCs w:val="20"/>
              </w:rPr>
              <w:t xml:space="preserve"> Number: 2013-000619-26</w:t>
            </w:r>
          </w:p>
        </w:tc>
        <w:tc>
          <w:tcPr>
            <w:tcW w:w="1402" w:type="pct"/>
            <w:tcBorders>
              <w:bottom w:val="nil"/>
            </w:tcBorders>
            <w:vAlign w:val="center"/>
          </w:tcPr>
          <w:p w:rsidR="009E1F17" w:rsidRPr="009E1F17" w:rsidRDefault="009E1F17" w:rsidP="009E1F17">
            <w:pPr>
              <w:widowControl/>
              <w:jc w:val="left"/>
              <w:rPr>
                <w:rFonts w:ascii="Arial Narrow" w:hAnsi="Arial Narrow" w:cs="Times New Roman"/>
                <w:snapToGrid/>
                <w:sz w:val="20"/>
                <w:szCs w:val="20"/>
              </w:rPr>
            </w:pPr>
            <w:r w:rsidRPr="009E1F17">
              <w:rPr>
                <w:rFonts w:ascii="Arial Narrow" w:hAnsi="Arial Narrow" w:cs="Times New Roman"/>
                <w:snapToGrid/>
                <w:sz w:val="20"/>
                <w:szCs w:val="20"/>
              </w:rPr>
              <w:t>Registry search</w:t>
            </w:r>
          </w:p>
        </w:tc>
      </w:tr>
      <w:tr w:rsidR="009E1F17" w:rsidRPr="009E1F17" w:rsidTr="00701F69">
        <w:tc>
          <w:tcPr>
            <w:tcW w:w="795" w:type="pct"/>
            <w:vMerge w:val="restart"/>
            <w:vAlign w:val="center"/>
          </w:tcPr>
          <w:p w:rsidR="009E1F17" w:rsidRPr="009E1F17" w:rsidRDefault="009E1F17" w:rsidP="009E1F17">
            <w:pPr>
              <w:jc w:val="left"/>
              <w:rPr>
                <w:rFonts w:ascii="Arial Narrow" w:hAnsi="Arial Narrow" w:cs="Times New Roman"/>
                <w:snapToGrid/>
                <w:sz w:val="20"/>
                <w:szCs w:val="20"/>
              </w:rPr>
            </w:pPr>
            <w:r w:rsidRPr="009E1F17">
              <w:rPr>
                <w:rFonts w:ascii="Arial Narrow" w:hAnsi="Arial Narrow" w:cs="Times New Roman"/>
                <w:snapToGrid/>
                <w:sz w:val="20"/>
                <w:szCs w:val="20"/>
              </w:rPr>
              <w:t>Einstein EXT</w:t>
            </w:r>
          </w:p>
        </w:tc>
        <w:tc>
          <w:tcPr>
            <w:tcW w:w="2803" w:type="pct"/>
            <w:tcBorders>
              <w:bottom w:val="single" w:sz="4" w:space="0" w:color="auto"/>
            </w:tcBorders>
            <w:vAlign w:val="center"/>
          </w:tcPr>
          <w:p w:rsidR="009E1F17" w:rsidRPr="009E1F17" w:rsidRDefault="009E1F17" w:rsidP="009E1F17">
            <w:pPr>
              <w:widowControl/>
              <w:jc w:val="left"/>
              <w:rPr>
                <w:rFonts w:ascii="Arial Narrow" w:hAnsi="Arial Narrow" w:cs="Times New Roman"/>
                <w:snapToGrid/>
                <w:sz w:val="20"/>
                <w:szCs w:val="20"/>
              </w:rPr>
            </w:pPr>
            <w:r w:rsidRPr="009E1F17">
              <w:rPr>
                <w:rFonts w:ascii="Arial Narrow" w:hAnsi="Arial Narrow" w:cs="Times New Roman"/>
                <w:snapToGrid/>
                <w:sz w:val="20"/>
                <w:szCs w:val="20"/>
              </w:rPr>
              <w:t xml:space="preserve">CSR Einstein EXT 1 Sept 2010 (Sponsor on file): Once-daily oral direct factor </w:t>
            </w:r>
            <w:proofErr w:type="spellStart"/>
            <w:r w:rsidRPr="009E1F17">
              <w:rPr>
                <w:rFonts w:ascii="Arial Narrow" w:hAnsi="Arial Narrow" w:cs="Times New Roman"/>
                <w:snapToGrid/>
                <w:sz w:val="20"/>
                <w:szCs w:val="20"/>
              </w:rPr>
              <w:t>Xa</w:t>
            </w:r>
            <w:proofErr w:type="spellEnd"/>
            <w:r w:rsidRPr="009E1F17">
              <w:rPr>
                <w:rFonts w:ascii="Arial Narrow" w:hAnsi="Arial Narrow" w:cs="Times New Roman"/>
                <w:snapToGrid/>
                <w:sz w:val="20"/>
                <w:szCs w:val="20"/>
              </w:rPr>
              <w:t xml:space="preserve"> inhibitor rivaroxaban in the long-term prevention of recurrent symptomatic venous thromboembolism in patients with symptomatic deep-vein thrombosis or pulmonary embolism. The Einstein extension study.</w:t>
            </w:r>
          </w:p>
        </w:tc>
        <w:tc>
          <w:tcPr>
            <w:tcW w:w="1402" w:type="pct"/>
            <w:tcBorders>
              <w:bottom w:val="single" w:sz="4" w:space="0" w:color="auto"/>
            </w:tcBorders>
            <w:vAlign w:val="center"/>
          </w:tcPr>
          <w:p w:rsidR="009E1F17" w:rsidRPr="009E1F17" w:rsidRDefault="009E1F17" w:rsidP="009E1F17">
            <w:pPr>
              <w:widowControl/>
              <w:jc w:val="left"/>
              <w:rPr>
                <w:rFonts w:ascii="Arial Narrow" w:hAnsi="Arial Narrow" w:cs="Times New Roman"/>
                <w:snapToGrid/>
                <w:sz w:val="20"/>
                <w:szCs w:val="20"/>
              </w:rPr>
            </w:pPr>
            <w:r w:rsidRPr="009E1F17">
              <w:rPr>
                <w:rFonts w:ascii="Arial Narrow" w:hAnsi="Arial Narrow" w:cs="Times New Roman"/>
                <w:snapToGrid/>
                <w:sz w:val="20"/>
                <w:szCs w:val="20"/>
              </w:rPr>
              <w:t>Sponsor on file</w:t>
            </w:r>
          </w:p>
          <w:p w:rsidR="009E1F17" w:rsidRPr="009E1F17" w:rsidRDefault="009E1F17" w:rsidP="009E1F17">
            <w:pPr>
              <w:widowControl/>
              <w:jc w:val="left"/>
              <w:rPr>
                <w:rFonts w:ascii="Arial Narrow" w:hAnsi="Arial Narrow" w:cs="Times New Roman"/>
                <w:snapToGrid/>
                <w:sz w:val="20"/>
                <w:szCs w:val="20"/>
              </w:rPr>
            </w:pPr>
            <w:r w:rsidRPr="009E1F17">
              <w:rPr>
                <w:rFonts w:ascii="Arial Narrow" w:hAnsi="Arial Narrow" w:cs="Times New Roman"/>
                <w:snapToGrid/>
                <w:sz w:val="20"/>
                <w:szCs w:val="20"/>
              </w:rPr>
              <w:t>September 2010</w:t>
            </w:r>
          </w:p>
          <w:p w:rsidR="009E1F17" w:rsidRPr="009E1F17" w:rsidRDefault="009E1F17" w:rsidP="009E1F17">
            <w:pPr>
              <w:widowControl/>
              <w:jc w:val="left"/>
              <w:rPr>
                <w:rFonts w:ascii="Arial Narrow" w:hAnsi="Arial Narrow" w:cs="Times New Roman"/>
                <w:snapToGrid/>
                <w:sz w:val="20"/>
                <w:szCs w:val="20"/>
              </w:rPr>
            </w:pPr>
          </w:p>
          <w:p w:rsidR="009E1F17" w:rsidRPr="009E1F17" w:rsidRDefault="009E1F17" w:rsidP="009E1F17">
            <w:pPr>
              <w:widowControl/>
              <w:jc w:val="left"/>
              <w:rPr>
                <w:rFonts w:ascii="Arial Narrow" w:hAnsi="Arial Narrow" w:cs="Times New Roman"/>
                <w:snapToGrid/>
                <w:sz w:val="20"/>
                <w:szCs w:val="20"/>
              </w:rPr>
            </w:pPr>
          </w:p>
        </w:tc>
      </w:tr>
      <w:tr w:rsidR="009E1F17" w:rsidRPr="009E1F17" w:rsidTr="00701F69">
        <w:tc>
          <w:tcPr>
            <w:tcW w:w="795" w:type="pct"/>
            <w:vMerge/>
            <w:vAlign w:val="center"/>
          </w:tcPr>
          <w:p w:rsidR="009E1F17" w:rsidRPr="009E1F17" w:rsidRDefault="009E1F17" w:rsidP="009E1F17">
            <w:pPr>
              <w:widowControl/>
              <w:jc w:val="left"/>
              <w:rPr>
                <w:rFonts w:ascii="Arial Narrow" w:hAnsi="Arial Narrow" w:cs="Times New Roman"/>
                <w:snapToGrid/>
                <w:sz w:val="20"/>
                <w:szCs w:val="20"/>
              </w:rPr>
            </w:pPr>
          </w:p>
        </w:tc>
        <w:tc>
          <w:tcPr>
            <w:tcW w:w="2803" w:type="pct"/>
            <w:tcBorders>
              <w:top w:val="single" w:sz="4" w:space="0" w:color="auto"/>
              <w:bottom w:val="single" w:sz="4" w:space="0" w:color="auto"/>
            </w:tcBorders>
            <w:vAlign w:val="center"/>
          </w:tcPr>
          <w:p w:rsidR="009E1F17" w:rsidRPr="009E1F17" w:rsidRDefault="009E1F17" w:rsidP="009E1F17">
            <w:pPr>
              <w:widowControl/>
              <w:jc w:val="left"/>
              <w:rPr>
                <w:rFonts w:ascii="Arial Narrow" w:hAnsi="Arial Narrow" w:cs="Times New Roman"/>
                <w:snapToGrid/>
                <w:sz w:val="20"/>
                <w:szCs w:val="20"/>
              </w:rPr>
            </w:pPr>
            <w:r w:rsidRPr="009E1F17">
              <w:rPr>
                <w:rFonts w:ascii="Arial Narrow" w:hAnsi="Arial Narrow" w:cs="Times New Roman"/>
                <w:snapToGrid/>
                <w:sz w:val="20"/>
                <w:szCs w:val="20"/>
                <w:lang w:val="nn-NO"/>
              </w:rPr>
              <w:t xml:space="preserve">Einstein Investigators, Bauersachs R, Brenner B, Buller H, et al. </w:t>
            </w:r>
            <w:r w:rsidRPr="009E1F17">
              <w:rPr>
                <w:rFonts w:ascii="Arial Narrow" w:hAnsi="Arial Narrow" w:cs="Times New Roman"/>
                <w:snapToGrid/>
                <w:sz w:val="20"/>
                <w:szCs w:val="20"/>
              </w:rPr>
              <w:t xml:space="preserve">Oral rivaroxaban for symptomatic venous thromboembolism. </w:t>
            </w:r>
          </w:p>
        </w:tc>
        <w:tc>
          <w:tcPr>
            <w:tcW w:w="1402" w:type="pct"/>
            <w:tcBorders>
              <w:top w:val="single" w:sz="4" w:space="0" w:color="auto"/>
              <w:bottom w:val="single" w:sz="4" w:space="0" w:color="auto"/>
            </w:tcBorders>
            <w:vAlign w:val="center"/>
          </w:tcPr>
          <w:p w:rsidR="009E1F17" w:rsidRPr="009E1F17" w:rsidRDefault="009E1F17" w:rsidP="009E1F17">
            <w:pPr>
              <w:widowControl/>
              <w:jc w:val="left"/>
              <w:rPr>
                <w:rFonts w:ascii="Arial Narrow" w:hAnsi="Arial Narrow" w:cs="Times New Roman"/>
                <w:i/>
                <w:snapToGrid/>
                <w:sz w:val="20"/>
                <w:szCs w:val="20"/>
              </w:rPr>
            </w:pPr>
            <w:r w:rsidRPr="009E1F17">
              <w:rPr>
                <w:rFonts w:ascii="Arial Narrow" w:hAnsi="Arial Narrow" w:cs="Times New Roman"/>
                <w:snapToGrid/>
                <w:sz w:val="20"/>
                <w:szCs w:val="20"/>
              </w:rPr>
              <w:t>New England Journal of Medicine. 2010;363(26):2499-2510</w:t>
            </w:r>
          </w:p>
        </w:tc>
      </w:tr>
      <w:tr w:rsidR="009E1F17" w:rsidRPr="009E1F17" w:rsidTr="00701F69">
        <w:tc>
          <w:tcPr>
            <w:tcW w:w="795" w:type="pct"/>
            <w:vMerge/>
            <w:vAlign w:val="center"/>
          </w:tcPr>
          <w:p w:rsidR="009E1F17" w:rsidRPr="009E1F17" w:rsidRDefault="009E1F17" w:rsidP="009E1F17">
            <w:pPr>
              <w:widowControl/>
              <w:jc w:val="left"/>
              <w:rPr>
                <w:rFonts w:ascii="Arial Narrow" w:hAnsi="Arial Narrow" w:cs="Times New Roman"/>
                <w:snapToGrid/>
                <w:sz w:val="20"/>
                <w:szCs w:val="20"/>
              </w:rPr>
            </w:pPr>
          </w:p>
        </w:tc>
        <w:tc>
          <w:tcPr>
            <w:tcW w:w="2803" w:type="pct"/>
            <w:tcBorders>
              <w:top w:val="single" w:sz="4" w:space="0" w:color="auto"/>
              <w:bottom w:val="single" w:sz="4" w:space="0" w:color="auto"/>
            </w:tcBorders>
            <w:vAlign w:val="center"/>
          </w:tcPr>
          <w:p w:rsidR="009E1F17" w:rsidRPr="009E1F17" w:rsidRDefault="009E1F17" w:rsidP="009E1F17">
            <w:pPr>
              <w:widowControl/>
              <w:jc w:val="left"/>
              <w:rPr>
                <w:rFonts w:ascii="Arial Narrow" w:hAnsi="Arial Narrow" w:cs="Times New Roman"/>
                <w:snapToGrid/>
                <w:sz w:val="20"/>
                <w:szCs w:val="20"/>
              </w:rPr>
            </w:pPr>
            <w:r w:rsidRPr="009E1F17">
              <w:rPr>
                <w:rFonts w:ascii="Arial Narrow" w:hAnsi="Arial Narrow" w:cs="Times New Roman"/>
                <w:snapToGrid/>
                <w:sz w:val="20"/>
                <w:szCs w:val="20"/>
              </w:rPr>
              <w:t xml:space="preserve">Once daily direct factor </w:t>
            </w:r>
            <w:proofErr w:type="spellStart"/>
            <w:r w:rsidRPr="009E1F17">
              <w:rPr>
                <w:rFonts w:ascii="Arial Narrow" w:hAnsi="Arial Narrow" w:cs="Times New Roman"/>
                <w:snapToGrid/>
                <w:sz w:val="20"/>
                <w:szCs w:val="20"/>
              </w:rPr>
              <w:t>Xa</w:t>
            </w:r>
            <w:proofErr w:type="spellEnd"/>
            <w:r w:rsidRPr="009E1F17">
              <w:rPr>
                <w:rFonts w:ascii="Arial Narrow" w:hAnsi="Arial Narrow" w:cs="Times New Roman"/>
                <w:snapToGrid/>
                <w:sz w:val="20"/>
                <w:szCs w:val="20"/>
              </w:rPr>
              <w:t xml:space="preserve"> inhibitor rivaroxaban in the long-term prevention of recurrent symptomatic venous thromboembolism in patients with symptomatic deep-vein thrombosis or pulmonary embolism. The Einstein-Extension study. NCT00439725</w:t>
            </w:r>
          </w:p>
        </w:tc>
        <w:tc>
          <w:tcPr>
            <w:tcW w:w="1402" w:type="pct"/>
            <w:tcBorders>
              <w:top w:val="single" w:sz="4" w:space="0" w:color="auto"/>
              <w:bottom w:val="single" w:sz="4" w:space="0" w:color="auto"/>
            </w:tcBorders>
            <w:vAlign w:val="center"/>
          </w:tcPr>
          <w:p w:rsidR="009E1F17" w:rsidRPr="009E1F17" w:rsidRDefault="009E1F17" w:rsidP="009E1F17">
            <w:pPr>
              <w:widowControl/>
              <w:jc w:val="left"/>
              <w:rPr>
                <w:rFonts w:ascii="Arial Narrow" w:hAnsi="Arial Narrow" w:cs="Times New Roman"/>
                <w:snapToGrid/>
                <w:sz w:val="20"/>
                <w:szCs w:val="20"/>
              </w:rPr>
            </w:pPr>
            <w:r w:rsidRPr="009E1F17">
              <w:rPr>
                <w:rFonts w:ascii="Arial Narrow" w:hAnsi="Arial Narrow" w:cs="Times New Roman"/>
                <w:snapToGrid/>
                <w:sz w:val="20"/>
                <w:szCs w:val="20"/>
              </w:rPr>
              <w:t>Registry search</w:t>
            </w:r>
          </w:p>
          <w:p w:rsidR="009E1F17" w:rsidRPr="009E1F17" w:rsidRDefault="009E1F17" w:rsidP="009E1F17">
            <w:pPr>
              <w:widowControl/>
              <w:jc w:val="left"/>
              <w:rPr>
                <w:rFonts w:ascii="Arial Narrow" w:hAnsi="Arial Narrow" w:cs="Times New Roman"/>
                <w:snapToGrid/>
                <w:sz w:val="20"/>
                <w:szCs w:val="20"/>
              </w:rPr>
            </w:pPr>
          </w:p>
        </w:tc>
      </w:tr>
      <w:tr w:rsidR="009E1F17" w:rsidRPr="009E1F17" w:rsidTr="00701F69">
        <w:tc>
          <w:tcPr>
            <w:tcW w:w="795" w:type="pct"/>
            <w:vMerge/>
            <w:tcBorders>
              <w:bottom w:val="single" w:sz="4" w:space="0" w:color="auto"/>
            </w:tcBorders>
            <w:vAlign w:val="center"/>
          </w:tcPr>
          <w:p w:rsidR="009E1F17" w:rsidRPr="009E1F17" w:rsidRDefault="009E1F17" w:rsidP="009E1F17">
            <w:pPr>
              <w:widowControl/>
              <w:jc w:val="left"/>
              <w:rPr>
                <w:rFonts w:ascii="Arial Narrow" w:hAnsi="Arial Narrow" w:cs="Times New Roman"/>
                <w:snapToGrid/>
                <w:sz w:val="20"/>
                <w:szCs w:val="20"/>
              </w:rPr>
            </w:pPr>
          </w:p>
        </w:tc>
        <w:tc>
          <w:tcPr>
            <w:tcW w:w="2803" w:type="pct"/>
            <w:tcBorders>
              <w:top w:val="single" w:sz="4" w:space="0" w:color="auto"/>
              <w:bottom w:val="single" w:sz="4" w:space="0" w:color="auto"/>
            </w:tcBorders>
            <w:vAlign w:val="center"/>
          </w:tcPr>
          <w:p w:rsidR="009E1F17" w:rsidRPr="009E1F17" w:rsidRDefault="009E1F17" w:rsidP="009E1F17">
            <w:pPr>
              <w:widowControl/>
              <w:jc w:val="left"/>
              <w:rPr>
                <w:rFonts w:ascii="Arial Narrow" w:hAnsi="Arial Narrow" w:cs="Times New Roman"/>
                <w:snapToGrid/>
                <w:sz w:val="20"/>
                <w:szCs w:val="20"/>
              </w:rPr>
            </w:pPr>
            <w:r w:rsidRPr="009E1F17">
              <w:rPr>
                <w:rFonts w:ascii="Arial Narrow" w:hAnsi="Arial Narrow" w:cs="Times New Roman"/>
                <w:snapToGrid/>
                <w:sz w:val="20"/>
                <w:szCs w:val="20"/>
              </w:rPr>
              <w:t xml:space="preserve">Once daily direct factor </w:t>
            </w:r>
            <w:proofErr w:type="spellStart"/>
            <w:r w:rsidRPr="009E1F17">
              <w:rPr>
                <w:rFonts w:ascii="Arial Narrow" w:hAnsi="Arial Narrow" w:cs="Times New Roman"/>
                <w:snapToGrid/>
                <w:sz w:val="20"/>
                <w:szCs w:val="20"/>
              </w:rPr>
              <w:t>Xa</w:t>
            </w:r>
            <w:proofErr w:type="spellEnd"/>
            <w:r w:rsidRPr="009E1F17">
              <w:rPr>
                <w:rFonts w:ascii="Arial Narrow" w:hAnsi="Arial Narrow" w:cs="Times New Roman"/>
                <w:snapToGrid/>
                <w:sz w:val="20"/>
                <w:szCs w:val="20"/>
              </w:rPr>
              <w:t xml:space="preserve"> inhibitor rivaroxaban in the long-term prevention of recurrent symptomatic venous thromboembolism in patients with symptomatic deep-vein thrombosis or pulmonary embolism. The Einstein-Extension study. Eudract_number:2006-004494-96.</w:t>
            </w:r>
          </w:p>
        </w:tc>
        <w:tc>
          <w:tcPr>
            <w:tcW w:w="1402" w:type="pct"/>
            <w:tcBorders>
              <w:top w:val="single" w:sz="4" w:space="0" w:color="auto"/>
              <w:bottom w:val="single" w:sz="4" w:space="0" w:color="auto"/>
            </w:tcBorders>
            <w:vAlign w:val="center"/>
          </w:tcPr>
          <w:p w:rsidR="009E1F17" w:rsidRPr="009E1F17" w:rsidRDefault="009E1F17" w:rsidP="009E1F17">
            <w:pPr>
              <w:widowControl/>
              <w:jc w:val="left"/>
              <w:rPr>
                <w:rFonts w:ascii="Arial Narrow" w:hAnsi="Arial Narrow" w:cs="Times New Roman"/>
                <w:snapToGrid/>
                <w:sz w:val="20"/>
                <w:szCs w:val="20"/>
              </w:rPr>
            </w:pPr>
            <w:r w:rsidRPr="009E1F17">
              <w:rPr>
                <w:rFonts w:ascii="Arial Narrow" w:hAnsi="Arial Narrow" w:cs="Times New Roman"/>
                <w:snapToGrid/>
                <w:sz w:val="20"/>
                <w:szCs w:val="20"/>
              </w:rPr>
              <w:t>Registry search</w:t>
            </w:r>
          </w:p>
        </w:tc>
      </w:tr>
      <w:tr w:rsidR="009E1F17" w:rsidRPr="009E1F17" w:rsidTr="00701F69">
        <w:tc>
          <w:tcPr>
            <w:tcW w:w="795" w:type="pct"/>
            <w:vMerge w:val="restart"/>
            <w:vAlign w:val="center"/>
          </w:tcPr>
          <w:p w:rsidR="009E1F17" w:rsidRPr="009E1F17" w:rsidRDefault="009E1F17" w:rsidP="009E1F17">
            <w:pPr>
              <w:jc w:val="left"/>
              <w:rPr>
                <w:rFonts w:ascii="Arial Narrow" w:hAnsi="Arial Narrow" w:cs="Times New Roman"/>
                <w:snapToGrid/>
                <w:sz w:val="20"/>
                <w:szCs w:val="20"/>
              </w:rPr>
            </w:pPr>
            <w:r w:rsidRPr="009E1F17">
              <w:rPr>
                <w:rFonts w:ascii="Arial Narrow" w:hAnsi="Arial Narrow" w:cs="Times New Roman"/>
                <w:snapToGrid/>
                <w:sz w:val="20"/>
                <w:szCs w:val="20"/>
              </w:rPr>
              <w:t>Amplify EXT</w:t>
            </w:r>
          </w:p>
        </w:tc>
        <w:tc>
          <w:tcPr>
            <w:tcW w:w="2803" w:type="pct"/>
            <w:tcBorders>
              <w:bottom w:val="single" w:sz="4" w:space="0" w:color="auto"/>
            </w:tcBorders>
            <w:vAlign w:val="center"/>
          </w:tcPr>
          <w:p w:rsidR="009E1F17" w:rsidRPr="009E1F17" w:rsidRDefault="009E1F17" w:rsidP="009E1F17">
            <w:pPr>
              <w:widowControl/>
              <w:jc w:val="left"/>
              <w:rPr>
                <w:rFonts w:ascii="Arial Narrow" w:hAnsi="Arial Narrow" w:cs="Times New Roman"/>
                <w:snapToGrid/>
                <w:sz w:val="20"/>
                <w:szCs w:val="20"/>
              </w:rPr>
            </w:pPr>
            <w:proofErr w:type="spellStart"/>
            <w:r w:rsidRPr="009E1F17">
              <w:rPr>
                <w:rFonts w:ascii="Arial Narrow" w:hAnsi="Arial Narrow" w:cs="Times New Roman"/>
                <w:snapToGrid/>
                <w:sz w:val="20"/>
                <w:szCs w:val="20"/>
              </w:rPr>
              <w:t>Agnelli</w:t>
            </w:r>
            <w:proofErr w:type="spellEnd"/>
            <w:r w:rsidRPr="009E1F17">
              <w:rPr>
                <w:rFonts w:ascii="Arial Narrow" w:hAnsi="Arial Narrow" w:cs="Times New Roman"/>
                <w:snapToGrid/>
                <w:sz w:val="20"/>
                <w:szCs w:val="20"/>
              </w:rPr>
              <w:t xml:space="preserve"> G, Buller H, Cohen A, et al. </w:t>
            </w:r>
            <w:proofErr w:type="spellStart"/>
            <w:r w:rsidRPr="009E1F17">
              <w:rPr>
                <w:rFonts w:ascii="Arial Narrow" w:hAnsi="Arial Narrow" w:cs="Times New Roman"/>
                <w:snapToGrid/>
                <w:sz w:val="20"/>
                <w:szCs w:val="20"/>
              </w:rPr>
              <w:t>Apixaban</w:t>
            </w:r>
            <w:proofErr w:type="spellEnd"/>
            <w:r w:rsidRPr="009E1F17">
              <w:rPr>
                <w:rFonts w:ascii="Arial Narrow" w:hAnsi="Arial Narrow" w:cs="Times New Roman"/>
                <w:snapToGrid/>
                <w:sz w:val="20"/>
                <w:szCs w:val="20"/>
              </w:rPr>
              <w:t xml:space="preserve"> for extended treatment of venous thromboembolism. </w:t>
            </w:r>
          </w:p>
        </w:tc>
        <w:tc>
          <w:tcPr>
            <w:tcW w:w="1402" w:type="pct"/>
            <w:tcBorders>
              <w:bottom w:val="single" w:sz="4" w:space="0" w:color="auto"/>
            </w:tcBorders>
            <w:vAlign w:val="center"/>
          </w:tcPr>
          <w:p w:rsidR="009E1F17" w:rsidRPr="009E1F17" w:rsidRDefault="009E1F17" w:rsidP="009E1F17">
            <w:pPr>
              <w:widowControl/>
              <w:jc w:val="left"/>
              <w:rPr>
                <w:rFonts w:ascii="Arial Narrow" w:hAnsi="Arial Narrow" w:cs="Times New Roman"/>
                <w:snapToGrid/>
                <w:sz w:val="20"/>
                <w:szCs w:val="20"/>
              </w:rPr>
            </w:pPr>
            <w:r w:rsidRPr="009E1F17">
              <w:rPr>
                <w:rFonts w:ascii="Arial Narrow" w:hAnsi="Arial Narrow" w:cs="Times New Roman"/>
                <w:snapToGrid/>
                <w:sz w:val="20"/>
                <w:szCs w:val="20"/>
              </w:rPr>
              <w:t>New England Journal of Medicine. 2013</w:t>
            </w:r>
            <w:proofErr w:type="gramStart"/>
            <w:r w:rsidRPr="009E1F17">
              <w:rPr>
                <w:rFonts w:ascii="Arial Narrow" w:hAnsi="Arial Narrow" w:cs="Times New Roman"/>
                <w:snapToGrid/>
                <w:sz w:val="20"/>
                <w:szCs w:val="20"/>
              </w:rPr>
              <w:t>;368</w:t>
            </w:r>
            <w:proofErr w:type="gramEnd"/>
            <w:r w:rsidRPr="009E1F17">
              <w:rPr>
                <w:rFonts w:ascii="Arial Narrow" w:hAnsi="Arial Narrow" w:cs="Times New Roman"/>
                <w:snapToGrid/>
                <w:sz w:val="20"/>
                <w:szCs w:val="20"/>
              </w:rPr>
              <w:t>(8).699-708.</w:t>
            </w:r>
          </w:p>
        </w:tc>
      </w:tr>
      <w:tr w:rsidR="009E1F17" w:rsidRPr="009E1F17" w:rsidTr="00701F69">
        <w:tc>
          <w:tcPr>
            <w:tcW w:w="795" w:type="pct"/>
            <w:vMerge/>
            <w:vAlign w:val="center"/>
          </w:tcPr>
          <w:p w:rsidR="009E1F17" w:rsidRPr="009E1F17" w:rsidRDefault="009E1F17" w:rsidP="009E1F17">
            <w:pPr>
              <w:widowControl/>
              <w:jc w:val="left"/>
              <w:rPr>
                <w:rFonts w:ascii="Arial Narrow" w:hAnsi="Arial Narrow" w:cs="Times New Roman"/>
                <w:snapToGrid/>
                <w:sz w:val="20"/>
                <w:szCs w:val="20"/>
              </w:rPr>
            </w:pPr>
          </w:p>
        </w:tc>
        <w:tc>
          <w:tcPr>
            <w:tcW w:w="2803" w:type="pct"/>
            <w:tcBorders>
              <w:top w:val="single" w:sz="4" w:space="0" w:color="auto"/>
              <w:bottom w:val="single" w:sz="4" w:space="0" w:color="auto"/>
            </w:tcBorders>
            <w:vAlign w:val="center"/>
          </w:tcPr>
          <w:p w:rsidR="009E1F17" w:rsidRPr="009E1F17" w:rsidRDefault="009E1F17" w:rsidP="009E1F17">
            <w:pPr>
              <w:widowControl/>
              <w:jc w:val="left"/>
              <w:rPr>
                <w:rFonts w:ascii="Arial Narrow" w:hAnsi="Arial Narrow" w:cs="Times New Roman"/>
                <w:snapToGrid/>
                <w:sz w:val="20"/>
                <w:szCs w:val="20"/>
              </w:rPr>
            </w:pPr>
            <w:r w:rsidRPr="009E1F17">
              <w:rPr>
                <w:rFonts w:ascii="Arial Narrow" w:hAnsi="Arial Narrow" w:cs="Times New Roman"/>
                <w:snapToGrid/>
                <w:sz w:val="20"/>
                <w:szCs w:val="20"/>
              </w:rPr>
              <w:t xml:space="preserve">Liu X, Thompson J, </w:t>
            </w:r>
            <w:proofErr w:type="spellStart"/>
            <w:r w:rsidRPr="009E1F17">
              <w:rPr>
                <w:rFonts w:ascii="Arial Narrow" w:hAnsi="Arial Narrow" w:cs="Times New Roman"/>
                <w:snapToGrid/>
                <w:sz w:val="20"/>
                <w:szCs w:val="20"/>
              </w:rPr>
              <w:t>Phatak</w:t>
            </w:r>
            <w:proofErr w:type="spellEnd"/>
            <w:r w:rsidRPr="009E1F17">
              <w:rPr>
                <w:rFonts w:ascii="Arial Narrow" w:hAnsi="Arial Narrow" w:cs="Times New Roman"/>
                <w:snapToGrid/>
                <w:sz w:val="20"/>
                <w:szCs w:val="20"/>
              </w:rPr>
              <w:t xml:space="preserve"> H, et al. Extended anticoagulation with </w:t>
            </w:r>
            <w:proofErr w:type="spellStart"/>
            <w:r w:rsidRPr="009E1F17">
              <w:rPr>
                <w:rFonts w:ascii="Arial Narrow" w:hAnsi="Arial Narrow" w:cs="Times New Roman"/>
                <w:snapToGrid/>
                <w:sz w:val="20"/>
                <w:szCs w:val="20"/>
              </w:rPr>
              <w:t>apixaban</w:t>
            </w:r>
            <w:proofErr w:type="spellEnd"/>
            <w:r w:rsidRPr="009E1F17">
              <w:rPr>
                <w:rFonts w:ascii="Arial Narrow" w:hAnsi="Arial Narrow" w:cs="Times New Roman"/>
                <w:snapToGrid/>
                <w:sz w:val="20"/>
                <w:szCs w:val="20"/>
              </w:rPr>
              <w:t xml:space="preserve"> reduces hospitalisations in patients with venous thromboembolism: An analysis of the AMPLYF-EXT trial. </w:t>
            </w:r>
          </w:p>
        </w:tc>
        <w:tc>
          <w:tcPr>
            <w:tcW w:w="1402" w:type="pct"/>
            <w:tcBorders>
              <w:top w:val="single" w:sz="4" w:space="0" w:color="auto"/>
              <w:bottom w:val="single" w:sz="4" w:space="0" w:color="auto"/>
            </w:tcBorders>
            <w:vAlign w:val="center"/>
          </w:tcPr>
          <w:p w:rsidR="009E1F17" w:rsidRPr="009E1F17" w:rsidRDefault="009E1F17" w:rsidP="009E1F17">
            <w:pPr>
              <w:widowControl/>
              <w:jc w:val="left"/>
              <w:rPr>
                <w:rFonts w:ascii="Arial Narrow" w:hAnsi="Arial Narrow" w:cs="Times New Roman"/>
                <w:snapToGrid/>
                <w:sz w:val="20"/>
                <w:szCs w:val="20"/>
              </w:rPr>
            </w:pPr>
            <w:r w:rsidRPr="009E1F17">
              <w:rPr>
                <w:rFonts w:ascii="Arial Narrow" w:hAnsi="Arial Narrow" w:cs="Times New Roman"/>
                <w:snapToGrid/>
                <w:sz w:val="20"/>
                <w:szCs w:val="20"/>
              </w:rPr>
              <w:t>Thrombosis and Haemostasis. 2016</w:t>
            </w:r>
            <w:proofErr w:type="gramStart"/>
            <w:r w:rsidRPr="009E1F17">
              <w:rPr>
                <w:rFonts w:ascii="Arial Narrow" w:hAnsi="Arial Narrow" w:cs="Times New Roman"/>
                <w:snapToGrid/>
                <w:sz w:val="20"/>
                <w:szCs w:val="20"/>
              </w:rPr>
              <w:t>;115</w:t>
            </w:r>
            <w:proofErr w:type="gramEnd"/>
            <w:r w:rsidRPr="009E1F17">
              <w:rPr>
                <w:rFonts w:ascii="Arial Narrow" w:hAnsi="Arial Narrow" w:cs="Times New Roman"/>
                <w:snapToGrid/>
                <w:sz w:val="20"/>
                <w:szCs w:val="20"/>
              </w:rPr>
              <w:t>(1):161-168.</w:t>
            </w:r>
          </w:p>
        </w:tc>
      </w:tr>
      <w:tr w:rsidR="009E1F17" w:rsidRPr="009E1F17" w:rsidTr="00701F69">
        <w:tc>
          <w:tcPr>
            <w:tcW w:w="795" w:type="pct"/>
            <w:vMerge/>
            <w:tcBorders>
              <w:bottom w:val="single" w:sz="4" w:space="0" w:color="auto"/>
            </w:tcBorders>
            <w:vAlign w:val="center"/>
          </w:tcPr>
          <w:p w:rsidR="009E1F17" w:rsidRPr="009E1F17" w:rsidRDefault="009E1F17" w:rsidP="009E1F17">
            <w:pPr>
              <w:widowControl/>
              <w:jc w:val="left"/>
              <w:rPr>
                <w:rFonts w:ascii="Arial Narrow" w:hAnsi="Arial Narrow" w:cs="Times New Roman"/>
                <w:snapToGrid/>
                <w:sz w:val="20"/>
                <w:szCs w:val="20"/>
              </w:rPr>
            </w:pPr>
          </w:p>
        </w:tc>
        <w:tc>
          <w:tcPr>
            <w:tcW w:w="2803" w:type="pct"/>
            <w:tcBorders>
              <w:top w:val="single" w:sz="4" w:space="0" w:color="auto"/>
              <w:bottom w:val="single" w:sz="4" w:space="0" w:color="auto"/>
            </w:tcBorders>
            <w:vAlign w:val="center"/>
          </w:tcPr>
          <w:p w:rsidR="009E1F17" w:rsidRPr="009E1F17" w:rsidRDefault="009E1F17" w:rsidP="009E1F17">
            <w:pPr>
              <w:widowControl/>
              <w:jc w:val="left"/>
              <w:rPr>
                <w:rFonts w:ascii="Arial Narrow" w:hAnsi="Arial Narrow" w:cs="Times New Roman"/>
                <w:snapToGrid/>
                <w:sz w:val="20"/>
                <w:szCs w:val="20"/>
              </w:rPr>
            </w:pPr>
            <w:r w:rsidRPr="009E1F17">
              <w:rPr>
                <w:rFonts w:ascii="Arial Narrow" w:hAnsi="Arial Narrow" w:cs="Times New Roman"/>
                <w:snapToGrid/>
                <w:sz w:val="20"/>
                <w:szCs w:val="20"/>
              </w:rPr>
              <w:t xml:space="preserve">Efficacy and safety study of </w:t>
            </w:r>
            <w:proofErr w:type="spellStart"/>
            <w:r w:rsidRPr="009E1F17">
              <w:rPr>
                <w:rFonts w:ascii="Arial Narrow" w:hAnsi="Arial Narrow" w:cs="Times New Roman"/>
                <w:snapToGrid/>
                <w:sz w:val="20"/>
                <w:szCs w:val="20"/>
              </w:rPr>
              <w:t>apixaban</w:t>
            </w:r>
            <w:proofErr w:type="spellEnd"/>
            <w:r w:rsidRPr="009E1F17">
              <w:rPr>
                <w:rFonts w:ascii="Arial Narrow" w:hAnsi="Arial Narrow" w:cs="Times New Roman"/>
                <w:snapToGrid/>
                <w:sz w:val="20"/>
                <w:szCs w:val="20"/>
              </w:rPr>
              <w:t xml:space="preserve"> for extended treatment of deep-vein thrombosis or pulmonary embolism. NCT0063389</w:t>
            </w:r>
          </w:p>
        </w:tc>
        <w:tc>
          <w:tcPr>
            <w:tcW w:w="1402" w:type="pct"/>
            <w:tcBorders>
              <w:top w:val="single" w:sz="4" w:space="0" w:color="auto"/>
              <w:bottom w:val="single" w:sz="4" w:space="0" w:color="auto"/>
            </w:tcBorders>
            <w:vAlign w:val="center"/>
          </w:tcPr>
          <w:p w:rsidR="009E1F17" w:rsidRPr="009E1F17" w:rsidRDefault="009E1F17" w:rsidP="009E1F17">
            <w:pPr>
              <w:widowControl/>
              <w:jc w:val="left"/>
              <w:rPr>
                <w:rFonts w:ascii="Arial Narrow" w:hAnsi="Arial Narrow" w:cs="Times New Roman"/>
                <w:snapToGrid/>
                <w:sz w:val="20"/>
                <w:szCs w:val="20"/>
              </w:rPr>
            </w:pPr>
            <w:r w:rsidRPr="009E1F17">
              <w:rPr>
                <w:rFonts w:ascii="Arial Narrow" w:hAnsi="Arial Narrow" w:cs="Times New Roman"/>
                <w:snapToGrid/>
                <w:sz w:val="20"/>
                <w:szCs w:val="20"/>
              </w:rPr>
              <w:t>Registry search</w:t>
            </w:r>
          </w:p>
        </w:tc>
      </w:tr>
      <w:tr w:rsidR="009E1F17" w:rsidRPr="009E1F17" w:rsidTr="00701F69">
        <w:tc>
          <w:tcPr>
            <w:tcW w:w="795" w:type="pct"/>
            <w:vMerge w:val="restart"/>
            <w:tcBorders>
              <w:top w:val="single" w:sz="4" w:space="0" w:color="auto"/>
              <w:left w:val="single" w:sz="4" w:space="0" w:color="auto"/>
              <w:right w:val="single" w:sz="4" w:space="0" w:color="auto"/>
            </w:tcBorders>
            <w:vAlign w:val="center"/>
          </w:tcPr>
          <w:p w:rsidR="009E1F17" w:rsidRPr="009E1F17" w:rsidRDefault="009E1F17" w:rsidP="009E1F17">
            <w:pPr>
              <w:widowControl/>
              <w:jc w:val="left"/>
              <w:rPr>
                <w:rFonts w:ascii="Arial Narrow" w:hAnsi="Arial Narrow" w:cs="Times New Roman"/>
                <w:snapToGrid/>
                <w:sz w:val="20"/>
                <w:szCs w:val="20"/>
              </w:rPr>
            </w:pPr>
            <w:r w:rsidRPr="009E1F17">
              <w:rPr>
                <w:rFonts w:ascii="Arial Narrow" w:hAnsi="Arial Narrow" w:cs="Times New Roman"/>
                <w:snapToGrid/>
                <w:sz w:val="20"/>
                <w:szCs w:val="20"/>
              </w:rPr>
              <w:t>Robertson 2017</w:t>
            </w:r>
          </w:p>
        </w:tc>
        <w:tc>
          <w:tcPr>
            <w:tcW w:w="2803" w:type="pct"/>
            <w:tcBorders>
              <w:top w:val="single" w:sz="4" w:space="0" w:color="auto"/>
              <w:left w:val="single" w:sz="4" w:space="0" w:color="auto"/>
              <w:bottom w:val="single" w:sz="4" w:space="0" w:color="auto"/>
              <w:right w:val="single" w:sz="4" w:space="0" w:color="auto"/>
            </w:tcBorders>
            <w:vAlign w:val="center"/>
          </w:tcPr>
          <w:p w:rsidR="009E1F17" w:rsidRPr="009E1F17" w:rsidRDefault="009E1F17" w:rsidP="009E1F17">
            <w:pPr>
              <w:widowControl/>
              <w:jc w:val="left"/>
              <w:rPr>
                <w:rFonts w:ascii="Arial Narrow" w:hAnsi="Arial Narrow" w:cs="Times New Roman"/>
                <w:snapToGrid/>
                <w:sz w:val="20"/>
                <w:szCs w:val="20"/>
                <w:lang w:val="nn-NO"/>
              </w:rPr>
            </w:pPr>
            <w:r w:rsidRPr="009E1F17">
              <w:rPr>
                <w:rFonts w:ascii="Arial Narrow" w:hAnsi="Arial Narrow" w:cs="Times New Roman"/>
                <w:snapToGrid/>
                <w:sz w:val="20"/>
                <w:szCs w:val="20"/>
                <w:u w:val="single"/>
                <w:lang w:val="nn-NO"/>
              </w:rPr>
              <w:t>ASPIRE</w:t>
            </w:r>
            <w:r w:rsidRPr="009E1F17">
              <w:rPr>
                <w:rFonts w:ascii="Arial Narrow" w:hAnsi="Arial Narrow" w:cs="Times New Roman"/>
                <w:snapToGrid/>
                <w:sz w:val="20"/>
                <w:szCs w:val="20"/>
                <w:lang w:val="nn-NO"/>
              </w:rPr>
              <w:t xml:space="preserve"> </w:t>
            </w:r>
          </w:p>
          <w:p w:rsidR="009E1F17" w:rsidRPr="009E1F17" w:rsidRDefault="009E1F17" w:rsidP="009E1F17">
            <w:pPr>
              <w:widowControl/>
              <w:jc w:val="left"/>
              <w:rPr>
                <w:rFonts w:ascii="Arial Narrow" w:hAnsi="Arial Narrow" w:cs="Times New Roman"/>
                <w:snapToGrid/>
                <w:sz w:val="20"/>
                <w:szCs w:val="20"/>
                <w:lang w:val="nn-NO"/>
              </w:rPr>
            </w:pPr>
            <w:r w:rsidRPr="009E1F17">
              <w:rPr>
                <w:rFonts w:ascii="Arial Narrow" w:hAnsi="Arial Narrow" w:cs="Times New Roman"/>
                <w:snapToGrid/>
                <w:sz w:val="20"/>
                <w:szCs w:val="20"/>
                <w:lang w:val="nn-NO"/>
              </w:rPr>
              <w:t>Brighton TA, Ei</w:t>
            </w:r>
            <w:r w:rsidRPr="009E1F17">
              <w:rPr>
                <w:rFonts w:ascii="Arial Narrow" w:hAnsi="Arial Narrow"/>
                <w:sz w:val="20"/>
                <w:szCs w:val="20"/>
                <w:lang w:val="nn-NO"/>
              </w:rPr>
              <w:t xml:space="preserve"> </w:t>
            </w:r>
            <w:r w:rsidRPr="009E1F17">
              <w:rPr>
                <w:rFonts w:ascii="Arial Narrow" w:hAnsi="Arial Narrow" w:cs="Times New Roman"/>
                <w:snapToGrid/>
                <w:sz w:val="20"/>
                <w:szCs w:val="20"/>
                <w:lang w:val="nn-NO"/>
              </w:rPr>
              <w:t>Eikelboom JW, Mann K, Mister R, Gallus</w:t>
            </w:r>
          </w:p>
          <w:p w:rsidR="009E1F17" w:rsidRPr="009E1F17" w:rsidRDefault="009E1F17" w:rsidP="009E1F17">
            <w:pPr>
              <w:widowControl/>
              <w:jc w:val="left"/>
              <w:rPr>
                <w:rFonts w:ascii="Arial Narrow" w:hAnsi="Arial Narrow" w:cs="Times New Roman"/>
                <w:snapToGrid/>
                <w:sz w:val="20"/>
                <w:szCs w:val="20"/>
              </w:rPr>
            </w:pPr>
            <w:r w:rsidRPr="009E1F17">
              <w:rPr>
                <w:rFonts w:ascii="Arial Narrow" w:hAnsi="Arial Narrow" w:cs="Times New Roman"/>
                <w:snapToGrid/>
                <w:sz w:val="20"/>
                <w:szCs w:val="20"/>
              </w:rPr>
              <w:t xml:space="preserve">A, </w:t>
            </w:r>
            <w:proofErr w:type="spellStart"/>
            <w:r w:rsidRPr="009E1F17">
              <w:rPr>
                <w:rFonts w:ascii="Arial Narrow" w:hAnsi="Arial Narrow" w:cs="Times New Roman"/>
                <w:snapToGrid/>
                <w:sz w:val="20"/>
                <w:szCs w:val="20"/>
              </w:rPr>
              <w:t>Ockelford</w:t>
            </w:r>
            <w:proofErr w:type="spellEnd"/>
            <w:r w:rsidRPr="009E1F17">
              <w:rPr>
                <w:rFonts w:ascii="Arial Narrow" w:hAnsi="Arial Narrow" w:cs="Times New Roman"/>
                <w:snapToGrid/>
                <w:sz w:val="20"/>
                <w:szCs w:val="20"/>
              </w:rPr>
              <w:t xml:space="preserve"> P, et al. Low-dose aspirin for preventing recurrent venous thromboembolism. </w:t>
            </w:r>
          </w:p>
        </w:tc>
        <w:tc>
          <w:tcPr>
            <w:tcW w:w="1402" w:type="pct"/>
            <w:tcBorders>
              <w:top w:val="single" w:sz="4" w:space="0" w:color="auto"/>
              <w:left w:val="single" w:sz="4" w:space="0" w:color="auto"/>
              <w:bottom w:val="single" w:sz="4" w:space="0" w:color="auto"/>
              <w:right w:val="single" w:sz="4" w:space="0" w:color="auto"/>
            </w:tcBorders>
            <w:vAlign w:val="center"/>
          </w:tcPr>
          <w:p w:rsidR="009E1F17" w:rsidRPr="009E1F17" w:rsidRDefault="009E1F17" w:rsidP="009E1F17">
            <w:pPr>
              <w:widowControl/>
              <w:jc w:val="left"/>
              <w:rPr>
                <w:rFonts w:ascii="Arial Narrow" w:hAnsi="Arial Narrow" w:cs="Times New Roman"/>
                <w:snapToGrid/>
                <w:sz w:val="20"/>
                <w:szCs w:val="20"/>
              </w:rPr>
            </w:pPr>
            <w:r w:rsidRPr="009E1F17">
              <w:rPr>
                <w:rFonts w:ascii="Arial Narrow" w:hAnsi="Arial Narrow" w:cs="Times New Roman"/>
                <w:snapToGrid/>
                <w:sz w:val="20"/>
                <w:szCs w:val="20"/>
              </w:rPr>
              <w:t>New England Journal</w:t>
            </w:r>
          </w:p>
          <w:p w:rsidR="009E1F17" w:rsidRPr="009E1F17" w:rsidRDefault="009E1F17" w:rsidP="009E1F17">
            <w:pPr>
              <w:widowControl/>
              <w:jc w:val="left"/>
              <w:rPr>
                <w:rFonts w:ascii="Arial Narrow" w:hAnsi="Arial Narrow" w:cs="Times New Roman"/>
                <w:snapToGrid/>
                <w:sz w:val="20"/>
                <w:szCs w:val="20"/>
              </w:rPr>
            </w:pPr>
            <w:r w:rsidRPr="009E1F17">
              <w:rPr>
                <w:rFonts w:ascii="Arial Narrow" w:hAnsi="Arial Narrow" w:cs="Times New Roman"/>
                <w:snapToGrid/>
                <w:sz w:val="20"/>
                <w:szCs w:val="20"/>
              </w:rPr>
              <w:t>of Medicine 2012;367(21):1979–87</w:t>
            </w:r>
          </w:p>
        </w:tc>
      </w:tr>
      <w:tr w:rsidR="009E1F17" w:rsidRPr="009E1F17" w:rsidTr="00701F69">
        <w:tc>
          <w:tcPr>
            <w:tcW w:w="795" w:type="pct"/>
            <w:vMerge/>
            <w:tcBorders>
              <w:left w:val="single" w:sz="4" w:space="0" w:color="auto"/>
              <w:bottom w:val="single" w:sz="4" w:space="0" w:color="auto"/>
              <w:right w:val="single" w:sz="4" w:space="0" w:color="auto"/>
            </w:tcBorders>
            <w:vAlign w:val="center"/>
          </w:tcPr>
          <w:p w:rsidR="009E1F17" w:rsidRPr="009E1F17" w:rsidRDefault="009E1F17" w:rsidP="009E1F17">
            <w:pPr>
              <w:widowControl/>
              <w:jc w:val="left"/>
              <w:rPr>
                <w:rFonts w:ascii="Arial Narrow" w:hAnsi="Arial Narrow" w:cs="Times New Roman"/>
                <w:snapToGrid/>
                <w:sz w:val="20"/>
                <w:szCs w:val="20"/>
              </w:rPr>
            </w:pPr>
          </w:p>
        </w:tc>
        <w:tc>
          <w:tcPr>
            <w:tcW w:w="2803" w:type="pct"/>
            <w:tcBorders>
              <w:top w:val="single" w:sz="4" w:space="0" w:color="auto"/>
              <w:left w:val="single" w:sz="4" w:space="0" w:color="auto"/>
              <w:bottom w:val="single" w:sz="4" w:space="0" w:color="auto"/>
              <w:right w:val="single" w:sz="4" w:space="0" w:color="auto"/>
            </w:tcBorders>
            <w:vAlign w:val="center"/>
          </w:tcPr>
          <w:p w:rsidR="009E1F17" w:rsidRPr="009E1F17" w:rsidRDefault="009E1F17" w:rsidP="009E1F17">
            <w:pPr>
              <w:widowControl/>
              <w:jc w:val="left"/>
              <w:rPr>
                <w:rFonts w:ascii="Arial Narrow" w:hAnsi="Arial Narrow" w:cs="Times New Roman"/>
                <w:snapToGrid/>
                <w:sz w:val="20"/>
                <w:szCs w:val="20"/>
                <w:u w:val="single"/>
              </w:rPr>
            </w:pPr>
            <w:r w:rsidRPr="009E1F17">
              <w:rPr>
                <w:rFonts w:ascii="Arial Narrow" w:hAnsi="Arial Narrow" w:cs="Times New Roman"/>
                <w:snapToGrid/>
                <w:sz w:val="20"/>
                <w:szCs w:val="20"/>
                <w:u w:val="single"/>
              </w:rPr>
              <w:t>WARFASA</w:t>
            </w:r>
          </w:p>
          <w:p w:rsidR="009E1F17" w:rsidRPr="009E1F17" w:rsidRDefault="009E1F17" w:rsidP="009E1F17">
            <w:pPr>
              <w:widowControl/>
              <w:pBdr>
                <w:right w:val="single" w:sz="4" w:space="4" w:color="auto"/>
              </w:pBdr>
              <w:jc w:val="left"/>
              <w:rPr>
                <w:rFonts w:ascii="Arial Narrow" w:hAnsi="Arial Narrow" w:cs="Times New Roman"/>
                <w:snapToGrid/>
                <w:sz w:val="20"/>
                <w:szCs w:val="20"/>
              </w:rPr>
            </w:pPr>
            <w:proofErr w:type="spellStart"/>
            <w:r w:rsidRPr="009E1F17">
              <w:rPr>
                <w:rFonts w:ascii="Arial Narrow" w:hAnsi="Arial Narrow" w:cs="Times New Roman"/>
                <w:snapToGrid/>
                <w:sz w:val="20"/>
                <w:szCs w:val="20"/>
              </w:rPr>
              <w:t>Becattini</w:t>
            </w:r>
            <w:proofErr w:type="spellEnd"/>
            <w:r w:rsidRPr="009E1F17">
              <w:rPr>
                <w:rFonts w:ascii="Arial Narrow" w:hAnsi="Arial Narrow" w:cs="Times New Roman"/>
                <w:snapToGrid/>
                <w:sz w:val="20"/>
                <w:szCs w:val="20"/>
              </w:rPr>
              <w:t xml:space="preserve"> C, </w:t>
            </w:r>
            <w:proofErr w:type="spellStart"/>
            <w:r w:rsidRPr="009E1F17">
              <w:rPr>
                <w:rFonts w:ascii="Arial Narrow" w:hAnsi="Arial Narrow" w:cs="Times New Roman"/>
                <w:snapToGrid/>
                <w:sz w:val="20"/>
                <w:szCs w:val="20"/>
              </w:rPr>
              <w:t>Agnelli</w:t>
            </w:r>
            <w:proofErr w:type="spellEnd"/>
            <w:r w:rsidRPr="009E1F17">
              <w:rPr>
                <w:rFonts w:ascii="Arial Narrow" w:hAnsi="Arial Narrow" w:cs="Times New Roman"/>
                <w:snapToGrid/>
                <w:sz w:val="20"/>
                <w:szCs w:val="20"/>
              </w:rPr>
              <w:t xml:space="preserve"> G, </w:t>
            </w:r>
            <w:proofErr w:type="spellStart"/>
            <w:r w:rsidRPr="009E1F17">
              <w:rPr>
                <w:rFonts w:ascii="Arial Narrow" w:hAnsi="Arial Narrow" w:cs="Times New Roman"/>
                <w:snapToGrid/>
                <w:sz w:val="20"/>
                <w:szCs w:val="20"/>
              </w:rPr>
              <w:t>Schenone</w:t>
            </w:r>
            <w:proofErr w:type="spellEnd"/>
            <w:r w:rsidRPr="009E1F17">
              <w:rPr>
                <w:rFonts w:ascii="Arial Narrow" w:hAnsi="Arial Narrow" w:cs="Times New Roman"/>
                <w:snapToGrid/>
                <w:sz w:val="20"/>
                <w:szCs w:val="20"/>
              </w:rPr>
              <w:t xml:space="preserve"> A, </w:t>
            </w:r>
            <w:proofErr w:type="spellStart"/>
            <w:r w:rsidRPr="009E1F17">
              <w:rPr>
                <w:rFonts w:ascii="Arial Narrow" w:hAnsi="Arial Narrow" w:cs="Times New Roman"/>
                <w:snapToGrid/>
                <w:sz w:val="20"/>
                <w:szCs w:val="20"/>
              </w:rPr>
              <w:t>Eichinger</w:t>
            </w:r>
            <w:proofErr w:type="spellEnd"/>
            <w:r w:rsidRPr="009E1F17">
              <w:rPr>
                <w:rFonts w:ascii="Arial Narrow" w:hAnsi="Arial Narrow" w:cs="Times New Roman"/>
                <w:snapToGrid/>
                <w:sz w:val="20"/>
                <w:szCs w:val="20"/>
              </w:rPr>
              <w:t xml:space="preserve"> S,</w:t>
            </w:r>
          </w:p>
          <w:p w:rsidR="009E1F17" w:rsidRPr="009E1F17" w:rsidRDefault="009E1F17" w:rsidP="009E1F17">
            <w:pPr>
              <w:widowControl/>
              <w:pBdr>
                <w:right w:val="single" w:sz="4" w:space="4" w:color="auto"/>
              </w:pBdr>
              <w:jc w:val="left"/>
              <w:rPr>
                <w:rFonts w:ascii="Arial Narrow" w:hAnsi="Arial Narrow" w:cs="Times New Roman"/>
                <w:snapToGrid/>
                <w:sz w:val="20"/>
                <w:szCs w:val="20"/>
              </w:rPr>
            </w:pPr>
            <w:r w:rsidRPr="009E1F17">
              <w:rPr>
                <w:rFonts w:ascii="Arial Narrow" w:hAnsi="Arial Narrow" w:cs="Times New Roman"/>
                <w:snapToGrid/>
                <w:sz w:val="20"/>
                <w:szCs w:val="20"/>
                <w:lang w:val="nn-NO"/>
              </w:rPr>
              <w:t xml:space="preserve">Bucherini E, Silingardi M, et al. </w:t>
            </w:r>
            <w:r w:rsidRPr="009E1F17">
              <w:rPr>
                <w:rFonts w:ascii="Arial Narrow" w:hAnsi="Arial Narrow" w:cs="Times New Roman"/>
                <w:snapToGrid/>
                <w:sz w:val="20"/>
                <w:szCs w:val="20"/>
              </w:rPr>
              <w:t>Aspirin for preventing</w:t>
            </w:r>
          </w:p>
          <w:p w:rsidR="009E1F17" w:rsidRPr="009E1F17" w:rsidRDefault="009E1F17" w:rsidP="009E1F17">
            <w:pPr>
              <w:widowControl/>
              <w:pBdr>
                <w:right w:val="single" w:sz="4" w:space="4" w:color="auto"/>
              </w:pBdr>
              <w:jc w:val="left"/>
              <w:rPr>
                <w:rFonts w:ascii="Arial Narrow" w:hAnsi="Arial Narrow" w:cs="Times New Roman"/>
                <w:snapToGrid/>
                <w:sz w:val="20"/>
                <w:szCs w:val="20"/>
              </w:rPr>
            </w:pPr>
            <w:proofErr w:type="gramStart"/>
            <w:r w:rsidRPr="009E1F17">
              <w:rPr>
                <w:rFonts w:ascii="Arial Narrow" w:hAnsi="Arial Narrow" w:cs="Times New Roman"/>
                <w:snapToGrid/>
                <w:sz w:val="20"/>
                <w:szCs w:val="20"/>
              </w:rPr>
              <w:t>the</w:t>
            </w:r>
            <w:proofErr w:type="gramEnd"/>
            <w:r w:rsidRPr="009E1F17">
              <w:rPr>
                <w:rFonts w:ascii="Arial Narrow" w:hAnsi="Arial Narrow" w:cs="Times New Roman"/>
                <w:snapToGrid/>
                <w:sz w:val="20"/>
                <w:szCs w:val="20"/>
              </w:rPr>
              <w:t xml:space="preserve"> recurrence of venous thromboembolism. </w:t>
            </w:r>
          </w:p>
        </w:tc>
        <w:tc>
          <w:tcPr>
            <w:tcW w:w="1402" w:type="pct"/>
            <w:tcBorders>
              <w:top w:val="single" w:sz="4" w:space="0" w:color="auto"/>
              <w:left w:val="single" w:sz="4" w:space="0" w:color="auto"/>
              <w:bottom w:val="single" w:sz="4" w:space="0" w:color="auto"/>
              <w:right w:val="single" w:sz="4" w:space="0" w:color="auto"/>
            </w:tcBorders>
            <w:vAlign w:val="center"/>
          </w:tcPr>
          <w:p w:rsidR="009E1F17" w:rsidRPr="009E1F17" w:rsidRDefault="009E1F17" w:rsidP="009E1F17">
            <w:pPr>
              <w:widowControl/>
              <w:pBdr>
                <w:right w:val="single" w:sz="4" w:space="4" w:color="auto"/>
              </w:pBdr>
              <w:jc w:val="left"/>
              <w:rPr>
                <w:rFonts w:ascii="Arial Narrow" w:hAnsi="Arial Narrow" w:cs="Times New Roman"/>
                <w:snapToGrid/>
                <w:sz w:val="20"/>
                <w:szCs w:val="20"/>
              </w:rPr>
            </w:pPr>
            <w:r w:rsidRPr="009E1F17">
              <w:rPr>
                <w:rFonts w:ascii="Arial Narrow" w:hAnsi="Arial Narrow" w:cs="Times New Roman"/>
                <w:snapToGrid/>
                <w:sz w:val="20"/>
                <w:szCs w:val="20"/>
              </w:rPr>
              <w:t>New England</w:t>
            </w:r>
          </w:p>
          <w:p w:rsidR="009E1F17" w:rsidRPr="009E1F17" w:rsidRDefault="009E1F17" w:rsidP="009E1F17">
            <w:pPr>
              <w:widowControl/>
              <w:jc w:val="left"/>
              <w:rPr>
                <w:rFonts w:ascii="Arial Narrow" w:hAnsi="Arial Narrow" w:cs="Times New Roman"/>
                <w:snapToGrid/>
                <w:sz w:val="20"/>
                <w:szCs w:val="20"/>
              </w:rPr>
            </w:pPr>
            <w:r w:rsidRPr="009E1F17">
              <w:rPr>
                <w:rFonts w:ascii="Arial Narrow" w:hAnsi="Arial Narrow" w:cs="Times New Roman"/>
                <w:snapToGrid/>
                <w:sz w:val="20"/>
                <w:szCs w:val="20"/>
              </w:rPr>
              <w:t>Journal of Medicine 2012;366(21):1959–67</w:t>
            </w:r>
          </w:p>
        </w:tc>
      </w:tr>
    </w:tbl>
    <w:p w:rsidR="009E1F17" w:rsidRPr="009E1F17" w:rsidRDefault="009E1F17" w:rsidP="009E1F17">
      <w:pPr>
        <w:widowControl/>
        <w:rPr>
          <w:rFonts w:ascii="Arial Narrow" w:hAnsi="Arial Narrow"/>
          <w:sz w:val="18"/>
        </w:rPr>
      </w:pPr>
      <w:r w:rsidRPr="009E1F17">
        <w:rPr>
          <w:rFonts w:ascii="Arial Narrow" w:hAnsi="Arial Narrow"/>
          <w:sz w:val="18"/>
        </w:rPr>
        <w:t>Source: Table 2.6, p31 of the submission, Robertson 2017</w:t>
      </w:r>
    </w:p>
    <w:p w:rsidR="009E1F17" w:rsidRPr="009E1F17" w:rsidRDefault="009E1F17" w:rsidP="009E1F17">
      <w:pPr>
        <w:widowControl/>
        <w:rPr>
          <w:rFonts w:ascii="Arial Narrow" w:hAnsi="Arial Narrow"/>
          <w:sz w:val="18"/>
        </w:rPr>
      </w:pPr>
      <w:r w:rsidRPr="009E1F17">
        <w:rPr>
          <w:rFonts w:ascii="Arial Narrow" w:hAnsi="Arial Narrow"/>
          <w:sz w:val="18"/>
        </w:rPr>
        <w:t xml:space="preserve">Abbreviations: ASA=aspirin; CSR=clinical study report; ID=identification; VTE= venous thromboembolism. </w:t>
      </w:r>
    </w:p>
    <w:p w:rsidR="009E1F17" w:rsidRPr="009E1F17" w:rsidRDefault="009E1F17" w:rsidP="009E1F17">
      <w:pPr>
        <w:widowControl/>
      </w:pPr>
    </w:p>
    <w:p w:rsidR="009E1F17" w:rsidRPr="009E1F17" w:rsidRDefault="009E1F17" w:rsidP="009E1F17">
      <w:pPr>
        <w:widowControl/>
        <w:numPr>
          <w:ilvl w:val="1"/>
          <w:numId w:val="3"/>
        </w:numPr>
        <w:spacing w:after="160"/>
      </w:pPr>
      <w:r w:rsidRPr="009E1F17">
        <w:lastRenderedPageBreak/>
        <w:t xml:space="preserve">The key features of the direct randomised trials are summarised in </w:t>
      </w:r>
      <w:r w:rsidR="00C56905" w:rsidRPr="00C56905">
        <w:rPr>
          <w:rFonts w:asciiTheme="minorHAnsi" w:hAnsiTheme="minorHAnsi" w:cstheme="minorHAnsi"/>
          <w:color w:val="000000" w:themeColor="text1"/>
          <w:szCs w:val="24"/>
        </w:rPr>
        <w:t xml:space="preserve">Table </w:t>
      </w:r>
      <w:r w:rsidR="00C56905" w:rsidRPr="00C56905">
        <w:rPr>
          <w:rFonts w:asciiTheme="minorHAnsi" w:hAnsiTheme="minorHAnsi" w:cstheme="minorHAnsi"/>
          <w:noProof/>
          <w:color w:val="000000" w:themeColor="text1"/>
          <w:szCs w:val="24"/>
        </w:rPr>
        <w:t>4</w:t>
      </w:r>
      <w:r w:rsidRPr="009E1F17">
        <w:rPr>
          <w:rFonts w:asciiTheme="minorHAnsi" w:hAnsiTheme="minorHAnsi" w:cstheme="minorHAnsi"/>
          <w:szCs w:val="24"/>
        </w:rPr>
        <w:t xml:space="preserve">. All trials were randomised, double-blind studies in patients with VTE. In all trials, the intended treatment duration was up to 12 months. Einstein CHOICE compared the efficacy and safety of rivaroxaban 10 mg, rivaroxaban 20 mg and aspirin. Einstein EXT was a superiority study comparing the efficacy and safety of rivaroxaban 20 mg with placebo. Amplify EXT compared </w:t>
      </w:r>
      <w:proofErr w:type="spellStart"/>
      <w:r w:rsidRPr="009E1F17">
        <w:rPr>
          <w:rFonts w:asciiTheme="minorHAnsi" w:hAnsiTheme="minorHAnsi" w:cstheme="minorHAnsi"/>
          <w:szCs w:val="24"/>
        </w:rPr>
        <w:t>apixaban</w:t>
      </w:r>
      <w:proofErr w:type="spellEnd"/>
      <w:r w:rsidRPr="009E1F17">
        <w:rPr>
          <w:rFonts w:asciiTheme="minorHAnsi" w:hAnsiTheme="minorHAnsi" w:cstheme="minorHAnsi"/>
          <w:szCs w:val="24"/>
        </w:rPr>
        <w:t xml:space="preserve"> 2.5 mg with </w:t>
      </w:r>
      <w:proofErr w:type="spellStart"/>
      <w:r w:rsidRPr="009E1F17">
        <w:rPr>
          <w:rFonts w:asciiTheme="minorHAnsi" w:hAnsiTheme="minorHAnsi" w:cstheme="minorHAnsi"/>
          <w:szCs w:val="24"/>
        </w:rPr>
        <w:t>apixaban</w:t>
      </w:r>
      <w:proofErr w:type="spellEnd"/>
      <w:r w:rsidRPr="009E1F17">
        <w:rPr>
          <w:rFonts w:asciiTheme="minorHAnsi" w:hAnsiTheme="minorHAnsi" w:cstheme="minorHAnsi"/>
          <w:szCs w:val="24"/>
        </w:rPr>
        <w:t xml:space="preserve"> 5 mg and placebo. </w:t>
      </w:r>
      <w:r w:rsidRPr="00636D45">
        <w:rPr>
          <w:rFonts w:asciiTheme="minorHAnsi" w:hAnsiTheme="minorHAnsi" w:cstheme="minorHAnsi"/>
          <w:szCs w:val="24"/>
        </w:rPr>
        <w:t>The assessment of risk of bias in the main trials presented by the submission was appropriate and the overall risk of bias in the trials was considered low. Details a</w:t>
      </w:r>
      <w:r w:rsidR="008B4949" w:rsidRPr="00636D45">
        <w:rPr>
          <w:rFonts w:asciiTheme="minorHAnsi" w:hAnsiTheme="minorHAnsi" w:cstheme="minorHAnsi"/>
          <w:szCs w:val="24"/>
        </w:rPr>
        <w:t>n</w:t>
      </w:r>
      <w:r w:rsidRPr="00636D45">
        <w:rPr>
          <w:rFonts w:asciiTheme="minorHAnsi" w:hAnsiTheme="minorHAnsi" w:cstheme="minorHAnsi"/>
          <w:szCs w:val="24"/>
        </w:rPr>
        <w:t xml:space="preserve">d results from the </w:t>
      </w:r>
      <w:proofErr w:type="spellStart"/>
      <w:r w:rsidRPr="00636D45">
        <w:rPr>
          <w:rFonts w:asciiTheme="minorHAnsi" w:hAnsiTheme="minorHAnsi" w:cstheme="minorHAnsi"/>
          <w:szCs w:val="24"/>
        </w:rPr>
        <w:t>apixaban</w:t>
      </w:r>
      <w:proofErr w:type="spellEnd"/>
      <w:r w:rsidRPr="00636D45">
        <w:rPr>
          <w:rFonts w:asciiTheme="minorHAnsi" w:hAnsiTheme="minorHAnsi" w:cstheme="minorHAnsi"/>
          <w:szCs w:val="24"/>
        </w:rPr>
        <w:t xml:space="preserve"> 5 mg dose group (Amplify EXT) were not considered in this submission as they were not relevant to the comparisons undertaken. This was appropriate.</w:t>
      </w:r>
    </w:p>
    <w:p w:rsidR="009E1F17" w:rsidRPr="009E1F17" w:rsidRDefault="009E1F17" w:rsidP="009E1F17">
      <w:pPr>
        <w:keepNext/>
        <w:rPr>
          <w:rFonts w:ascii="Arial Narrow" w:hAnsi="Arial Narrow"/>
          <w:b/>
          <w:bCs/>
          <w:color w:val="000000" w:themeColor="text1"/>
          <w:sz w:val="20"/>
          <w:szCs w:val="20"/>
        </w:rPr>
      </w:pPr>
      <w:bookmarkStart w:id="13" w:name="_Ref523398526"/>
      <w:r w:rsidRPr="009E1F17">
        <w:rPr>
          <w:rFonts w:ascii="Arial Narrow" w:hAnsi="Arial Narrow"/>
          <w:b/>
          <w:bCs/>
          <w:color w:val="000000" w:themeColor="text1"/>
          <w:sz w:val="20"/>
          <w:szCs w:val="20"/>
        </w:rPr>
        <w:t xml:space="preserve">Table </w:t>
      </w:r>
      <w:r w:rsidR="00C56905">
        <w:rPr>
          <w:rFonts w:ascii="Arial Narrow" w:hAnsi="Arial Narrow"/>
          <w:b/>
          <w:bCs/>
          <w:noProof/>
          <w:color w:val="000000" w:themeColor="text1"/>
          <w:sz w:val="20"/>
          <w:szCs w:val="20"/>
        </w:rPr>
        <w:t>4</w:t>
      </w:r>
      <w:bookmarkEnd w:id="13"/>
      <w:r w:rsidRPr="009E1F17">
        <w:rPr>
          <w:rFonts w:ascii="Arial Narrow" w:hAnsi="Arial Narrow"/>
          <w:b/>
          <w:bCs/>
          <w:color w:val="000000" w:themeColor="text1"/>
          <w:sz w:val="20"/>
          <w:szCs w:val="20"/>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73"/>
        <w:gridCol w:w="563"/>
        <w:gridCol w:w="1125"/>
        <w:gridCol w:w="705"/>
        <w:gridCol w:w="2251"/>
        <w:gridCol w:w="3500"/>
      </w:tblGrid>
      <w:tr w:rsidR="00EF368B" w:rsidRPr="009E1F17" w:rsidTr="00EF368B">
        <w:trPr>
          <w:tblHeader/>
        </w:trPr>
        <w:tc>
          <w:tcPr>
            <w:tcW w:w="484" w:type="pct"/>
            <w:shd w:val="clear" w:color="auto" w:fill="auto"/>
            <w:vAlign w:val="center"/>
          </w:tcPr>
          <w:p w:rsidR="009E1F17" w:rsidRPr="009E1F17" w:rsidRDefault="009E1F17" w:rsidP="00100A7A">
            <w:pPr>
              <w:keepNext/>
              <w:keepLines/>
              <w:jc w:val="left"/>
              <w:rPr>
                <w:rFonts w:ascii="Arial Narrow" w:hAnsi="Arial Narrow" w:cs="Times New Roman"/>
                <w:b/>
                <w:snapToGrid/>
                <w:sz w:val="20"/>
                <w:lang w:val="en-US"/>
              </w:rPr>
            </w:pPr>
            <w:r w:rsidRPr="009E1F17">
              <w:rPr>
                <w:rFonts w:ascii="Arial Narrow" w:hAnsi="Arial Narrow" w:cs="Times New Roman"/>
                <w:b/>
                <w:snapToGrid/>
                <w:sz w:val="20"/>
                <w:lang w:val="en-US"/>
              </w:rPr>
              <w:t>Trial</w:t>
            </w:r>
          </w:p>
        </w:tc>
        <w:tc>
          <w:tcPr>
            <w:tcW w:w="312" w:type="pct"/>
            <w:shd w:val="clear" w:color="auto" w:fill="auto"/>
            <w:vAlign w:val="center"/>
          </w:tcPr>
          <w:p w:rsidR="009E1F17" w:rsidRPr="009E1F17" w:rsidRDefault="009E1F17" w:rsidP="00100A7A">
            <w:pPr>
              <w:keepNext/>
              <w:keepLines/>
              <w:jc w:val="left"/>
              <w:rPr>
                <w:rFonts w:ascii="Arial Narrow" w:hAnsi="Arial Narrow" w:cs="Times New Roman"/>
                <w:b/>
                <w:snapToGrid/>
                <w:sz w:val="20"/>
                <w:lang w:val="en-US"/>
              </w:rPr>
            </w:pPr>
            <w:r w:rsidRPr="009E1F17">
              <w:rPr>
                <w:rFonts w:ascii="Arial Narrow" w:hAnsi="Arial Narrow" w:cs="Times New Roman"/>
                <w:b/>
                <w:snapToGrid/>
                <w:sz w:val="20"/>
                <w:lang w:val="en-US"/>
              </w:rPr>
              <w:t>N</w:t>
            </w:r>
          </w:p>
        </w:tc>
        <w:tc>
          <w:tcPr>
            <w:tcW w:w="624" w:type="pct"/>
            <w:shd w:val="clear" w:color="auto" w:fill="auto"/>
            <w:vAlign w:val="center"/>
          </w:tcPr>
          <w:p w:rsidR="009E1F17" w:rsidRPr="009E1F17" w:rsidRDefault="009E1F17" w:rsidP="00100A7A">
            <w:pPr>
              <w:keepNext/>
              <w:keepLines/>
              <w:jc w:val="left"/>
              <w:rPr>
                <w:rFonts w:ascii="Arial Narrow" w:hAnsi="Arial Narrow" w:cs="Times New Roman"/>
                <w:b/>
                <w:snapToGrid/>
                <w:sz w:val="20"/>
                <w:lang w:val="en-US"/>
              </w:rPr>
            </w:pPr>
            <w:r w:rsidRPr="009E1F17">
              <w:rPr>
                <w:rFonts w:ascii="Arial Narrow" w:hAnsi="Arial Narrow" w:cs="Times New Roman"/>
                <w:b/>
                <w:snapToGrid/>
                <w:sz w:val="20"/>
                <w:lang w:val="en-US"/>
              </w:rPr>
              <w:t>Design/ duration</w:t>
            </w:r>
          </w:p>
        </w:tc>
        <w:tc>
          <w:tcPr>
            <w:tcW w:w="391" w:type="pct"/>
            <w:shd w:val="clear" w:color="auto" w:fill="auto"/>
            <w:vAlign w:val="center"/>
          </w:tcPr>
          <w:p w:rsidR="009E1F17" w:rsidRPr="009E1F17" w:rsidRDefault="009E1F17" w:rsidP="00100A7A">
            <w:pPr>
              <w:keepNext/>
              <w:keepLines/>
              <w:jc w:val="left"/>
              <w:rPr>
                <w:rFonts w:ascii="Arial Narrow" w:hAnsi="Arial Narrow" w:cs="Times New Roman"/>
                <w:b/>
                <w:snapToGrid/>
                <w:sz w:val="20"/>
                <w:lang w:val="en-US"/>
              </w:rPr>
            </w:pPr>
            <w:r w:rsidRPr="009E1F17">
              <w:rPr>
                <w:rFonts w:ascii="Arial Narrow" w:hAnsi="Arial Narrow" w:cs="Times New Roman"/>
                <w:b/>
                <w:snapToGrid/>
                <w:sz w:val="20"/>
                <w:lang w:val="en-US"/>
              </w:rPr>
              <w:t>Risk of bias</w:t>
            </w:r>
          </w:p>
        </w:tc>
        <w:tc>
          <w:tcPr>
            <w:tcW w:w="1248" w:type="pct"/>
            <w:shd w:val="clear" w:color="auto" w:fill="auto"/>
            <w:vAlign w:val="center"/>
          </w:tcPr>
          <w:p w:rsidR="009E1F17" w:rsidRPr="009E1F17" w:rsidRDefault="009E1F17" w:rsidP="00100A7A">
            <w:pPr>
              <w:keepNext/>
              <w:keepLines/>
              <w:jc w:val="left"/>
              <w:rPr>
                <w:rFonts w:ascii="Arial Narrow" w:hAnsi="Arial Narrow" w:cs="Times New Roman"/>
                <w:b/>
                <w:snapToGrid/>
                <w:sz w:val="20"/>
                <w:lang w:val="en-US"/>
              </w:rPr>
            </w:pPr>
            <w:r w:rsidRPr="009E1F17">
              <w:rPr>
                <w:rFonts w:ascii="Arial Narrow" w:hAnsi="Arial Narrow" w:cs="Times New Roman"/>
                <w:b/>
                <w:snapToGrid/>
                <w:sz w:val="20"/>
                <w:lang w:val="en-US"/>
              </w:rPr>
              <w:t>Patient population</w:t>
            </w:r>
          </w:p>
        </w:tc>
        <w:tc>
          <w:tcPr>
            <w:tcW w:w="1941" w:type="pct"/>
            <w:shd w:val="clear" w:color="auto" w:fill="auto"/>
            <w:vAlign w:val="center"/>
          </w:tcPr>
          <w:p w:rsidR="009E1F17" w:rsidRPr="009E1F17" w:rsidRDefault="009E1F17" w:rsidP="00100A7A">
            <w:pPr>
              <w:keepNext/>
              <w:keepLines/>
              <w:jc w:val="left"/>
              <w:rPr>
                <w:rFonts w:ascii="Arial Narrow" w:hAnsi="Arial Narrow" w:cs="Times New Roman"/>
                <w:b/>
                <w:snapToGrid/>
                <w:sz w:val="20"/>
                <w:lang w:val="en-US"/>
              </w:rPr>
            </w:pPr>
            <w:r w:rsidRPr="009E1F17">
              <w:rPr>
                <w:rFonts w:ascii="Arial Narrow" w:hAnsi="Arial Narrow" w:cs="Times New Roman"/>
                <w:b/>
                <w:snapToGrid/>
                <w:sz w:val="20"/>
                <w:lang w:val="en-US"/>
              </w:rPr>
              <w:t>Outcome(s)</w:t>
            </w:r>
          </w:p>
        </w:tc>
      </w:tr>
      <w:tr w:rsidR="00EF368B" w:rsidRPr="009E1F17" w:rsidTr="00EF368B">
        <w:tc>
          <w:tcPr>
            <w:tcW w:w="484" w:type="pct"/>
            <w:shd w:val="clear" w:color="auto" w:fill="auto"/>
          </w:tcPr>
          <w:p w:rsidR="009E1F17" w:rsidRPr="009E1F17" w:rsidRDefault="009E1F17" w:rsidP="00100A7A">
            <w:pPr>
              <w:keepNext/>
              <w:keepLines/>
              <w:jc w:val="left"/>
              <w:rPr>
                <w:rFonts w:ascii="Arial Narrow" w:hAnsi="Arial Narrow" w:cs="Times New Roman"/>
                <w:snapToGrid/>
                <w:sz w:val="20"/>
                <w:lang w:val="en-US"/>
              </w:rPr>
            </w:pPr>
            <w:r w:rsidRPr="009E1F17">
              <w:rPr>
                <w:rFonts w:ascii="Arial Narrow" w:hAnsi="Arial Narrow" w:cs="Times New Roman"/>
                <w:snapToGrid/>
                <w:sz w:val="20"/>
                <w:lang w:val="en-US"/>
              </w:rPr>
              <w:t xml:space="preserve">Einstein CHOICE </w:t>
            </w:r>
          </w:p>
        </w:tc>
        <w:tc>
          <w:tcPr>
            <w:tcW w:w="312" w:type="pct"/>
            <w:shd w:val="clear" w:color="auto" w:fill="auto"/>
          </w:tcPr>
          <w:p w:rsidR="009E1F17" w:rsidRPr="009E1F17" w:rsidRDefault="009E1F17" w:rsidP="00100A7A">
            <w:pPr>
              <w:keepNext/>
              <w:keepLines/>
              <w:jc w:val="left"/>
              <w:rPr>
                <w:rFonts w:ascii="Arial Narrow" w:hAnsi="Arial Narrow" w:cs="Times New Roman"/>
                <w:snapToGrid/>
                <w:sz w:val="20"/>
                <w:lang w:val="en-US"/>
              </w:rPr>
            </w:pPr>
            <w:r w:rsidRPr="009E1F17">
              <w:rPr>
                <w:rFonts w:ascii="Arial Narrow" w:hAnsi="Arial Narrow" w:cs="Times New Roman"/>
                <w:snapToGrid/>
                <w:sz w:val="20"/>
                <w:lang w:val="en-US"/>
              </w:rPr>
              <w:t>3396</w:t>
            </w:r>
          </w:p>
        </w:tc>
        <w:tc>
          <w:tcPr>
            <w:tcW w:w="624" w:type="pct"/>
            <w:shd w:val="clear" w:color="auto" w:fill="auto"/>
          </w:tcPr>
          <w:p w:rsidR="009E1F17" w:rsidRPr="009E1F17" w:rsidRDefault="009E1F17" w:rsidP="00100A7A">
            <w:pPr>
              <w:keepNext/>
              <w:keepLines/>
              <w:jc w:val="left"/>
              <w:rPr>
                <w:rFonts w:ascii="Arial Narrow" w:hAnsi="Arial Narrow" w:cs="Times New Roman"/>
                <w:snapToGrid/>
                <w:sz w:val="20"/>
                <w:lang w:val="en-US"/>
              </w:rPr>
            </w:pPr>
            <w:r w:rsidRPr="009E1F17">
              <w:rPr>
                <w:rFonts w:ascii="Arial Narrow" w:hAnsi="Arial Narrow" w:cs="Times New Roman"/>
                <w:snapToGrid/>
                <w:sz w:val="20"/>
                <w:lang w:val="en-US"/>
              </w:rPr>
              <w:t>R, DB</w:t>
            </w:r>
          </w:p>
          <w:p w:rsidR="009E1F17" w:rsidRPr="009E1F17" w:rsidRDefault="009E1F17" w:rsidP="00100A7A">
            <w:pPr>
              <w:keepNext/>
              <w:keepLines/>
              <w:jc w:val="left"/>
              <w:rPr>
                <w:rFonts w:ascii="Arial Narrow" w:hAnsi="Arial Narrow" w:cs="Times New Roman"/>
                <w:snapToGrid/>
                <w:sz w:val="20"/>
                <w:lang w:val="en-US"/>
              </w:rPr>
            </w:pPr>
            <w:r w:rsidRPr="009E1F17">
              <w:rPr>
                <w:rFonts w:ascii="Arial Narrow" w:hAnsi="Arial Narrow" w:cs="Times New Roman"/>
                <w:snapToGrid/>
                <w:sz w:val="20"/>
                <w:lang w:val="en-US"/>
              </w:rPr>
              <w:t xml:space="preserve">12 months </w:t>
            </w:r>
          </w:p>
        </w:tc>
        <w:tc>
          <w:tcPr>
            <w:tcW w:w="391" w:type="pct"/>
            <w:shd w:val="clear" w:color="auto" w:fill="auto"/>
          </w:tcPr>
          <w:p w:rsidR="009E1F17" w:rsidRPr="009E1F17" w:rsidRDefault="009E1F17" w:rsidP="00100A7A">
            <w:pPr>
              <w:keepNext/>
              <w:keepLines/>
              <w:jc w:val="left"/>
              <w:rPr>
                <w:rFonts w:ascii="Arial Narrow" w:hAnsi="Arial Narrow" w:cs="Times New Roman"/>
                <w:snapToGrid/>
                <w:sz w:val="20"/>
                <w:lang w:val="en-US"/>
              </w:rPr>
            </w:pPr>
            <w:r w:rsidRPr="009E1F17">
              <w:rPr>
                <w:rFonts w:ascii="Arial Narrow" w:hAnsi="Arial Narrow" w:cs="Times New Roman"/>
                <w:snapToGrid/>
                <w:sz w:val="20"/>
                <w:lang w:val="en-US"/>
              </w:rPr>
              <w:t>Low</w:t>
            </w:r>
          </w:p>
        </w:tc>
        <w:tc>
          <w:tcPr>
            <w:tcW w:w="1248" w:type="pct"/>
            <w:shd w:val="clear" w:color="auto" w:fill="auto"/>
          </w:tcPr>
          <w:p w:rsidR="009E1F17" w:rsidRPr="009E1F17" w:rsidRDefault="009E1F17" w:rsidP="00100A7A">
            <w:pPr>
              <w:keepNext/>
              <w:keepLines/>
              <w:jc w:val="left"/>
              <w:rPr>
                <w:rFonts w:ascii="Arial Narrow" w:hAnsi="Arial Narrow" w:cs="Times New Roman"/>
                <w:snapToGrid/>
                <w:sz w:val="20"/>
                <w:lang w:val="en-US"/>
              </w:rPr>
            </w:pPr>
            <w:r w:rsidRPr="009E1F17">
              <w:rPr>
                <w:rFonts w:ascii="Arial Narrow" w:hAnsi="Arial Narrow" w:cs="Times New Roman"/>
                <w:snapToGrid/>
                <w:sz w:val="20"/>
              </w:rPr>
              <w:t>Patients with confirmed symptomatic PE and/or DVT who had been treated for 6 to 12 months and did not interrupt anticoagulation for longer than 1 week</w:t>
            </w:r>
          </w:p>
        </w:tc>
        <w:tc>
          <w:tcPr>
            <w:tcW w:w="1941" w:type="pct"/>
            <w:shd w:val="clear" w:color="auto" w:fill="auto"/>
          </w:tcPr>
          <w:p w:rsidR="009E1F17" w:rsidRPr="009E1F17" w:rsidRDefault="009E1F17" w:rsidP="00100A7A">
            <w:pPr>
              <w:keepNext/>
              <w:keepLines/>
              <w:jc w:val="left"/>
              <w:rPr>
                <w:rFonts w:ascii="Arial Narrow" w:hAnsi="Arial Narrow" w:cs="Times New Roman"/>
                <w:snapToGrid/>
                <w:sz w:val="20"/>
                <w:lang w:val="en-US"/>
              </w:rPr>
            </w:pPr>
            <w:r w:rsidRPr="009E1F17">
              <w:rPr>
                <w:rFonts w:ascii="Arial Narrow" w:hAnsi="Arial Narrow" w:cs="Times New Roman"/>
                <w:snapToGrid/>
                <w:sz w:val="20"/>
                <w:lang w:val="en-US"/>
              </w:rPr>
              <w:t>Primary outcomes:</w:t>
            </w:r>
          </w:p>
          <w:p w:rsidR="009E1F17" w:rsidRPr="009E1F17" w:rsidRDefault="009E1F17" w:rsidP="00100A7A">
            <w:pPr>
              <w:keepNext/>
              <w:keepLines/>
              <w:numPr>
                <w:ilvl w:val="0"/>
                <w:numId w:val="26"/>
              </w:numPr>
              <w:ind w:left="284" w:hanging="284"/>
              <w:jc w:val="left"/>
              <w:rPr>
                <w:rFonts w:ascii="Arial Narrow" w:hAnsi="Arial Narrow" w:cs="Times New Roman"/>
                <w:snapToGrid/>
                <w:sz w:val="20"/>
                <w:lang w:val="en-US"/>
              </w:rPr>
            </w:pPr>
            <w:r w:rsidRPr="009E1F17">
              <w:rPr>
                <w:rFonts w:ascii="Arial Narrow" w:hAnsi="Arial Narrow" w:cs="Times New Roman"/>
                <w:snapToGrid/>
                <w:sz w:val="20"/>
                <w:lang w:val="en-US"/>
              </w:rPr>
              <w:t>Symptomatic, recurrent fatal or nonfatal VTE</w:t>
            </w:r>
          </w:p>
          <w:p w:rsidR="009E1F17" w:rsidRPr="009E1F17" w:rsidRDefault="009E1F17" w:rsidP="00100A7A">
            <w:pPr>
              <w:keepNext/>
              <w:keepLines/>
              <w:numPr>
                <w:ilvl w:val="0"/>
                <w:numId w:val="26"/>
              </w:numPr>
              <w:ind w:left="284" w:hanging="284"/>
              <w:jc w:val="left"/>
              <w:rPr>
                <w:rFonts w:ascii="Arial Narrow" w:hAnsi="Arial Narrow" w:cs="Times New Roman"/>
                <w:snapToGrid/>
                <w:sz w:val="20"/>
                <w:lang w:val="en-US"/>
              </w:rPr>
            </w:pPr>
            <w:r w:rsidRPr="009E1F17">
              <w:rPr>
                <w:rFonts w:ascii="Arial Narrow" w:hAnsi="Arial Narrow" w:cs="Times New Roman"/>
                <w:snapToGrid/>
                <w:sz w:val="20"/>
                <w:lang w:val="en-US"/>
              </w:rPr>
              <w:t>Major bleeding</w:t>
            </w:r>
          </w:p>
          <w:p w:rsidR="009E1F17" w:rsidRPr="009E1F17" w:rsidRDefault="009E1F17" w:rsidP="00100A7A">
            <w:pPr>
              <w:keepNext/>
              <w:keepLines/>
              <w:jc w:val="left"/>
              <w:rPr>
                <w:rFonts w:ascii="Arial Narrow" w:hAnsi="Arial Narrow" w:cs="Times New Roman"/>
                <w:snapToGrid/>
                <w:sz w:val="20"/>
                <w:lang w:val="en-US"/>
              </w:rPr>
            </w:pPr>
            <w:r w:rsidRPr="009E1F17">
              <w:rPr>
                <w:rFonts w:ascii="Arial Narrow" w:hAnsi="Arial Narrow" w:cs="Times New Roman"/>
                <w:snapToGrid/>
                <w:sz w:val="20"/>
                <w:lang w:val="en-US"/>
              </w:rPr>
              <w:t xml:space="preserve">Secondary outcomes: </w:t>
            </w:r>
          </w:p>
          <w:p w:rsidR="009E1F17" w:rsidRPr="009E1F17" w:rsidRDefault="009E1F17" w:rsidP="00100A7A">
            <w:pPr>
              <w:keepNext/>
              <w:keepLines/>
              <w:numPr>
                <w:ilvl w:val="0"/>
                <w:numId w:val="26"/>
              </w:numPr>
              <w:ind w:left="284" w:hanging="284"/>
              <w:jc w:val="left"/>
              <w:rPr>
                <w:rFonts w:ascii="Arial Narrow" w:hAnsi="Arial Narrow" w:cs="Times New Roman"/>
                <w:snapToGrid/>
                <w:sz w:val="20"/>
                <w:szCs w:val="20"/>
              </w:rPr>
            </w:pPr>
            <w:r w:rsidRPr="009E1F17">
              <w:rPr>
                <w:rFonts w:ascii="Arial Narrow" w:hAnsi="Arial Narrow" w:cs="Times New Roman"/>
                <w:snapToGrid/>
                <w:sz w:val="20"/>
                <w:szCs w:val="20"/>
              </w:rPr>
              <w:t>VTE recurrence, myocardial infraction, ischaemic stroke or systemic embolism</w:t>
            </w:r>
          </w:p>
          <w:p w:rsidR="009E1F17" w:rsidRPr="009E1F17" w:rsidRDefault="009E1F17" w:rsidP="00100A7A">
            <w:pPr>
              <w:keepNext/>
              <w:keepLines/>
              <w:numPr>
                <w:ilvl w:val="0"/>
                <w:numId w:val="26"/>
              </w:numPr>
              <w:ind w:left="284" w:hanging="284"/>
              <w:jc w:val="left"/>
              <w:rPr>
                <w:rFonts w:ascii="Arial Narrow" w:hAnsi="Arial Narrow" w:cs="Times New Roman"/>
                <w:snapToGrid/>
                <w:sz w:val="20"/>
                <w:szCs w:val="20"/>
              </w:rPr>
            </w:pPr>
            <w:r w:rsidRPr="009E1F17">
              <w:rPr>
                <w:rFonts w:ascii="Arial Narrow" w:hAnsi="Arial Narrow" w:cs="Times New Roman"/>
                <w:snapToGrid/>
                <w:sz w:val="20"/>
                <w:szCs w:val="20"/>
              </w:rPr>
              <w:t>CRNM bleeding</w:t>
            </w:r>
          </w:p>
        </w:tc>
      </w:tr>
      <w:tr w:rsidR="00EF368B" w:rsidRPr="009E1F17" w:rsidTr="00EF368B">
        <w:tc>
          <w:tcPr>
            <w:tcW w:w="484" w:type="pct"/>
            <w:shd w:val="clear" w:color="auto" w:fill="auto"/>
          </w:tcPr>
          <w:p w:rsidR="009E1F17" w:rsidRPr="009E1F17" w:rsidRDefault="009E1F17" w:rsidP="00100A7A">
            <w:pPr>
              <w:keepNext/>
              <w:keepLines/>
              <w:jc w:val="left"/>
              <w:rPr>
                <w:rFonts w:ascii="Arial Narrow" w:hAnsi="Arial Narrow" w:cs="Times New Roman"/>
                <w:snapToGrid/>
                <w:sz w:val="20"/>
                <w:lang w:val="en-US"/>
              </w:rPr>
            </w:pPr>
            <w:r w:rsidRPr="009E1F17">
              <w:rPr>
                <w:rFonts w:ascii="Arial Narrow" w:hAnsi="Arial Narrow" w:cs="Times New Roman"/>
                <w:snapToGrid/>
                <w:sz w:val="20"/>
                <w:lang w:val="en-US"/>
              </w:rPr>
              <w:t>Einstein EXT</w:t>
            </w:r>
          </w:p>
        </w:tc>
        <w:tc>
          <w:tcPr>
            <w:tcW w:w="312" w:type="pct"/>
            <w:shd w:val="clear" w:color="auto" w:fill="auto"/>
          </w:tcPr>
          <w:p w:rsidR="009E1F17" w:rsidRPr="009E1F17" w:rsidRDefault="009E1F17" w:rsidP="00100A7A">
            <w:pPr>
              <w:keepNext/>
              <w:keepLines/>
              <w:jc w:val="left"/>
              <w:rPr>
                <w:rFonts w:ascii="Arial Narrow" w:hAnsi="Arial Narrow" w:cs="Times New Roman"/>
                <w:snapToGrid/>
                <w:sz w:val="20"/>
                <w:lang w:val="en-US"/>
              </w:rPr>
            </w:pPr>
            <w:r w:rsidRPr="009E1F17">
              <w:rPr>
                <w:rFonts w:ascii="Arial Narrow" w:hAnsi="Arial Narrow" w:cs="Times New Roman"/>
                <w:snapToGrid/>
                <w:sz w:val="20"/>
                <w:lang w:val="en-US"/>
              </w:rPr>
              <w:t>1196</w:t>
            </w:r>
          </w:p>
        </w:tc>
        <w:tc>
          <w:tcPr>
            <w:tcW w:w="624" w:type="pct"/>
            <w:shd w:val="clear" w:color="auto" w:fill="auto"/>
          </w:tcPr>
          <w:p w:rsidR="009E1F17" w:rsidRPr="009E1F17" w:rsidRDefault="009E1F17" w:rsidP="00100A7A">
            <w:pPr>
              <w:keepNext/>
              <w:keepLines/>
              <w:jc w:val="left"/>
              <w:rPr>
                <w:rFonts w:ascii="Arial Narrow" w:hAnsi="Arial Narrow" w:cs="Times New Roman"/>
                <w:snapToGrid/>
                <w:sz w:val="20"/>
                <w:lang w:val="en-US"/>
              </w:rPr>
            </w:pPr>
            <w:r w:rsidRPr="009E1F17">
              <w:rPr>
                <w:rFonts w:ascii="Arial Narrow" w:hAnsi="Arial Narrow" w:cs="Times New Roman"/>
                <w:snapToGrid/>
                <w:sz w:val="20"/>
                <w:lang w:val="en-US"/>
              </w:rPr>
              <w:t>R, DB</w:t>
            </w:r>
          </w:p>
          <w:p w:rsidR="009E1F17" w:rsidRPr="009E1F17" w:rsidRDefault="009E1F17" w:rsidP="00100A7A">
            <w:pPr>
              <w:keepNext/>
              <w:keepLines/>
              <w:jc w:val="left"/>
              <w:rPr>
                <w:rFonts w:ascii="Arial Narrow" w:hAnsi="Arial Narrow" w:cs="Times New Roman"/>
                <w:snapToGrid/>
                <w:sz w:val="20"/>
                <w:lang w:val="en-US"/>
              </w:rPr>
            </w:pPr>
            <w:r w:rsidRPr="009E1F17">
              <w:rPr>
                <w:rFonts w:ascii="Arial Narrow" w:hAnsi="Arial Narrow" w:cs="Times New Roman"/>
                <w:snapToGrid/>
                <w:sz w:val="20"/>
                <w:lang w:val="en-US"/>
              </w:rPr>
              <w:t>6 or 12 months</w:t>
            </w:r>
          </w:p>
        </w:tc>
        <w:tc>
          <w:tcPr>
            <w:tcW w:w="391" w:type="pct"/>
            <w:shd w:val="clear" w:color="auto" w:fill="auto"/>
          </w:tcPr>
          <w:p w:rsidR="009E1F17" w:rsidRPr="009E1F17" w:rsidRDefault="009E1F17" w:rsidP="00100A7A">
            <w:pPr>
              <w:keepNext/>
              <w:keepLines/>
              <w:jc w:val="left"/>
              <w:rPr>
                <w:rFonts w:ascii="Arial Narrow" w:hAnsi="Arial Narrow" w:cs="Times New Roman"/>
                <w:snapToGrid/>
                <w:sz w:val="20"/>
                <w:lang w:val="en-US"/>
              </w:rPr>
            </w:pPr>
            <w:r w:rsidRPr="009E1F17">
              <w:rPr>
                <w:rFonts w:ascii="Arial Narrow" w:hAnsi="Arial Narrow" w:cs="Times New Roman"/>
                <w:snapToGrid/>
                <w:sz w:val="20"/>
                <w:lang w:val="en-US"/>
              </w:rPr>
              <w:t>Low</w:t>
            </w:r>
          </w:p>
        </w:tc>
        <w:tc>
          <w:tcPr>
            <w:tcW w:w="1248" w:type="pct"/>
            <w:shd w:val="clear" w:color="auto" w:fill="auto"/>
          </w:tcPr>
          <w:p w:rsidR="009E1F17" w:rsidRPr="009E1F17" w:rsidRDefault="009E1F17" w:rsidP="00100A7A">
            <w:pPr>
              <w:keepNext/>
              <w:keepLines/>
              <w:jc w:val="left"/>
              <w:rPr>
                <w:rFonts w:ascii="Arial Narrow" w:hAnsi="Arial Narrow" w:cs="Times New Roman"/>
                <w:snapToGrid/>
                <w:sz w:val="20"/>
                <w:lang w:val="en-US"/>
              </w:rPr>
            </w:pPr>
            <w:r w:rsidRPr="009E1F17">
              <w:rPr>
                <w:rFonts w:ascii="Arial Narrow" w:hAnsi="Arial Narrow" w:cs="Times New Roman"/>
                <w:snapToGrid/>
                <w:sz w:val="20"/>
                <w:lang w:val="en-US"/>
              </w:rPr>
              <w:t>Patients with confirmed symptomatic DVT or PE who had been treated for either</w:t>
            </w:r>
          </w:p>
          <w:p w:rsidR="009E1F17" w:rsidRPr="009E1F17" w:rsidRDefault="009E1F17" w:rsidP="00100A7A">
            <w:pPr>
              <w:keepNext/>
              <w:keepLines/>
              <w:jc w:val="left"/>
              <w:rPr>
                <w:rFonts w:ascii="Arial Narrow" w:hAnsi="Arial Narrow" w:cs="Times New Roman"/>
                <w:snapToGrid/>
                <w:sz w:val="20"/>
                <w:lang w:val="en-US"/>
              </w:rPr>
            </w:pPr>
            <w:r w:rsidRPr="009E1F17">
              <w:rPr>
                <w:rFonts w:ascii="Arial Narrow" w:hAnsi="Arial Narrow" w:cs="Times New Roman"/>
                <w:snapToGrid/>
                <w:sz w:val="20"/>
                <w:lang w:val="en-US"/>
              </w:rPr>
              <w:t>- 6 or 12 months with VKA or rivaroxaban in study 11702 or</w:t>
            </w:r>
          </w:p>
          <w:p w:rsidR="009E1F17" w:rsidRPr="009E1F17" w:rsidRDefault="009E1F17" w:rsidP="00100A7A">
            <w:pPr>
              <w:keepNext/>
              <w:keepLines/>
              <w:jc w:val="left"/>
              <w:rPr>
                <w:rFonts w:ascii="Arial Narrow" w:hAnsi="Arial Narrow" w:cs="Times New Roman"/>
                <w:snapToGrid/>
                <w:sz w:val="20"/>
                <w:lang w:val="en-US"/>
              </w:rPr>
            </w:pPr>
            <w:r w:rsidRPr="009E1F17">
              <w:rPr>
                <w:rFonts w:ascii="Arial Narrow" w:hAnsi="Arial Narrow" w:cs="Times New Roman"/>
                <w:snapToGrid/>
                <w:sz w:val="20"/>
                <w:lang w:val="en-US"/>
              </w:rPr>
              <w:t>- 6 to 14 months with VKA</w:t>
            </w:r>
          </w:p>
        </w:tc>
        <w:tc>
          <w:tcPr>
            <w:tcW w:w="1941" w:type="pct"/>
            <w:shd w:val="clear" w:color="auto" w:fill="auto"/>
          </w:tcPr>
          <w:p w:rsidR="009E1F17" w:rsidRPr="009E1F17" w:rsidRDefault="009E1F17" w:rsidP="00100A7A">
            <w:pPr>
              <w:keepNext/>
              <w:keepLines/>
              <w:jc w:val="left"/>
              <w:rPr>
                <w:rFonts w:ascii="Arial Narrow" w:hAnsi="Arial Narrow" w:cs="Times New Roman"/>
                <w:snapToGrid/>
                <w:sz w:val="20"/>
                <w:lang w:val="en-US"/>
              </w:rPr>
            </w:pPr>
            <w:r w:rsidRPr="009E1F17">
              <w:rPr>
                <w:rFonts w:ascii="Arial Narrow" w:hAnsi="Arial Narrow" w:cs="Times New Roman"/>
                <w:snapToGrid/>
                <w:sz w:val="20"/>
                <w:lang w:val="en-US"/>
              </w:rPr>
              <w:t>Primary outcomes:</w:t>
            </w:r>
          </w:p>
          <w:p w:rsidR="009E1F17" w:rsidRPr="009E1F17" w:rsidRDefault="009E1F17" w:rsidP="00100A7A">
            <w:pPr>
              <w:keepNext/>
              <w:keepLines/>
              <w:numPr>
                <w:ilvl w:val="0"/>
                <w:numId w:val="26"/>
              </w:numPr>
              <w:ind w:left="284" w:hanging="284"/>
              <w:jc w:val="left"/>
              <w:rPr>
                <w:rFonts w:ascii="Arial Narrow" w:hAnsi="Arial Narrow" w:cs="Times New Roman"/>
                <w:snapToGrid/>
                <w:sz w:val="20"/>
                <w:lang w:val="en-US"/>
              </w:rPr>
            </w:pPr>
            <w:r w:rsidRPr="009E1F17">
              <w:rPr>
                <w:rFonts w:ascii="Arial Narrow" w:hAnsi="Arial Narrow" w:cs="Times New Roman"/>
                <w:snapToGrid/>
                <w:sz w:val="20"/>
                <w:lang w:val="en-US"/>
              </w:rPr>
              <w:t>Symptomatic, recurrent VTE</w:t>
            </w:r>
          </w:p>
          <w:p w:rsidR="009E1F17" w:rsidRPr="009E1F17" w:rsidRDefault="009E1F17" w:rsidP="00100A7A">
            <w:pPr>
              <w:keepNext/>
              <w:keepLines/>
              <w:numPr>
                <w:ilvl w:val="0"/>
                <w:numId w:val="26"/>
              </w:numPr>
              <w:ind w:left="284" w:hanging="284"/>
              <w:jc w:val="left"/>
              <w:rPr>
                <w:rFonts w:ascii="Arial Narrow" w:hAnsi="Arial Narrow" w:cs="Times New Roman"/>
                <w:snapToGrid/>
                <w:sz w:val="20"/>
                <w:lang w:val="en-US"/>
              </w:rPr>
            </w:pPr>
            <w:r w:rsidRPr="009E1F17">
              <w:rPr>
                <w:rFonts w:ascii="Arial Narrow" w:hAnsi="Arial Narrow" w:cs="Times New Roman"/>
                <w:snapToGrid/>
                <w:sz w:val="20"/>
                <w:lang w:val="en-US"/>
              </w:rPr>
              <w:t>Major bleeding</w:t>
            </w:r>
          </w:p>
          <w:p w:rsidR="009E1F17" w:rsidRPr="009E1F17" w:rsidRDefault="009E1F17" w:rsidP="00100A7A">
            <w:pPr>
              <w:keepNext/>
              <w:keepLines/>
              <w:jc w:val="left"/>
              <w:rPr>
                <w:rFonts w:ascii="Arial Narrow" w:hAnsi="Arial Narrow" w:cs="Times New Roman"/>
                <w:snapToGrid/>
                <w:sz w:val="20"/>
                <w:lang w:val="en-US"/>
              </w:rPr>
            </w:pPr>
            <w:r w:rsidRPr="009E1F17">
              <w:rPr>
                <w:rFonts w:ascii="Arial Narrow" w:hAnsi="Arial Narrow" w:cs="Times New Roman"/>
                <w:snapToGrid/>
                <w:sz w:val="20"/>
                <w:lang w:val="en-US"/>
              </w:rPr>
              <w:t>Secondary outcomes:</w:t>
            </w:r>
          </w:p>
          <w:p w:rsidR="009E1F17" w:rsidRPr="009E1F17" w:rsidRDefault="009E1F17" w:rsidP="00100A7A">
            <w:pPr>
              <w:keepNext/>
              <w:keepLines/>
              <w:numPr>
                <w:ilvl w:val="0"/>
                <w:numId w:val="26"/>
              </w:numPr>
              <w:ind w:left="284" w:hanging="284"/>
              <w:jc w:val="left"/>
              <w:rPr>
                <w:rFonts w:ascii="Arial Narrow" w:hAnsi="Arial Narrow" w:cs="Times New Roman"/>
                <w:snapToGrid/>
                <w:sz w:val="20"/>
                <w:lang w:val="en-US"/>
              </w:rPr>
            </w:pPr>
            <w:r w:rsidRPr="009E1F17">
              <w:rPr>
                <w:rFonts w:ascii="Arial Narrow" w:hAnsi="Arial Narrow" w:cs="Times New Roman"/>
                <w:snapToGrid/>
                <w:sz w:val="20"/>
                <w:lang w:val="en-US"/>
              </w:rPr>
              <w:t>Recurrent VTE and all-cause mortality</w:t>
            </w:r>
          </w:p>
          <w:p w:rsidR="009E1F17" w:rsidRPr="009E1F17" w:rsidRDefault="009E1F17" w:rsidP="00100A7A">
            <w:pPr>
              <w:keepNext/>
              <w:keepLines/>
              <w:numPr>
                <w:ilvl w:val="0"/>
                <w:numId w:val="26"/>
              </w:numPr>
              <w:ind w:left="284" w:hanging="284"/>
              <w:jc w:val="left"/>
              <w:rPr>
                <w:rFonts w:ascii="Arial Narrow" w:hAnsi="Arial Narrow" w:cs="Times New Roman"/>
                <w:snapToGrid/>
                <w:sz w:val="20"/>
                <w:lang w:val="en-US"/>
              </w:rPr>
            </w:pPr>
            <w:r w:rsidRPr="009E1F17">
              <w:rPr>
                <w:rFonts w:ascii="Arial Narrow" w:hAnsi="Arial Narrow" w:cs="Times New Roman"/>
                <w:snapToGrid/>
                <w:sz w:val="20"/>
                <w:lang w:val="en-US"/>
              </w:rPr>
              <w:t>CRNM bleeding</w:t>
            </w:r>
          </w:p>
        </w:tc>
      </w:tr>
      <w:tr w:rsidR="00EF368B" w:rsidRPr="009E1F17" w:rsidTr="00EF368B">
        <w:tc>
          <w:tcPr>
            <w:tcW w:w="484" w:type="pct"/>
            <w:shd w:val="clear" w:color="auto" w:fill="auto"/>
          </w:tcPr>
          <w:p w:rsidR="009E1F17" w:rsidRPr="009E1F17" w:rsidRDefault="009E1F17" w:rsidP="00100A7A">
            <w:pPr>
              <w:keepNext/>
              <w:keepLines/>
              <w:jc w:val="left"/>
              <w:rPr>
                <w:rFonts w:ascii="Arial Narrow" w:hAnsi="Arial Narrow" w:cs="Times New Roman"/>
                <w:snapToGrid/>
                <w:sz w:val="20"/>
                <w:lang w:val="en-US"/>
              </w:rPr>
            </w:pPr>
            <w:r w:rsidRPr="009E1F17">
              <w:rPr>
                <w:rFonts w:ascii="Arial Narrow" w:hAnsi="Arial Narrow" w:cs="Times New Roman"/>
                <w:snapToGrid/>
                <w:sz w:val="20"/>
                <w:lang w:val="en-US"/>
              </w:rPr>
              <w:t xml:space="preserve">Amplify EXT </w:t>
            </w:r>
          </w:p>
        </w:tc>
        <w:tc>
          <w:tcPr>
            <w:tcW w:w="312" w:type="pct"/>
            <w:shd w:val="clear" w:color="auto" w:fill="auto"/>
          </w:tcPr>
          <w:p w:rsidR="009E1F17" w:rsidRPr="009E1F17" w:rsidRDefault="009E1F17" w:rsidP="00100A7A">
            <w:pPr>
              <w:keepNext/>
              <w:keepLines/>
              <w:jc w:val="left"/>
              <w:rPr>
                <w:rFonts w:ascii="Arial Narrow" w:hAnsi="Arial Narrow" w:cs="Times New Roman"/>
                <w:snapToGrid/>
                <w:sz w:val="20"/>
                <w:lang w:val="en-US"/>
              </w:rPr>
            </w:pPr>
            <w:r w:rsidRPr="009E1F17">
              <w:rPr>
                <w:rFonts w:ascii="Arial Narrow" w:hAnsi="Arial Narrow" w:cs="Times New Roman"/>
                <w:snapToGrid/>
                <w:sz w:val="20"/>
                <w:lang w:val="en-US"/>
              </w:rPr>
              <w:t>2486</w:t>
            </w:r>
          </w:p>
        </w:tc>
        <w:tc>
          <w:tcPr>
            <w:tcW w:w="624" w:type="pct"/>
            <w:shd w:val="clear" w:color="auto" w:fill="auto"/>
          </w:tcPr>
          <w:p w:rsidR="009E1F17" w:rsidRPr="009E1F17" w:rsidRDefault="009E1F17" w:rsidP="00100A7A">
            <w:pPr>
              <w:keepNext/>
              <w:keepLines/>
              <w:jc w:val="left"/>
              <w:rPr>
                <w:rFonts w:ascii="Arial Narrow" w:hAnsi="Arial Narrow" w:cs="Times New Roman"/>
                <w:snapToGrid/>
                <w:sz w:val="20"/>
                <w:lang w:val="en-US"/>
              </w:rPr>
            </w:pPr>
            <w:r w:rsidRPr="009E1F17">
              <w:rPr>
                <w:rFonts w:ascii="Arial Narrow" w:hAnsi="Arial Narrow" w:cs="Times New Roman"/>
                <w:snapToGrid/>
                <w:sz w:val="20"/>
                <w:lang w:val="en-US"/>
              </w:rPr>
              <w:t>R, DB</w:t>
            </w:r>
          </w:p>
          <w:p w:rsidR="009E1F17" w:rsidRPr="009E1F17" w:rsidRDefault="009E1F17" w:rsidP="00100A7A">
            <w:pPr>
              <w:keepNext/>
              <w:keepLines/>
              <w:jc w:val="left"/>
              <w:rPr>
                <w:rFonts w:ascii="Arial Narrow" w:hAnsi="Arial Narrow" w:cs="Times New Roman"/>
                <w:snapToGrid/>
                <w:sz w:val="20"/>
                <w:lang w:val="en-US"/>
              </w:rPr>
            </w:pPr>
            <w:r w:rsidRPr="009E1F17">
              <w:rPr>
                <w:rFonts w:ascii="Arial Narrow" w:hAnsi="Arial Narrow" w:cs="Times New Roman"/>
                <w:snapToGrid/>
                <w:sz w:val="20"/>
                <w:lang w:val="en-US"/>
              </w:rPr>
              <w:t>12 months</w:t>
            </w:r>
          </w:p>
        </w:tc>
        <w:tc>
          <w:tcPr>
            <w:tcW w:w="391" w:type="pct"/>
            <w:shd w:val="clear" w:color="auto" w:fill="auto"/>
          </w:tcPr>
          <w:p w:rsidR="009E1F17" w:rsidRPr="009E1F17" w:rsidRDefault="009E1F17" w:rsidP="00100A7A">
            <w:pPr>
              <w:keepNext/>
              <w:keepLines/>
              <w:jc w:val="left"/>
              <w:rPr>
                <w:rFonts w:ascii="Arial Narrow" w:hAnsi="Arial Narrow" w:cs="Times New Roman"/>
                <w:snapToGrid/>
                <w:sz w:val="20"/>
                <w:lang w:val="en-US"/>
              </w:rPr>
            </w:pPr>
            <w:r w:rsidRPr="009E1F17">
              <w:rPr>
                <w:rFonts w:ascii="Arial Narrow" w:hAnsi="Arial Narrow" w:cs="Times New Roman"/>
                <w:snapToGrid/>
                <w:sz w:val="20"/>
                <w:lang w:val="en-US"/>
              </w:rPr>
              <w:t>Low</w:t>
            </w:r>
          </w:p>
        </w:tc>
        <w:tc>
          <w:tcPr>
            <w:tcW w:w="1248" w:type="pct"/>
            <w:shd w:val="clear" w:color="auto" w:fill="auto"/>
          </w:tcPr>
          <w:p w:rsidR="009E1F17" w:rsidRPr="009E1F17" w:rsidRDefault="009E1F17" w:rsidP="00100A7A">
            <w:pPr>
              <w:keepNext/>
              <w:keepLines/>
              <w:jc w:val="left"/>
              <w:rPr>
                <w:rFonts w:ascii="Arial Narrow" w:hAnsi="Arial Narrow" w:cs="Times New Roman"/>
                <w:snapToGrid/>
                <w:sz w:val="20"/>
              </w:rPr>
            </w:pPr>
            <w:r w:rsidRPr="009E1F17">
              <w:rPr>
                <w:rFonts w:ascii="Arial Narrow" w:hAnsi="Arial Narrow" w:cs="Times New Roman"/>
                <w:snapToGrid/>
                <w:sz w:val="20"/>
              </w:rPr>
              <w:t>Patients ≥18 years of age with objectively confirmed, symptomatic proximal DVT or PE (with or without DVT)</w:t>
            </w:r>
            <w:r w:rsidR="00EF368B">
              <w:rPr>
                <w:rFonts w:ascii="Arial Narrow" w:hAnsi="Arial Narrow" w:cs="Times New Roman"/>
                <w:snapToGrid/>
                <w:sz w:val="20"/>
              </w:rPr>
              <w:t xml:space="preserve"> </w:t>
            </w:r>
            <w:r w:rsidRPr="009E1F17">
              <w:rPr>
                <w:rFonts w:ascii="Arial Narrow" w:hAnsi="Arial Narrow" w:cs="Times New Roman"/>
                <w:snapToGrid/>
                <w:sz w:val="20"/>
              </w:rPr>
              <w:t xml:space="preserve">3 who had </w:t>
            </w:r>
          </w:p>
          <w:p w:rsidR="009E1F17" w:rsidRPr="009E1F17" w:rsidRDefault="009E1F17" w:rsidP="00100A7A">
            <w:pPr>
              <w:keepNext/>
              <w:keepLines/>
              <w:jc w:val="left"/>
              <w:rPr>
                <w:rFonts w:ascii="Arial Narrow" w:hAnsi="Arial Narrow" w:cs="Times New Roman"/>
                <w:snapToGrid/>
                <w:sz w:val="20"/>
              </w:rPr>
            </w:pPr>
            <w:r w:rsidRPr="009E1F17">
              <w:rPr>
                <w:rFonts w:ascii="Arial Narrow" w:hAnsi="Arial Narrow" w:cs="Times New Roman"/>
                <w:snapToGrid/>
                <w:sz w:val="20"/>
              </w:rPr>
              <w:t xml:space="preserve">- been treated for 6 to 12 months with standard anticoagulant therapy or </w:t>
            </w:r>
          </w:p>
          <w:p w:rsidR="009E1F17" w:rsidRPr="009E1F17" w:rsidRDefault="009E1F17" w:rsidP="00100A7A">
            <w:pPr>
              <w:keepNext/>
              <w:keepLines/>
              <w:jc w:val="left"/>
              <w:rPr>
                <w:rFonts w:ascii="Arial Narrow" w:hAnsi="Arial Narrow" w:cs="Times New Roman"/>
                <w:snapToGrid/>
                <w:sz w:val="20"/>
              </w:rPr>
            </w:pPr>
            <w:r w:rsidRPr="009E1F17">
              <w:rPr>
                <w:rFonts w:ascii="Arial Narrow" w:hAnsi="Arial Narrow" w:cs="Times New Roman"/>
                <w:snapToGrid/>
                <w:sz w:val="20"/>
              </w:rPr>
              <w:t xml:space="preserve">- completed treatment with </w:t>
            </w:r>
            <w:proofErr w:type="spellStart"/>
            <w:r w:rsidRPr="009E1F17">
              <w:rPr>
                <w:rFonts w:ascii="Arial Narrow" w:hAnsi="Arial Narrow" w:cs="Times New Roman"/>
                <w:snapToGrid/>
                <w:sz w:val="20"/>
              </w:rPr>
              <w:t>apixaban</w:t>
            </w:r>
            <w:proofErr w:type="spellEnd"/>
            <w:r w:rsidRPr="009E1F17">
              <w:rPr>
                <w:rFonts w:ascii="Arial Narrow" w:hAnsi="Arial Narrow" w:cs="Times New Roman"/>
                <w:snapToGrid/>
                <w:sz w:val="20"/>
              </w:rPr>
              <w:t xml:space="preserve"> or enoxaparin and warfarin as participants in the Amplify trial.  </w:t>
            </w:r>
          </w:p>
        </w:tc>
        <w:tc>
          <w:tcPr>
            <w:tcW w:w="1941" w:type="pct"/>
            <w:shd w:val="clear" w:color="auto" w:fill="auto"/>
          </w:tcPr>
          <w:p w:rsidR="009E1F17" w:rsidRPr="009E1F17" w:rsidRDefault="009E1F17" w:rsidP="00100A7A">
            <w:pPr>
              <w:keepNext/>
              <w:keepLines/>
              <w:jc w:val="left"/>
              <w:rPr>
                <w:rFonts w:ascii="Arial Narrow" w:hAnsi="Arial Narrow" w:cs="Times New Roman"/>
                <w:snapToGrid/>
                <w:sz w:val="20"/>
                <w:lang w:val="en-US"/>
              </w:rPr>
            </w:pPr>
            <w:r w:rsidRPr="009E1F17">
              <w:rPr>
                <w:rFonts w:ascii="Arial Narrow" w:hAnsi="Arial Narrow" w:cs="Times New Roman"/>
                <w:snapToGrid/>
                <w:sz w:val="20"/>
                <w:lang w:val="en-US"/>
              </w:rPr>
              <w:t xml:space="preserve">Primary outcomes </w:t>
            </w:r>
          </w:p>
          <w:p w:rsidR="009E1F17" w:rsidRPr="009E1F17" w:rsidRDefault="009E1F17" w:rsidP="00100A7A">
            <w:pPr>
              <w:keepNext/>
              <w:keepLines/>
              <w:numPr>
                <w:ilvl w:val="0"/>
                <w:numId w:val="26"/>
              </w:numPr>
              <w:ind w:left="284" w:hanging="284"/>
              <w:jc w:val="left"/>
              <w:rPr>
                <w:rFonts w:ascii="Arial Narrow" w:hAnsi="Arial Narrow" w:cs="Times New Roman"/>
                <w:snapToGrid/>
                <w:sz w:val="20"/>
                <w:lang w:val="en-US"/>
              </w:rPr>
            </w:pPr>
            <w:r w:rsidRPr="009E1F17">
              <w:rPr>
                <w:rFonts w:ascii="Arial Narrow" w:hAnsi="Arial Narrow" w:cs="Times New Roman"/>
                <w:snapToGrid/>
                <w:sz w:val="20"/>
                <w:lang w:val="en-US"/>
              </w:rPr>
              <w:t xml:space="preserve">Symptomatic recurrent VTE or death from any cause; </w:t>
            </w:r>
          </w:p>
          <w:p w:rsidR="009E1F17" w:rsidRPr="009E1F17" w:rsidRDefault="009E1F17" w:rsidP="00100A7A">
            <w:pPr>
              <w:keepNext/>
              <w:keepLines/>
              <w:numPr>
                <w:ilvl w:val="0"/>
                <w:numId w:val="26"/>
              </w:numPr>
              <w:ind w:left="284" w:hanging="284"/>
              <w:jc w:val="left"/>
              <w:rPr>
                <w:rFonts w:ascii="Arial Narrow" w:hAnsi="Arial Narrow" w:cs="Times New Roman"/>
                <w:snapToGrid/>
                <w:sz w:val="20"/>
                <w:lang w:val="en-US"/>
              </w:rPr>
            </w:pPr>
            <w:r w:rsidRPr="009E1F17">
              <w:rPr>
                <w:rFonts w:ascii="Arial Narrow" w:hAnsi="Arial Narrow" w:cs="Times New Roman"/>
                <w:snapToGrid/>
                <w:sz w:val="20"/>
                <w:lang w:val="en-US"/>
              </w:rPr>
              <w:t>Major bleeding</w:t>
            </w:r>
          </w:p>
          <w:p w:rsidR="009E1F17" w:rsidRPr="009E1F17" w:rsidRDefault="009E1F17" w:rsidP="00100A7A">
            <w:pPr>
              <w:keepNext/>
              <w:keepLines/>
              <w:jc w:val="left"/>
              <w:rPr>
                <w:rFonts w:ascii="Arial Narrow" w:hAnsi="Arial Narrow" w:cs="Times New Roman"/>
                <w:snapToGrid/>
                <w:sz w:val="20"/>
                <w:lang w:val="en-US"/>
              </w:rPr>
            </w:pPr>
            <w:r w:rsidRPr="009E1F17">
              <w:rPr>
                <w:rFonts w:ascii="Arial Narrow" w:hAnsi="Arial Narrow" w:cs="Times New Roman"/>
                <w:snapToGrid/>
                <w:sz w:val="20"/>
                <w:lang w:val="en-US"/>
              </w:rPr>
              <w:t xml:space="preserve">Secondary outcomes: </w:t>
            </w:r>
          </w:p>
          <w:p w:rsidR="009E1F17" w:rsidRPr="009E1F17" w:rsidRDefault="009E1F17" w:rsidP="00100A7A">
            <w:pPr>
              <w:keepNext/>
              <w:keepLines/>
              <w:numPr>
                <w:ilvl w:val="0"/>
                <w:numId w:val="26"/>
              </w:numPr>
              <w:ind w:left="284" w:hanging="284"/>
              <w:jc w:val="left"/>
              <w:rPr>
                <w:rFonts w:ascii="Arial Narrow" w:hAnsi="Arial Narrow" w:cs="Times New Roman"/>
                <w:snapToGrid/>
                <w:sz w:val="20"/>
                <w:lang w:val="en-US"/>
              </w:rPr>
            </w:pPr>
            <w:r w:rsidRPr="009E1F17">
              <w:rPr>
                <w:rFonts w:ascii="Arial Narrow" w:hAnsi="Arial Narrow" w:cs="Times New Roman"/>
                <w:snapToGrid/>
                <w:sz w:val="20"/>
                <w:lang w:val="en-US"/>
              </w:rPr>
              <w:t xml:space="preserve">Symptomatic recurrent VTE or VTE-related death; </w:t>
            </w:r>
          </w:p>
          <w:p w:rsidR="009E1F17" w:rsidRPr="009E1F17" w:rsidRDefault="009E1F17" w:rsidP="00100A7A">
            <w:pPr>
              <w:keepNext/>
              <w:keepLines/>
              <w:numPr>
                <w:ilvl w:val="0"/>
                <w:numId w:val="26"/>
              </w:numPr>
              <w:ind w:left="284" w:hanging="284"/>
              <w:jc w:val="left"/>
              <w:rPr>
                <w:rFonts w:ascii="Arial Narrow" w:hAnsi="Arial Narrow" w:cs="Times New Roman"/>
                <w:snapToGrid/>
                <w:sz w:val="20"/>
                <w:lang w:val="en-US"/>
              </w:rPr>
            </w:pPr>
            <w:r w:rsidRPr="009E1F17">
              <w:rPr>
                <w:rFonts w:ascii="Arial Narrow" w:hAnsi="Arial Narrow" w:cs="Times New Roman"/>
                <w:snapToGrid/>
                <w:sz w:val="20"/>
                <w:lang w:val="en-US"/>
              </w:rPr>
              <w:t xml:space="preserve">Major or CRNM bleeding </w:t>
            </w:r>
          </w:p>
        </w:tc>
      </w:tr>
    </w:tbl>
    <w:p w:rsidR="009E1F17" w:rsidRPr="009E1F17" w:rsidRDefault="009E1F17" w:rsidP="009E1F17">
      <w:r w:rsidRPr="009E1F17">
        <w:rPr>
          <w:rFonts w:ascii="Arial Narrow" w:hAnsi="Arial Narrow"/>
          <w:sz w:val="18"/>
        </w:rPr>
        <w:t>Source: Compiled during evaluation</w:t>
      </w:r>
    </w:p>
    <w:p w:rsidR="009E1F17" w:rsidRPr="009E1F17" w:rsidRDefault="009E1F17" w:rsidP="009E1F17">
      <w:pPr>
        <w:rPr>
          <w:rFonts w:ascii="Arial Narrow" w:hAnsi="Arial Narrow"/>
          <w:sz w:val="18"/>
        </w:rPr>
      </w:pPr>
      <w:r w:rsidRPr="009E1F17">
        <w:rPr>
          <w:rFonts w:ascii="Arial Narrow" w:hAnsi="Arial Narrow"/>
          <w:sz w:val="18"/>
        </w:rPr>
        <w:t xml:space="preserve">Abbreviations: CRNM=clinically relevant </w:t>
      </w:r>
      <w:proofErr w:type="spellStart"/>
      <w:r w:rsidRPr="009E1F17">
        <w:rPr>
          <w:rFonts w:ascii="Arial Narrow" w:hAnsi="Arial Narrow"/>
          <w:sz w:val="18"/>
        </w:rPr>
        <w:t>nonmajor</w:t>
      </w:r>
      <w:proofErr w:type="spellEnd"/>
      <w:r w:rsidRPr="009E1F17">
        <w:rPr>
          <w:rFonts w:ascii="Arial Narrow" w:hAnsi="Arial Narrow"/>
          <w:sz w:val="18"/>
        </w:rPr>
        <w:t xml:space="preserve">; DB=double blind; DVT=deep venous thrombosis; PE=pulmonary embolism; R=randomised; VTE=venous thromboembolism. </w:t>
      </w:r>
    </w:p>
    <w:p w:rsidR="009E1F17" w:rsidRPr="009E1F17" w:rsidRDefault="009E1F17" w:rsidP="00100A7A">
      <w:pPr>
        <w:pStyle w:val="TableFooter"/>
      </w:pPr>
    </w:p>
    <w:p w:rsidR="009E1F17" w:rsidRPr="0019538A" w:rsidRDefault="009E1F17" w:rsidP="009E1F17">
      <w:pPr>
        <w:widowControl/>
        <w:numPr>
          <w:ilvl w:val="1"/>
          <w:numId w:val="3"/>
        </w:numPr>
        <w:spacing w:after="160"/>
        <w:rPr>
          <w:rFonts w:ascii="Arial Narrow" w:hAnsi="Arial Narrow"/>
          <w:b/>
          <w:sz w:val="20"/>
          <w:szCs w:val="16"/>
        </w:rPr>
      </w:pPr>
      <w:r w:rsidRPr="0019538A">
        <w:t xml:space="preserve">The key features of the randomised trials included in the meta-analysis (WARFASA and ASPIRE, as sourced from Robertson 2017) are summarised in </w:t>
      </w:r>
      <w:r w:rsidR="00C56905" w:rsidRPr="0019538A">
        <w:rPr>
          <w:rFonts w:asciiTheme="minorHAnsi" w:hAnsiTheme="minorHAnsi" w:cstheme="minorHAnsi"/>
          <w:color w:val="000000" w:themeColor="text1"/>
          <w:szCs w:val="24"/>
        </w:rPr>
        <w:t xml:space="preserve">Table </w:t>
      </w:r>
      <w:r w:rsidR="00C56905" w:rsidRPr="0019538A">
        <w:rPr>
          <w:rFonts w:asciiTheme="minorHAnsi" w:hAnsiTheme="minorHAnsi" w:cstheme="minorHAnsi"/>
          <w:noProof/>
          <w:color w:val="000000" w:themeColor="text1"/>
          <w:szCs w:val="24"/>
        </w:rPr>
        <w:t>5</w:t>
      </w:r>
      <w:r w:rsidRPr="0019538A">
        <w:rPr>
          <w:rFonts w:asciiTheme="minorHAnsi" w:hAnsiTheme="minorHAnsi" w:cstheme="minorHAnsi"/>
          <w:szCs w:val="24"/>
        </w:rPr>
        <w:t xml:space="preserve">. ASPIRE and WARFASA were randomised, double-blind placebo control studies to assess the efficacy and safety of aspirin in patients with unprovoked VTE. The intended treatment duration was 2 years in WARFASA and 4 years in ASPIRE. The submission </w:t>
      </w:r>
      <w:r w:rsidR="008B4949" w:rsidRPr="0019538A">
        <w:rPr>
          <w:rFonts w:asciiTheme="minorHAnsi" w:hAnsiTheme="minorHAnsi" w:cstheme="minorHAnsi"/>
          <w:szCs w:val="24"/>
        </w:rPr>
        <w:t xml:space="preserve">did </w:t>
      </w:r>
      <w:r w:rsidRPr="0019538A">
        <w:rPr>
          <w:rFonts w:asciiTheme="minorHAnsi" w:hAnsiTheme="minorHAnsi" w:cstheme="minorHAnsi"/>
          <w:szCs w:val="24"/>
        </w:rPr>
        <w:t xml:space="preserve">not report the results for these trials separately, only as part of the ITC. The risk of bias </w:t>
      </w:r>
      <w:r w:rsidRPr="0019538A">
        <w:rPr>
          <w:rFonts w:asciiTheme="minorHAnsi" w:hAnsiTheme="minorHAnsi" w:cstheme="minorHAnsi"/>
          <w:szCs w:val="24"/>
        </w:rPr>
        <w:lastRenderedPageBreak/>
        <w:t>assessment of the trials (ASPIRE and WARFASA) reported in Robertson 2017 was moderate due to the high risk of selection bias in WARFASA.</w:t>
      </w:r>
      <w:r w:rsidR="00C20CCA" w:rsidRPr="0019538A">
        <w:rPr>
          <w:rFonts w:asciiTheme="minorHAnsi" w:hAnsiTheme="minorHAnsi" w:cstheme="minorHAnsi"/>
          <w:szCs w:val="24"/>
        </w:rPr>
        <w:t xml:space="preserve"> The Pre</w:t>
      </w:r>
      <w:r w:rsidR="00503548">
        <w:rPr>
          <w:rFonts w:asciiTheme="minorHAnsi" w:hAnsiTheme="minorHAnsi" w:cstheme="minorHAnsi"/>
          <w:szCs w:val="24"/>
        </w:rPr>
        <w:t>-Sub-Committee Response (PSCR</w:t>
      </w:r>
      <w:r w:rsidR="00C20CCA" w:rsidRPr="0019538A">
        <w:rPr>
          <w:rFonts w:asciiTheme="minorHAnsi" w:hAnsiTheme="minorHAnsi" w:cstheme="minorHAnsi"/>
          <w:szCs w:val="24"/>
        </w:rPr>
        <w:t xml:space="preserve">) stated that comprehensive details of WARFASA and ASPIRE were not presented in the submission as “they were only used as “common control” trials in complementary two-step indirect comparisons.” The sponsor agreed with the assessment of bias of these trials presented in the evaluation.  </w:t>
      </w:r>
    </w:p>
    <w:p w:rsidR="009E1F17" w:rsidRPr="009E1F17" w:rsidRDefault="009E1F17" w:rsidP="009E1F17">
      <w:pPr>
        <w:keepNext/>
        <w:rPr>
          <w:rFonts w:ascii="Arial Narrow" w:hAnsi="Arial Narrow"/>
          <w:b/>
          <w:bCs/>
          <w:color w:val="000000" w:themeColor="text1"/>
          <w:sz w:val="20"/>
          <w:szCs w:val="20"/>
        </w:rPr>
      </w:pPr>
      <w:bookmarkStart w:id="14" w:name="_Ref523398705"/>
      <w:r w:rsidRPr="009E1F17">
        <w:rPr>
          <w:rFonts w:ascii="Arial Narrow" w:hAnsi="Arial Narrow"/>
          <w:b/>
          <w:bCs/>
          <w:color w:val="000000" w:themeColor="text1"/>
          <w:sz w:val="20"/>
          <w:szCs w:val="20"/>
        </w:rPr>
        <w:t xml:space="preserve">Table </w:t>
      </w:r>
      <w:r w:rsidR="00C56905">
        <w:rPr>
          <w:rFonts w:ascii="Arial Narrow" w:hAnsi="Arial Narrow"/>
          <w:b/>
          <w:bCs/>
          <w:noProof/>
          <w:color w:val="000000" w:themeColor="text1"/>
          <w:sz w:val="20"/>
          <w:szCs w:val="20"/>
        </w:rPr>
        <w:t>5</w:t>
      </w:r>
      <w:bookmarkEnd w:id="14"/>
      <w:r w:rsidRPr="009E1F17">
        <w:rPr>
          <w:rFonts w:ascii="Arial Narrow" w:hAnsi="Arial Narrow"/>
          <w:b/>
          <w:bCs/>
          <w:color w:val="000000" w:themeColor="text1"/>
          <w:sz w:val="20"/>
          <w:szCs w:val="20"/>
        </w:rPr>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6"/>
        <w:gridCol w:w="565"/>
        <w:gridCol w:w="844"/>
        <w:gridCol w:w="844"/>
        <w:gridCol w:w="2388"/>
        <w:gridCol w:w="3360"/>
      </w:tblGrid>
      <w:tr w:rsidR="009E1F17" w:rsidRPr="009E1F17" w:rsidTr="00EF368B">
        <w:trPr>
          <w:tblHeader/>
        </w:trPr>
        <w:tc>
          <w:tcPr>
            <w:tcW w:w="563" w:type="pct"/>
            <w:shd w:val="clear" w:color="auto" w:fill="auto"/>
            <w:vAlign w:val="center"/>
          </w:tcPr>
          <w:p w:rsidR="009E1F17" w:rsidRPr="009E1F17" w:rsidRDefault="009E1F17" w:rsidP="009E1F17">
            <w:pPr>
              <w:keepNext/>
              <w:widowControl/>
              <w:jc w:val="left"/>
              <w:rPr>
                <w:rFonts w:ascii="Arial Narrow" w:hAnsi="Arial Narrow" w:cs="Times New Roman"/>
                <w:b/>
                <w:snapToGrid/>
                <w:sz w:val="20"/>
                <w:lang w:val="en-US"/>
              </w:rPr>
            </w:pPr>
            <w:r w:rsidRPr="009E1F17">
              <w:rPr>
                <w:rFonts w:ascii="Arial Narrow" w:hAnsi="Arial Narrow" w:cs="Times New Roman"/>
                <w:b/>
                <w:snapToGrid/>
                <w:sz w:val="20"/>
                <w:lang w:val="en-US"/>
              </w:rPr>
              <w:t>Trial</w:t>
            </w:r>
          </w:p>
        </w:tc>
        <w:tc>
          <w:tcPr>
            <w:tcW w:w="313" w:type="pct"/>
            <w:shd w:val="clear" w:color="auto" w:fill="auto"/>
            <w:vAlign w:val="center"/>
          </w:tcPr>
          <w:p w:rsidR="009E1F17" w:rsidRPr="009E1F17" w:rsidRDefault="009E1F17" w:rsidP="009E1F17">
            <w:pPr>
              <w:keepNext/>
              <w:widowControl/>
              <w:jc w:val="left"/>
              <w:rPr>
                <w:rFonts w:ascii="Arial Narrow" w:hAnsi="Arial Narrow" w:cs="Times New Roman"/>
                <w:b/>
                <w:snapToGrid/>
                <w:sz w:val="20"/>
                <w:lang w:val="en-US"/>
              </w:rPr>
            </w:pPr>
            <w:r w:rsidRPr="009E1F17">
              <w:rPr>
                <w:rFonts w:ascii="Arial Narrow" w:hAnsi="Arial Narrow" w:cs="Times New Roman"/>
                <w:b/>
                <w:snapToGrid/>
                <w:sz w:val="20"/>
                <w:lang w:val="en-US"/>
              </w:rPr>
              <w:t>N</w:t>
            </w:r>
          </w:p>
        </w:tc>
        <w:tc>
          <w:tcPr>
            <w:tcW w:w="468" w:type="pct"/>
            <w:shd w:val="clear" w:color="auto" w:fill="auto"/>
            <w:vAlign w:val="center"/>
          </w:tcPr>
          <w:p w:rsidR="009E1F17" w:rsidRPr="009E1F17" w:rsidRDefault="009E1F17" w:rsidP="009E1F17">
            <w:pPr>
              <w:keepNext/>
              <w:widowControl/>
              <w:jc w:val="left"/>
              <w:rPr>
                <w:rFonts w:ascii="Arial Narrow" w:hAnsi="Arial Narrow" w:cs="Times New Roman"/>
                <w:b/>
                <w:snapToGrid/>
                <w:sz w:val="20"/>
                <w:lang w:val="en-US"/>
              </w:rPr>
            </w:pPr>
            <w:r w:rsidRPr="009E1F17">
              <w:rPr>
                <w:rFonts w:ascii="Arial Narrow" w:hAnsi="Arial Narrow" w:cs="Times New Roman"/>
                <w:b/>
                <w:snapToGrid/>
                <w:sz w:val="20"/>
                <w:lang w:val="en-US"/>
              </w:rPr>
              <w:t>Design/ duration</w:t>
            </w:r>
          </w:p>
        </w:tc>
        <w:tc>
          <w:tcPr>
            <w:tcW w:w="468" w:type="pct"/>
            <w:shd w:val="clear" w:color="auto" w:fill="auto"/>
            <w:vAlign w:val="center"/>
          </w:tcPr>
          <w:p w:rsidR="009E1F17" w:rsidRPr="009E1F17" w:rsidRDefault="009E1F17" w:rsidP="009E1F17">
            <w:pPr>
              <w:keepNext/>
              <w:widowControl/>
              <w:jc w:val="left"/>
              <w:rPr>
                <w:rFonts w:ascii="Arial Narrow" w:hAnsi="Arial Narrow" w:cs="Times New Roman"/>
                <w:b/>
                <w:snapToGrid/>
                <w:sz w:val="20"/>
                <w:lang w:val="en-US"/>
              </w:rPr>
            </w:pPr>
            <w:r w:rsidRPr="009E1F17">
              <w:rPr>
                <w:rFonts w:ascii="Arial Narrow" w:hAnsi="Arial Narrow" w:cs="Times New Roman"/>
                <w:b/>
                <w:snapToGrid/>
                <w:sz w:val="20"/>
                <w:lang w:val="en-US"/>
              </w:rPr>
              <w:t>Risk of bias</w:t>
            </w:r>
          </w:p>
        </w:tc>
        <w:tc>
          <w:tcPr>
            <w:tcW w:w="1324" w:type="pct"/>
            <w:shd w:val="clear" w:color="auto" w:fill="auto"/>
            <w:vAlign w:val="center"/>
          </w:tcPr>
          <w:p w:rsidR="009E1F17" w:rsidRPr="009E1F17" w:rsidRDefault="009E1F17" w:rsidP="009E1F17">
            <w:pPr>
              <w:keepNext/>
              <w:widowControl/>
              <w:jc w:val="left"/>
              <w:rPr>
                <w:rFonts w:ascii="Arial Narrow" w:hAnsi="Arial Narrow" w:cs="Times New Roman"/>
                <w:b/>
                <w:snapToGrid/>
                <w:sz w:val="20"/>
                <w:lang w:val="en-US"/>
              </w:rPr>
            </w:pPr>
            <w:r w:rsidRPr="009E1F17">
              <w:rPr>
                <w:rFonts w:ascii="Arial Narrow" w:hAnsi="Arial Narrow" w:cs="Times New Roman"/>
                <w:b/>
                <w:snapToGrid/>
                <w:sz w:val="20"/>
                <w:lang w:val="en-US"/>
              </w:rPr>
              <w:t>Patient population</w:t>
            </w:r>
          </w:p>
        </w:tc>
        <w:tc>
          <w:tcPr>
            <w:tcW w:w="1863" w:type="pct"/>
            <w:shd w:val="clear" w:color="auto" w:fill="auto"/>
            <w:vAlign w:val="center"/>
          </w:tcPr>
          <w:p w:rsidR="009E1F17" w:rsidRPr="009E1F17" w:rsidRDefault="009E1F17" w:rsidP="009E1F17">
            <w:pPr>
              <w:keepNext/>
              <w:widowControl/>
              <w:jc w:val="left"/>
              <w:rPr>
                <w:rFonts w:ascii="Arial Narrow" w:hAnsi="Arial Narrow" w:cs="Times New Roman"/>
                <w:b/>
                <w:snapToGrid/>
                <w:sz w:val="20"/>
                <w:lang w:val="en-US"/>
              </w:rPr>
            </w:pPr>
            <w:r w:rsidRPr="009E1F17">
              <w:rPr>
                <w:rFonts w:ascii="Arial Narrow" w:hAnsi="Arial Narrow" w:cs="Times New Roman"/>
                <w:b/>
                <w:snapToGrid/>
                <w:sz w:val="20"/>
                <w:lang w:val="en-US"/>
              </w:rPr>
              <w:t>Outcome(s)</w:t>
            </w:r>
          </w:p>
        </w:tc>
      </w:tr>
      <w:tr w:rsidR="009E1F17" w:rsidRPr="009E1F17" w:rsidTr="00EF368B">
        <w:tc>
          <w:tcPr>
            <w:tcW w:w="563" w:type="pct"/>
            <w:shd w:val="clear" w:color="auto" w:fill="auto"/>
          </w:tcPr>
          <w:p w:rsidR="009E1F17" w:rsidRPr="009E1F17" w:rsidRDefault="009E1F17" w:rsidP="009E1F17">
            <w:pPr>
              <w:keepNext/>
              <w:widowControl/>
              <w:jc w:val="left"/>
              <w:rPr>
                <w:rFonts w:ascii="Arial Narrow" w:hAnsi="Arial Narrow" w:cs="Times New Roman"/>
                <w:snapToGrid/>
                <w:sz w:val="20"/>
                <w:lang w:val="en-US"/>
              </w:rPr>
            </w:pPr>
            <w:r w:rsidRPr="009E1F17">
              <w:rPr>
                <w:rFonts w:ascii="Arial Narrow" w:hAnsi="Arial Narrow" w:cs="Times New Roman"/>
                <w:snapToGrid/>
                <w:sz w:val="20"/>
                <w:lang w:val="en-US"/>
              </w:rPr>
              <w:t>ASPIRE</w:t>
            </w:r>
          </w:p>
        </w:tc>
        <w:tc>
          <w:tcPr>
            <w:tcW w:w="313" w:type="pct"/>
            <w:shd w:val="clear" w:color="auto" w:fill="auto"/>
          </w:tcPr>
          <w:p w:rsidR="009E1F17" w:rsidRPr="009E1F17" w:rsidRDefault="009E1F17" w:rsidP="009E1F17">
            <w:pPr>
              <w:keepNext/>
              <w:widowControl/>
              <w:jc w:val="left"/>
              <w:rPr>
                <w:rFonts w:ascii="Arial Narrow" w:hAnsi="Arial Narrow" w:cs="Times New Roman"/>
                <w:snapToGrid/>
                <w:sz w:val="20"/>
                <w:lang w:val="en-US"/>
              </w:rPr>
            </w:pPr>
            <w:r w:rsidRPr="009E1F17">
              <w:rPr>
                <w:rFonts w:ascii="Arial Narrow" w:hAnsi="Arial Narrow" w:cs="Times New Roman"/>
                <w:snapToGrid/>
                <w:sz w:val="20"/>
                <w:lang w:val="en-US"/>
              </w:rPr>
              <w:t>822</w:t>
            </w:r>
          </w:p>
        </w:tc>
        <w:tc>
          <w:tcPr>
            <w:tcW w:w="468" w:type="pct"/>
            <w:shd w:val="clear" w:color="auto" w:fill="auto"/>
          </w:tcPr>
          <w:p w:rsidR="009E1F17" w:rsidRPr="009E1F17" w:rsidRDefault="009E1F17" w:rsidP="009E1F17">
            <w:pPr>
              <w:keepNext/>
              <w:widowControl/>
              <w:jc w:val="left"/>
              <w:rPr>
                <w:rFonts w:ascii="Arial Narrow" w:hAnsi="Arial Narrow" w:cs="Times New Roman"/>
                <w:snapToGrid/>
                <w:sz w:val="20"/>
                <w:lang w:val="en-US"/>
              </w:rPr>
            </w:pPr>
            <w:r w:rsidRPr="009E1F17">
              <w:rPr>
                <w:rFonts w:ascii="Arial Narrow" w:hAnsi="Arial Narrow" w:cs="Times New Roman"/>
                <w:snapToGrid/>
                <w:sz w:val="20"/>
                <w:lang w:val="en-US"/>
              </w:rPr>
              <w:t>R, DB</w:t>
            </w:r>
          </w:p>
          <w:p w:rsidR="009E1F17" w:rsidRPr="009E1F17" w:rsidRDefault="009E1F17" w:rsidP="009E1F17">
            <w:pPr>
              <w:keepNext/>
              <w:widowControl/>
              <w:jc w:val="left"/>
              <w:rPr>
                <w:rFonts w:ascii="Arial Narrow" w:hAnsi="Arial Narrow" w:cs="Times New Roman"/>
                <w:snapToGrid/>
                <w:sz w:val="20"/>
                <w:lang w:val="en-US"/>
              </w:rPr>
            </w:pPr>
            <w:r w:rsidRPr="009E1F17">
              <w:rPr>
                <w:rFonts w:ascii="Arial Narrow" w:hAnsi="Arial Narrow" w:cs="Times New Roman"/>
                <w:snapToGrid/>
                <w:sz w:val="20"/>
                <w:lang w:val="en-US"/>
              </w:rPr>
              <w:t>4 years</w:t>
            </w:r>
          </w:p>
        </w:tc>
        <w:tc>
          <w:tcPr>
            <w:tcW w:w="468" w:type="pct"/>
            <w:shd w:val="clear" w:color="auto" w:fill="auto"/>
          </w:tcPr>
          <w:p w:rsidR="009E1F17" w:rsidRPr="009E1F17" w:rsidRDefault="009E1F17" w:rsidP="009E1F17">
            <w:pPr>
              <w:keepNext/>
              <w:widowControl/>
              <w:jc w:val="left"/>
              <w:rPr>
                <w:rFonts w:ascii="Arial Narrow" w:hAnsi="Arial Narrow" w:cs="Times New Roman"/>
                <w:snapToGrid/>
                <w:sz w:val="20"/>
                <w:lang w:val="en-US"/>
              </w:rPr>
            </w:pPr>
            <w:r w:rsidRPr="009E1F17">
              <w:rPr>
                <w:rFonts w:ascii="Arial Narrow" w:hAnsi="Arial Narrow" w:cs="Times New Roman"/>
                <w:snapToGrid/>
                <w:sz w:val="20"/>
                <w:lang w:val="en-US"/>
              </w:rPr>
              <w:t>Low</w:t>
            </w:r>
          </w:p>
        </w:tc>
        <w:tc>
          <w:tcPr>
            <w:tcW w:w="1324" w:type="pct"/>
            <w:shd w:val="clear" w:color="auto" w:fill="auto"/>
          </w:tcPr>
          <w:p w:rsidR="009E1F17" w:rsidRPr="009E1F17" w:rsidRDefault="009E1F17" w:rsidP="009E1F17">
            <w:pPr>
              <w:keepNext/>
              <w:widowControl/>
              <w:jc w:val="left"/>
              <w:rPr>
                <w:rFonts w:ascii="Arial Narrow" w:hAnsi="Arial Narrow" w:cs="Times New Roman"/>
                <w:snapToGrid/>
                <w:sz w:val="20"/>
                <w:lang w:val="en-US"/>
              </w:rPr>
            </w:pPr>
            <w:r w:rsidRPr="009E1F17">
              <w:rPr>
                <w:rFonts w:ascii="Arial Narrow" w:hAnsi="Arial Narrow" w:cs="Times New Roman"/>
                <w:snapToGrid/>
                <w:sz w:val="20"/>
                <w:lang w:val="en-US"/>
              </w:rPr>
              <w:t>Patients who had a first unprovoked episode of objectively diagnosed symptomatic DVT involving the popliteal vein or more proximal leg veins or an acute PE.</w:t>
            </w:r>
          </w:p>
        </w:tc>
        <w:tc>
          <w:tcPr>
            <w:tcW w:w="1863" w:type="pct"/>
            <w:shd w:val="clear" w:color="auto" w:fill="auto"/>
          </w:tcPr>
          <w:p w:rsidR="009E1F17" w:rsidRPr="009E1F17" w:rsidRDefault="009E1F17" w:rsidP="009E1F17">
            <w:pPr>
              <w:keepNext/>
              <w:widowControl/>
              <w:jc w:val="left"/>
              <w:rPr>
                <w:rFonts w:ascii="Arial Narrow" w:hAnsi="Arial Narrow" w:cs="Times New Roman"/>
                <w:snapToGrid/>
                <w:sz w:val="20"/>
                <w:lang w:val="en-US"/>
              </w:rPr>
            </w:pPr>
            <w:r w:rsidRPr="009E1F17">
              <w:rPr>
                <w:rFonts w:ascii="Arial Narrow" w:hAnsi="Arial Narrow" w:cs="Times New Roman"/>
                <w:snapToGrid/>
                <w:sz w:val="20"/>
                <w:lang w:val="en-US"/>
              </w:rPr>
              <w:t>Primary outcomes:</w:t>
            </w:r>
          </w:p>
          <w:p w:rsidR="009E1F17" w:rsidRPr="009E1F17" w:rsidRDefault="009E1F17" w:rsidP="00EF368B">
            <w:pPr>
              <w:keepNext/>
              <w:widowControl/>
              <w:numPr>
                <w:ilvl w:val="0"/>
                <w:numId w:val="25"/>
              </w:numPr>
              <w:ind w:left="284" w:hanging="284"/>
              <w:jc w:val="left"/>
              <w:rPr>
                <w:rFonts w:ascii="Arial Narrow" w:hAnsi="Arial Narrow" w:cs="Times New Roman"/>
                <w:snapToGrid/>
                <w:sz w:val="20"/>
                <w:lang w:val="en-US"/>
              </w:rPr>
            </w:pPr>
            <w:r w:rsidRPr="009E1F17">
              <w:rPr>
                <w:rFonts w:ascii="Arial Narrow" w:hAnsi="Arial Narrow" w:cs="Times New Roman"/>
                <w:snapToGrid/>
                <w:sz w:val="20"/>
                <w:lang w:val="en-US"/>
              </w:rPr>
              <w:t xml:space="preserve">Recurrence of VTE </w:t>
            </w:r>
          </w:p>
          <w:p w:rsidR="009E1F17" w:rsidRPr="009E1F17" w:rsidRDefault="009E1F17" w:rsidP="00EF368B">
            <w:pPr>
              <w:keepNext/>
              <w:widowControl/>
              <w:numPr>
                <w:ilvl w:val="0"/>
                <w:numId w:val="25"/>
              </w:numPr>
              <w:ind w:left="284" w:hanging="284"/>
              <w:jc w:val="left"/>
              <w:rPr>
                <w:rFonts w:ascii="Arial Narrow" w:hAnsi="Arial Narrow" w:cs="Times New Roman"/>
                <w:snapToGrid/>
                <w:sz w:val="20"/>
                <w:lang w:val="en-US"/>
              </w:rPr>
            </w:pPr>
            <w:r w:rsidRPr="009E1F17">
              <w:rPr>
                <w:rFonts w:ascii="Arial Narrow" w:hAnsi="Arial Narrow" w:cs="Times New Roman"/>
                <w:snapToGrid/>
                <w:sz w:val="20"/>
                <w:lang w:val="en-US"/>
              </w:rPr>
              <w:t>Major or CRNM bleeding</w:t>
            </w:r>
          </w:p>
          <w:p w:rsidR="009E1F17" w:rsidRPr="009E1F17" w:rsidRDefault="009E1F17" w:rsidP="009E1F17">
            <w:pPr>
              <w:keepNext/>
              <w:widowControl/>
              <w:jc w:val="left"/>
              <w:rPr>
                <w:rFonts w:ascii="Arial Narrow" w:hAnsi="Arial Narrow" w:cs="Times New Roman"/>
                <w:snapToGrid/>
                <w:sz w:val="20"/>
                <w:lang w:val="en-US"/>
              </w:rPr>
            </w:pPr>
            <w:r w:rsidRPr="009E1F17">
              <w:rPr>
                <w:rFonts w:ascii="Arial Narrow" w:hAnsi="Arial Narrow" w:cs="Times New Roman"/>
                <w:snapToGrid/>
                <w:sz w:val="20"/>
                <w:lang w:val="en-US"/>
              </w:rPr>
              <w:t xml:space="preserve">Secondary outcomes: </w:t>
            </w:r>
          </w:p>
          <w:p w:rsidR="009E1F17" w:rsidRPr="009E1F17" w:rsidRDefault="009E1F17" w:rsidP="00EF368B">
            <w:pPr>
              <w:keepNext/>
              <w:widowControl/>
              <w:numPr>
                <w:ilvl w:val="0"/>
                <w:numId w:val="25"/>
              </w:numPr>
              <w:ind w:left="284" w:hanging="284"/>
              <w:jc w:val="left"/>
              <w:rPr>
                <w:rFonts w:ascii="Arial Narrow" w:hAnsi="Arial Narrow" w:cs="Times New Roman"/>
                <w:snapToGrid/>
                <w:sz w:val="20"/>
                <w:lang w:val="en-US"/>
              </w:rPr>
            </w:pPr>
            <w:r w:rsidRPr="009E1F17">
              <w:rPr>
                <w:rFonts w:ascii="Arial Narrow" w:hAnsi="Arial Narrow" w:cs="Times New Roman"/>
                <w:snapToGrid/>
                <w:sz w:val="20"/>
                <w:lang w:val="en-US"/>
              </w:rPr>
              <w:t xml:space="preserve">Major vascular events and a measure of the net clinical benefit </w:t>
            </w:r>
          </w:p>
        </w:tc>
      </w:tr>
      <w:tr w:rsidR="009E1F17" w:rsidRPr="009E1F17" w:rsidTr="00EF368B">
        <w:tc>
          <w:tcPr>
            <w:tcW w:w="563" w:type="pct"/>
            <w:shd w:val="clear" w:color="auto" w:fill="auto"/>
          </w:tcPr>
          <w:p w:rsidR="009E1F17" w:rsidRPr="009E1F17" w:rsidRDefault="009E1F17" w:rsidP="009E1F17">
            <w:pPr>
              <w:keepNext/>
              <w:widowControl/>
              <w:jc w:val="left"/>
              <w:rPr>
                <w:rFonts w:ascii="Arial Narrow" w:hAnsi="Arial Narrow" w:cs="Times New Roman"/>
                <w:snapToGrid/>
                <w:sz w:val="20"/>
                <w:lang w:val="en-US"/>
              </w:rPr>
            </w:pPr>
            <w:r w:rsidRPr="009E1F17">
              <w:rPr>
                <w:rFonts w:ascii="Arial Narrow" w:hAnsi="Arial Narrow" w:cs="Times New Roman"/>
                <w:snapToGrid/>
                <w:sz w:val="20"/>
                <w:lang w:val="en-US"/>
              </w:rPr>
              <w:t>WARFASA</w:t>
            </w:r>
          </w:p>
        </w:tc>
        <w:tc>
          <w:tcPr>
            <w:tcW w:w="313" w:type="pct"/>
            <w:shd w:val="clear" w:color="auto" w:fill="auto"/>
          </w:tcPr>
          <w:p w:rsidR="009E1F17" w:rsidRPr="009E1F17" w:rsidRDefault="009E1F17" w:rsidP="009E1F17">
            <w:pPr>
              <w:keepNext/>
              <w:widowControl/>
              <w:jc w:val="left"/>
              <w:rPr>
                <w:rFonts w:ascii="Arial Narrow" w:hAnsi="Arial Narrow" w:cs="Times New Roman"/>
                <w:snapToGrid/>
                <w:sz w:val="20"/>
                <w:lang w:val="en-US"/>
              </w:rPr>
            </w:pPr>
            <w:r w:rsidRPr="009E1F17">
              <w:rPr>
                <w:rFonts w:ascii="Arial Narrow" w:hAnsi="Arial Narrow" w:cs="Times New Roman"/>
                <w:snapToGrid/>
                <w:sz w:val="20"/>
                <w:lang w:val="en-US"/>
              </w:rPr>
              <w:t>403</w:t>
            </w:r>
          </w:p>
        </w:tc>
        <w:tc>
          <w:tcPr>
            <w:tcW w:w="468" w:type="pct"/>
            <w:shd w:val="clear" w:color="auto" w:fill="auto"/>
          </w:tcPr>
          <w:p w:rsidR="009E1F17" w:rsidRPr="009E1F17" w:rsidRDefault="009E1F17" w:rsidP="009E1F17">
            <w:pPr>
              <w:keepNext/>
              <w:widowControl/>
              <w:jc w:val="left"/>
              <w:rPr>
                <w:rFonts w:ascii="Arial Narrow" w:hAnsi="Arial Narrow" w:cs="Times New Roman"/>
                <w:snapToGrid/>
                <w:sz w:val="20"/>
                <w:lang w:val="en-US"/>
              </w:rPr>
            </w:pPr>
            <w:r w:rsidRPr="009E1F17">
              <w:rPr>
                <w:rFonts w:ascii="Arial Narrow" w:hAnsi="Arial Narrow" w:cs="Times New Roman"/>
                <w:snapToGrid/>
                <w:sz w:val="20"/>
                <w:lang w:val="en-US"/>
              </w:rPr>
              <w:t>R, DB</w:t>
            </w:r>
          </w:p>
          <w:p w:rsidR="009E1F17" w:rsidRPr="009E1F17" w:rsidRDefault="009E1F17" w:rsidP="009E1F17">
            <w:pPr>
              <w:keepNext/>
              <w:widowControl/>
              <w:jc w:val="left"/>
              <w:rPr>
                <w:rFonts w:ascii="Arial Narrow" w:hAnsi="Arial Narrow" w:cs="Times New Roman"/>
                <w:snapToGrid/>
                <w:sz w:val="20"/>
                <w:lang w:val="en-US"/>
              </w:rPr>
            </w:pPr>
            <w:r w:rsidRPr="009E1F17">
              <w:rPr>
                <w:rFonts w:ascii="Arial Narrow" w:hAnsi="Arial Narrow" w:cs="Times New Roman"/>
                <w:snapToGrid/>
                <w:sz w:val="20"/>
                <w:lang w:val="en-US"/>
              </w:rPr>
              <w:t xml:space="preserve">2 years </w:t>
            </w:r>
          </w:p>
        </w:tc>
        <w:tc>
          <w:tcPr>
            <w:tcW w:w="468" w:type="pct"/>
            <w:shd w:val="clear" w:color="auto" w:fill="auto"/>
          </w:tcPr>
          <w:p w:rsidR="009E1F17" w:rsidRPr="009E1F17" w:rsidRDefault="009E1F17" w:rsidP="009E1F17">
            <w:pPr>
              <w:keepNext/>
              <w:widowControl/>
              <w:jc w:val="left"/>
              <w:rPr>
                <w:rFonts w:ascii="Arial Narrow" w:hAnsi="Arial Narrow" w:cs="Times New Roman"/>
                <w:snapToGrid/>
                <w:sz w:val="20"/>
                <w:lang w:val="en-US"/>
              </w:rPr>
            </w:pPr>
            <w:r w:rsidRPr="009E1F17">
              <w:rPr>
                <w:rFonts w:ascii="Arial Narrow" w:hAnsi="Arial Narrow" w:cs="Times New Roman"/>
                <w:snapToGrid/>
                <w:sz w:val="20"/>
                <w:lang w:val="en-US"/>
              </w:rPr>
              <w:t>Moderate</w:t>
            </w:r>
          </w:p>
        </w:tc>
        <w:tc>
          <w:tcPr>
            <w:tcW w:w="1324" w:type="pct"/>
            <w:shd w:val="clear" w:color="auto" w:fill="auto"/>
          </w:tcPr>
          <w:p w:rsidR="009E1F17" w:rsidRPr="009E1F17" w:rsidRDefault="009E1F17" w:rsidP="009E1F17">
            <w:pPr>
              <w:keepNext/>
              <w:widowControl/>
              <w:jc w:val="left"/>
              <w:rPr>
                <w:rFonts w:ascii="Arial Narrow" w:hAnsi="Arial Narrow" w:cs="Times New Roman"/>
                <w:snapToGrid/>
                <w:sz w:val="20"/>
                <w:lang w:val="en-US"/>
              </w:rPr>
            </w:pPr>
            <w:r w:rsidRPr="009E1F17">
              <w:rPr>
                <w:rFonts w:ascii="Arial Narrow" w:hAnsi="Arial Narrow" w:cs="Times New Roman"/>
                <w:snapToGrid/>
                <w:sz w:val="20"/>
                <w:lang w:val="en-US"/>
              </w:rPr>
              <w:t>Patients with first unprovoked VTE who had completed 6-18 months of oral anticoagulant treatment</w:t>
            </w:r>
          </w:p>
        </w:tc>
        <w:tc>
          <w:tcPr>
            <w:tcW w:w="1863" w:type="pct"/>
            <w:shd w:val="clear" w:color="auto" w:fill="auto"/>
          </w:tcPr>
          <w:p w:rsidR="009E1F17" w:rsidRPr="009E1F17" w:rsidRDefault="009E1F17" w:rsidP="009E1F17">
            <w:pPr>
              <w:keepNext/>
              <w:widowControl/>
              <w:jc w:val="left"/>
              <w:rPr>
                <w:rFonts w:ascii="Arial Narrow" w:hAnsi="Arial Narrow" w:cs="Times New Roman"/>
                <w:snapToGrid/>
                <w:sz w:val="20"/>
                <w:lang w:val="en-US"/>
              </w:rPr>
            </w:pPr>
            <w:r w:rsidRPr="009E1F17">
              <w:rPr>
                <w:rFonts w:ascii="Arial Narrow" w:hAnsi="Arial Narrow" w:cs="Times New Roman"/>
                <w:snapToGrid/>
                <w:sz w:val="20"/>
                <w:lang w:val="en-US"/>
              </w:rPr>
              <w:t>Primary outcomes:</w:t>
            </w:r>
          </w:p>
          <w:p w:rsidR="009E1F17" w:rsidRPr="009E1F17" w:rsidRDefault="009E1F17" w:rsidP="00EF368B">
            <w:pPr>
              <w:keepNext/>
              <w:widowControl/>
              <w:numPr>
                <w:ilvl w:val="0"/>
                <w:numId w:val="25"/>
              </w:numPr>
              <w:ind w:left="284" w:hanging="284"/>
              <w:jc w:val="left"/>
              <w:rPr>
                <w:rFonts w:ascii="Arial Narrow" w:hAnsi="Arial Narrow" w:cs="Times New Roman"/>
                <w:snapToGrid/>
                <w:sz w:val="20"/>
                <w:lang w:val="en-US"/>
              </w:rPr>
            </w:pPr>
            <w:r w:rsidRPr="009E1F17">
              <w:rPr>
                <w:rFonts w:ascii="Arial Narrow" w:hAnsi="Arial Narrow" w:cs="Times New Roman"/>
                <w:snapToGrid/>
                <w:sz w:val="20"/>
                <w:lang w:val="en-US"/>
              </w:rPr>
              <w:t xml:space="preserve">Symptomatic recurrent of VTE </w:t>
            </w:r>
          </w:p>
          <w:p w:rsidR="009E1F17" w:rsidRPr="009E1F17" w:rsidRDefault="009E1F17" w:rsidP="00EF368B">
            <w:pPr>
              <w:keepNext/>
              <w:widowControl/>
              <w:numPr>
                <w:ilvl w:val="0"/>
                <w:numId w:val="25"/>
              </w:numPr>
              <w:ind w:left="284" w:hanging="284"/>
              <w:jc w:val="left"/>
              <w:rPr>
                <w:rFonts w:ascii="Arial Narrow" w:hAnsi="Arial Narrow" w:cs="Times New Roman"/>
                <w:snapToGrid/>
                <w:sz w:val="20"/>
                <w:lang w:val="en-US"/>
              </w:rPr>
            </w:pPr>
            <w:r w:rsidRPr="009E1F17">
              <w:rPr>
                <w:rFonts w:ascii="Arial Narrow" w:hAnsi="Arial Narrow" w:cs="Times New Roman"/>
                <w:snapToGrid/>
                <w:sz w:val="20"/>
                <w:lang w:val="en-US"/>
              </w:rPr>
              <w:t>Major bleeding</w:t>
            </w:r>
          </w:p>
          <w:p w:rsidR="009E1F17" w:rsidRPr="009E1F17" w:rsidRDefault="009E1F17" w:rsidP="009E1F17">
            <w:pPr>
              <w:keepNext/>
              <w:widowControl/>
              <w:jc w:val="left"/>
              <w:rPr>
                <w:rFonts w:ascii="Arial Narrow" w:hAnsi="Arial Narrow" w:cs="Times New Roman"/>
                <w:snapToGrid/>
                <w:sz w:val="20"/>
                <w:lang w:val="en-US"/>
              </w:rPr>
            </w:pPr>
            <w:r w:rsidRPr="009E1F17">
              <w:rPr>
                <w:rFonts w:ascii="Arial Narrow" w:hAnsi="Arial Narrow" w:cs="Times New Roman"/>
                <w:snapToGrid/>
                <w:sz w:val="20"/>
                <w:lang w:val="en-US"/>
              </w:rPr>
              <w:t xml:space="preserve">Secondary outcomes: </w:t>
            </w:r>
          </w:p>
          <w:p w:rsidR="009E1F17" w:rsidRPr="009E1F17" w:rsidRDefault="009E1F17" w:rsidP="00EF368B">
            <w:pPr>
              <w:keepNext/>
              <w:widowControl/>
              <w:numPr>
                <w:ilvl w:val="0"/>
                <w:numId w:val="25"/>
              </w:numPr>
              <w:ind w:left="284" w:hanging="284"/>
              <w:jc w:val="left"/>
              <w:rPr>
                <w:rFonts w:ascii="Arial Narrow" w:hAnsi="Arial Narrow" w:cs="Times New Roman"/>
                <w:snapToGrid/>
                <w:sz w:val="20"/>
                <w:lang w:val="en-US"/>
              </w:rPr>
            </w:pPr>
            <w:r w:rsidRPr="009E1F17">
              <w:rPr>
                <w:rFonts w:ascii="Arial Narrow" w:hAnsi="Arial Narrow" w:cs="Times New Roman"/>
                <w:snapToGrid/>
                <w:sz w:val="20"/>
                <w:lang w:val="en-US"/>
              </w:rPr>
              <w:t xml:space="preserve">Arterial events and all-cause mortality </w:t>
            </w:r>
          </w:p>
          <w:p w:rsidR="009E1F17" w:rsidRPr="009E1F17" w:rsidRDefault="009E1F17" w:rsidP="00EF368B">
            <w:pPr>
              <w:keepNext/>
              <w:widowControl/>
              <w:numPr>
                <w:ilvl w:val="0"/>
                <w:numId w:val="25"/>
              </w:numPr>
              <w:ind w:left="284" w:hanging="284"/>
              <w:jc w:val="left"/>
              <w:rPr>
                <w:rFonts w:ascii="Arial Narrow" w:hAnsi="Arial Narrow" w:cs="Times New Roman"/>
                <w:snapToGrid/>
                <w:sz w:val="20"/>
                <w:lang w:val="en-US"/>
              </w:rPr>
            </w:pPr>
            <w:r w:rsidRPr="009E1F17">
              <w:rPr>
                <w:rFonts w:ascii="Arial Narrow" w:hAnsi="Arial Narrow" w:cs="Times New Roman"/>
                <w:snapToGrid/>
                <w:sz w:val="20"/>
                <w:lang w:val="en-US"/>
              </w:rPr>
              <w:t>CRNM bleeding</w:t>
            </w:r>
          </w:p>
        </w:tc>
      </w:tr>
    </w:tbl>
    <w:p w:rsidR="009E1F17" w:rsidRPr="009E1F17" w:rsidRDefault="009E1F17" w:rsidP="009E1F17">
      <w:r w:rsidRPr="009E1F17">
        <w:rPr>
          <w:rFonts w:ascii="Arial Narrow" w:hAnsi="Arial Narrow"/>
          <w:sz w:val="18"/>
        </w:rPr>
        <w:t xml:space="preserve">Source: Compiled during the evaluation </w:t>
      </w:r>
      <w:r w:rsidRPr="009E1F17">
        <w:t xml:space="preserve"> </w:t>
      </w:r>
    </w:p>
    <w:p w:rsidR="009E1F17" w:rsidRPr="009E1F17" w:rsidRDefault="009E1F17" w:rsidP="009E1F17">
      <w:pPr>
        <w:rPr>
          <w:rFonts w:ascii="Arial Narrow" w:hAnsi="Arial Narrow"/>
          <w:sz w:val="18"/>
        </w:rPr>
      </w:pPr>
      <w:r w:rsidRPr="009E1F17">
        <w:rPr>
          <w:rFonts w:ascii="Arial Narrow" w:hAnsi="Arial Narrow"/>
          <w:sz w:val="18"/>
        </w:rPr>
        <w:t xml:space="preserve">Abbreviations: CRNM=clinically relevant non-major; DB=double blind; DVT=deep venous thrombosis; PE=pulmonary embolism; R=randomised; VTE=venous thromboembolism. </w:t>
      </w:r>
    </w:p>
    <w:p w:rsidR="009E1F17" w:rsidRPr="009E1F17" w:rsidRDefault="009E1F17" w:rsidP="00100A7A">
      <w:pPr>
        <w:pStyle w:val="TableFooter"/>
      </w:pPr>
    </w:p>
    <w:p w:rsidR="009E1F17" w:rsidRPr="00636D45" w:rsidRDefault="009E1F17" w:rsidP="009E1F17">
      <w:pPr>
        <w:widowControl/>
        <w:numPr>
          <w:ilvl w:val="1"/>
          <w:numId w:val="3"/>
        </w:numPr>
        <w:spacing w:after="160"/>
      </w:pPr>
      <w:r w:rsidRPr="00636D45">
        <w:rPr>
          <w:rFonts w:asciiTheme="minorHAnsi" w:hAnsiTheme="minorHAnsi" w:cstheme="minorHAnsi"/>
          <w:szCs w:val="24"/>
        </w:rPr>
        <w:t xml:space="preserve">All five trials were sufficiently comparable in their baseline demographics and disease characteristics, and the methods applied in terms of their study design and analysis of primary efficacy and safety outcomes to justify their inclusion in the ITC. </w:t>
      </w:r>
    </w:p>
    <w:p w:rsidR="00082122" w:rsidRDefault="009E1F17" w:rsidP="00082122">
      <w:pPr>
        <w:spacing w:after="120"/>
        <w:outlineLvl w:val="1"/>
        <w:rPr>
          <w:b/>
          <w:i/>
          <w:sz w:val="28"/>
        </w:rPr>
      </w:pPr>
      <w:r w:rsidRPr="009E1F17">
        <w:rPr>
          <w:b/>
          <w:i/>
          <w:sz w:val="28"/>
        </w:rPr>
        <w:t>Comparative effectiveness</w:t>
      </w:r>
    </w:p>
    <w:p w:rsidR="009E1F17" w:rsidRPr="009E1F17" w:rsidRDefault="009E1F17" w:rsidP="00100A7A">
      <w:pPr>
        <w:widowControl/>
        <w:numPr>
          <w:ilvl w:val="1"/>
          <w:numId w:val="3"/>
        </w:numPr>
        <w:spacing w:after="160"/>
        <w:rPr>
          <w:rFonts w:ascii="Arial Narrow" w:hAnsi="Arial Narrow"/>
          <w:b/>
          <w:sz w:val="20"/>
          <w:szCs w:val="16"/>
        </w:rPr>
      </w:pPr>
      <w:r w:rsidRPr="009E1F17">
        <w:t xml:space="preserve">The results for recurrent VTE or VTE-related death are presented </w:t>
      </w:r>
      <w:r w:rsidRPr="009E1F17">
        <w:rPr>
          <w:rFonts w:asciiTheme="minorHAnsi" w:hAnsiTheme="minorHAnsi" w:cstheme="minorHAnsi"/>
          <w:szCs w:val="24"/>
        </w:rPr>
        <w:t xml:space="preserve">in </w:t>
      </w:r>
      <w:r w:rsidR="00C56905" w:rsidRPr="00C56905">
        <w:rPr>
          <w:rFonts w:asciiTheme="minorHAnsi" w:hAnsiTheme="minorHAnsi" w:cstheme="minorHAnsi"/>
          <w:color w:val="000000" w:themeColor="text1"/>
          <w:szCs w:val="24"/>
        </w:rPr>
        <w:t xml:space="preserve">Table </w:t>
      </w:r>
      <w:r w:rsidR="00C56905" w:rsidRPr="00C56905">
        <w:rPr>
          <w:rFonts w:asciiTheme="minorHAnsi" w:hAnsiTheme="minorHAnsi" w:cstheme="minorHAnsi"/>
          <w:noProof/>
          <w:color w:val="000000" w:themeColor="text1"/>
          <w:szCs w:val="24"/>
        </w:rPr>
        <w:t>6</w:t>
      </w:r>
      <w:r w:rsidRPr="009E1F17">
        <w:t xml:space="preserve"> and showed statistically significant lower rates of recurrent VTE or VTE-related death for rivaroxaban 10 mg compared with aspirin (Einstein CHOICE), rivaroxaban 20 mg compared with aspirin (Einstein CHOICE) or placebo (Einstein EXT), and </w:t>
      </w:r>
      <w:proofErr w:type="spellStart"/>
      <w:r w:rsidRPr="009E1F17">
        <w:t>apixaban</w:t>
      </w:r>
      <w:proofErr w:type="spellEnd"/>
      <w:r w:rsidRPr="009E1F17">
        <w:t xml:space="preserve"> 2.5 mg compared with placebo (Amplify EXT).</w:t>
      </w:r>
    </w:p>
    <w:p w:rsidR="009E1F17" w:rsidRPr="009E1F17" w:rsidRDefault="009E1F17" w:rsidP="00100A7A">
      <w:pPr>
        <w:widowControl/>
        <w:numPr>
          <w:ilvl w:val="1"/>
          <w:numId w:val="3"/>
        </w:numPr>
        <w:spacing w:after="160"/>
        <w:rPr>
          <w:rFonts w:ascii="Arial Narrow" w:hAnsi="Arial Narrow"/>
          <w:b/>
          <w:sz w:val="20"/>
          <w:szCs w:val="16"/>
        </w:rPr>
      </w:pPr>
      <w:r w:rsidRPr="009E1F17">
        <w:t xml:space="preserve">The results of the direct comparison of rivaroxaban 10 mg with rivaroxaban 20 mg showed </w:t>
      </w:r>
      <w:r w:rsidR="007A061E">
        <w:t>no significant statistical differences between the two groups</w:t>
      </w:r>
      <w:r w:rsidRPr="009E1F17">
        <w:t>.</w:t>
      </w:r>
    </w:p>
    <w:p w:rsidR="009E1F17" w:rsidRPr="00636D45" w:rsidRDefault="009E1F17" w:rsidP="00100A7A">
      <w:pPr>
        <w:widowControl/>
        <w:numPr>
          <w:ilvl w:val="1"/>
          <w:numId w:val="3"/>
        </w:numPr>
        <w:spacing w:after="160"/>
        <w:rPr>
          <w:rFonts w:ascii="Arial Narrow" w:hAnsi="Arial Narrow"/>
          <w:b/>
          <w:sz w:val="20"/>
          <w:szCs w:val="16"/>
        </w:rPr>
      </w:pPr>
      <w:r w:rsidRPr="00636D45">
        <w:t>The results in WARFASA (used in the ITC) showed a statistically significant reduction in favour of aspirin compared with placebo in the rate of recurrent VTE or VTE-related death. This was not shown in ASPIRE.</w:t>
      </w:r>
    </w:p>
    <w:p w:rsidR="009E1F17" w:rsidRPr="009E1F17" w:rsidRDefault="009E1F17" w:rsidP="009E1F17">
      <w:pPr>
        <w:keepNext/>
        <w:rPr>
          <w:rFonts w:ascii="Arial Narrow" w:hAnsi="Arial Narrow"/>
          <w:b/>
          <w:bCs/>
          <w:color w:val="000000" w:themeColor="text1"/>
          <w:sz w:val="20"/>
          <w:szCs w:val="20"/>
        </w:rPr>
      </w:pPr>
      <w:bookmarkStart w:id="15" w:name="_Ref523398880"/>
      <w:r w:rsidRPr="009E1F17">
        <w:rPr>
          <w:rFonts w:ascii="Arial Narrow" w:hAnsi="Arial Narrow"/>
          <w:b/>
          <w:bCs/>
          <w:color w:val="000000" w:themeColor="text1"/>
          <w:sz w:val="20"/>
          <w:szCs w:val="20"/>
        </w:rPr>
        <w:lastRenderedPageBreak/>
        <w:t xml:space="preserve">Table </w:t>
      </w:r>
      <w:r w:rsidR="00C56905">
        <w:rPr>
          <w:rFonts w:ascii="Arial Narrow" w:hAnsi="Arial Narrow"/>
          <w:b/>
          <w:bCs/>
          <w:noProof/>
          <w:color w:val="000000" w:themeColor="text1"/>
          <w:sz w:val="20"/>
          <w:szCs w:val="20"/>
        </w:rPr>
        <w:t>6</w:t>
      </w:r>
      <w:bookmarkEnd w:id="15"/>
      <w:r w:rsidRPr="009E1F17">
        <w:rPr>
          <w:rFonts w:ascii="Arial Narrow" w:hAnsi="Arial Narrow"/>
          <w:b/>
          <w:bCs/>
          <w:color w:val="000000" w:themeColor="text1"/>
          <w:sz w:val="20"/>
          <w:szCs w:val="20"/>
        </w:rPr>
        <w:t>: Results of recurrent VTE or VTE-related death across the trials: dichotomous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971"/>
        <w:gridCol w:w="1969"/>
        <w:gridCol w:w="1830"/>
        <w:gridCol w:w="1951"/>
      </w:tblGrid>
      <w:tr w:rsidR="009E1F17" w:rsidRPr="009E1F17" w:rsidTr="000840CF">
        <w:trPr>
          <w:tblHeader/>
        </w:trPr>
        <w:tc>
          <w:tcPr>
            <w:tcW w:w="718" w:type="pct"/>
            <w:tcMar>
              <w:left w:w="28" w:type="dxa"/>
              <w:right w:w="28" w:type="dxa"/>
            </w:tcMar>
            <w:vAlign w:val="center"/>
          </w:tcPr>
          <w:p w:rsidR="009E1F17" w:rsidRPr="009E1F17" w:rsidRDefault="009E1F17" w:rsidP="00100A7A">
            <w:pPr>
              <w:keepNext/>
              <w:keepLines/>
              <w:widowControl/>
              <w:jc w:val="left"/>
              <w:rPr>
                <w:rFonts w:ascii="Arial Narrow" w:hAnsi="Arial Narrow" w:cs="Times New Roman"/>
                <w:b/>
                <w:snapToGrid/>
                <w:sz w:val="20"/>
              </w:rPr>
            </w:pPr>
            <w:r w:rsidRPr="009E1F17">
              <w:rPr>
                <w:rFonts w:ascii="Arial Narrow" w:hAnsi="Arial Narrow" w:cs="Times New Roman"/>
                <w:b/>
                <w:snapToGrid/>
                <w:sz w:val="20"/>
              </w:rPr>
              <w:t>Trial ID</w:t>
            </w:r>
          </w:p>
        </w:tc>
        <w:tc>
          <w:tcPr>
            <w:tcW w:w="1093" w:type="pct"/>
            <w:tcMar>
              <w:left w:w="28" w:type="dxa"/>
              <w:right w:w="28" w:type="dxa"/>
            </w:tcMar>
            <w:vAlign w:val="center"/>
          </w:tcPr>
          <w:p w:rsidR="009E1F17" w:rsidRPr="009E1F17" w:rsidRDefault="009E1F17" w:rsidP="00100A7A">
            <w:pPr>
              <w:keepNext/>
              <w:keepLines/>
              <w:widowControl/>
              <w:jc w:val="left"/>
              <w:rPr>
                <w:rFonts w:ascii="Arial Narrow" w:hAnsi="Arial Narrow" w:cs="Times New Roman"/>
                <w:b/>
                <w:snapToGrid/>
                <w:sz w:val="20"/>
              </w:rPr>
            </w:pPr>
            <w:r w:rsidRPr="009E1F17">
              <w:rPr>
                <w:rFonts w:ascii="Arial Narrow" w:hAnsi="Arial Narrow" w:cs="Times New Roman"/>
                <w:b/>
                <w:snapToGrid/>
                <w:sz w:val="20"/>
              </w:rPr>
              <w:t>Intervention</w:t>
            </w:r>
            <w:r w:rsidR="000840CF">
              <w:rPr>
                <w:rFonts w:ascii="Arial Narrow" w:hAnsi="Arial Narrow" w:cs="Times New Roman"/>
                <w:b/>
                <w:snapToGrid/>
                <w:sz w:val="20"/>
              </w:rPr>
              <w:t>,</w:t>
            </w:r>
            <w:r w:rsidRPr="009E1F17">
              <w:rPr>
                <w:rFonts w:ascii="Arial Narrow" w:hAnsi="Arial Narrow" w:cs="Times New Roman"/>
                <w:b/>
                <w:snapToGrid/>
                <w:sz w:val="20"/>
              </w:rPr>
              <w:t xml:space="preserve"> n/N (%)</w:t>
            </w:r>
          </w:p>
        </w:tc>
        <w:tc>
          <w:tcPr>
            <w:tcW w:w="1092" w:type="pct"/>
            <w:tcMar>
              <w:left w:w="28" w:type="dxa"/>
              <w:right w:w="28" w:type="dxa"/>
            </w:tcMar>
            <w:vAlign w:val="center"/>
          </w:tcPr>
          <w:p w:rsidR="009E1F17" w:rsidRPr="009E1F17" w:rsidRDefault="000840CF" w:rsidP="00100A7A">
            <w:pPr>
              <w:keepNext/>
              <w:keepLines/>
              <w:widowControl/>
              <w:jc w:val="left"/>
              <w:rPr>
                <w:rFonts w:ascii="Arial Narrow" w:hAnsi="Arial Narrow" w:cs="Times New Roman"/>
                <w:b/>
                <w:snapToGrid/>
                <w:sz w:val="20"/>
              </w:rPr>
            </w:pPr>
            <w:r>
              <w:rPr>
                <w:rFonts w:ascii="Arial Narrow" w:hAnsi="Arial Narrow" w:cs="Times New Roman"/>
                <w:b/>
                <w:snapToGrid/>
                <w:sz w:val="20"/>
              </w:rPr>
              <w:t xml:space="preserve">Comparators, </w:t>
            </w:r>
            <w:r w:rsidR="009E1F17" w:rsidRPr="009E1F17">
              <w:rPr>
                <w:rFonts w:ascii="Arial Narrow" w:hAnsi="Arial Narrow" w:cs="Times New Roman"/>
                <w:b/>
                <w:snapToGrid/>
                <w:sz w:val="20"/>
              </w:rPr>
              <w:t>n/N (%)</w:t>
            </w:r>
          </w:p>
        </w:tc>
        <w:tc>
          <w:tcPr>
            <w:tcW w:w="1015" w:type="pct"/>
            <w:tcMar>
              <w:left w:w="28" w:type="dxa"/>
              <w:right w:w="28" w:type="dxa"/>
            </w:tcMar>
            <w:vAlign w:val="center"/>
          </w:tcPr>
          <w:p w:rsidR="009E1F17" w:rsidRPr="009E1F17" w:rsidRDefault="009E1F17" w:rsidP="00100A7A">
            <w:pPr>
              <w:keepNext/>
              <w:keepLines/>
              <w:widowControl/>
              <w:jc w:val="left"/>
              <w:rPr>
                <w:rFonts w:ascii="Arial Narrow" w:hAnsi="Arial Narrow" w:cs="Times New Roman"/>
                <w:b/>
                <w:snapToGrid/>
                <w:sz w:val="20"/>
              </w:rPr>
            </w:pPr>
            <w:r w:rsidRPr="009E1F17">
              <w:rPr>
                <w:rFonts w:ascii="Arial Narrow" w:hAnsi="Arial Narrow" w:cs="Times New Roman"/>
                <w:b/>
                <w:snapToGrid/>
                <w:sz w:val="20"/>
              </w:rPr>
              <w:t>Relative risk (95% CI)</w:t>
            </w:r>
          </w:p>
        </w:tc>
        <w:tc>
          <w:tcPr>
            <w:tcW w:w="1082" w:type="pct"/>
            <w:tcMar>
              <w:left w:w="28" w:type="dxa"/>
              <w:right w:w="28" w:type="dxa"/>
            </w:tcMar>
            <w:vAlign w:val="center"/>
          </w:tcPr>
          <w:p w:rsidR="009E1F17" w:rsidRPr="009E1F17" w:rsidRDefault="000840CF" w:rsidP="00100A7A">
            <w:pPr>
              <w:keepNext/>
              <w:keepLines/>
              <w:widowControl/>
              <w:jc w:val="left"/>
              <w:rPr>
                <w:rFonts w:ascii="Arial Narrow" w:hAnsi="Arial Narrow" w:cs="Times New Roman"/>
                <w:b/>
                <w:snapToGrid/>
                <w:sz w:val="20"/>
              </w:rPr>
            </w:pPr>
            <w:r>
              <w:rPr>
                <w:rFonts w:ascii="Arial Narrow" w:hAnsi="Arial Narrow" w:cs="Times New Roman"/>
                <w:b/>
                <w:snapToGrid/>
                <w:sz w:val="20"/>
              </w:rPr>
              <w:t>Risk difference (95% CI)</w:t>
            </w:r>
          </w:p>
        </w:tc>
      </w:tr>
      <w:tr w:rsidR="009E1F17" w:rsidRPr="009E1F17" w:rsidTr="000840CF">
        <w:tc>
          <w:tcPr>
            <w:tcW w:w="718" w:type="pct"/>
            <w:vMerge w:val="restart"/>
            <w:tcMar>
              <w:left w:w="28" w:type="dxa"/>
              <w:right w:w="28" w:type="dxa"/>
            </w:tcMar>
            <w:vAlign w:val="center"/>
          </w:tcPr>
          <w:p w:rsidR="009E1F17" w:rsidRPr="009E1F17" w:rsidRDefault="009E1F17" w:rsidP="00100A7A">
            <w:pPr>
              <w:keepNext/>
              <w:keepLines/>
              <w:widowControl/>
              <w:jc w:val="left"/>
              <w:rPr>
                <w:rFonts w:ascii="Arial Narrow" w:hAnsi="Arial Narrow" w:cs="Times New Roman"/>
                <w:snapToGrid/>
                <w:sz w:val="20"/>
              </w:rPr>
            </w:pPr>
            <w:r w:rsidRPr="009E1F17">
              <w:rPr>
                <w:rFonts w:ascii="Arial Narrow" w:hAnsi="Arial Narrow" w:cs="Times New Roman"/>
                <w:snapToGrid/>
                <w:sz w:val="20"/>
              </w:rPr>
              <w:t>Einstein CHOICE</w:t>
            </w:r>
          </w:p>
        </w:tc>
        <w:tc>
          <w:tcPr>
            <w:tcW w:w="1093" w:type="pct"/>
            <w:vMerge w:val="restart"/>
            <w:tcMar>
              <w:left w:w="28" w:type="dxa"/>
              <w:right w:w="28" w:type="dxa"/>
            </w:tcMar>
            <w:vAlign w:val="center"/>
          </w:tcPr>
          <w:p w:rsidR="009E1F17" w:rsidRPr="00C115B0" w:rsidRDefault="009E1F17" w:rsidP="00100A7A">
            <w:pPr>
              <w:keepNext/>
              <w:keepLines/>
              <w:widowControl/>
              <w:jc w:val="left"/>
              <w:rPr>
                <w:rFonts w:ascii="Arial Narrow" w:hAnsi="Arial Narrow" w:cs="Times New Roman"/>
                <w:snapToGrid/>
                <w:sz w:val="20"/>
              </w:rPr>
            </w:pPr>
            <w:r w:rsidRPr="00C115B0">
              <w:rPr>
                <w:rFonts w:ascii="Arial Narrow" w:hAnsi="Arial Narrow" w:cs="Times New Roman"/>
                <w:snapToGrid/>
                <w:sz w:val="20"/>
              </w:rPr>
              <w:t>R10 13/1127 (1.2)</w:t>
            </w:r>
          </w:p>
        </w:tc>
        <w:tc>
          <w:tcPr>
            <w:tcW w:w="1092"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snapToGrid/>
                <w:sz w:val="20"/>
              </w:rPr>
            </w:pPr>
            <w:r w:rsidRPr="00C115B0">
              <w:rPr>
                <w:rFonts w:ascii="Arial Narrow" w:hAnsi="Arial Narrow" w:cs="Times New Roman"/>
                <w:snapToGrid/>
                <w:sz w:val="20"/>
              </w:rPr>
              <w:t>R20 17/1107 (1.5)</w:t>
            </w:r>
          </w:p>
        </w:tc>
        <w:tc>
          <w:tcPr>
            <w:tcW w:w="1015"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snapToGrid/>
                <w:sz w:val="20"/>
              </w:rPr>
            </w:pPr>
            <w:r w:rsidRPr="00C115B0">
              <w:rPr>
                <w:rFonts w:ascii="Arial Narrow" w:hAnsi="Arial Narrow" w:cs="Times New Roman"/>
                <w:snapToGrid/>
                <w:sz w:val="20"/>
              </w:rPr>
              <w:t>0.75 (0.36, 1.54)</w:t>
            </w:r>
            <w:r w:rsidRPr="00C115B0">
              <w:rPr>
                <w:rFonts w:ascii="Arial Narrow" w:hAnsi="Arial Narrow" w:cs="Times New Roman"/>
                <w:snapToGrid/>
                <w:sz w:val="20"/>
                <w:vertAlign w:val="superscript"/>
              </w:rPr>
              <w:t>2</w:t>
            </w:r>
            <w:r w:rsidRPr="00C115B0">
              <w:rPr>
                <w:rFonts w:ascii="Arial Narrow" w:hAnsi="Arial Narrow" w:cs="Times New Roman"/>
                <w:snapToGrid/>
                <w:sz w:val="20"/>
              </w:rPr>
              <w:br/>
              <w:t>0.751 (0.367, 1.539)</w:t>
            </w:r>
          </w:p>
        </w:tc>
        <w:tc>
          <w:tcPr>
            <w:tcW w:w="1082"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snapToGrid/>
                <w:sz w:val="20"/>
                <w:highlight w:val="yellow"/>
              </w:rPr>
            </w:pPr>
            <w:r w:rsidRPr="00C115B0">
              <w:rPr>
                <w:rFonts w:ascii="Arial Narrow" w:hAnsi="Arial Narrow" w:cs="Times New Roman"/>
                <w:snapToGrid/>
                <w:sz w:val="20"/>
              </w:rPr>
              <w:t>-0.004 (-0.013, 0.006)</w:t>
            </w:r>
          </w:p>
        </w:tc>
      </w:tr>
      <w:tr w:rsidR="009E1F17" w:rsidRPr="009E1F17" w:rsidTr="000840CF">
        <w:tc>
          <w:tcPr>
            <w:tcW w:w="718" w:type="pct"/>
            <w:vMerge/>
            <w:tcMar>
              <w:left w:w="28" w:type="dxa"/>
              <w:right w:w="28" w:type="dxa"/>
            </w:tcMar>
            <w:vAlign w:val="center"/>
          </w:tcPr>
          <w:p w:rsidR="009E1F17" w:rsidRPr="009E1F17" w:rsidRDefault="009E1F17" w:rsidP="00100A7A">
            <w:pPr>
              <w:keepNext/>
              <w:keepLines/>
              <w:widowControl/>
              <w:jc w:val="left"/>
              <w:rPr>
                <w:rFonts w:ascii="Arial Narrow" w:hAnsi="Arial Narrow" w:cs="Times New Roman"/>
                <w:snapToGrid/>
                <w:sz w:val="20"/>
              </w:rPr>
            </w:pPr>
          </w:p>
        </w:tc>
        <w:tc>
          <w:tcPr>
            <w:tcW w:w="1093" w:type="pct"/>
            <w:vMerge/>
            <w:tcMar>
              <w:left w:w="28" w:type="dxa"/>
              <w:right w:w="28" w:type="dxa"/>
            </w:tcMar>
            <w:vAlign w:val="center"/>
          </w:tcPr>
          <w:p w:rsidR="009E1F17" w:rsidRPr="00C115B0" w:rsidRDefault="009E1F17" w:rsidP="00100A7A">
            <w:pPr>
              <w:keepNext/>
              <w:keepLines/>
              <w:widowControl/>
              <w:jc w:val="left"/>
              <w:rPr>
                <w:rFonts w:ascii="Arial Narrow" w:hAnsi="Arial Narrow" w:cs="Times New Roman"/>
                <w:snapToGrid/>
                <w:sz w:val="20"/>
              </w:rPr>
            </w:pPr>
          </w:p>
        </w:tc>
        <w:tc>
          <w:tcPr>
            <w:tcW w:w="1092"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snapToGrid/>
                <w:sz w:val="20"/>
              </w:rPr>
            </w:pPr>
            <w:r w:rsidRPr="00C115B0">
              <w:rPr>
                <w:rFonts w:ascii="Arial Narrow" w:hAnsi="Arial Narrow" w:cs="Times New Roman"/>
                <w:snapToGrid/>
                <w:sz w:val="20"/>
              </w:rPr>
              <w:t>ASA 50/1131 (4.4)</w:t>
            </w:r>
          </w:p>
        </w:tc>
        <w:tc>
          <w:tcPr>
            <w:tcW w:w="1015"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b/>
                <w:snapToGrid/>
                <w:sz w:val="20"/>
              </w:rPr>
            </w:pPr>
            <w:r w:rsidRPr="00C115B0">
              <w:rPr>
                <w:rFonts w:ascii="Arial Narrow" w:hAnsi="Arial Narrow" w:cs="Times New Roman"/>
                <w:b/>
                <w:snapToGrid/>
                <w:sz w:val="20"/>
              </w:rPr>
              <w:t>0.26 (0.14, 0.47)</w:t>
            </w:r>
            <w:r w:rsidRPr="00C115B0">
              <w:rPr>
                <w:rFonts w:ascii="Arial Narrow" w:hAnsi="Arial Narrow" w:cs="Times New Roman"/>
                <w:snapToGrid/>
                <w:sz w:val="20"/>
                <w:vertAlign w:val="superscript"/>
              </w:rPr>
              <w:t>2</w:t>
            </w:r>
            <w:r w:rsidRPr="00C115B0">
              <w:rPr>
                <w:rFonts w:ascii="Arial Narrow" w:hAnsi="Arial Narrow" w:cs="Times New Roman"/>
                <w:b/>
                <w:snapToGrid/>
                <w:sz w:val="20"/>
              </w:rPr>
              <w:br/>
              <w:t>0.261 (0.143, 0.478)</w:t>
            </w:r>
          </w:p>
        </w:tc>
        <w:tc>
          <w:tcPr>
            <w:tcW w:w="1082"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b/>
                <w:snapToGrid/>
                <w:sz w:val="20"/>
              </w:rPr>
            </w:pPr>
            <w:r w:rsidRPr="00C115B0">
              <w:rPr>
                <w:rFonts w:ascii="Arial Narrow" w:hAnsi="Arial Narrow" w:cs="Times New Roman"/>
                <w:b/>
                <w:snapToGrid/>
                <w:sz w:val="20"/>
              </w:rPr>
              <w:t>-0.033 (-0.046, -0.019)</w:t>
            </w:r>
          </w:p>
        </w:tc>
      </w:tr>
      <w:tr w:rsidR="009E1F17" w:rsidRPr="009E1F17" w:rsidTr="000840CF">
        <w:tc>
          <w:tcPr>
            <w:tcW w:w="718" w:type="pct"/>
            <w:vMerge/>
            <w:tcMar>
              <w:left w:w="28" w:type="dxa"/>
              <w:right w:w="28" w:type="dxa"/>
            </w:tcMar>
            <w:vAlign w:val="center"/>
          </w:tcPr>
          <w:p w:rsidR="009E1F17" w:rsidRPr="009E1F17" w:rsidRDefault="009E1F17" w:rsidP="00100A7A">
            <w:pPr>
              <w:keepNext/>
              <w:keepLines/>
              <w:widowControl/>
              <w:jc w:val="left"/>
              <w:rPr>
                <w:rFonts w:ascii="Arial Narrow" w:hAnsi="Arial Narrow" w:cs="Times New Roman"/>
                <w:snapToGrid/>
                <w:sz w:val="20"/>
              </w:rPr>
            </w:pPr>
          </w:p>
        </w:tc>
        <w:tc>
          <w:tcPr>
            <w:tcW w:w="1093"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snapToGrid/>
                <w:sz w:val="20"/>
              </w:rPr>
            </w:pPr>
            <w:r w:rsidRPr="00C115B0">
              <w:rPr>
                <w:rFonts w:ascii="Arial Narrow" w:hAnsi="Arial Narrow" w:cs="Times New Roman"/>
                <w:snapToGrid/>
                <w:sz w:val="20"/>
              </w:rPr>
              <w:t>R20 17/1107 (1.5)</w:t>
            </w:r>
          </w:p>
        </w:tc>
        <w:tc>
          <w:tcPr>
            <w:tcW w:w="1092"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snapToGrid/>
                <w:sz w:val="20"/>
              </w:rPr>
            </w:pPr>
            <w:r w:rsidRPr="00C115B0">
              <w:rPr>
                <w:rFonts w:ascii="Arial Narrow" w:hAnsi="Arial Narrow" w:cs="Times New Roman"/>
                <w:snapToGrid/>
                <w:sz w:val="20"/>
              </w:rPr>
              <w:t>ASA 50/1131 (4.4)</w:t>
            </w:r>
          </w:p>
        </w:tc>
        <w:tc>
          <w:tcPr>
            <w:tcW w:w="1015"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b/>
                <w:snapToGrid/>
                <w:sz w:val="20"/>
              </w:rPr>
            </w:pPr>
            <w:r w:rsidRPr="00C115B0">
              <w:rPr>
                <w:rFonts w:ascii="Arial Narrow" w:hAnsi="Arial Narrow" w:cs="Times New Roman"/>
                <w:b/>
                <w:snapToGrid/>
                <w:sz w:val="20"/>
              </w:rPr>
              <w:t>0.34 (0.20, 0.59)</w:t>
            </w:r>
            <w:r w:rsidRPr="00C115B0">
              <w:rPr>
                <w:rFonts w:ascii="Arial Narrow" w:hAnsi="Arial Narrow" w:cs="Times New Roman"/>
                <w:snapToGrid/>
                <w:sz w:val="20"/>
                <w:vertAlign w:val="superscript"/>
              </w:rPr>
              <w:t>2</w:t>
            </w:r>
            <w:r w:rsidRPr="00C115B0">
              <w:rPr>
                <w:rFonts w:ascii="Arial Narrow" w:hAnsi="Arial Narrow" w:cs="Times New Roman"/>
                <w:b/>
                <w:snapToGrid/>
                <w:sz w:val="20"/>
              </w:rPr>
              <w:br/>
              <w:t>0.347 (0.202, 0.598)</w:t>
            </w:r>
          </w:p>
        </w:tc>
        <w:tc>
          <w:tcPr>
            <w:tcW w:w="1082"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b/>
                <w:snapToGrid/>
                <w:sz w:val="20"/>
              </w:rPr>
            </w:pPr>
            <w:r w:rsidRPr="00C115B0">
              <w:rPr>
                <w:rFonts w:ascii="Arial Narrow" w:hAnsi="Arial Narrow" w:cs="Times New Roman"/>
                <w:b/>
                <w:snapToGrid/>
                <w:sz w:val="20"/>
              </w:rPr>
              <w:t>-0.029 (-0.043, -0.015)</w:t>
            </w:r>
          </w:p>
        </w:tc>
      </w:tr>
      <w:tr w:rsidR="009E1F17" w:rsidRPr="009E1F17" w:rsidTr="000840CF">
        <w:tc>
          <w:tcPr>
            <w:tcW w:w="718" w:type="pct"/>
            <w:tcMar>
              <w:left w:w="28" w:type="dxa"/>
              <w:right w:w="28" w:type="dxa"/>
            </w:tcMar>
            <w:vAlign w:val="center"/>
          </w:tcPr>
          <w:p w:rsidR="009E1F17" w:rsidRPr="009E1F17" w:rsidRDefault="009E1F17" w:rsidP="00100A7A">
            <w:pPr>
              <w:keepNext/>
              <w:keepLines/>
              <w:widowControl/>
              <w:jc w:val="left"/>
              <w:rPr>
                <w:rFonts w:ascii="Arial Narrow" w:hAnsi="Arial Narrow" w:cs="Times New Roman"/>
                <w:snapToGrid/>
                <w:sz w:val="20"/>
              </w:rPr>
            </w:pPr>
            <w:r w:rsidRPr="009E1F17">
              <w:rPr>
                <w:rFonts w:ascii="Arial Narrow" w:hAnsi="Arial Narrow" w:cs="Times New Roman"/>
                <w:snapToGrid/>
                <w:sz w:val="20"/>
              </w:rPr>
              <w:t>Einstein EXT</w:t>
            </w:r>
          </w:p>
        </w:tc>
        <w:tc>
          <w:tcPr>
            <w:tcW w:w="1093"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snapToGrid/>
                <w:sz w:val="20"/>
              </w:rPr>
            </w:pPr>
            <w:r w:rsidRPr="00C115B0">
              <w:rPr>
                <w:rFonts w:ascii="Arial Narrow" w:hAnsi="Arial Narrow" w:cs="Times New Roman"/>
                <w:snapToGrid/>
                <w:sz w:val="20"/>
              </w:rPr>
              <w:t>R20 8/602 (1.3)</w:t>
            </w:r>
          </w:p>
        </w:tc>
        <w:tc>
          <w:tcPr>
            <w:tcW w:w="1092"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snapToGrid/>
                <w:sz w:val="20"/>
              </w:rPr>
            </w:pPr>
            <w:r w:rsidRPr="00C115B0">
              <w:rPr>
                <w:rFonts w:ascii="Arial Narrow" w:hAnsi="Arial Narrow" w:cs="Times New Roman"/>
                <w:snapToGrid/>
                <w:sz w:val="20"/>
              </w:rPr>
              <w:t>PBO 42/594 (7.1)</w:t>
            </w:r>
          </w:p>
        </w:tc>
        <w:tc>
          <w:tcPr>
            <w:tcW w:w="1015"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b/>
                <w:snapToGrid/>
                <w:sz w:val="20"/>
              </w:rPr>
            </w:pPr>
            <w:r w:rsidRPr="00C115B0">
              <w:rPr>
                <w:rFonts w:ascii="Arial Narrow" w:hAnsi="Arial Narrow" w:cs="Times New Roman"/>
                <w:b/>
                <w:snapToGrid/>
                <w:sz w:val="20"/>
              </w:rPr>
              <w:t>0.18 (0.09, 0.39)</w:t>
            </w:r>
            <w:r w:rsidRPr="00C115B0">
              <w:rPr>
                <w:rFonts w:ascii="Arial Narrow" w:hAnsi="Arial Narrow" w:cs="Times New Roman"/>
                <w:snapToGrid/>
                <w:sz w:val="20"/>
                <w:vertAlign w:val="superscript"/>
              </w:rPr>
              <w:t>2</w:t>
            </w:r>
          </w:p>
          <w:p w:rsidR="009E1F17" w:rsidRPr="00C115B0" w:rsidRDefault="009E1F17" w:rsidP="00100A7A">
            <w:pPr>
              <w:keepNext/>
              <w:keepLines/>
              <w:widowControl/>
              <w:jc w:val="left"/>
              <w:rPr>
                <w:rFonts w:ascii="Arial Narrow" w:hAnsi="Arial Narrow" w:cs="Times New Roman"/>
                <w:b/>
                <w:snapToGrid/>
                <w:sz w:val="20"/>
              </w:rPr>
            </w:pPr>
            <w:r w:rsidRPr="00C115B0">
              <w:rPr>
                <w:rFonts w:ascii="Arial Narrow" w:hAnsi="Arial Narrow" w:cs="Times New Roman"/>
                <w:b/>
                <w:snapToGrid/>
                <w:sz w:val="20"/>
              </w:rPr>
              <w:t>0.188 (0.089, 0.397)</w:t>
            </w:r>
          </w:p>
        </w:tc>
        <w:tc>
          <w:tcPr>
            <w:tcW w:w="1082"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b/>
                <w:snapToGrid/>
                <w:sz w:val="20"/>
              </w:rPr>
            </w:pPr>
            <w:r w:rsidRPr="00C115B0">
              <w:rPr>
                <w:rFonts w:ascii="Arial Narrow" w:hAnsi="Arial Narrow" w:cs="Times New Roman"/>
                <w:b/>
                <w:snapToGrid/>
                <w:sz w:val="20"/>
              </w:rPr>
              <w:t>-0.057 (-0.08, -0.035)</w:t>
            </w:r>
          </w:p>
        </w:tc>
      </w:tr>
      <w:tr w:rsidR="009E1F17" w:rsidRPr="00C115B0" w:rsidTr="000840CF">
        <w:tc>
          <w:tcPr>
            <w:tcW w:w="718" w:type="pct"/>
            <w:vMerge w:val="restart"/>
            <w:tcMar>
              <w:left w:w="28" w:type="dxa"/>
              <w:right w:w="28" w:type="dxa"/>
            </w:tcMar>
            <w:vAlign w:val="center"/>
          </w:tcPr>
          <w:p w:rsidR="009E1F17" w:rsidRPr="009E1F17" w:rsidRDefault="009E1F17" w:rsidP="00100A7A">
            <w:pPr>
              <w:keepNext/>
              <w:keepLines/>
              <w:widowControl/>
              <w:jc w:val="left"/>
              <w:rPr>
                <w:rFonts w:ascii="Arial Narrow" w:hAnsi="Arial Narrow" w:cs="Times New Roman"/>
                <w:snapToGrid/>
                <w:sz w:val="20"/>
                <w:vertAlign w:val="superscript"/>
              </w:rPr>
            </w:pPr>
            <w:r w:rsidRPr="009E1F17">
              <w:rPr>
                <w:rFonts w:ascii="Arial Narrow" w:hAnsi="Arial Narrow" w:cs="Times New Roman"/>
                <w:snapToGrid/>
                <w:sz w:val="20"/>
              </w:rPr>
              <w:t>Amplify EXT</w:t>
            </w:r>
            <w:r w:rsidRPr="009E1F17">
              <w:rPr>
                <w:rFonts w:ascii="Arial Narrow" w:hAnsi="Arial Narrow" w:cs="Times New Roman"/>
                <w:snapToGrid/>
                <w:sz w:val="20"/>
                <w:vertAlign w:val="superscript"/>
              </w:rPr>
              <w:t>1</w:t>
            </w:r>
          </w:p>
        </w:tc>
        <w:tc>
          <w:tcPr>
            <w:tcW w:w="1093" w:type="pct"/>
            <w:vMerge w:val="restart"/>
            <w:tcMar>
              <w:left w:w="28" w:type="dxa"/>
              <w:right w:w="28" w:type="dxa"/>
            </w:tcMar>
            <w:vAlign w:val="center"/>
          </w:tcPr>
          <w:p w:rsidR="009E1F17" w:rsidRPr="00C115B0" w:rsidRDefault="009E1F17" w:rsidP="00100A7A">
            <w:pPr>
              <w:keepNext/>
              <w:keepLines/>
              <w:widowControl/>
              <w:jc w:val="left"/>
              <w:rPr>
                <w:rFonts w:ascii="Arial Narrow" w:hAnsi="Arial Narrow" w:cs="Times New Roman"/>
                <w:snapToGrid/>
                <w:sz w:val="20"/>
              </w:rPr>
            </w:pPr>
            <w:r w:rsidRPr="00C115B0">
              <w:rPr>
                <w:rFonts w:ascii="Arial Narrow" w:hAnsi="Arial Narrow" w:cs="Times New Roman"/>
                <w:snapToGrid/>
                <w:sz w:val="20"/>
              </w:rPr>
              <w:t>A2.5 14/840 (1.7)</w:t>
            </w:r>
          </w:p>
        </w:tc>
        <w:tc>
          <w:tcPr>
            <w:tcW w:w="1092"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snapToGrid/>
                <w:sz w:val="20"/>
              </w:rPr>
            </w:pPr>
            <w:r w:rsidRPr="00C115B0">
              <w:rPr>
                <w:rFonts w:ascii="Arial Narrow" w:hAnsi="Arial Narrow" w:cs="Times New Roman"/>
                <w:snapToGrid/>
                <w:sz w:val="20"/>
              </w:rPr>
              <w:t>A5 14/813 (1.7)</w:t>
            </w:r>
          </w:p>
        </w:tc>
        <w:tc>
          <w:tcPr>
            <w:tcW w:w="1015"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snapToGrid/>
                <w:sz w:val="20"/>
              </w:rPr>
            </w:pPr>
            <w:r w:rsidRPr="00C115B0">
              <w:rPr>
                <w:rFonts w:ascii="Arial Narrow" w:hAnsi="Arial Narrow" w:cs="Times New Roman"/>
                <w:snapToGrid/>
                <w:sz w:val="20"/>
              </w:rPr>
              <w:t>0.968(0.464, 2.017)</w:t>
            </w:r>
          </w:p>
        </w:tc>
        <w:tc>
          <w:tcPr>
            <w:tcW w:w="1082"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snapToGrid/>
                <w:sz w:val="20"/>
              </w:rPr>
            </w:pPr>
            <w:r w:rsidRPr="00C115B0">
              <w:rPr>
                <w:rFonts w:ascii="Arial Narrow" w:hAnsi="Arial Narrow" w:cs="Times New Roman"/>
                <w:snapToGrid/>
                <w:sz w:val="20"/>
              </w:rPr>
              <w:t>-0.001 (-0.013, 0.012)</w:t>
            </w:r>
          </w:p>
        </w:tc>
      </w:tr>
      <w:tr w:rsidR="009E1F17" w:rsidRPr="00C115B0" w:rsidTr="000840CF">
        <w:tc>
          <w:tcPr>
            <w:tcW w:w="718" w:type="pct"/>
            <w:vMerge/>
            <w:tcMar>
              <w:left w:w="28" w:type="dxa"/>
              <w:right w:w="28" w:type="dxa"/>
            </w:tcMar>
            <w:vAlign w:val="center"/>
          </w:tcPr>
          <w:p w:rsidR="009E1F17" w:rsidRPr="009E1F17" w:rsidRDefault="009E1F17" w:rsidP="00100A7A">
            <w:pPr>
              <w:keepNext/>
              <w:keepLines/>
              <w:widowControl/>
              <w:jc w:val="left"/>
              <w:rPr>
                <w:rFonts w:ascii="Arial Narrow" w:hAnsi="Arial Narrow" w:cs="Times New Roman"/>
                <w:snapToGrid/>
                <w:sz w:val="20"/>
              </w:rPr>
            </w:pPr>
          </w:p>
        </w:tc>
        <w:tc>
          <w:tcPr>
            <w:tcW w:w="1093" w:type="pct"/>
            <w:vMerge/>
            <w:tcMar>
              <w:left w:w="28" w:type="dxa"/>
              <w:right w:w="28" w:type="dxa"/>
            </w:tcMar>
            <w:vAlign w:val="center"/>
          </w:tcPr>
          <w:p w:rsidR="009E1F17" w:rsidRPr="00C115B0" w:rsidRDefault="009E1F17" w:rsidP="00100A7A">
            <w:pPr>
              <w:keepNext/>
              <w:keepLines/>
              <w:widowControl/>
              <w:jc w:val="center"/>
              <w:rPr>
                <w:rFonts w:ascii="Arial Narrow" w:hAnsi="Arial Narrow" w:cs="Times New Roman"/>
                <w:snapToGrid/>
                <w:sz w:val="20"/>
              </w:rPr>
            </w:pPr>
          </w:p>
        </w:tc>
        <w:tc>
          <w:tcPr>
            <w:tcW w:w="1092"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snapToGrid/>
                <w:sz w:val="20"/>
              </w:rPr>
            </w:pPr>
            <w:r w:rsidRPr="00C115B0">
              <w:rPr>
                <w:rFonts w:ascii="Arial Narrow" w:hAnsi="Arial Narrow" w:cs="Times New Roman"/>
                <w:snapToGrid/>
                <w:sz w:val="20"/>
              </w:rPr>
              <w:t>PBO 73/829 (8.8)</w:t>
            </w:r>
          </w:p>
        </w:tc>
        <w:tc>
          <w:tcPr>
            <w:tcW w:w="1015"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b/>
                <w:snapToGrid/>
                <w:sz w:val="20"/>
              </w:rPr>
            </w:pPr>
            <w:r w:rsidRPr="00C115B0">
              <w:rPr>
                <w:rFonts w:ascii="Arial Narrow" w:hAnsi="Arial Narrow" w:cs="Times New Roman"/>
                <w:b/>
                <w:snapToGrid/>
                <w:sz w:val="20"/>
              </w:rPr>
              <w:t>0.189 (0.108, 0.333)</w:t>
            </w:r>
          </w:p>
        </w:tc>
        <w:tc>
          <w:tcPr>
            <w:tcW w:w="1082"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b/>
                <w:snapToGrid/>
                <w:sz w:val="20"/>
              </w:rPr>
            </w:pPr>
            <w:r w:rsidRPr="00C115B0">
              <w:rPr>
                <w:rFonts w:ascii="Arial Narrow" w:hAnsi="Arial Narrow" w:cs="Times New Roman"/>
                <w:b/>
                <w:snapToGrid/>
                <w:sz w:val="20"/>
              </w:rPr>
              <w:t>-0.071 (-0.093, -0.05)</w:t>
            </w:r>
          </w:p>
        </w:tc>
      </w:tr>
      <w:tr w:rsidR="009E1F17" w:rsidRPr="009E1F17" w:rsidTr="000840CF">
        <w:tc>
          <w:tcPr>
            <w:tcW w:w="718" w:type="pct"/>
            <w:vMerge/>
            <w:tcMar>
              <w:left w:w="28" w:type="dxa"/>
              <w:right w:w="28" w:type="dxa"/>
            </w:tcMar>
            <w:vAlign w:val="center"/>
          </w:tcPr>
          <w:p w:rsidR="009E1F17" w:rsidRPr="009E1F17" w:rsidRDefault="009E1F17" w:rsidP="00100A7A">
            <w:pPr>
              <w:keepNext/>
              <w:keepLines/>
              <w:widowControl/>
              <w:jc w:val="left"/>
              <w:rPr>
                <w:rFonts w:ascii="Arial Narrow" w:hAnsi="Arial Narrow" w:cs="Times New Roman"/>
                <w:snapToGrid/>
                <w:sz w:val="20"/>
              </w:rPr>
            </w:pPr>
          </w:p>
        </w:tc>
        <w:tc>
          <w:tcPr>
            <w:tcW w:w="1093"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snapToGrid/>
                <w:sz w:val="20"/>
              </w:rPr>
            </w:pPr>
            <w:r w:rsidRPr="00C115B0">
              <w:rPr>
                <w:rFonts w:ascii="Arial Narrow" w:hAnsi="Arial Narrow" w:cs="Times New Roman"/>
                <w:snapToGrid/>
                <w:sz w:val="20"/>
              </w:rPr>
              <w:t>A5 14/813 (1.7)</w:t>
            </w:r>
          </w:p>
        </w:tc>
        <w:tc>
          <w:tcPr>
            <w:tcW w:w="1092"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snapToGrid/>
                <w:sz w:val="20"/>
              </w:rPr>
            </w:pPr>
            <w:r w:rsidRPr="00C115B0">
              <w:rPr>
                <w:rFonts w:ascii="Arial Narrow" w:hAnsi="Arial Narrow" w:cs="Times New Roman"/>
                <w:snapToGrid/>
                <w:sz w:val="20"/>
              </w:rPr>
              <w:t>PBO 73/829 (8.8)</w:t>
            </w:r>
          </w:p>
        </w:tc>
        <w:tc>
          <w:tcPr>
            <w:tcW w:w="1015"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b/>
                <w:snapToGrid/>
                <w:sz w:val="20"/>
              </w:rPr>
            </w:pPr>
            <w:r w:rsidRPr="00C115B0">
              <w:rPr>
                <w:rFonts w:ascii="Arial Narrow" w:hAnsi="Arial Narrow" w:cs="Times New Roman"/>
                <w:b/>
                <w:snapToGrid/>
                <w:sz w:val="20"/>
              </w:rPr>
              <w:t>0.196 (0.111, 0.344)</w:t>
            </w:r>
          </w:p>
        </w:tc>
        <w:tc>
          <w:tcPr>
            <w:tcW w:w="1082"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b/>
                <w:snapToGrid/>
                <w:sz w:val="20"/>
              </w:rPr>
            </w:pPr>
            <w:r w:rsidRPr="00C115B0">
              <w:rPr>
                <w:rFonts w:ascii="Arial Narrow" w:hAnsi="Arial Narrow" w:cs="Times New Roman"/>
                <w:b/>
                <w:snapToGrid/>
                <w:sz w:val="20"/>
              </w:rPr>
              <w:t>-0.071 (-0.092, -0.05)</w:t>
            </w:r>
          </w:p>
        </w:tc>
      </w:tr>
      <w:tr w:rsidR="009E1F17" w:rsidRPr="009E1F17" w:rsidTr="000840CF">
        <w:tc>
          <w:tcPr>
            <w:tcW w:w="718" w:type="pct"/>
            <w:tcMar>
              <w:left w:w="28" w:type="dxa"/>
              <w:right w:w="28" w:type="dxa"/>
            </w:tcMar>
            <w:vAlign w:val="center"/>
          </w:tcPr>
          <w:p w:rsidR="009E1F17" w:rsidRPr="009E1F17" w:rsidRDefault="009E1F17" w:rsidP="00100A7A">
            <w:pPr>
              <w:keepNext/>
              <w:keepLines/>
              <w:widowControl/>
              <w:jc w:val="left"/>
              <w:rPr>
                <w:rFonts w:ascii="Arial Narrow" w:hAnsi="Arial Narrow" w:cs="Times New Roman"/>
                <w:i/>
                <w:snapToGrid/>
                <w:sz w:val="20"/>
              </w:rPr>
            </w:pPr>
            <w:r w:rsidRPr="009E1F17">
              <w:rPr>
                <w:rFonts w:ascii="Arial Narrow" w:hAnsi="Arial Narrow" w:cs="Times New Roman"/>
                <w:i/>
                <w:snapToGrid/>
                <w:sz w:val="20"/>
              </w:rPr>
              <w:t xml:space="preserve">ASPIRE </w:t>
            </w:r>
          </w:p>
        </w:tc>
        <w:tc>
          <w:tcPr>
            <w:tcW w:w="1093"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snapToGrid/>
                <w:sz w:val="20"/>
              </w:rPr>
            </w:pPr>
            <w:r w:rsidRPr="00C115B0">
              <w:rPr>
                <w:rFonts w:ascii="Arial Narrow" w:hAnsi="Arial Narrow" w:cs="Times New Roman"/>
                <w:snapToGrid/>
                <w:sz w:val="20"/>
              </w:rPr>
              <w:t>ASA 57/411 (4.8)</w:t>
            </w:r>
          </w:p>
        </w:tc>
        <w:tc>
          <w:tcPr>
            <w:tcW w:w="1092"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snapToGrid/>
                <w:sz w:val="20"/>
              </w:rPr>
            </w:pPr>
            <w:r w:rsidRPr="00C115B0">
              <w:rPr>
                <w:rFonts w:ascii="Arial Narrow" w:hAnsi="Arial Narrow" w:cs="Times New Roman"/>
                <w:snapToGrid/>
                <w:sz w:val="20"/>
              </w:rPr>
              <w:t>PBO 73/411 (6.5)</w:t>
            </w:r>
          </w:p>
        </w:tc>
        <w:tc>
          <w:tcPr>
            <w:tcW w:w="1015"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snapToGrid/>
                <w:sz w:val="20"/>
              </w:rPr>
            </w:pPr>
            <w:r w:rsidRPr="00C115B0">
              <w:rPr>
                <w:rFonts w:ascii="Arial Narrow" w:hAnsi="Arial Narrow" w:cs="Times New Roman"/>
                <w:snapToGrid/>
                <w:sz w:val="20"/>
              </w:rPr>
              <w:t>0.781 (0.568, 1.073)</w:t>
            </w:r>
          </w:p>
        </w:tc>
        <w:tc>
          <w:tcPr>
            <w:tcW w:w="1082"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snapToGrid/>
                <w:sz w:val="20"/>
              </w:rPr>
            </w:pPr>
            <w:r w:rsidRPr="00C115B0">
              <w:rPr>
                <w:rFonts w:ascii="Arial Narrow" w:hAnsi="Arial Narrow" w:cs="Times New Roman"/>
                <w:snapToGrid/>
                <w:sz w:val="20"/>
              </w:rPr>
              <w:t>-0.039 (-0.089, 0.011)</w:t>
            </w:r>
          </w:p>
        </w:tc>
      </w:tr>
      <w:tr w:rsidR="009E1F17" w:rsidRPr="009E1F17" w:rsidTr="000840CF">
        <w:tc>
          <w:tcPr>
            <w:tcW w:w="718" w:type="pct"/>
            <w:tcMar>
              <w:left w:w="28" w:type="dxa"/>
              <w:right w:w="28" w:type="dxa"/>
            </w:tcMar>
            <w:vAlign w:val="center"/>
          </w:tcPr>
          <w:p w:rsidR="009E1F17" w:rsidRPr="009E1F17" w:rsidRDefault="009E1F17" w:rsidP="00100A7A">
            <w:pPr>
              <w:keepNext/>
              <w:keepLines/>
              <w:widowControl/>
              <w:jc w:val="left"/>
              <w:rPr>
                <w:rFonts w:ascii="Arial Narrow" w:hAnsi="Arial Narrow" w:cs="Times New Roman"/>
                <w:i/>
                <w:snapToGrid/>
                <w:sz w:val="20"/>
              </w:rPr>
            </w:pPr>
            <w:r w:rsidRPr="009E1F17">
              <w:rPr>
                <w:rFonts w:ascii="Arial Narrow" w:hAnsi="Arial Narrow" w:cs="Times New Roman"/>
                <w:i/>
                <w:snapToGrid/>
                <w:sz w:val="20"/>
              </w:rPr>
              <w:t xml:space="preserve">WARFASA </w:t>
            </w:r>
          </w:p>
        </w:tc>
        <w:tc>
          <w:tcPr>
            <w:tcW w:w="1093"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snapToGrid/>
                <w:sz w:val="20"/>
              </w:rPr>
            </w:pPr>
            <w:r w:rsidRPr="00C115B0">
              <w:rPr>
                <w:rFonts w:ascii="Arial Narrow" w:hAnsi="Arial Narrow" w:cs="Times New Roman"/>
                <w:snapToGrid/>
                <w:sz w:val="20"/>
              </w:rPr>
              <w:t>ASA 28/205 (13.6)</w:t>
            </w:r>
          </w:p>
        </w:tc>
        <w:tc>
          <w:tcPr>
            <w:tcW w:w="1092"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snapToGrid/>
                <w:sz w:val="20"/>
              </w:rPr>
            </w:pPr>
            <w:r w:rsidRPr="00C115B0">
              <w:rPr>
                <w:rFonts w:ascii="Arial Narrow" w:hAnsi="Arial Narrow" w:cs="Times New Roman"/>
                <w:snapToGrid/>
                <w:sz w:val="20"/>
              </w:rPr>
              <w:t>PBO 43/197 (21.8)</w:t>
            </w:r>
          </w:p>
        </w:tc>
        <w:tc>
          <w:tcPr>
            <w:tcW w:w="1015"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b/>
                <w:snapToGrid/>
                <w:sz w:val="20"/>
              </w:rPr>
            </w:pPr>
            <w:r w:rsidRPr="00C115B0">
              <w:rPr>
                <w:rFonts w:ascii="Arial Narrow" w:hAnsi="Arial Narrow" w:cs="Times New Roman"/>
                <w:b/>
                <w:snapToGrid/>
                <w:sz w:val="20"/>
              </w:rPr>
              <w:t>0.626 (0.405, 0.966)</w:t>
            </w:r>
          </w:p>
        </w:tc>
        <w:tc>
          <w:tcPr>
            <w:tcW w:w="1082" w:type="pct"/>
            <w:tcMar>
              <w:left w:w="28" w:type="dxa"/>
              <w:right w:w="28" w:type="dxa"/>
            </w:tcMar>
            <w:vAlign w:val="center"/>
          </w:tcPr>
          <w:p w:rsidR="009E1F17" w:rsidRPr="00C115B0" w:rsidRDefault="009E1F17" w:rsidP="00100A7A">
            <w:pPr>
              <w:keepNext/>
              <w:keepLines/>
              <w:widowControl/>
              <w:jc w:val="left"/>
              <w:rPr>
                <w:rFonts w:ascii="Arial Narrow" w:hAnsi="Arial Narrow" w:cs="Times New Roman"/>
                <w:snapToGrid/>
                <w:sz w:val="20"/>
              </w:rPr>
            </w:pPr>
            <w:r w:rsidRPr="00C115B0">
              <w:rPr>
                <w:rFonts w:ascii="Arial Narrow" w:hAnsi="Arial Narrow" w:cs="Times New Roman"/>
                <w:b/>
                <w:snapToGrid/>
                <w:sz w:val="20"/>
              </w:rPr>
              <w:t>-0.082 (-0.156, -0.007)</w:t>
            </w:r>
          </w:p>
        </w:tc>
      </w:tr>
    </w:tbl>
    <w:p w:rsidR="009E1F17" w:rsidRPr="009E1F17" w:rsidRDefault="009E1F17" w:rsidP="009E1F17">
      <w:pPr>
        <w:rPr>
          <w:rFonts w:ascii="Arial Narrow" w:hAnsi="Arial Narrow"/>
          <w:sz w:val="18"/>
        </w:rPr>
      </w:pPr>
      <w:r w:rsidRPr="009E1F17">
        <w:rPr>
          <w:rFonts w:ascii="Arial Narrow" w:hAnsi="Arial Narrow"/>
          <w:sz w:val="18"/>
        </w:rPr>
        <w:t xml:space="preserve">Source: Table 2.17, p50 of the submission, Table 2, p1216, </w:t>
      </w:r>
      <w:proofErr w:type="spellStart"/>
      <w:r w:rsidRPr="009E1F17">
        <w:rPr>
          <w:rFonts w:ascii="Arial Narrow" w:hAnsi="Arial Narrow"/>
          <w:sz w:val="18"/>
        </w:rPr>
        <w:t>Weitz</w:t>
      </w:r>
      <w:proofErr w:type="spellEnd"/>
      <w:r w:rsidRPr="009E1F17">
        <w:rPr>
          <w:rFonts w:ascii="Arial Narrow" w:hAnsi="Arial Narrow"/>
          <w:sz w:val="18"/>
        </w:rPr>
        <w:t xml:space="preserve"> 2017; Table 2 p704, </w:t>
      </w:r>
      <w:proofErr w:type="spellStart"/>
      <w:r w:rsidRPr="009E1F17">
        <w:rPr>
          <w:rFonts w:ascii="Arial Narrow" w:hAnsi="Arial Narrow"/>
          <w:sz w:val="18"/>
        </w:rPr>
        <w:t>Agnelli</w:t>
      </w:r>
      <w:proofErr w:type="spellEnd"/>
      <w:r w:rsidRPr="009E1F17">
        <w:rPr>
          <w:rFonts w:ascii="Arial Narrow" w:hAnsi="Arial Narrow"/>
          <w:sz w:val="18"/>
        </w:rPr>
        <w:t xml:space="preserve"> 2013, Table 4 p2509, </w:t>
      </w:r>
      <w:proofErr w:type="spellStart"/>
      <w:r w:rsidRPr="009E1F17">
        <w:rPr>
          <w:rFonts w:ascii="Arial Narrow" w:hAnsi="Arial Narrow"/>
          <w:sz w:val="18"/>
        </w:rPr>
        <w:t>Bauersachs</w:t>
      </w:r>
      <w:proofErr w:type="spellEnd"/>
      <w:r w:rsidRPr="009E1F17">
        <w:rPr>
          <w:rFonts w:ascii="Arial Narrow" w:hAnsi="Arial Narrow"/>
          <w:sz w:val="18"/>
        </w:rPr>
        <w:t xml:space="preserve"> 2010, Table 2, p1985 Brighton 2012, Table 2, p1965 </w:t>
      </w:r>
      <w:proofErr w:type="spellStart"/>
      <w:r w:rsidRPr="009E1F17">
        <w:rPr>
          <w:rFonts w:ascii="Arial Narrow" w:hAnsi="Arial Narrow"/>
          <w:sz w:val="18"/>
        </w:rPr>
        <w:t>Becattini</w:t>
      </w:r>
      <w:proofErr w:type="spellEnd"/>
      <w:r w:rsidRPr="009E1F17">
        <w:rPr>
          <w:rFonts w:ascii="Arial Narrow" w:hAnsi="Arial Narrow"/>
          <w:sz w:val="18"/>
        </w:rPr>
        <w:t xml:space="preserve"> 2012 </w:t>
      </w:r>
    </w:p>
    <w:p w:rsidR="009E1F17" w:rsidRPr="009E1F17" w:rsidRDefault="009E1F17" w:rsidP="009E1F17">
      <w:pPr>
        <w:rPr>
          <w:rFonts w:ascii="Arial Narrow" w:hAnsi="Arial Narrow"/>
          <w:sz w:val="18"/>
        </w:rPr>
      </w:pPr>
      <w:r w:rsidRPr="009E1F17">
        <w:rPr>
          <w:rFonts w:ascii="Arial Narrow" w:hAnsi="Arial Narrow"/>
          <w:sz w:val="18"/>
        </w:rPr>
        <w:t>Abbreviations: A2.5=.</w:t>
      </w:r>
      <w:proofErr w:type="spellStart"/>
      <w:r w:rsidRPr="009E1F17">
        <w:rPr>
          <w:rFonts w:ascii="Arial Narrow" w:hAnsi="Arial Narrow"/>
          <w:sz w:val="18"/>
        </w:rPr>
        <w:t>apixaban</w:t>
      </w:r>
      <w:proofErr w:type="spellEnd"/>
      <w:r w:rsidRPr="009E1F17">
        <w:rPr>
          <w:rFonts w:ascii="Arial Narrow" w:hAnsi="Arial Narrow"/>
          <w:sz w:val="18"/>
        </w:rPr>
        <w:t xml:space="preserve"> 2.5 mg; A5=</w:t>
      </w:r>
      <w:proofErr w:type="spellStart"/>
      <w:r w:rsidRPr="009E1F17">
        <w:rPr>
          <w:rFonts w:ascii="Arial Narrow" w:hAnsi="Arial Narrow"/>
          <w:sz w:val="18"/>
        </w:rPr>
        <w:t>apixaban</w:t>
      </w:r>
      <w:proofErr w:type="spellEnd"/>
      <w:r w:rsidRPr="009E1F17">
        <w:rPr>
          <w:rFonts w:ascii="Arial Narrow" w:hAnsi="Arial Narrow"/>
          <w:sz w:val="18"/>
        </w:rPr>
        <w:t xml:space="preserve"> 5 mg; ASA=aspirin; CI=confidence interval; ID=identification; n=number of participants, N=total participants in group; PBO=placebo; R10=rivaroxaban 10 mg; R20=rivaroxaban 20 mg</w:t>
      </w:r>
    </w:p>
    <w:p w:rsidR="009E1F17" w:rsidRPr="009E1F17" w:rsidRDefault="009E1F17" w:rsidP="009E1F17">
      <w:pPr>
        <w:rPr>
          <w:rFonts w:ascii="Arial Narrow" w:hAnsi="Arial Narrow"/>
          <w:sz w:val="18"/>
        </w:rPr>
      </w:pPr>
      <w:r w:rsidRPr="009E1F17">
        <w:rPr>
          <w:rFonts w:ascii="Arial Narrow" w:hAnsi="Arial Narrow"/>
          <w:sz w:val="18"/>
        </w:rPr>
        <w:t xml:space="preserve">Notes: </w:t>
      </w:r>
      <w:r w:rsidRPr="009E1F17">
        <w:rPr>
          <w:rFonts w:ascii="Arial Narrow" w:hAnsi="Arial Narrow"/>
          <w:sz w:val="18"/>
          <w:vertAlign w:val="superscript"/>
        </w:rPr>
        <w:t xml:space="preserve">1 </w:t>
      </w:r>
      <w:r w:rsidRPr="009E1F17">
        <w:rPr>
          <w:rFonts w:ascii="Arial Narrow" w:hAnsi="Arial Narrow"/>
          <w:sz w:val="18"/>
        </w:rPr>
        <w:t xml:space="preserve">recurrent VTE or VTE related death was a secondary efficacy outcome in Amplify EXT; </w:t>
      </w:r>
      <w:r w:rsidRPr="009E1F17">
        <w:rPr>
          <w:rFonts w:ascii="Arial Narrow" w:hAnsi="Arial Narrow"/>
          <w:sz w:val="18"/>
          <w:vertAlign w:val="superscript"/>
        </w:rPr>
        <w:t>2</w:t>
      </w:r>
      <w:r w:rsidRPr="009E1F17">
        <w:rPr>
          <w:rFonts w:ascii="Arial Narrow" w:hAnsi="Arial Narrow"/>
          <w:sz w:val="18"/>
        </w:rPr>
        <w:t xml:space="preserve"> Reported as an HR in the submission.</w:t>
      </w:r>
    </w:p>
    <w:p w:rsidR="009E1F17" w:rsidRPr="009E1F17" w:rsidRDefault="009E1F17" w:rsidP="009E1F17">
      <w:pPr>
        <w:rPr>
          <w:rFonts w:ascii="Arial Narrow" w:hAnsi="Arial Narrow"/>
          <w:sz w:val="18"/>
        </w:rPr>
      </w:pPr>
      <w:r w:rsidRPr="009E1F17">
        <w:rPr>
          <w:rFonts w:ascii="Arial Narrow" w:hAnsi="Arial Narrow"/>
          <w:sz w:val="18"/>
        </w:rPr>
        <w:t>Bold indicates a statistically significant difference</w:t>
      </w:r>
    </w:p>
    <w:p w:rsidR="009E1F17" w:rsidRPr="009E1F17" w:rsidRDefault="009E1F17" w:rsidP="00100A7A">
      <w:pPr>
        <w:pStyle w:val="TableFooter"/>
      </w:pPr>
    </w:p>
    <w:p w:rsidR="00E86751" w:rsidRDefault="009E1F17" w:rsidP="00082122">
      <w:pPr>
        <w:spacing w:after="120"/>
        <w:outlineLvl w:val="1"/>
        <w:rPr>
          <w:b/>
          <w:i/>
          <w:sz w:val="28"/>
        </w:rPr>
      </w:pPr>
      <w:r w:rsidRPr="009E1F17">
        <w:rPr>
          <w:b/>
          <w:i/>
          <w:sz w:val="28"/>
        </w:rPr>
        <w:t>Comparative harms</w:t>
      </w:r>
    </w:p>
    <w:p w:rsidR="00C57969" w:rsidRPr="009E1F17" w:rsidRDefault="00C57969" w:rsidP="00C57969">
      <w:pPr>
        <w:keepNext/>
        <w:widowControl/>
        <w:numPr>
          <w:ilvl w:val="1"/>
          <w:numId w:val="3"/>
        </w:numPr>
        <w:spacing w:after="160"/>
        <w:rPr>
          <w:rFonts w:ascii="Arial Narrow" w:hAnsi="Arial Narrow"/>
          <w:b/>
          <w:sz w:val="20"/>
          <w:szCs w:val="16"/>
        </w:rPr>
      </w:pPr>
      <w:r w:rsidRPr="009E1F17">
        <w:t xml:space="preserve">The results for major bleeding are presented </w:t>
      </w:r>
      <w:r w:rsidRPr="009E1F17">
        <w:rPr>
          <w:rFonts w:asciiTheme="minorHAnsi" w:hAnsiTheme="minorHAnsi" w:cstheme="minorHAnsi"/>
          <w:szCs w:val="24"/>
        </w:rPr>
        <w:t xml:space="preserve">in </w:t>
      </w:r>
      <w:r w:rsidRPr="00C56905">
        <w:rPr>
          <w:rFonts w:asciiTheme="minorHAnsi" w:hAnsiTheme="minorHAnsi" w:cstheme="minorHAnsi"/>
          <w:color w:val="000000" w:themeColor="text1"/>
          <w:szCs w:val="24"/>
        </w:rPr>
        <w:t xml:space="preserve">Table </w:t>
      </w:r>
      <w:r w:rsidRPr="00C56905">
        <w:rPr>
          <w:rFonts w:asciiTheme="minorHAnsi" w:hAnsiTheme="minorHAnsi" w:cstheme="minorHAnsi"/>
          <w:noProof/>
          <w:color w:val="000000" w:themeColor="text1"/>
          <w:szCs w:val="24"/>
        </w:rPr>
        <w:t>7</w:t>
      </w:r>
      <w:r w:rsidRPr="009E1F17">
        <w:t xml:space="preserve">. There were no statistically significant differences between the interventions (rivaroxaban 10 mg, rivaroxaban 20 mg, </w:t>
      </w:r>
      <w:proofErr w:type="spellStart"/>
      <w:r w:rsidRPr="009E1F17">
        <w:t>apixaban</w:t>
      </w:r>
      <w:proofErr w:type="spellEnd"/>
      <w:r w:rsidRPr="009E1F17">
        <w:t xml:space="preserve"> 2.5 mg), and their relevant comparators (aspirin, rivaroxaban 20 mg, placebo). </w:t>
      </w:r>
      <w:r w:rsidRPr="00636D45">
        <w:t>The results of the comparison between aspirin and placebo for major bleeding in WARFASA and ASPIRE (used in ITC) also showed no statistically significant differences in the occurrence of bleeding events.</w:t>
      </w:r>
      <w:r w:rsidRPr="009E1F17">
        <w:rPr>
          <w:i/>
        </w:rPr>
        <w:t xml:space="preserve"> </w:t>
      </w:r>
    </w:p>
    <w:p w:rsidR="00C57969" w:rsidRPr="009E1F17" w:rsidRDefault="00C57969" w:rsidP="00C57969">
      <w:pPr>
        <w:keepNext/>
        <w:rPr>
          <w:rFonts w:ascii="Arial Narrow" w:hAnsi="Arial Narrow"/>
          <w:b/>
          <w:bCs/>
          <w:color w:val="000000" w:themeColor="text1"/>
          <w:sz w:val="20"/>
          <w:szCs w:val="20"/>
        </w:rPr>
      </w:pPr>
      <w:bookmarkStart w:id="16" w:name="_Ref523398994"/>
      <w:r w:rsidRPr="009E1F17">
        <w:rPr>
          <w:rFonts w:ascii="Arial Narrow" w:hAnsi="Arial Narrow"/>
          <w:b/>
          <w:bCs/>
          <w:color w:val="000000" w:themeColor="text1"/>
          <w:sz w:val="20"/>
          <w:szCs w:val="20"/>
        </w:rPr>
        <w:t xml:space="preserve">Table </w:t>
      </w:r>
      <w:r>
        <w:rPr>
          <w:rFonts w:ascii="Arial Narrow" w:hAnsi="Arial Narrow"/>
          <w:b/>
          <w:bCs/>
          <w:noProof/>
          <w:color w:val="000000" w:themeColor="text1"/>
          <w:sz w:val="20"/>
          <w:szCs w:val="20"/>
        </w:rPr>
        <w:t>7</w:t>
      </w:r>
      <w:bookmarkEnd w:id="16"/>
      <w:r w:rsidRPr="009E1F17">
        <w:rPr>
          <w:rFonts w:ascii="Arial Narrow" w:hAnsi="Arial Narrow"/>
          <w:b/>
          <w:bCs/>
          <w:color w:val="000000" w:themeColor="text1"/>
          <w:sz w:val="20"/>
          <w:szCs w:val="20"/>
        </w:rPr>
        <w:t xml:space="preserve">: Major bleeding comparison between trials  </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830"/>
        <w:gridCol w:w="1828"/>
        <w:gridCol w:w="1969"/>
        <w:gridCol w:w="1969"/>
      </w:tblGrid>
      <w:tr w:rsidR="00C57969" w:rsidRPr="009E1F17" w:rsidTr="007A061E">
        <w:trPr>
          <w:tblHeader/>
        </w:trPr>
        <w:tc>
          <w:tcPr>
            <w:tcW w:w="795" w:type="pct"/>
            <w:tcMar>
              <w:left w:w="28" w:type="dxa"/>
              <w:right w:w="28" w:type="dxa"/>
            </w:tcMar>
            <w:vAlign w:val="center"/>
          </w:tcPr>
          <w:p w:rsidR="00C57969" w:rsidRPr="009E1F17" w:rsidRDefault="00C57969" w:rsidP="007A061E">
            <w:pPr>
              <w:keepNext/>
              <w:widowControl/>
              <w:jc w:val="left"/>
              <w:rPr>
                <w:rFonts w:ascii="Arial Narrow" w:hAnsi="Arial Narrow" w:cs="Times New Roman"/>
                <w:b/>
                <w:snapToGrid/>
                <w:sz w:val="20"/>
              </w:rPr>
            </w:pPr>
            <w:r w:rsidRPr="009E1F17">
              <w:rPr>
                <w:rFonts w:ascii="Arial Narrow" w:hAnsi="Arial Narrow" w:cs="Times New Roman"/>
                <w:b/>
                <w:snapToGrid/>
                <w:sz w:val="20"/>
              </w:rPr>
              <w:t>Trial ID</w:t>
            </w:r>
          </w:p>
        </w:tc>
        <w:tc>
          <w:tcPr>
            <w:tcW w:w="1013" w:type="pct"/>
            <w:tcMar>
              <w:left w:w="28" w:type="dxa"/>
              <w:right w:w="28" w:type="dxa"/>
            </w:tcMar>
            <w:vAlign w:val="center"/>
          </w:tcPr>
          <w:p w:rsidR="00C57969" w:rsidRPr="009E1F17" w:rsidRDefault="00C57969" w:rsidP="007A061E">
            <w:pPr>
              <w:keepNext/>
              <w:widowControl/>
              <w:jc w:val="left"/>
              <w:rPr>
                <w:rFonts w:ascii="Arial Narrow" w:hAnsi="Arial Narrow" w:cs="Times New Roman"/>
                <w:b/>
                <w:snapToGrid/>
                <w:sz w:val="20"/>
              </w:rPr>
            </w:pPr>
            <w:r w:rsidRPr="009E1F17">
              <w:rPr>
                <w:rFonts w:ascii="Arial Narrow" w:hAnsi="Arial Narrow" w:cs="Times New Roman"/>
                <w:b/>
                <w:snapToGrid/>
                <w:sz w:val="20"/>
              </w:rPr>
              <w:t>Intervention</w:t>
            </w:r>
            <w:r>
              <w:rPr>
                <w:rFonts w:ascii="Arial Narrow" w:hAnsi="Arial Narrow" w:cs="Times New Roman"/>
                <w:b/>
                <w:snapToGrid/>
                <w:sz w:val="20"/>
              </w:rPr>
              <w:t>,</w:t>
            </w:r>
            <w:r w:rsidRPr="009E1F17">
              <w:rPr>
                <w:rFonts w:ascii="Arial Narrow" w:hAnsi="Arial Narrow" w:cs="Times New Roman"/>
                <w:b/>
                <w:snapToGrid/>
                <w:sz w:val="20"/>
              </w:rPr>
              <w:t xml:space="preserve"> n/N (%)</w:t>
            </w:r>
          </w:p>
        </w:tc>
        <w:tc>
          <w:tcPr>
            <w:tcW w:w="1012" w:type="pct"/>
            <w:tcMar>
              <w:left w:w="28" w:type="dxa"/>
              <w:right w:w="28" w:type="dxa"/>
            </w:tcMar>
            <w:vAlign w:val="center"/>
          </w:tcPr>
          <w:p w:rsidR="00C57969" w:rsidRPr="009E1F17" w:rsidRDefault="00C57969" w:rsidP="007A061E">
            <w:pPr>
              <w:keepNext/>
              <w:widowControl/>
              <w:jc w:val="left"/>
              <w:rPr>
                <w:rFonts w:ascii="Arial Narrow" w:hAnsi="Arial Narrow" w:cs="Times New Roman"/>
                <w:b/>
                <w:snapToGrid/>
                <w:sz w:val="20"/>
              </w:rPr>
            </w:pPr>
            <w:r w:rsidRPr="009E1F17">
              <w:rPr>
                <w:rFonts w:ascii="Arial Narrow" w:hAnsi="Arial Narrow" w:cs="Times New Roman"/>
                <w:b/>
                <w:snapToGrid/>
                <w:sz w:val="20"/>
              </w:rPr>
              <w:t>Comparators</w:t>
            </w:r>
            <w:r>
              <w:rPr>
                <w:rFonts w:ascii="Arial Narrow" w:hAnsi="Arial Narrow" w:cs="Times New Roman"/>
                <w:b/>
                <w:snapToGrid/>
                <w:sz w:val="20"/>
              </w:rPr>
              <w:t xml:space="preserve">, </w:t>
            </w:r>
            <w:r w:rsidRPr="009E1F17">
              <w:rPr>
                <w:rFonts w:ascii="Arial Narrow" w:hAnsi="Arial Narrow" w:cs="Times New Roman"/>
                <w:b/>
                <w:snapToGrid/>
                <w:sz w:val="20"/>
              </w:rPr>
              <w:t>n/N (%)</w:t>
            </w:r>
          </w:p>
        </w:tc>
        <w:tc>
          <w:tcPr>
            <w:tcW w:w="1090" w:type="pct"/>
            <w:tcMar>
              <w:left w:w="28" w:type="dxa"/>
              <w:right w:w="28" w:type="dxa"/>
            </w:tcMar>
            <w:vAlign w:val="center"/>
          </w:tcPr>
          <w:p w:rsidR="00C57969" w:rsidRPr="009E1F17" w:rsidRDefault="00C57969" w:rsidP="007A061E">
            <w:pPr>
              <w:keepNext/>
              <w:widowControl/>
              <w:jc w:val="left"/>
              <w:rPr>
                <w:rFonts w:ascii="Arial Narrow" w:hAnsi="Arial Narrow" w:cs="Times New Roman"/>
                <w:b/>
                <w:snapToGrid/>
                <w:sz w:val="20"/>
              </w:rPr>
            </w:pPr>
            <w:r w:rsidRPr="009E1F17">
              <w:rPr>
                <w:rFonts w:ascii="Arial Narrow" w:hAnsi="Arial Narrow" w:cs="Times New Roman"/>
                <w:b/>
                <w:snapToGrid/>
                <w:sz w:val="20"/>
              </w:rPr>
              <w:t>Relative risk (95% CI)</w:t>
            </w:r>
          </w:p>
        </w:tc>
        <w:tc>
          <w:tcPr>
            <w:tcW w:w="1090" w:type="pct"/>
            <w:tcMar>
              <w:left w:w="28" w:type="dxa"/>
              <w:right w:w="28" w:type="dxa"/>
            </w:tcMar>
            <w:vAlign w:val="center"/>
          </w:tcPr>
          <w:p w:rsidR="00C57969" w:rsidRPr="009E1F17" w:rsidRDefault="00C57969" w:rsidP="007A061E">
            <w:pPr>
              <w:keepNext/>
              <w:widowControl/>
              <w:jc w:val="left"/>
              <w:rPr>
                <w:rFonts w:ascii="Arial Narrow" w:hAnsi="Arial Narrow" w:cs="Times New Roman"/>
                <w:b/>
                <w:snapToGrid/>
                <w:sz w:val="20"/>
              </w:rPr>
            </w:pPr>
            <w:r>
              <w:rPr>
                <w:rFonts w:ascii="Arial Narrow" w:hAnsi="Arial Narrow" w:cs="Times New Roman"/>
                <w:b/>
                <w:snapToGrid/>
                <w:sz w:val="20"/>
              </w:rPr>
              <w:t>Risk difference (95% CI)</w:t>
            </w:r>
          </w:p>
        </w:tc>
      </w:tr>
      <w:tr w:rsidR="00C57969" w:rsidRPr="009E1F17" w:rsidTr="007A061E">
        <w:tc>
          <w:tcPr>
            <w:tcW w:w="795" w:type="pct"/>
            <w:vMerge w:val="restart"/>
            <w:tcMar>
              <w:left w:w="28" w:type="dxa"/>
              <w:right w:w="28" w:type="dxa"/>
            </w:tcMar>
            <w:vAlign w:val="center"/>
          </w:tcPr>
          <w:p w:rsidR="00C57969" w:rsidRPr="009E1F17" w:rsidRDefault="00C57969" w:rsidP="007A061E">
            <w:pPr>
              <w:keepNext/>
              <w:widowControl/>
              <w:jc w:val="left"/>
              <w:rPr>
                <w:rFonts w:ascii="Arial Narrow" w:hAnsi="Arial Narrow" w:cs="Times New Roman"/>
                <w:snapToGrid/>
                <w:sz w:val="20"/>
              </w:rPr>
            </w:pPr>
            <w:r w:rsidRPr="009E1F17">
              <w:rPr>
                <w:rFonts w:ascii="Arial Narrow" w:hAnsi="Arial Narrow" w:cs="Times New Roman"/>
                <w:snapToGrid/>
                <w:sz w:val="20"/>
              </w:rPr>
              <w:t>Einstein CHOICE</w:t>
            </w:r>
          </w:p>
        </w:tc>
        <w:tc>
          <w:tcPr>
            <w:tcW w:w="1013" w:type="pct"/>
            <w:vMerge w:val="restart"/>
            <w:tcMar>
              <w:left w:w="28" w:type="dxa"/>
              <w:right w:w="28" w:type="dxa"/>
            </w:tcMar>
            <w:vAlign w:val="center"/>
          </w:tcPr>
          <w:p w:rsidR="00C57969" w:rsidRPr="00C115B0" w:rsidRDefault="00C57969" w:rsidP="007A061E">
            <w:pPr>
              <w:keepNext/>
              <w:widowControl/>
              <w:jc w:val="left"/>
              <w:rPr>
                <w:rFonts w:ascii="Arial Narrow" w:hAnsi="Arial Narrow" w:cs="Times New Roman"/>
                <w:snapToGrid/>
                <w:sz w:val="20"/>
              </w:rPr>
            </w:pPr>
            <w:r w:rsidRPr="00C115B0">
              <w:rPr>
                <w:rFonts w:ascii="Arial Narrow" w:hAnsi="Arial Narrow" w:cs="Times New Roman"/>
                <w:snapToGrid/>
                <w:sz w:val="20"/>
              </w:rPr>
              <w:t>R10 5/1127 (0.4)</w:t>
            </w:r>
          </w:p>
        </w:tc>
        <w:tc>
          <w:tcPr>
            <w:tcW w:w="1012" w:type="pct"/>
            <w:tcMar>
              <w:left w:w="28" w:type="dxa"/>
              <w:right w:w="28" w:type="dxa"/>
            </w:tcMar>
            <w:vAlign w:val="center"/>
          </w:tcPr>
          <w:p w:rsidR="00C57969" w:rsidRPr="00C115B0" w:rsidRDefault="00C57969" w:rsidP="007A061E">
            <w:pPr>
              <w:keepNext/>
              <w:widowControl/>
              <w:jc w:val="left"/>
              <w:rPr>
                <w:rFonts w:ascii="Arial Narrow" w:hAnsi="Arial Narrow" w:cs="Times New Roman"/>
                <w:snapToGrid/>
                <w:sz w:val="20"/>
              </w:rPr>
            </w:pPr>
            <w:r w:rsidRPr="00C115B0">
              <w:rPr>
                <w:rFonts w:ascii="Arial Narrow" w:hAnsi="Arial Narrow" w:cs="Times New Roman"/>
                <w:snapToGrid/>
                <w:sz w:val="20"/>
              </w:rPr>
              <w:t>R20 6/1107 (0.5)</w:t>
            </w:r>
          </w:p>
        </w:tc>
        <w:tc>
          <w:tcPr>
            <w:tcW w:w="1090" w:type="pct"/>
            <w:tcMar>
              <w:left w:w="28" w:type="dxa"/>
              <w:right w:w="28" w:type="dxa"/>
            </w:tcMar>
            <w:vAlign w:val="center"/>
          </w:tcPr>
          <w:p w:rsidR="00C57969" w:rsidRPr="00C115B0" w:rsidRDefault="00C57969" w:rsidP="007A061E">
            <w:pPr>
              <w:keepNext/>
              <w:widowControl/>
              <w:jc w:val="left"/>
              <w:rPr>
                <w:rFonts w:ascii="Arial Narrow" w:hAnsi="Arial Narrow" w:cs="Times New Roman"/>
                <w:snapToGrid/>
                <w:sz w:val="20"/>
              </w:rPr>
            </w:pPr>
            <w:r w:rsidRPr="00C115B0">
              <w:rPr>
                <w:rFonts w:ascii="Arial Narrow" w:hAnsi="Arial Narrow" w:cs="Times New Roman"/>
                <w:snapToGrid/>
                <w:sz w:val="20"/>
              </w:rPr>
              <w:t>0.81 (0.25, 2.70)</w:t>
            </w:r>
            <w:r w:rsidRPr="00C115B0">
              <w:rPr>
                <w:rFonts w:ascii="Arial Narrow" w:hAnsi="Arial Narrow" w:cs="Times New Roman"/>
                <w:snapToGrid/>
                <w:sz w:val="20"/>
                <w:vertAlign w:val="superscript"/>
              </w:rPr>
              <w:t>1</w:t>
            </w:r>
            <w:r w:rsidRPr="00C115B0">
              <w:rPr>
                <w:rFonts w:ascii="Arial Narrow" w:hAnsi="Arial Narrow" w:cs="Times New Roman"/>
                <w:snapToGrid/>
                <w:sz w:val="20"/>
              </w:rPr>
              <w:br/>
              <w:t>0.819 (0.251, 2.674)</w:t>
            </w:r>
          </w:p>
        </w:tc>
        <w:tc>
          <w:tcPr>
            <w:tcW w:w="1090" w:type="pct"/>
            <w:tcMar>
              <w:left w:w="28" w:type="dxa"/>
              <w:right w:w="28" w:type="dxa"/>
            </w:tcMar>
            <w:vAlign w:val="center"/>
          </w:tcPr>
          <w:p w:rsidR="00C57969" w:rsidRPr="00C115B0" w:rsidRDefault="00C57969" w:rsidP="007A061E">
            <w:pPr>
              <w:keepNext/>
              <w:widowControl/>
              <w:jc w:val="left"/>
              <w:rPr>
                <w:rFonts w:ascii="Arial Narrow" w:hAnsi="Arial Narrow" w:cs="Times New Roman"/>
                <w:snapToGrid/>
                <w:sz w:val="20"/>
                <w:highlight w:val="yellow"/>
              </w:rPr>
            </w:pPr>
            <w:r w:rsidRPr="00C115B0">
              <w:rPr>
                <w:rFonts w:ascii="Arial Narrow" w:hAnsi="Arial Narrow" w:cs="Times New Roman"/>
                <w:snapToGrid/>
                <w:sz w:val="20"/>
              </w:rPr>
              <w:t>-0.001 (-0.007, 0.005)</w:t>
            </w:r>
          </w:p>
        </w:tc>
      </w:tr>
      <w:tr w:rsidR="00C57969" w:rsidRPr="009E1F17" w:rsidTr="007A061E">
        <w:tc>
          <w:tcPr>
            <w:tcW w:w="795" w:type="pct"/>
            <w:vMerge/>
            <w:tcMar>
              <w:left w:w="28" w:type="dxa"/>
              <w:right w:w="28" w:type="dxa"/>
            </w:tcMar>
            <w:vAlign w:val="center"/>
          </w:tcPr>
          <w:p w:rsidR="00C57969" w:rsidRPr="009E1F17" w:rsidRDefault="00C57969" w:rsidP="007A061E">
            <w:pPr>
              <w:keepNext/>
              <w:widowControl/>
              <w:jc w:val="left"/>
              <w:rPr>
                <w:rFonts w:ascii="Arial Narrow" w:hAnsi="Arial Narrow" w:cs="Times New Roman"/>
                <w:snapToGrid/>
                <w:sz w:val="20"/>
              </w:rPr>
            </w:pPr>
          </w:p>
        </w:tc>
        <w:tc>
          <w:tcPr>
            <w:tcW w:w="1013" w:type="pct"/>
            <w:vMerge/>
            <w:tcMar>
              <w:left w:w="28" w:type="dxa"/>
              <w:right w:w="28" w:type="dxa"/>
            </w:tcMar>
            <w:vAlign w:val="center"/>
          </w:tcPr>
          <w:p w:rsidR="00C57969" w:rsidRPr="00C115B0" w:rsidRDefault="00C57969" w:rsidP="007A061E">
            <w:pPr>
              <w:keepNext/>
              <w:widowControl/>
              <w:jc w:val="left"/>
              <w:rPr>
                <w:rFonts w:ascii="Arial Narrow" w:hAnsi="Arial Narrow" w:cs="Times New Roman"/>
                <w:snapToGrid/>
                <w:sz w:val="20"/>
              </w:rPr>
            </w:pPr>
          </w:p>
        </w:tc>
        <w:tc>
          <w:tcPr>
            <w:tcW w:w="1012" w:type="pct"/>
            <w:tcMar>
              <w:left w:w="28" w:type="dxa"/>
              <w:right w:w="28" w:type="dxa"/>
            </w:tcMar>
            <w:vAlign w:val="center"/>
          </w:tcPr>
          <w:p w:rsidR="00C57969" w:rsidRPr="00C115B0" w:rsidRDefault="00C57969" w:rsidP="007A061E">
            <w:pPr>
              <w:keepNext/>
              <w:widowControl/>
              <w:jc w:val="left"/>
              <w:rPr>
                <w:rFonts w:ascii="Arial Narrow" w:hAnsi="Arial Narrow" w:cs="Times New Roman"/>
                <w:snapToGrid/>
                <w:sz w:val="20"/>
              </w:rPr>
            </w:pPr>
            <w:r w:rsidRPr="00C115B0">
              <w:rPr>
                <w:rFonts w:ascii="Arial Narrow" w:hAnsi="Arial Narrow" w:cs="Times New Roman"/>
                <w:snapToGrid/>
                <w:sz w:val="20"/>
              </w:rPr>
              <w:t>ASA 3/1131 (0.3)</w:t>
            </w:r>
          </w:p>
        </w:tc>
        <w:tc>
          <w:tcPr>
            <w:tcW w:w="1090" w:type="pct"/>
            <w:tcMar>
              <w:left w:w="28" w:type="dxa"/>
              <w:right w:w="28" w:type="dxa"/>
            </w:tcMar>
            <w:vAlign w:val="center"/>
          </w:tcPr>
          <w:p w:rsidR="00C57969" w:rsidRPr="00C115B0" w:rsidRDefault="00C57969" w:rsidP="007A061E">
            <w:pPr>
              <w:keepNext/>
              <w:widowControl/>
              <w:jc w:val="left"/>
              <w:rPr>
                <w:rFonts w:ascii="Arial Narrow" w:hAnsi="Arial Narrow" w:cs="Times New Roman"/>
                <w:snapToGrid/>
                <w:sz w:val="20"/>
              </w:rPr>
            </w:pPr>
            <w:r w:rsidRPr="00C115B0">
              <w:rPr>
                <w:rFonts w:ascii="Arial Narrow" w:hAnsi="Arial Narrow" w:cs="Times New Roman"/>
                <w:snapToGrid/>
                <w:sz w:val="20"/>
              </w:rPr>
              <w:t>1.64 (0.39, 6.84)</w:t>
            </w:r>
            <w:r w:rsidRPr="00C115B0">
              <w:rPr>
                <w:rFonts w:ascii="Arial Narrow" w:hAnsi="Arial Narrow" w:cs="Times New Roman"/>
                <w:snapToGrid/>
                <w:sz w:val="20"/>
                <w:vertAlign w:val="superscript"/>
              </w:rPr>
              <w:t>1</w:t>
            </w:r>
            <w:r w:rsidRPr="00C115B0">
              <w:rPr>
                <w:rFonts w:ascii="Arial Narrow" w:hAnsi="Arial Narrow" w:cs="Times New Roman"/>
                <w:snapToGrid/>
                <w:sz w:val="20"/>
              </w:rPr>
              <w:br/>
              <w:t>1.673 (0.401, 6.982)</w:t>
            </w:r>
          </w:p>
        </w:tc>
        <w:tc>
          <w:tcPr>
            <w:tcW w:w="1090" w:type="pct"/>
            <w:tcMar>
              <w:left w:w="28" w:type="dxa"/>
              <w:right w:w="28" w:type="dxa"/>
            </w:tcMar>
            <w:vAlign w:val="center"/>
          </w:tcPr>
          <w:p w:rsidR="00C57969" w:rsidRPr="00C115B0" w:rsidRDefault="00C57969" w:rsidP="007A061E">
            <w:pPr>
              <w:keepNext/>
              <w:widowControl/>
              <w:jc w:val="left"/>
              <w:rPr>
                <w:rFonts w:ascii="Arial Narrow" w:hAnsi="Arial Narrow" w:cs="Times New Roman"/>
                <w:snapToGrid/>
                <w:sz w:val="20"/>
              </w:rPr>
            </w:pPr>
            <w:r w:rsidRPr="00C115B0">
              <w:rPr>
                <w:rFonts w:ascii="Arial Narrow" w:hAnsi="Arial Narrow" w:cs="Times New Roman"/>
                <w:snapToGrid/>
                <w:sz w:val="20"/>
              </w:rPr>
              <w:t>0.002 (-0.003, 0.007)</w:t>
            </w:r>
          </w:p>
        </w:tc>
      </w:tr>
      <w:tr w:rsidR="00C57969" w:rsidRPr="009E1F17" w:rsidTr="007A061E">
        <w:tc>
          <w:tcPr>
            <w:tcW w:w="795" w:type="pct"/>
            <w:vMerge/>
            <w:tcMar>
              <w:left w:w="28" w:type="dxa"/>
              <w:right w:w="28" w:type="dxa"/>
            </w:tcMar>
            <w:vAlign w:val="center"/>
          </w:tcPr>
          <w:p w:rsidR="00C57969" w:rsidRPr="009E1F17" w:rsidRDefault="00C57969" w:rsidP="007A061E">
            <w:pPr>
              <w:keepNext/>
              <w:widowControl/>
              <w:jc w:val="left"/>
              <w:rPr>
                <w:rFonts w:ascii="Arial Narrow" w:hAnsi="Arial Narrow" w:cs="Times New Roman"/>
                <w:snapToGrid/>
                <w:sz w:val="20"/>
              </w:rPr>
            </w:pPr>
          </w:p>
        </w:tc>
        <w:tc>
          <w:tcPr>
            <w:tcW w:w="1013" w:type="pct"/>
            <w:tcMar>
              <w:left w:w="28" w:type="dxa"/>
              <w:right w:w="28" w:type="dxa"/>
            </w:tcMar>
            <w:vAlign w:val="center"/>
          </w:tcPr>
          <w:p w:rsidR="00C57969" w:rsidRPr="00C115B0" w:rsidRDefault="00C57969" w:rsidP="007A061E">
            <w:pPr>
              <w:keepNext/>
              <w:widowControl/>
              <w:jc w:val="left"/>
              <w:rPr>
                <w:rFonts w:ascii="Arial Narrow" w:hAnsi="Arial Narrow" w:cs="Times New Roman"/>
                <w:snapToGrid/>
                <w:sz w:val="20"/>
              </w:rPr>
            </w:pPr>
            <w:r w:rsidRPr="00C115B0">
              <w:rPr>
                <w:rFonts w:ascii="Arial Narrow" w:hAnsi="Arial Narrow" w:cs="Times New Roman"/>
                <w:snapToGrid/>
                <w:sz w:val="20"/>
              </w:rPr>
              <w:t>R20 6/1107 (0.5)</w:t>
            </w:r>
          </w:p>
        </w:tc>
        <w:tc>
          <w:tcPr>
            <w:tcW w:w="1012" w:type="pct"/>
            <w:tcMar>
              <w:left w:w="28" w:type="dxa"/>
              <w:right w:w="28" w:type="dxa"/>
            </w:tcMar>
            <w:vAlign w:val="center"/>
          </w:tcPr>
          <w:p w:rsidR="00C57969" w:rsidRPr="00C115B0" w:rsidRDefault="00C57969" w:rsidP="007A061E">
            <w:pPr>
              <w:keepNext/>
              <w:widowControl/>
              <w:jc w:val="left"/>
              <w:rPr>
                <w:rFonts w:ascii="Arial Narrow" w:hAnsi="Arial Narrow" w:cs="Times New Roman"/>
                <w:snapToGrid/>
                <w:sz w:val="20"/>
              </w:rPr>
            </w:pPr>
            <w:r w:rsidRPr="00C115B0">
              <w:rPr>
                <w:rFonts w:ascii="Arial Narrow" w:hAnsi="Arial Narrow" w:cs="Times New Roman"/>
                <w:snapToGrid/>
                <w:sz w:val="20"/>
              </w:rPr>
              <w:t>ASA 3/1131 (0.3)</w:t>
            </w:r>
          </w:p>
        </w:tc>
        <w:tc>
          <w:tcPr>
            <w:tcW w:w="1090" w:type="pct"/>
            <w:tcMar>
              <w:left w:w="28" w:type="dxa"/>
              <w:right w:w="28" w:type="dxa"/>
            </w:tcMar>
            <w:vAlign w:val="center"/>
          </w:tcPr>
          <w:p w:rsidR="00C57969" w:rsidRPr="00C115B0" w:rsidRDefault="00C57969" w:rsidP="007A061E">
            <w:pPr>
              <w:keepNext/>
              <w:widowControl/>
              <w:jc w:val="left"/>
              <w:rPr>
                <w:rFonts w:ascii="Arial Narrow" w:hAnsi="Arial Narrow" w:cs="Times New Roman"/>
                <w:snapToGrid/>
                <w:sz w:val="20"/>
              </w:rPr>
            </w:pPr>
            <w:r w:rsidRPr="00C115B0">
              <w:rPr>
                <w:rFonts w:ascii="Arial Narrow" w:hAnsi="Arial Narrow" w:cs="Times New Roman"/>
                <w:snapToGrid/>
                <w:sz w:val="20"/>
              </w:rPr>
              <w:t>2.01 (0.50, 8.04)</w:t>
            </w:r>
            <w:r w:rsidRPr="00C115B0">
              <w:rPr>
                <w:rFonts w:ascii="Arial Narrow" w:hAnsi="Arial Narrow" w:cs="Times New Roman"/>
                <w:snapToGrid/>
                <w:sz w:val="20"/>
                <w:vertAlign w:val="superscript"/>
              </w:rPr>
              <w:t>1</w:t>
            </w:r>
            <w:r w:rsidRPr="00C115B0">
              <w:rPr>
                <w:rFonts w:ascii="Arial Narrow" w:hAnsi="Arial Narrow" w:cs="Times New Roman"/>
                <w:snapToGrid/>
                <w:sz w:val="20"/>
              </w:rPr>
              <w:br/>
              <w:t>2.043 (0.512, 8.15)</w:t>
            </w:r>
          </w:p>
        </w:tc>
        <w:tc>
          <w:tcPr>
            <w:tcW w:w="1090" w:type="pct"/>
            <w:tcMar>
              <w:left w:w="28" w:type="dxa"/>
              <w:right w:w="28" w:type="dxa"/>
            </w:tcMar>
            <w:vAlign w:val="center"/>
          </w:tcPr>
          <w:p w:rsidR="00C57969" w:rsidRPr="00C115B0" w:rsidRDefault="00C57969" w:rsidP="007A061E">
            <w:pPr>
              <w:keepNext/>
              <w:widowControl/>
              <w:jc w:val="left"/>
              <w:rPr>
                <w:rFonts w:ascii="Arial Narrow" w:hAnsi="Arial Narrow" w:cs="Times New Roman"/>
                <w:snapToGrid/>
                <w:sz w:val="20"/>
              </w:rPr>
            </w:pPr>
            <w:r w:rsidRPr="00C115B0">
              <w:rPr>
                <w:rFonts w:ascii="Arial Narrow" w:hAnsi="Arial Narrow" w:cs="Times New Roman"/>
                <w:snapToGrid/>
                <w:sz w:val="20"/>
              </w:rPr>
              <w:t>0.003 (-0.002, 0.008)</w:t>
            </w:r>
          </w:p>
        </w:tc>
      </w:tr>
      <w:tr w:rsidR="00C57969" w:rsidRPr="009E1F17" w:rsidTr="007A061E">
        <w:tc>
          <w:tcPr>
            <w:tcW w:w="795" w:type="pct"/>
            <w:tcMar>
              <w:left w:w="28" w:type="dxa"/>
              <w:right w:w="28" w:type="dxa"/>
            </w:tcMar>
            <w:vAlign w:val="center"/>
          </w:tcPr>
          <w:p w:rsidR="00C57969" w:rsidRPr="009E1F17" w:rsidRDefault="00C57969" w:rsidP="007A061E">
            <w:pPr>
              <w:widowControl/>
              <w:jc w:val="left"/>
              <w:rPr>
                <w:rFonts w:ascii="Arial Narrow" w:hAnsi="Arial Narrow" w:cs="Times New Roman"/>
                <w:snapToGrid/>
                <w:sz w:val="20"/>
              </w:rPr>
            </w:pPr>
            <w:r w:rsidRPr="009E1F17">
              <w:rPr>
                <w:rFonts w:ascii="Arial Narrow" w:hAnsi="Arial Narrow" w:cs="Times New Roman"/>
                <w:snapToGrid/>
                <w:sz w:val="20"/>
              </w:rPr>
              <w:t>Einstein EXT</w:t>
            </w:r>
          </w:p>
        </w:tc>
        <w:tc>
          <w:tcPr>
            <w:tcW w:w="1013" w:type="pct"/>
            <w:tcMar>
              <w:left w:w="28" w:type="dxa"/>
              <w:right w:w="28" w:type="dxa"/>
            </w:tcMar>
            <w:vAlign w:val="center"/>
          </w:tcPr>
          <w:p w:rsidR="00C57969" w:rsidRPr="00C115B0" w:rsidRDefault="00C57969" w:rsidP="007A061E">
            <w:pPr>
              <w:widowControl/>
              <w:jc w:val="left"/>
              <w:rPr>
                <w:rFonts w:ascii="Arial Narrow" w:hAnsi="Arial Narrow" w:cs="Times New Roman"/>
                <w:snapToGrid/>
                <w:sz w:val="20"/>
              </w:rPr>
            </w:pPr>
            <w:r w:rsidRPr="00C115B0">
              <w:rPr>
                <w:rFonts w:ascii="Arial Narrow" w:hAnsi="Arial Narrow" w:cs="Times New Roman"/>
                <w:snapToGrid/>
                <w:sz w:val="20"/>
              </w:rPr>
              <w:t>R20 4/598 (6.0)</w:t>
            </w:r>
          </w:p>
        </w:tc>
        <w:tc>
          <w:tcPr>
            <w:tcW w:w="1012" w:type="pct"/>
            <w:tcMar>
              <w:left w:w="28" w:type="dxa"/>
              <w:right w:w="28" w:type="dxa"/>
            </w:tcMar>
            <w:vAlign w:val="center"/>
          </w:tcPr>
          <w:p w:rsidR="00C57969" w:rsidRPr="00C115B0" w:rsidRDefault="00C57969" w:rsidP="007A061E">
            <w:pPr>
              <w:widowControl/>
              <w:jc w:val="left"/>
              <w:rPr>
                <w:rFonts w:ascii="Arial Narrow" w:hAnsi="Arial Narrow" w:cs="Times New Roman"/>
                <w:snapToGrid/>
                <w:sz w:val="20"/>
              </w:rPr>
            </w:pPr>
            <w:r w:rsidRPr="00C115B0">
              <w:rPr>
                <w:rFonts w:ascii="Arial Narrow" w:hAnsi="Arial Narrow" w:cs="Times New Roman"/>
                <w:snapToGrid/>
                <w:sz w:val="20"/>
              </w:rPr>
              <w:t>PBO 0/590</w:t>
            </w:r>
          </w:p>
        </w:tc>
        <w:tc>
          <w:tcPr>
            <w:tcW w:w="1090" w:type="pct"/>
            <w:tcMar>
              <w:left w:w="28" w:type="dxa"/>
              <w:right w:w="28" w:type="dxa"/>
            </w:tcMar>
            <w:vAlign w:val="center"/>
          </w:tcPr>
          <w:p w:rsidR="00C57969" w:rsidRPr="00C115B0" w:rsidRDefault="00C57969" w:rsidP="007A061E">
            <w:pPr>
              <w:widowControl/>
              <w:jc w:val="left"/>
              <w:rPr>
                <w:rFonts w:ascii="Arial Narrow" w:hAnsi="Arial Narrow" w:cs="Times New Roman"/>
                <w:snapToGrid/>
                <w:sz w:val="20"/>
              </w:rPr>
            </w:pPr>
            <w:r w:rsidRPr="00C115B0">
              <w:rPr>
                <w:rFonts w:ascii="Arial Narrow" w:hAnsi="Arial Narrow" w:cs="Times New Roman"/>
                <w:snapToGrid/>
                <w:sz w:val="20"/>
              </w:rPr>
              <w:t>NA</w:t>
            </w:r>
          </w:p>
        </w:tc>
        <w:tc>
          <w:tcPr>
            <w:tcW w:w="1090" w:type="pct"/>
            <w:tcMar>
              <w:left w:w="28" w:type="dxa"/>
              <w:right w:w="28" w:type="dxa"/>
            </w:tcMar>
            <w:vAlign w:val="center"/>
          </w:tcPr>
          <w:p w:rsidR="00C57969" w:rsidRPr="00C115B0" w:rsidRDefault="00C57969" w:rsidP="007A061E">
            <w:pPr>
              <w:widowControl/>
              <w:jc w:val="left"/>
              <w:rPr>
                <w:rFonts w:ascii="Arial Narrow" w:hAnsi="Arial Narrow" w:cs="Times New Roman"/>
                <w:snapToGrid/>
                <w:sz w:val="20"/>
              </w:rPr>
            </w:pPr>
            <w:r w:rsidRPr="00C115B0">
              <w:rPr>
                <w:rFonts w:ascii="Arial Narrow" w:hAnsi="Arial Narrow" w:cs="Times New Roman"/>
                <w:snapToGrid/>
                <w:sz w:val="20"/>
              </w:rPr>
              <w:t>0.007 (0, 0.013)</w:t>
            </w:r>
          </w:p>
        </w:tc>
      </w:tr>
      <w:tr w:rsidR="00C57969" w:rsidRPr="009E1F17" w:rsidTr="007A061E">
        <w:tc>
          <w:tcPr>
            <w:tcW w:w="795" w:type="pct"/>
            <w:vMerge w:val="restart"/>
            <w:tcMar>
              <w:left w:w="28" w:type="dxa"/>
              <w:right w:w="28" w:type="dxa"/>
            </w:tcMar>
            <w:vAlign w:val="center"/>
          </w:tcPr>
          <w:p w:rsidR="00C57969" w:rsidRPr="009E1F17" w:rsidRDefault="00C57969" w:rsidP="007A061E">
            <w:pPr>
              <w:widowControl/>
              <w:jc w:val="left"/>
              <w:rPr>
                <w:rFonts w:ascii="Arial Narrow" w:hAnsi="Arial Narrow" w:cs="Times New Roman"/>
                <w:snapToGrid/>
                <w:sz w:val="20"/>
              </w:rPr>
            </w:pPr>
            <w:r w:rsidRPr="009E1F17">
              <w:rPr>
                <w:rFonts w:ascii="Arial Narrow" w:hAnsi="Arial Narrow" w:cs="Times New Roman"/>
                <w:snapToGrid/>
                <w:sz w:val="20"/>
              </w:rPr>
              <w:t>Amplify EXT</w:t>
            </w:r>
          </w:p>
        </w:tc>
        <w:tc>
          <w:tcPr>
            <w:tcW w:w="1013" w:type="pct"/>
            <w:vMerge w:val="restart"/>
            <w:tcMar>
              <w:left w:w="28" w:type="dxa"/>
              <w:right w:w="28" w:type="dxa"/>
            </w:tcMar>
            <w:vAlign w:val="center"/>
          </w:tcPr>
          <w:p w:rsidR="00C57969" w:rsidRPr="00C115B0" w:rsidRDefault="00C57969" w:rsidP="007A061E">
            <w:pPr>
              <w:widowControl/>
              <w:jc w:val="left"/>
              <w:rPr>
                <w:rFonts w:ascii="Arial Narrow" w:hAnsi="Arial Narrow" w:cs="Times New Roman"/>
                <w:snapToGrid/>
                <w:sz w:val="20"/>
              </w:rPr>
            </w:pPr>
            <w:r w:rsidRPr="00C115B0">
              <w:rPr>
                <w:rFonts w:ascii="Arial Narrow" w:hAnsi="Arial Narrow" w:cs="Times New Roman"/>
                <w:snapToGrid/>
                <w:sz w:val="20"/>
              </w:rPr>
              <w:t>A2.5 2/840 (0.2)</w:t>
            </w:r>
          </w:p>
        </w:tc>
        <w:tc>
          <w:tcPr>
            <w:tcW w:w="1012" w:type="pct"/>
            <w:tcMar>
              <w:left w:w="28" w:type="dxa"/>
              <w:right w:w="28" w:type="dxa"/>
            </w:tcMar>
            <w:vAlign w:val="center"/>
          </w:tcPr>
          <w:p w:rsidR="00C57969" w:rsidRPr="00C115B0" w:rsidRDefault="00C57969" w:rsidP="007A061E">
            <w:pPr>
              <w:widowControl/>
              <w:jc w:val="left"/>
              <w:rPr>
                <w:rFonts w:ascii="Arial Narrow" w:hAnsi="Arial Narrow" w:cs="Times New Roman"/>
                <w:snapToGrid/>
                <w:sz w:val="20"/>
              </w:rPr>
            </w:pPr>
            <w:r w:rsidRPr="00C115B0">
              <w:rPr>
                <w:rFonts w:ascii="Arial Narrow" w:hAnsi="Arial Narrow" w:cs="Times New Roman"/>
                <w:snapToGrid/>
                <w:sz w:val="20"/>
              </w:rPr>
              <w:t>A5 1/813 (0.1)</w:t>
            </w:r>
          </w:p>
        </w:tc>
        <w:tc>
          <w:tcPr>
            <w:tcW w:w="1090" w:type="pct"/>
            <w:tcMar>
              <w:left w:w="28" w:type="dxa"/>
              <w:right w:w="28" w:type="dxa"/>
            </w:tcMar>
            <w:vAlign w:val="center"/>
          </w:tcPr>
          <w:p w:rsidR="00C57969" w:rsidRPr="00C115B0" w:rsidRDefault="00C57969" w:rsidP="007A061E">
            <w:pPr>
              <w:widowControl/>
              <w:jc w:val="left"/>
              <w:rPr>
                <w:rFonts w:ascii="Arial Narrow" w:hAnsi="Arial Narrow" w:cs="Times New Roman"/>
                <w:snapToGrid/>
                <w:sz w:val="20"/>
              </w:rPr>
            </w:pPr>
            <w:r w:rsidRPr="00C115B0">
              <w:rPr>
                <w:rFonts w:ascii="Arial Narrow" w:hAnsi="Arial Narrow" w:cs="Times New Roman"/>
                <w:snapToGrid/>
                <w:sz w:val="20"/>
              </w:rPr>
              <w:t>1.936 (0.176, 21.306)</w:t>
            </w:r>
          </w:p>
        </w:tc>
        <w:tc>
          <w:tcPr>
            <w:tcW w:w="1090" w:type="pct"/>
            <w:tcMar>
              <w:left w:w="28" w:type="dxa"/>
              <w:right w:w="28" w:type="dxa"/>
            </w:tcMar>
            <w:vAlign w:val="center"/>
          </w:tcPr>
          <w:p w:rsidR="00C57969" w:rsidRPr="00C115B0" w:rsidRDefault="00C57969" w:rsidP="007A061E">
            <w:pPr>
              <w:widowControl/>
              <w:jc w:val="left"/>
              <w:rPr>
                <w:rFonts w:ascii="Arial Narrow" w:hAnsi="Arial Narrow" w:cs="Times New Roman"/>
                <w:snapToGrid/>
                <w:sz w:val="20"/>
              </w:rPr>
            </w:pPr>
            <w:r w:rsidRPr="00C115B0">
              <w:rPr>
                <w:rFonts w:ascii="Arial Narrow" w:hAnsi="Arial Narrow" w:cs="Times New Roman"/>
                <w:snapToGrid/>
                <w:sz w:val="20"/>
              </w:rPr>
              <w:t>0.001 (-0.003, 0.005)</w:t>
            </w:r>
          </w:p>
        </w:tc>
      </w:tr>
      <w:tr w:rsidR="00C57969" w:rsidRPr="009E1F17" w:rsidTr="007A061E">
        <w:tc>
          <w:tcPr>
            <w:tcW w:w="795" w:type="pct"/>
            <w:vMerge/>
            <w:tcMar>
              <w:left w:w="28" w:type="dxa"/>
              <w:right w:w="28" w:type="dxa"/>
            </w:tcMar>
            <w:vAlign w:val="center"/>
          </w:tcPr>
          <w:p w:rsidR="00C57969" w:rsidRPr="009E1F17" w:rsidRDefault="00C57969" w:rsidP="007A061E">
            <w:pPr>
              <w:widowControl/>
              <w:jc w:val="left"/>
              <w:rPr>
                <w:rFonts w:ascii="Arial Narrow" w:hAnsi="Arial Narrow" w:cs="Times New Roman"/>
                <w:snapToGrid/>
                <w:sz w:val="20"/>
              </w:rPr>
            </w:pPr>
          </w:p>
        </w:tc>
        <w:tc>
          <w:tcPr>
            <w:tcW w:w="1013" w:type="pct"/>
            <w:vMerge/>
            <w:tcMar>
              <w:left w:w="28" w:type="dxa"/>
              <w:right w:w="28" w:type="dxa"/>
            </w:tcMar>
            <w:vAlign w:val="center"/>
          </w:tcPr>
          <w:p w:rsidR="00C57969" w:rsidRPr="00C115B0" w:rsidRDefault="00C57969" w:rsidP="007A061E">
            <w:pPr>
              <w:widowControl/>
              <w:jc w:val="left"/>
              <w:rPr>
                <w:rFonts w:ascii="Arial Narrow" w:hAnsi="Arial Narrow" w:cs="Times New Roman"/>
                <w:snapToGrid/>
                <w:sz w:val="20"/>
              </w:rPr>
            </w:pPr>
          </w:p>
        </w:tc>
        <w:tc>
          <w:tcPr>
            <w:tcW w:w="1012" w:type="pct"/>
            <w:tcMar>
              <w:left w:w="28" w:type="dxa"/>
              <w:right w:w="28" w:type="dxa"/>
            </w:tcMar>
            <w:vAlign w:val="center"/>
          </w:tcPr>
          <w:p w:rsidR="00C57969" w:rsidRPr="00C115B0" w:rsidRDefault="00C57969" w:rsidP="007A061E">
            <w:pPr>
              <w:widowControl/>
              <w:jc w:val="left"/>
              <w:rPr>
                <w:rFonts w:ascii="Arial Narrow" w:hAnsi="Arial Narrow" w:cs="Times New Roman"/>
                <w:snapToGrid/>
                <w:sz w:val="20"/>
              </w:rPr>
            </w:pPr>
            <w:r w:rsidRPr="00C115B0">
              <w:rPr>
                <w:rFonts w:ascii="Arial Narrow" w:hAnsi="Arial Narrow" w:cs="Times New Roman"/>
                <w:snapToGrid/>
                <w:sz w:val="20"/>
              </w:rPr>
              <w:t>PBO 4/829 (0.5)</w:t>
            </w:r>
          </w:p>
        </w:tc>
        <w:tc>
          <w:tcPr>
            <w:tcW w:w="1090" w:type="pct"/>
            <w:tcMar>
              <w:left w:w="28" w:type="dxa"/>
              <w:right w:w="28" w:type="dxa"/>
            </w:tcMar>
            <w:vAlign w:val="center"/>
          </w:tcPr>
          <w:p w:rsidR="00C57969" w:rsidRPr="00C115B0" w:rsidRDefault="00C57969" w:rsidP="007A061E">
            <w:pPr>
              <w:widowControl/>
              <w:jc w:val="left"/>
              <w:rPr>
                <w:rFonts w:ascii="Arial Narrow" w:hAnsi="Arial Narrow" w:cs="Times New Roman"/>
                <w:snapToGrid/>
                <w:sz w:val="20"/>
              </w:rPr>
            </w:pPr>
            <w:r w:rsidRPr="00C115B0">
              <w:rPr>
                <w:rFonts w:ascii="Arial Narrow" w:hAnsi="Arial Narrow" w:cs="Times New Roman"/>
                <w:snapToGrid/>
                <w:sz w:val="20"/>
              </w:rPr>
              <w:t>0.493 (0.091, 2.687)</w:t>
            </w:r>
          </w:p>
        </w:tc>
        <w:tc>
          <w:tcPr>
            <w:tcW w:w="1090" w:type="pct"/>
            <w:tcMar>
              <w:left w:w="28" w:type="dxa"/>
              <w:right w:w="28" w:type="dxa"/>
            </w:tcMar>
            <w:vAlign w:val="center"/>
          </w:tcPr>
          <w:p w:rsidR="00C57969" w:rsidRPr="00C115B0" w:rsidRDefault="00C57969" w:rsidP="007A061E">
            <w:pPr>
              <w:widowControl/>
              <w:jc w:val="left"/>
              <w:rPr>
                <w:rFonts w:ascii="Arial Narrow" w:hAnsi="Arial Narrow" w:cs="Times New Roman"/>
                <w:snapToGrid/>
                <w:sz w:val="20"/>
              </w:rPr>
            </w:pPr>
            <w:r w:rsidRPr="00C115B0">
              <w:rPr>
                <w:rFonts w:ascii="Arial Narrow" w:hAnsi="Arial Narrow" w:cs="Times New Roman"/>
                <w:snapToGrid/>
                <w:sz w:val="20"/>
              </w:rPr>
              <w:t>-0.002 (-0.008, 0.003)</w:t>
            </w:r>
          </w:p>
        </w:tc>
      </w:tr>
      <w:tr w:rsidR="00C57969" w:rsidRPr="009E1F17" w:rsidTr="007A061E">
        <w:tc>
          <w:tcPr>
            <w:tcW w:w="795" w:type="pct"/>
            <w:vMerge/>
            <w:tcMar>
              <w:left w:w="28" w:type="dxa"/>
              <w:right w:w="28" w:type="dxa"/>
            </w:tcMar>
            <w:vAlign w:val="center"/>
          </w:tcPr>
          <w:p w:rsidR="00C57969" w:rsidRPr="009E1F17" w:rsidRDefault="00C57969" w:rsidP="007A061E">
            <w:pPr>
              <w:widowControl/>
              <w:jc w:val="left"/>
              <w:rPr>
                <w:rFonts w:ascii="Arial Narrow" w:hAnsi="Arial Narrow" w:cs="Times New Roman"/>
                <w:snapToGrid/>
                <w:sz w:val="20"/>
              </w:rPr>
            </w:pPr>
          </w:p>
        </w:tc>
        <w:tc>
          <w:tcPr>
            <w:tcW w:w="1013" w:type="pct"/>
            <w:tcMar>
              <w:left w:w="28" w:type="dxa"/>
              <w:right w:w="28" w:type="dxa"/>
            </w:tcMar>
            <w:vAlign w:val="center"/>
          </w:tcPr>
          <w:p w:rsidR="00C57969" w:rsidRPr="00C115B0" w:rsidRDefault="00C57969" w:rsidP="007A061E">
            <w:pPr>
              <w:widowControl/>
              <w:jc w:val="left"/>
              <w:rPr>
                <w:rFonts w:ascii="Arial Narrow" w:hAnsi="Arial Narrow" w:cs="Times New Roman"/>
                <w:snapToGrid/>
                <w:sz w:val="20"/>
              </w:rPr>
            </w:pPr>
            <w:r w:rsidRPr="00C115B0">
              <w:rPr>
                <w:rFonts w:ascii="Arial Narrow" w:hAnsi="Arial Narrow" w:cs="Times New Roman"/>
                <w:snapToGrid/>
                <w:sz w:val="20"/>
              </w:rPr>
              <w:t>A5 1/813 (0.1)</w:t>
            </w:r>
          </w:p>
        </w:tc>
        <w:tc>
          <w:tcPr>
            <w:tcW w:w="1012" w:type="pct"/>
            <w:tcMar>
              <w:left w:w="28" w:type="dxa"/>
              <w:right w:w="28" w:type="dxa"/>
            </w:tcMar>
            <w:vAlign w:val="center"/>
          </w:tcPr>
          <w:p w:rsidR="00C57969" w:rsidRPr="00C115B0" w:rsidRDefault="00C57969" w:rsidP="007A061E">
            <w:pPr>
              <w:widowControl/>
              <w:jc w:val="left"/>
              <w:rPr>
                <w:rFonts w:ascii="Arial Narrow" w:hAnsi="Arial Narrow" w:cs="Times New Roman"/>
                <w:snapToGrid/>
                <w:sz w:val="20"/>
              </w:rPr>
            </w:pPr>
            <w:r w:rsidRPr="00C115B0">
              <w:rPr>
                <w:rFonts w:ascii="Arial Narrow" w:hAnsi="Arial Narrow" w:cs="Times New Roman"/>
                <w:snapToGrid/>
                <w:sz w:val="20"/>
              </w:rPr>
              <w:t>PBO 4/829 (0.5)</w:t>
            </w:r>
          </w:p>
        </w:tc>
        <w:tc>
          <w:tcPr>
            <w:tcW w:w="1090" w:type="pct"/>
            <w:tcMar>
              <w:left w:w="28" w:type="dxa"/>
              <w:right w:w="28" w:type="dxa"/>
            </w:tcMar>
            <w:vAlign w:val="center"/>
          </w:tcPr>
          <w:p w:rsidR="00C57969" w:rsidRPr="00C115B0" w:rsidRDefault="00C57969" w:rsidP="007A061E">
            <w:pPr>
              <w:widowControl/>
              <w:jc w:val="left"/>
              <w:rPr>
                <w:rFonts w:ascii="Arial Narrow" w:hAnsi="Arial Narrow" w:cs="Times New Roman"/>
                <w:snapToGrid/>
                <w:sz w:val="20"/>
              </w:rPr>
            </w:pPr>
            <w:r w:rsidRPr="00C115B0">
              <w:rPr>
                <w:rFonts w:ascii="Arial Narrow" w:hAnsi="Arial Narrow" w:cs="Times New Roman"/>
                <w:snapToGrid/>
                <w:sz w:val="20"/>
              </w:rPr>
              <w:t>0.255 (0.029, 2.276)</w:t>
            </w:r>
          </w:p>
        </w:tc>
        <w:tc>
          <w:tcPr>
            <w:tcW w:w="1090" w:type="pct"/>
            <w:tcMar>
              <w:left w:w="28" w:type="dxa"/>
              <w:right w:w="28" w:type="dxa"/>
            </w:tcMar>
            <w:vAlign w:val="center"/>
          </w:tcPr>
          <w:p w:rsidR="00C57969" w:rsidRPr="00C115B0" w:rsidRDefault="00C57969" w:rsidP="007A061E">
            <w:pPr>
              <w:widowControl/>
              <w:jc w:val="left"/>
              <w:rPr>
                <w:rFonts w:ascii="Arial Narrow" w:hAnsi="Arial Narrow" w:cs="Times New Roman"/>
                <w:snapToGrid/>
                <w:sz w:val="20"/>
              </w:rPr>
            </w:pPr>
            <w:r w:rsidRPr="00C115B0">
              <w:rPr>
                <w:rFonts w:ascii="Arial Narrow" w:hAnsi="Arial Narrow" w:cs="Times New Roman"/>
                <w:snapToGrid/>
                <w:sz w:val="20"/>
              </w:rPr>
              <w:t>-0.004 (-0.009, 0.002)</w:t>
            </w:r>
          </w:p>
        </w:tc>
      </w:tr>
      <w:tr w:rsidR="00C57969" w:rsidRPr="009E1F17" w:rsidTr="007A061E">
        <w:tc>
          <w:tcPr>
            <w:tcW w:w="795" w:type="pct"/>
            <w:tcMar>
              <w:left w:w="28" w:type="dxa"/>
              <w:right w:w="28" w:type="dxa"/>
            </w:tcMar>
            <w:vAlign w:val="center"/>
          </w:tcPr>
          <w:p w:rsidR="00C57969" w:rsidRPr="00C115B0" w:rsidRDefault="00C57969" w:rsidP="007A061E">
            <w:pPr>
              <w:widowControl/>
              <w:jc w:val="left"/>
              <w:rPr>
                <w:rFonts w:ascii="Arial Narrow" w:hAnsi="Arial Narrow" w:cs="Times New Roman"/>
                <w:snapToGrid/>
                <w:sz w:val="20"/>
              </w:rPr>
            </w:pPr>
            <w:r w:rsidRPr="00C115B0">
              <w:rPr>
                <w:rFonts w:ascii="Arial Narrow" w:hAnsi="Arial Narrow" w:cs="Times New Roman"/>
                <w:snapToGrid/>
                <w:sz w:val="20"/>
              </w:rPr>
              <w:t xml:space="preserve">ASPIRE </w:t>
            </w:r>
          </w:p>
        </w:tc>
        <w:tc>
          <w:tcPr>
            <w:tcW w:w="1013" w:type="pct"/>
            <w:tcMar>
              <w:left w:w="28" w:type="dxa"/>
              <w:right w:w="28" w:type="dxa"/>
            </w:tcMar>
            <w:vAlign w:val="center"/>
          </w:tcPr>
          <w:p w:rsidR="00C57969" w:rsidRPr="00C115B0" w:rsidRDefault="00C57969" w:rsidP="007A061E">
            <w:pPr>
              <w:widowControl/>
              <w:jc w:val="left"/>
              <w:rPr>
                <w:rFonts w:ascii="Arial Narrow" w:hAnsi="Arial Narrow" w:cs="Times New Roman"/>
                <w:snapToGrid/>
                <w:sz w:val="20"/>
              </w:rPr>
            </w:pPr>
            <w:r w:rsidRPr="00C115B0">
              <w:rPr>
                <w:rFonts w:ascii="Arial Narrow" w:hAnsi="Arial Narrow" w:cs="Times New Roman"/>
                <w:snapToGrid/>
                <w:sz w:val="20"/>
              </w:rPr>
              <w:t>ASA 8/411 (1.9)</w:t>
            </w:r>
          </w:p>
        </w:tc>
        <w:tc>
          <w:tcPr>
            <w:tcW w:w="1012" w:type="pct"/>
            <w:tcMar>
              <w:left w:w="28" w:type="dxa"/>
              <w:right w:w="28" w:type="dxa"/>
            </w:tcMar>
            <w:vAlign w:val="center"/>
          </w:tcPr>
          <w:p w:rsidR="00C57969" w:rsidRPr="00C115B0" w:rsidRDefault="00C57969" w:rsidP="007A061E">
            <w:pPr>
              <w:widowControl/>
              <w:jc w:val="left"/>
              <w:rPr>
                <w:rFonts w:ascii="Arial Narrow" w:hAnsi="Arial Narrow" w:cs="Times New Roman"/>
                <w:snapToGrid/>
                <w:sz w:val="20"/>
              </w:rPr>
            </w:pPr>
            <w:r w:rsidRPr="00C115B0">
              <w:rPr>
                <w:rFonts w:ascii="Arial Narrow" w:hAnsi="Arial Narrow" w:cs="Times New Roman"/>
                <w:snapToGrid/>
                <w:sz w:val="20"/>
              </w:rPr>
              <w:t>PBO 6/411 (1.5)</w:t>
            </w:r>
          </w:p>
        </w:tc>
        <w:tc>
          <w:tcPr>
            <w:tcW w:w="1090" w:type="pct"/>
            <w:tcMar>
              <w:left w:w="28" w:type="dxa"/>
              <w:right w:w="28" w:type="dxa"/>
            </w:tcMar>
            <w:vAlign w:val="center"/>
          </w:tcPr>
          <w:p w:rsidR="00C57969" w:rsidRPr="00C115B0" w:rsidRDefault="00C57969" w:rsidP="007A061E">
            <w:pPr>
              <w:widowControl/>
              <w:jc w:val="left"/>
              <w:rPr>
                <w:rFonts w:ascii="Arial Narrow" w:hAnsi="Arial Narrow" w:cs="Times New Roman"/>
                <w:snapToGrid/>
                <w:sz w:val="20"/>
              </w:rPr>
            </w:pPr>
            <w:r w:rsidRPr="00C115B0">
              <w:rPr>
                <w:rFonts w:ascii="Arial Narrow" w:hAnsi="Arial Narrow" w:cs="Times New Roman"/>
                <w:snapToGrid/>
                <w:sz w:val="20"/>
              </w:rPr>
              <w:t>1.333 (0.467, 3.809)</w:t>
            </w:r>
          </w:p>
        </w:tc>
        <w:tc>
          <w:tcPr>
            <w:tcW w:w="1090" w:type="pct"/>
            <w:tcMar>
              <w:left w:w="28" w:type="dxa"/>
              <w:right w:w="28" w:type="dxa"/>
            </w:tcMar>
            <w:vAlign w:val="center"/>
          </w:tcPr>
          <w:p w:rsidR="00C57969" w:rsidRPr="00C115B0" w:rsidRDefault="00C57969" w:rsidP="007A061E">
            <w:pPr>
              <w:widowControl/>
              <w:jc w:val="left"/>
              <w:rPr>
                <w:rFonts w:ascii="Arial Narrow" w:hAnsi="Arial Narrow" w:cs="Times New Roman"/>
                <w:snapToGrid/>
                <w:sz w:val="20"/>
              </w:rPr>
            </w:pPr>
            <w:r w:rsidRPr="00C115B0">
              <w:rPr>
                <w:rFonts w:ascii="Arial Narrow" w:hAnsi="Arial Narrow" w:cs="Times New Roman"/>
                <w:snapToGrid/>
                <w:sz w:val="20"/>
              </w:rPr>
              <w:t>0.005 (-0.013, 0.023)</w:t>
            </w:r>
          </w:p>
        </w:tc>
      </w:tr>
      <w:tr w:rsidR="00C57969" w:rsidRPr="009E1F17" w:rsidTr="007A061E">
        <w:tc>
          <w:tcPr>
            <w:tcW w:w="795" w:type="pct"/>
            <w:tcMar>
              <w:left w:w="28" w:type="dxa"/>
              <w:right w:w="28" w:type="dxa"/>
            </w:tcMar>
            <w:vAlign w:val="center"/>
          </w:tcPr>
          <w:p w:rsidR="00C57969" w:rsidRPr="00C115B0" w:rsidRDefault="00C57969" w:rsidP="007A061E">
            <w:pPr>
              <w:widowControl/>
              <w:jc w:val="left"/>
              <w:rPr>
                <w:rFonts w:ascii="Arial Narrow" w:hAnsi="Arial Narrow" w:cs="Times New Roman"/>
                <w:snapToGrid/>
                <w:sz w:val="20"/>
              </w:rPr>
            </w:pPr>
            <w:r w:rsidRPr="00C115B0">
              <w:rPr>
                <w:rFonts w:ascii="Arial Narrow" w:hAnsi="Arial Narrow" w:cs="Times New Roman"/>
                <w:snapToGrid/>
                <w:sz w:val="20"/>
              </w:rPr>
              <w:t>WARFASA</w:t>
            </w:r>
          </w:p>
        </w:tc>
        <w:tc>
          <w:tcPr>
            <w:tcW w:w="1013" w:type="pct"/>
            <w:tcMar>
              <w:left w:w="28" w:type="dxa"/>
              <w:right w:w="28" w:type="dxa"/>
            </w:tcMar>
            <w:vAlign w:val="center"/>
          </w:tcPr>
          <w:p w:rsidR="00C57969" w:rsidRPr="00C115B0" w:rsidRDefault="00C57969" w:rsidP="007A061E">
            <w:pPr>
              <w:widowControl/>
              <w:jc w:val="left"/>
              <w:rPr>
                <w:rFonts w:ascii="Arial Narrow" w:hAnsi="Arial Narrow" w:cs="Times New Roman"/>
                <w:snapToGrid/>
                <w:sz w:val="20"/>
              </w:rPr>
            </w:pPr>
            <w:r w:rsidRPr="00C115B0">
              <w:rPr>
                <w:rFonts w:ascii="Arial Narrow" w:hAnsi="Arial Narrow" w:cs="Times New Roman"/>
                <w:snapToGrid/>
                <w:sz w:val="20"/>
              </w:rPr>
              <w:t>ASA 1/205 (0.5)</w:t>
            </w:r>
          </w:p>
        </w:tc>
        <w:tc>
          <w:tcPr>
            <w:tcW w:w="1012" w:type="pct"/>
            <w:tcMar>
              <w:left w:w="28" w:type="dxa"/>
              <w:right w:w="28" w:type="dxa"/>
            </w:tcMar>
            <w:vAlign w:val="center"/>
          </w:tcPr>
          <w:p w:rsidR="00C57969" w:rsidRPr="00C115B0" w:rsidRDefault="00C57969" w:rsidP="007A061E">
            <w:pPr>
              <w:widowControl/>
              <w:jc w:val="left"/>
              <w:rPr>
                <w:rFonts w:ascii="Arial Narrow" w:hAnsi="Arial Narrow" w:cs="Times New Roman"/>
                <w:snapToGrid/>
                <w:sz w:val="20"/>
              </w:rPr>
            </w:pPr>
            <w:r w:rsidRPr="00C115B0">
              <w:rPr>
                <w:rFonts w:ascii="Arial Narrow" w:hAnsi="Arial Narrow" w:cs="Times New Roman"/>
                <w:snapToGrid/>
                <w:sz w:val="20"/>
              </w:rPr>
              <w:t>PBO 1/197 (0.5)</w:t>
            </w:r>
          </w:p>
        </w:tc>
        <w:tc>
          <w:tcPr>
            <w:tcW w:w="1090" w:type="pct"/>
            <w:tcMar>
              <w:left w:w="28" w:type="dxa"/>
              <w:right w:w="28" w:type="dxa"/>
            </w:tcMar>
            <w:vAlign w:val="center"/>
          </w:tcPr>
          <w:p w:rsidR="00C57969" w:rsidRPr="00C115B0" w:rsidRDefault="00C57969" w:rsidP="007A061E">
            <w:pPr>
              <w:widowControl/>
              <w:jc w:val="left"/>
              <w:rPr>
                <w:rFonts w:ascii="Arial Narrow" w:hAnsi="Arial Narrow" w:cs="Times New Roman"/>
                <w:snapToGrid/>
                <w:sz w:val="20"/>
              </w:rPr>
            </w:pPr>
            <w:r w:rsidRPr="00C115B0">
              <w:rPr>
                <w:rFonts w:ascii="Arial Narrow" w:hAnsi="Arial Narrow" w:cs="Times New Roman"/>
                <w:snapToGrid/>
                <w:sz w:val="20"/>
              </w:rPr>
              <w:t>0.961 (0.061, 15.258)</w:t>
            </w:r>
          </w:p>
        </w:tc>
        <w:tc>
          <w:tcPr>
            <w:tcW w:w="1090" w:type="pct"/>
            <w:tcMar>
              <w:left w:w="28" w:type="dxa"/>
              <w:right w:w="28" w:type="dxa"/>
            </w:tcMar>
            <w:vAlign w:val="center"/>
          </w:tcPr>
          <w:p w:rsidR="00C57969" w:rsidRPr="00C115B0" w:rsidRDefault="00C57969" w:rsidP="007A061E">
            <w:pPr>
              <w:widowControl/>
              <w:jc w:val="left"/>
              <w:rPr>
                <w:rFonts w:ascii="Arial Narrow" w:hAnsi="Arial Narrow" w:cs="Times New Roman"/>
                <w:snapToGrid/>
                <w:sz w:val="20"/>
              </w:rPr>
            </w:pPr>
            <w:r w:rsidRPr="00C115B0">
              <w:rPr>
                <w:rFonts w:ascii="Arial Narrow" w:hAnsi="Arial Narrow" w:cs="Times New Roman"/>
                <w:snapToGrid/>
                <w:sz w:val="20"/>
              </w:rPr>
              <w:t>0.000 (-0.014, 0.014)</w:t>
            </w:r>
          </w:p>
        </w:tc>
      </w:tr>
    </w:tbl>
    <w:p w:rsidR="00C57969" w:rsidRPr="009E1F17" w:rsidRDefault="00C57969" w:rsidP="00C57969">
      <w:pPr>
        <w:rPr>
          <w:rFonts w:ascii="Arial Narrow" w:eastAsia="Calibri" w:hAnsi="Arial Narrow"/>
          <w:sz w:val="18"/>
          <w:szCs w:val="18"/>
        </w:rPr>
      </w:pPr>
      <w:r w:rsidRPr="009E1F17">
        <w:rPr>
          <w:rFonts w:ascii="Arial Narrow" w:eastAsia="Calibri" w:hAnsi="Arial Narrow"/>
          <w:sz w:val="18"/>
          <w:szCs w:val="18"/>
        </w:rPr>
        <w:t xml:space="preserve">Source: Table 2.18, p50-51 of the submission; Table 4 p1220 </w:t>
      </w:r>
      <w:proofErr w:type="spellStart"/>
      <w:r w:rsidRPr="009E1F17">
        <w:rPr>
          <w:rFonts w:ascii="Arial Narrow" w:eastAsia="Calibri" w:hAnsi="Arial Narrow"/>
          <w:sz w:val="18"/>
          <w:szCs w:val="18"/>
        </w:rPr>
        <w:t>Weitz</w:t>
      </w:r>
      <w:proofErr w:type="spellEnd"/>
      <w:r w:rsidRPr="009E1F17">
        <w:rPr>
          <w:rFonts w:ascii="Arial Narrow" w:eastAsia="Calibri" w:hAnsi="Arial Narrow"/>
          <w:sz w:val="18"/>
          <w:szCs w:val="18"/>
        </w:rPr>
        <w:t xml:space="preserve"> 2017, Table 2 p704 </w:t>
      </w:r>
      <w:proofErr w:type="spellStart"/>
      <w:r w:rsidRPr="009E1F17">
        <w:rPr>
          <w:rFonts w:ascii="Arial Narrow" w:eastAsia="Calibri" w:hAnsi="Arial Narrow"/>
          <w:sz w:val="18"/>
          <w:szCs w:val="18"/>
        </w:rPr>
        <w:t>Agnelli</w:t>
      </w:r>
      <w:proofErr w:type="spellEnd"/>
      <w:r w:rsidRPr="009E1F17">
        <w:rPr>
          <w:rFonts w:ascii="Arial Narrow" w:eastAsia="Calibri" w:hAnsi="Arial Narrow"/>
          <w:sz w:val="18"/>
          <w:szCs w:val="18"/>
        </w:rPr>
        <w:t xml:space="preserve"> 2013a; Table 4, p2509, </w:t>
      </w:r>
      <w:proofErr w:type="spellStart"/>
      <w:r w:rsidRPr="009E1F17">
        <w:rPr>
          <w:rFonts w:ascii="Arial Narrow" w:eastAsia="Calibri" w:hAnsi="Arial Narrow"/>
          <w:sz w:val="18"/>
          <w:szCs w:val="18"/>
        </w:rPr>
        <w:t>Bauersachs</w:t>
      </w:r>
      <w:proofErr w:type="spellEnd"/>
      <w:r w:rsidRPr="009E1F17">
        <w:rPr>
          <w:rFonts w:ascii="Arial Narrow" w:eastAsia="Calibri" w:hAnsi="Arial Narrow"/>
          <w:sz w:val="18"/>
          <w:szCs w:val="18"/>
        </w:rPr>
        <w:t xml:space="preserve"> 2010, Table 2, p1985 Brighton 2012, Table 2 p1965 </w:t>
      </w:r>
      <w:proofErr w:type="spellStart"/>
      <w:r w:rsidRPr="009E1F17">
        <w:rPr>
          <w:rFonts w:ascii="Arial Narrow" w:eastAsia="Calibri" w:hAnsi="Arial Narrow"/>
          <w:sz w:val="18"/>
          <w:szCs w:val="18"/>
        </w:rPr>
        <w:t>Becattini</w:t>
      </w:r>
      <w:proofErr w:type="spellEnd"/>
      <w:r w:rsidRPr="009E1F17">
        <w:rPr>
          <w:rFonts w:ascii="Arial Narrow" w:eastAsia="Calibri" w:hAnsi="Arial Narrow"/>
          <w:sz w:val="18"/>
          <w:szCs w:val="18"/>
        </w:rPr>
        <w:t xml:space="preserve"> 2012 </w:t>
      </w:r>
    </w:p>
    <w:p w:rsidR="00C57969" w:rsidRPr="009E1F17" w:rsidRDefault="00C57969" w:rsidP="00C57969">
      <w:pPr>
        <w:rPr>
          <w:rFonts w:ascii="Arial Narrow" w:hAnsi="Arial Narrow"/>
          <w:sz w:val="18"/>
          <w:szCs w:val="18"/>
        </w:rPr>
      </w:pPr>
      <w:r w:rsidRPr="009E1F17">
        <w:rPr>
          <w:rFonts w:ascii="Arial Narrow" w:hAnsi="Arial Narrow"/>
          <w:sz w:val="18"/>
          <w:szCs w:val="18"/>
        </w:rPr>
        <w:t>Abbreviations: A2.5=</w:t>
      </w:r>
      <w:proofErr w:type="spellStart"/>
      <w:r w:rsidRPr="009E1F17">
        <w:rPr>
          <w:rFonts w:ascii="Arial Narrow" w:hAnsi="Arial Narrow"/>
          <w:sz w:val="18"/>
          <w:szCs w:val="18"/>
        </w:rPr>
        <w:t>apixaban</w:t>
      </w:r>
      <w:proofErr w:type="spellEnd"/>
      <w:r w:rsidRPr="009E1F17">
        <w:rPr>
          <w:rFonts w:ascii="Arial Narrow" w:hAnsi="Arial Narrow"/>
          <w:sz w:val="18"/>
          <w:szCs w:val="18"/>
        </w:rPr>
        <w:t xml:space="preserve"> 2.5 mg; A5= </w:t>
      </w:r>
      <w:proofErr w:type="spellStart"/>
      <w:r w:rsidRPr="009E1F17">
        <w:rPr>
          <w:rFonts w:ascii="Arial Narrow" w:hAnsi="Arial Narrow"/>
          <w:sz w:val="18"/>
          <w:szCs w:val="18"/>
        </w:rPr>
        <w:t>apixaban</w:t>
      </w:r>
      <w:proofErr w:type="spellEnd"/>
      <w:r w:rsidRPr="009E1F17">
        <w:rPr>
          <w:rFonts w:ascii="Arial Narrow" w:hAnsi="Arial Narrow"/>
          <w:sz w:val="18"/>
          <w:szCs w:val="18"/>
        </w:rPr>
        <w:t xml:space="preserve"> 5 mg; ASA=aspirin; CI=confidence interval; ID=identification; n=number of participants, N=total participants in group; PBO=placebo; R10=rivaroxaban 10 mg; R20= rivaroxaban 20 mg</w:t>
      </w:r>
    </w:p>
    <w:p w:rsidR="00C57969" w:rsidRPr="009E1F17" w:rsidRDefault="00C57969" w:rsidP="00C57969">
      <w:pPr>
        <w:rPr>
          <w:rFonts w:ascii="Arial Narrow" w:hAnsi="Arial Narrow"/>
          <w:sz w:val="18"/>
        </w:rPr>
      </w:pPr>
      <w:r w:rsidRPr="009E1F17">
        <w:rPr>
          <w:rFonts w:ascii="Arial Narrow" w:hAnsi="Arial Narrow"/>
          <w:sz w:val="18"/>
        </w:rPr>
        <w:t xml:space="preserve">Notes: </w:t>
      </w:r>
      <w:r w:rsidRPr="009E1F17">
        <w:rPr>
          <w:rFonts w:ascii="Arial Narrow" w:hAnsi="Arial Narrow"/>
          <w:sz w:val="18"/>
          <w:vertAlign w:val="superscript"/>
        </w:rPr>
        <w:t>1</w:t>
      </w:r>
      <w:r w:rsidRPr="009E1F17">
        <w:rPr>
          <w:rFonts w:ascii="Arial Narrow" w:hAnsi="Arial Narrow"/>
          <w:sz w:val="18"/>
        </w:rPr>
        <w:t xml:space="preserve"> Reported as an HR in the submission.</w:t>
      </w:r>
    </w:p>
    <w:p w:rsidR="00C57969" w:rsidRDefault="00C57969" w:rsidP="00C57969">
      <w:pPr>
        <w:rPr>
          <w:rFonts w:ascii="Arial Narrow" w:hAnsi="Arial Narrow"/>
          <w:sz w:val="18"/>
        </w:rPr>
      </w:pPr>
      <w:r w:rsidRPr="009E1F17">
        <w:rPr>
          <w:rFonts w:ascii="Arial Narrow" w:hAnsi="Arial Narrow"/>
          <w:sz w:val="18"/>
        </w:rPr>
        <w:t>Bold indicates a statistically significant difference</w:t>
      </w:r>
    </w:p>
    <w:p w:rsidR="00C57969" w:rsidRDefault="00C57969" w:rsidP="00C57969">
      <w:pPr>
        <w:rPr>
          <w:rFonts w:ascii="Arial Narrow" w:hAnsi="Arial Narrow"/>
          <w:sz w:val="18"/>
        </w:rPr>
      </w:pPr>
    </w:p>
    <w:p w:rsidR="00C57969" w:rsidRPr="00C57969" w:rsidRDefault="00C57969" w:rsidP="00C57969">
      <w:pPr>
        <w:keepNext/>
        <w:widowControl/>
        <w:numPr>
          <w:ilvl w:val="1"/>
          <w:numId w:val="3"/>
        </w:numPr>
        <w:spacing w:after="160"/>
        <w:rPr>
          <w:rFonts w:ascii="Arial Narrow" w:hAnsi="Arial Narrow"/>
          <w:sz w:val="18"/>
        </w:rPr>
      </w:pPr>
      <w:r w:rsidRPr="009E1F17">
        <w:t xml:space="preserve">The results for clinically relevant non-major (CRNM) bleeding are presented in </w:t>
      </w:r>
      <w:r w:rsidRPr="00C56905">
        <w:rPr>
          <w:rFonts w:asciiTheme="minorHAnsi" w:hAnsiTheme="minorHAnsi" w:cstheme="minorHAnsi"/>
          <w:szCs w:val="24"/>
        </w:rPr>
        <w:t xml:space="preserve">Table </w:t>
      </w:r>
      <w:r w:rsidRPr="00C56905">
        <w:rPr>
          <w:rFonts w:asciiTheme="minorHAnsi" w:hAnsiTheme="minorHAnsi" w:cstheme="minorHAnsi"/>
          <w:noProof/>
          <w:szCs w:val="24"/>
        </w:rPr>
        <w:t>8</w:t>
      </w:r>
      <w:r w:rsidRPr="009E1F17">
        <w:rPr>
          <w:rFonts w:asciiTheme="minorHAnsi" w:hAnsiTheme="minorHAnsi" w:cstheme="minorHAnsi"/>
          <w:szCs w:val="24"/>
        </w:rPr>
        <w:t xml:space="preserve">. </w:t>
      </w:r>
      <w:r w:rsidRPr="009E1F17">
        <w:t xml:space="preserve">There were no statistically significant differences in the risk of CRNM bleeding </w:t>
      </w:r>
      <w:r w:rsidRPr="009E1F17">
        <w:lastRenderedPageBreak/>
        <w:t xml:space="preserve">between rivaroxaban 10 mg and aspirin or rivaroxaban 20 mg (Einstein CHOICE), between rivaroxaban 20 mg and aspirin (Einstein CHOICE), or between </w:t>
      </w:r>
      <w:proofErr w:type="spellStart"/>
      <w:r w:rsidRPr="009E1F17">
        <w:t>apixaban</w:t>
      </w:r>
      <w:proofErr w:type="spellEnd"/>
      <w:r w:rsidRPr="009E1F17">
        <w:t xml:space="preserve"> 2.5 mg and placebo (Amplify EXT). There was an increased risk of CRNM bleeds observed with rivaroxaban 20 mg compared with placebo (Einstein EXT), although this is tempered by some uncertainty as shown by the wide confidence intervals. </w:t>
      </w:r>
      <w:r w:rsidRPr="00636D45">
        <w:t>There were no statistically significant differences between aspirin and placebo (ASPIRE, WARFASA) in the occurrence of CRNM bleeds.</w:t>
      </w:r>
    </w:p>
    <w:p w:rsidR="00C57969" w:rsidRPr="009E1F17" w:rsidRDefault="00C57969" w:rsidP="00C57969">
      <w:pPr>
        <w:keepNext/>
        <w:widowControl/>
        <w:jc w:val="left"/>
        <w:rPr>
          <w:rFonts w:ascii="Arial Narrow" w:hAnsi="Arial Narrow" w:cs="Times New Roman"/>
          <w:b/>
          <w:snapToGrid/>
          <w:sz w:val="20"/>
          <w:szCs w:val="20"/>
        </w:rPr>
      </w:pPr>
      <w:bookmarkStart w:id="17" w:name="_Ref523399147"/>
      <w:r w:rsidRPr="009E1F17">
        <w:rPr>
          <w:rFonts w:ascii="Arial Narrow" w:hAnsi="Arial Narrow"/>
          <w:b/>
          <w:sz w:val="20"/>
          <w:szCs w:val="20"/>
        </w:rPr>
        <w:t xml:space="preserve">Table </w:t>
      </w:r>
      <w:r>
        <w:rPr>
          <w:rFonts w:ascii="Arial Narrow" w:hAnsi="Arial Narrow"/>
          <w:b/>
          <w:noProof/>
          <w:sz w:val="20"/>
          <w:szCs w:val="20"/>
        </w:rPr>
        <w:t>8</w:t>
      </w:r>
      <w:bookmarkEnd w:id="17"/>
      <w:r w:rsidRPr="009E1F17">
        <w:rPr>
          <w:rFonts w:ascii="Arial Narrow" w:hAnsi="Arial Narrow"/>
          <w:b/>
          <w:sz w:val="20"/>
          <w:szCs w:val="20"/>
        </w:rPr>
        <w:t xml:space="preserve">: </w:t>
      </w:r>
      <w:r w:rsidRPr="009E1F17">
        <w:rPr>
          <w:rFonts w:ascii="Arial Narrow" w:hAnsi="Arial Narrow" w:cs="Times New Roman"/>
          <w:b/>
          <w:snapToGrid/>
          <w:sz w:val="20"/>
          <w:szCs w:val="20"/>
        </w:rPr>
        <w:t xml:space="preserve">Major or CRNM bleeding comparison between trials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1829"/>
        <w:gridCol w:w="1830"/>
        <w:gridCol w:w="1926"/>
        <w:gridCol w:w="1996"/>
      </w:tblGrid>
      <w:tr w:rsidR="00C57969" w:rsidRPr="009E1F17" w:rsidTr="007A061E">
        <w:trPr>
          <w:tblHeader/>
        </w:trPr>
        <w:tc>
          <w:tcPr>
            <w:tcW w:w="796" w:type="pct"/>
            <w:tcMar>
              <w:left w:w="28" w:type="dxa"/>
              <w:right w:w="28" w:type="dxa"/>
            </w:tcMar>
            <w:vAlign w:val="center"/>
          </w:tcPr>
          <w:p w:rsidR="00C57969" w:rsidRPr="009E1F17" w:rsidRDefault="00C57969" w:rsidP="007A061E">
            <w:pPr>
              <w:keepNext/>
              <w:widowControl/>
              <w:jc w:val="left"/>
              <w:rPr>
                <w:rFonts w:ascii="Arial Narrow" w:hAnsi="Arial Narrow" w:cs="Times New Roman"/>
                <w:b/>
                <w:snapToGrid/>
                <w:sz w:val="20"/>
              </w:rPr>
            </w:pPr>
            <w:r w:rsidRPr="009E1F17">
              <w:rPr>
                <w:rFonts w:ascii="Arial Narrow" w:hAnsi="Arial Narrow" w:cs="Times New Roman"/>
                <w:b/>
                <w:snapToGrid/>
                <w:sz w:val="20"/>
              </w:rPr>
              <w:t>Trial ID</w:t>
            </w:r>
          </w:p>
        </w:tc>
        <w:tc>
          <w:tcPr>
            <w:tcW w:w="1014" w:type="pct"/>
            <w:tcMar>
              <w:left w:w="28" w:type="dxa"/>
              <w:right w:w="28" w:type="dxa"/>
            </w:tcMar>
            <w:vAlign w:val="center"/>
          </w:tcPr>
          <w:p w:rsidR="00C57969" w:rsidRPr="009E1F17" w:rsidRDefault="00C57969" w:rsidP="007A061E">
            <w:pPr>
              <w:keepNext/>
              <w:widowControl/>
              <w:jc w:val="left"/>
              <w:rPr>
                <w:rFonts w:ascii="Arial Narrow" w:hAnsi="Arial Narrow" w:cs="Times New Roman"/>
                <w:b/>
                <w:snapToGrid/>
                <w:sz w:val="20"/>
              </w:rPr>
            </w:pPr>
            <w:r w:rsidRPr="009E1F17">
              <w:rPr>
                <w:rFonts w:ascii="Arial Narrow" w:hAnsi="Arial Narrow" w:cs="Times New Roman"/>
                <w:b/>
                <w:snapToGrid/>
                <w:sz w:val="20"/>
              </w:rPr>
              <w:t>Intervention</w:t>
            </w:r>
            <w:r>
              <w:rPr>
                <w:rFonts w:ascii="Arial Narrow" w:hAnsi="Arial Narrow" w:cs="Times New Roman"/>
                <w:b/>
                <w:snapToGrid/>
                <w:sz w:val="20"/>
              </w:rPr>
              <w:t>,</w:t>
            </w:r>
            <w:r w:rsidRPr="009E1F17">
              <w:rPr>
                <w:rFonts w:ascii="Arial Narrow" w:hAnsi="Arial Narrow" w:cs="Times New Roman"/>
                <w:b/>
                <w:snapToGrid/>
                <w:sz w:val="20"/>
              </w:rPr>
              <w:t xml:space="preserve"> n/N (%)</w:t>
            </w:r>
          </w:p>
        </w:tc>
        <w:tc>
          <w:tcPr>
            <w:tcW w:w="1015" w:type="pct"/>
            <w:tcMar>
              <w:left w:w="28" w:type="dxa"/>
              <w:right w:w="28" w:type="dxa"/>
            </w:tcMar>
            <w:vAlign w:val="center"/>
          </w:tcPr>
          <w:p w:rsidR="00C57969" w:rsidRPr="009E1F17" w:rsidRDefault="00C57969" w:rsidP="007A061E">
            <w:pPr>
              <w:keepNext/>
              <w:widowControl/>
              <w:jc w:val="left"/>
              <w:rPr>
                <w:rFonts w:ascii="Arial Narrow" w:hAnsi="Arial Narrow" w:cs="Times New Roman"/>
                <w:b/>
                <w:snapToGrid/>
                <w:sz w:val="20"/>
              </w:rPr>
            </w:pPr>
            <w:r w:rsidRPr="009E1F17">
              <w:rPr>
                <w:rFonts w:ascii="Arial Narrow" w:hAnsi="Arial Narrow" w:cs="Times New Roman"/>
                <w:b/>
                <w:snapToGrid/>
                <w:sz w:val="20"/>
              </w:rPr>
              <w:t>Comparators</w:t>
            </w:r>
            <w:r>
              <w:rPr>
                <w:rFonts w:ascii="Arial Narrow" w:hAnsi="Arial Narrow" w:cs="Times New Roman"/>
                <w:b/>
                <w:snapToGrid/>
                <w:sz w:val="20"/>
              </w:rPr>
              <w:t xml:space="preserve">, </w:t>
            </w:r>
            <w:r w:rsidRPr="009E1F17">
              <w:rPr>
                <w:rFonts w:ascii="Arial Narrow" w:hAnsi="Arial Narrow" w:cs="Times New Roman"/>
                <w:b/>
                <w:snapToGrid/>
                <w:sz w:val="20"/>
              </w:rPr>
              <w:t>n/N (%)</w:t>
            </w:r>
          </w:p>
        </w:tc>
        <w:tc>
          <w:tcPr>
            <w:tcW w:w="1068" w:type="pct"/>
            <w:tcMar>
              <w:left w:w="28" w:type="dxa"/>
              <w:right w:w="28" w:type="dxa"/>
            </w:tcMar>
            <w:vAlign w:val="center"/>
          </w:tcPr>
          <w:p w:rsidR="00C57969" w:rsidRPr="009E1F17" w:rsidRDefault="00C57969" w:rsidP="007A061E">
            <w:pPr>
              <w:keepNext/>
              <w:widowControl/>
              <w:jc w:val="left"/>
              <w:rPr>
                <w:rFonts w:ascii="Arial Narrow" w:hAnsi="Arial Narrow" w:cs="Times New Roman"/>
                <w:b/>
                <w:snapToGrid/>
                <w:sz w:val="20"/>
              </w:rPr>
            </w:pPr>
            <w:r w:rsidRPr="009E1F17">
              <w:rPr>
                <w:rFonts w:ascii="Arial Narrow" w:hAnsi="Arial Narrow" w:cs="Times New Roman"/>
                <w:b/>
                <w:snapToGrid/>
                <w:sz w:val="20"/>
              </w:rPr>
              <w:t>Relative risk (95% CI)</w:t>
            </w:r>
          </w:p>
        </w:tc>
        <w:tc>
          <w:tcPr>
            <w:tcW w:w="1107" w:type="pct"/>
            <w:tcMar>
              <w:left w:w="28" w:type="dxa"/>
              <w:right w:w="28" w:type="dxa"/>
            </w:tcMar>
            <w:vAlign w:val="center"/>
          </w:tcPr>
          <w:p w:rsidR="00C57969" w:rsidRPr="009E1F17" w:rsidRDefault="00C57969" w:rsidP="007A061E">
            <w:pPr>
              <w:keepNext/>
              <w:widowControl/>
              <w:jc w:val="left"/>
              <w:rPr>
                <w:rFonts w:ascii="Arial Narrow" w:hAnsi="Arial Narrow" w:cs="Times New Roman"/>
                <w:b/>
                <w:snapToGrid/>
                <w:sz w:val="20"/>
              </w:rPr>
            </w:pPr>
            <w:r>
              <w:rPr>
                <w:rFonts w:ascii="Arial Narrow" w:hAnsi="Arial Narrow" w:cs="Times New Roman"/>
                <w:b/>
                <w:snapToGrid/>
                <w:sz w:val="20"/>
              </w:rPr>
              <w:t>Risk difference (95% CI)</w:t>
            </w:r>
          </w:p>
        </w:tc>
      </w:tr>
      <w:tr w:rsidR="00C57969" w:rsidRPr="009E1F17" w:rsidTr="007A061E">
        <w:tc>
          <w:tcPr>
            <w:tcW w:w="796" w:type="pct"/>
            <w:vMerge w:val="restart"/>
            <w:tcMar>
              <w:left w:w="28" w:type="dxa"/>
              <w:right w:w="28" w:type="dxa"/>
            </w:tcMar>
            <w:vAlign w:val="center"/>
          </w:tcPr>
          <w:p w:rsidR="00C57969" w:rsidRPr="00866442" w:rsidRDefault="00C57969" w:rsidP="007A061E">
            <w:pPr>
              <w:keepNext/>
              <w:widowControl/>
              <w:jc w:val="left"/>
              <w:rPr>
                <w:rFonts w:ascii="Arial Narrow" w:hAnsi="Arial Narrow" w:cs="Times New Roman"/>
                <w:snapToGrid/>
                <w:sz w:val="20"/>
              </w:rPr>
            </w:pPr>
            <w:r w:rsidRPr="00866442">
              <w:rPr>
                <w:rFonts w:ascii="Arial Narrow" w:hAnsi="Arial Narrow" w:cs="Times New Roman"/>
                <w:snapToGrid/>
                <w:sz w:val="20"/>
              </w:rPr>
              <w:t>Einstein CHOICE</w:t>
            </w:r>
          </w:p>
        </w:tc>
        <w:tc>
          <w:tcPr>
            <w:tcW w:w="1014" w:type="pct"/>
            <w:vMerge w:val="restart"/>
            <w:tcMar>
              <w:left w:w="28" w:type="dxa"/>
              <w:right w:w="28" w:type="dxa"/>
            </w:tcMar>
            <w:vAlign w:val="center"/>
          </w:tcPr>
          <w:p w:rsidR="00C57969" w:rsidRPr="00866442" w:rsidRDefault="00C57969" w:rsidP="007A061E">
            <w:pPr>
              <w:keepNext/>
              <w:widowControl/>
              <w:jc w:val="left"/>
              <w:rPr>
                <w:rFonts w:ascii="Arial Narrow" w:hAnsi="Arial Narrow" w:cs="Times New Roman"/>
                <w:snapToGrid/>
                <w:sz w:val="20"/>
              </w:rPr>
            </w:pPr>
            <w:r w:rsidRPr="00866442">
              <w:rPr>
                <w:rFonts w:ascii="Arial Narrow" w:hAnsi="Arial Narrow" w:cs="Times New Roman"/>
                <w:snapToGrid/>
                <w:sz w:val="20"/>
              </w:rPr>
              <w:t>R10 27/1127 (2.4)</w:t>
            </w:r>
          </w:p>
        </w:tc>
        <w:tc>
          <w:tcPr>
            <w:tcW w:w="1015" w:type="pct"/>
            <w:tcMar>
              <w:left w:w="28" w:type="dxa"/>
              <w:right w:w="28" w:type="dxa"/>
            </w:tcMar>
            <w:vAlign w:val="center"/>
          </w:tcPr>
          <w:p w:rsidR="00C57969" w:rsidRPr="00866442" w:rsidRDefault="00C57969" w:rsidP="007A061E">
            <w:pPr>
              <w:keepNext/>
              <w:widowControl/>
              <w:jc w:val="left"/>
              <w:rPr>
                <w:rFonts w:ascii="Arial Narrow" w:hAnsi="Arial Narrow" w:cs="Times New Roman"/>
                <w:snapToGrid/>
                <w:sz w:val="20"/>
              </w:rPr>
            </w:pPr>
            <w:r w:rsidRPr="00866442">
              <w:rPr>
                <w:rFonts w:ascii="Arial Narrow" w:hAnsi="Arial Narrow" w:cs="Times New Roman"/>
                <w:snapToGrid/>
                <w:sz w:val="20"/>
              </w:rPr>
              <w:t>R20 36/1107 (3.3)</w:t>
            </w:r>
          </w:p>
        </w:tc>
        <w:tc>
          <w:tcPr>
            <w:tcW w:w="1068" w:type="pct"/>
            <w:tcMar>
              <w:left w:w="28" w:type="dxa"/>
              <w:right w:w="28" w:type="dxa"/>
            </w:tcMar>
            <w:vAlign w:val="center"/>
          </w:tcPr>
          <w:p w:rsidR="00C57969" w:rsidRPr="00866442" w:rsidRDefault="00C57969" w:rsidP="007A061E">
            <w:pPr>
              <w:keepNext/>
              <w:widowControl/>
              <w:jc w:val="left"/>
              <w:rPr>
                <w:rFonts w:ascii="Arial Narrow" w:hAnsi="Arial Narrow" w:cs="Times New Roman"/>
                <w:snapToGrid/>
                <w:sz w:val="20"/>
              </w:rPr>
            </w:pPr>
            <w:r w:rsidRPr="00866442">
              <w:rPr>
                <w:rFonts w:ascii="Arial Narrow" w:hAnsi="Arial Narrow" w:cs="Times New Roman"/>
                <w:snapToGrid/>
                <w:sz w:val="20"/>
              </w:rPr>
              <w:t>0.73 (0.44-1.20)</w:t>
            </w:r>
            <w:r w:rsidRPr="00866442">
              <w:rPr>
                <w:rFonts w:ascii="Arial Narrow" w:hAnsi="Arial Narrow" w:cs="Times New Roman"/>
                <w:snapToGrid/>
                <w:sz w:val="20"/>
                <w:vertAlign w:val="superscript"/>
              </w:rPr>
              <w:t xml:space="preserve"> 1</w:t>
            </w:r>
            <w:r w:rsidRPr="00866442">
              <w:rPr>
                <w:rFonts w:ascii="Arial Narrow" w:hAnsi="Arial Narrow" w:cs="Times New Roman"/>
                <w:snapToGrid/>
                <w:sz w:val="20"/>
              </w:rPr>
              <w:t xml:space="preserve"> </w:t>
            </w:r>
          </w:p>
          <w:p w:rsidR="00C57969" w:rsidRPr="00866442" w:rsidRDefault="00C57969" w:rsidP="007A061E">
            <w:pPr>
              <w:keepNext/>
              <w:widowControl/>
              <w:jc w:val="left"/>
              <w:rPr>
                <w:rFonts w:ascii="Arial Narrow" w:hAnsi="Arial Narrow" w:cs="Times New Roman"/>
                <w:snapToGrid/>
                <w:sz w:val="20"/>
              </w:rPr>
            </w:pPr>
            <w:r w:rsidRPr="00866442">
              <w:rPr>
                <w:rFonts w:ascii="Arial Narrow" w:hAnsi="Arial Narrow" w:cs="Times New Roman"/>
                <w:snapToGrid/>
                <w:sz w:val="20"/>
              </w:rPr>
              <w:t>0.737 (0.45, 1.205)</w:t>
            </w:r>
          </w:p>
        </w:tc>
        <w:tc>
          <w:tcPr>
            <w:tcW w:w="1107" w:type="pct"/>
            <w:tcMar>
              <w:left w:w="28" w:type="dxa"/>
              <w:right w:w="28" w:type="dxa"/>
            </w:tcMar>
            <w:vAlign w:val="center"/>
          </w:tcPr>
          <w:p w:rsidR="00C57969" w:rsidRPr="00866442" w:rsidRDefault="00C57969" w:rsidP="007A061E">
            <w:pPr>
              <w:keepNext/>
              <w:widowControl/>
              <w:jc w:val="left"/>
              <w:rPr>
                <w:rFonts w:ascii="Arial Narrow" w:hAnsi="Arial Narrow" w:cs="Times New Roman"/>
                <w:snapToGrid/>
                <w:sz w:val="20"/>
                <w:highlight w:val="yellow"/>
              </w:rPr>
            </w:pPr>
            <w:r w:rsidRPr="00866442">
              <w:rPr>
                <w:rFonts w:ascii="Arial Narrow" w:hAnsi="Arial Narrow" w:cs="Times New Roman"/>
                <w:snapToGrid/>
                <w:sz w:val="20"/>
              </w:rPr>
              <w:t>-0.009 (-0.022, 0.005)</w:t>
            </w:r>
          </w:p>
        </w:tc>
      </w:tr>
      <w:tr w:rsidR="00C57969" w:rsidRPr="009E1F17" w:rsidTr="007A061E">
        <w:tc>
          <w:tcPr>
            <w:tcW w:w="796" w:type="pct"/>
            <w:vMerge/>
            <w:tcMar>
              <w:left w:w="28" w:type="dxa"/>
              <w:right w:w="28" w:type="dxa"/>
            </w:tcMar>
            <w:vAlign w:val="center"/>
          </w:tcPr>
          <w:p w:rsidR="00C57969" w:rsidRPr="00866442" w:rsidRDefault="00C57969" w:rsidP="007A061E">
            <w:pPr>
              <w:keepNext/>
              <w:widowControl/>
              <w:jc w:val="left"/>
              <w:rPr>
                <w:rFonts w:ascii="Arial Narrow" w:hAnsi="Arial Narrow" w:cs="Times New Roman"/>
                <w:snapToGrid/>
                <w:sz w:val="20"/>
              </w:rPr>
            </w:pPr>
          </w:p>
        </w:tc>
        <w:tc>
          <w:tcPr>
            <w:tcW w:w="1014" w:type="pct"/>
            <w:vMerge/>
            <w:tcMar>
              <w:left w:w="28" w:type="dxa"/>
              <w:right w:w="28" w:type="dxa"/>
            </w:tcMar>
            <w:vAlign w:val="center"/>
          </w:tcPr>
          <w:p w:rsidR="00C57969" w:rsidRPr="00866442" w:rsidRDefault="00C57969" w:rsidP="007A061E">
            <w:pPr>
              <w:keepNext/>
              <w:widowControl/>
              <w:jc w:val="left"/>
              <w:rPr>
                <w:rFonts w:ascii="Arial Narrow" w:hAnsi="Arial Narrow" w:cs="Times New Roman"/>
                <w:snapToGrid/>
                <w:sz w:val="20"/>
              </w:rPr>
            </w:pPr>
          </w:p>
        </w:tc>
        <w:tc>
          <w:tcPr>
            <w:tcW w:w="1015" w:type="pct"/>
            <w:tcMar>
              <w:left w:w="28" w:type="dxa"/>
              <w:right w:w="28" w:type="dxa"/>
            </w:tcMar>
            <w:vAlign w:val="center"/>
          </w:tcPr>
          <w:p w:rsidR="00C57969" w:rsidRPr="00866442" w:rsidRDefault="00C57969" w:rsidP="007A061E">
            <w:pPr>
              <w:keepNext/>
              <w:widowControl/>
              <w:jc w:val="left"/>
              <w:rPr>
                <w:rFonts w:ascii="Arial Narrow" w:hAnsi="Arial Narrow" w:cs="Times New Roman"/>
                <w:snapToGrid/>
                <w:sz w:val="20"/>
              </w:rPr>
            </w:pPr>
            <w:r w:rsidRPr="00866442">
              <w:rPr>
                <w:rFonts w:ascii="Arial Narrow" w:hAnsi="Arial Narrow" w:cs="Times New Roman"/>
                <w:snapToGrid/>
                <w:sz w:val="20"/>
              </w:rPr>
              <w:t>ASA 23/1131 (2.0)</w:t>
            </w:r>
          </w:p>
        </w:tc>
        <w:tc>
          <w:tcPr>
            <w:tcW w:w="1068" w:type="pct"/>
            <w:tcMar>
              <w:left w:w="28" w:type="dxa"/>
              <w:right w:w="28" w:type="dxa"/>
            </w:tcMar>
            <w:vAlign w:val="center"/>
          </w:tcPr>
          <w:p w:rsidR="00C57969" w:rsidRPr="00866442" w:rsidRDefault="00C57969" w:rsidP="007A061E">
            <w:pPr>
              <w:keepNext/>
              <w:widowControl/>
              <w:jc w:val="left"/>
              <w:rPr>
                <w:rFonts w:ascii="Arial Narrow" w:hAnsi="Arial Narrow" w:cs="Times New Roman"/>
                <w:snapToGrid/>
                <w:sz w:val="20"/>
              </w:rPr>
            </w:pPr>
            <w:r w:rsidRPr="00866442">
              <w:rPr>
                <w:rFonts w:ascii="Arial Narrow" w:hAnsi="Arial Narrow" w:cs="Times New Roman"/>
                <w:snapToGrid/>
                <w:sz w:val="20"/>
              </w:rPr>
              <w:t>1.16 (0.67, 2.03)</w:t>
            </w:r>
            <w:r w:rsidRPr="00866442">
              <w:rPr>
                <w:rFonts w:ascii="Arial Narrow" w:hAnsi="Arial Narrow" w:cs="Times New Roman"/>
                <w:snapToGrid/>
                <w:sz w:val="20"/>
                <w:vertAlign w:val="superscript"/>
              </w:rPr>
              <w:t xml:space="preserve"> 1</w:t>
            </w:r>
            <w:r w:rsidRPr="00866442">
              <w:rPr>
                <w:rFonts w:ascii="Arial Narrow" w:hAnsi="Arial Narrow" w:cs="Times New Roman"/>
                <w:snapToGrid/>
                <w:sz w:val="20"/>
              </w:rPr>
              <w:br/>
              <w:t>1.178 (0.680, 2.042)</w:t>
            </w:r>
          </w:p>
        </w:tc>
        <w:tc>
          <w:tcPr>
            <w:tcW w:w="1107" w:type="pct"/>
            <w:tcMar>
              <w:left w:w="28" w:type="dxa"/>
              <w:right w:w="28" w:type="dxa"/>
            </w:tcMar>
            <w:vAlign w:val="center"/>
          </w:tcPr>
          <w:p w:rsidR="00C57969" w:rsidRPr="00866442" w:rsidRDefault="00C57969" w:rsidP="007A061E">
            <w:pPr>
              <w:keepNext/>
              <w:widowControl/>
              <w:jc w:val="left"/>
              <w:rPr>
                <w:rFonts w:ascii="Arial Narrow" w:hAnsi="Arial Narrow" w:cs="Times New Roman"/>
                <w:snapToGrid/>
                <w:sz w:val="20"/>
              </w:rPr>
            </w:pPr>
            <w:r w:rsidRPr="00866442">
              <w:rPr>
                <w:rFonts w:ascii="Arial Narrow" w:hAnsi="Arial Narrow" w:cs="Times New Roman"/>
                <w:snapToGrid/>
                <w:sz w:val="20"/>
              </w:rPr>
              <w:t>0.004 (-0.009, 0.016)</w:t>
            </w:r>
          </w:p>
        </w:tc>
      </w:tr>
      <w:tr w:rsidR="00C57969" w:rsidRPr="009E1F17" w:rsidTr="007A061E">
        <w:tc>
          <w:tcPr>
            <w:tcW w:w="796" w:type="pct"/>
            <w:vMerge/>
            <w:tcMar>
              <w:left w:w="28" w:type="dxa"/>
              <w:right w:w="28" w:type="dxa"/>
            </w:tcMar>
            <w:vAlign w:val="center"/>
          </w:tcPr>
          <w:p w:rsidR="00C57969" w:rsidRPr="00866442" w:rsidRDefault="00C57969" w:rsidP="007A061E">
            <w:pPr>
              <w:keepNext/>
              <w:widowControl/>
              <w:jc w:val="left"/>
              <w:rPr>
                <w:rFonts w:ascii="Arial Narrow" w:hAnsi="Arial Narrow" w:cs="Times New Roman"/>
                <w:snapToGrid/>
                <w:sz w:val="20"/>
              </w:rPr>
            </w:pPr>
          </w:p>
        </w:tc>
        <w:tc>
          <w:tcPr>
            <w:tcW w:w="1014" w:type="pct"/>
            <w:tcMar>
              <w:left w:w="28" w:type="dxa"/>
              <w:right w:w="28" w:type="dxa"/>
            </w:tcMar>
            <w:vAlign w:val="center"/>
          </w:tcPr>
          <w:p w:rsidR="00C57969" w:rsidRPr="00866442" w:rsidRDefault="00C57969" w:rsidP="007A061E">
            <w:pPr>
              <w:keepNext/>
              <w:widowControl/>
              <w:jc w:val="left"/>
              <w:rPr>
                <w:rFonts w:ascii="Arial Narrow" w:hAnsi="Arial Narrow" w:cs="Times New Roman"/>
                <w:snapToGrid/>
                <w:sz w:val="20"/>
              </w:rPr>
            </w:pPr>
            <w:r w:rsidRPr="00866442">
              <w:rPr>
                <w:rFonts w:ascii="Arial Narrow" w:hAnsi="Arial Narrow" w:cs="Times New Roman"/>
                <w:snapToGrid/>
                <w:sz w:val="20"/>
              </w:rPr>
              <w:t>R20 36/1107 (3.3)</w:t>
            </w:r>
          </w:p>
        </w:tc>
        <w:tc>
          <w:tcPr>
            <w:tcW w:w="1015" w:type="pct"/>
            <w:tcMar>
              <w:left w:w="28" w:type="dxa"/>
              <w:right w:w="28" w:type="dxa"/>
            </w:tcMar>
            <w:vAlign w:val="center"/>
          </w:tcPr>
          <w:p w:rsidR="00C57969" w:rsidRPr="00866442" w:rsidRDefault="00C57969" w:rsidP="007A061E">
            <w:pPr>
              <w:keepNext/>
              <w:widowControl/>
              <w:jc w:val="left"/>
              <w:rPr>
                <w:rFonts w:ascii="Arial Narrow" w:hAnsi="Arial Narrow" w:cs="Times New Roman"/>
                <w:snapToGrid/>
                <w:sz w:val="20"/>
              </w:rPr>
            </w:pPr>
            <w:r w:rsidRPr="00866442">
              <w:rPr>
                <w:rFonts w:ascii="Arial Narrow" w:hAnsi="Arial Narrow" w:cs="Times New Roman"/>
                <w:snapToGrid/>
                <w:sz w:val="20"/>
              </w:rPr>
              <w:t>ASA 23/1131 (2.0)</w:t>
            </w:r>
          </w:p>
        </w:tc>
        <w:tc>
          <w:tcPr>
            <w:tcW w:w="1068" w:type="pct"/>
            <w:tcMar>
              <w:left w:w="28" w:type="dxa"/>
              <w:right w:w="28" w:type="dxa"/>
            </w:tcMar>
            <w:vAlign w:val="center"/>
          </w:tcPr>
          <w:p w:rsidR="00C57969" w:rsidRPr="00866442" w:rsidRDefault="00C57969" w:rsidP="007A061E">
            <w:pPr>
              <w:keepNext/>
              <w:widowControl/>
              <w:jc w:val="left"/>
              <w:rPr>
                <w:rFonts w:ascii="Arial Narrow" w:hAnsi="Arial Narrow" w:cs="Times New Roman"/>
                <w:snapToGrid/>
                <w:sz w:val="20"/>
              </w:rPr>
            </w:pPr>
            <w:r w:rsidRPr="00866442">
              <w:rPr>
                <w:rFonts w:ascii="Arial Narrow" w:hAnsi="Arial Narrow" w:cs="Times New Roman"/>
                <w:snapToGrid/>
                <w:sz w:val="20"/>
              </w:rPr>
              <w:t>1.59 (0.94, 2.69)</w:t>
            </w:r>
            <w:r w:rsidRPr="00866442">
              <w:rPr>
                <w:rFonts w:ascii="Arial Narrow" w:hAnsi="Arial Narrow" w:cs="Times New Roman"/>
                <w:snapToGrid/>
                <w:sz w:val="20"/>
                <w:vertAlign w:val="superscript"/>
              </w:rPr>
              <w:t xml:space="preserve"> 1</w:t>
            </w:r>
            <w:r w:rsidRPr="00866442">
              <w:rPr>
                <w:rFonts w:ascii="Arial Narrow" w:hAnsi="Arial Narrow" w:cs="Times New Roman"/>
                <w:snapToGrid/>
                <w:sz w:val="20"/>
              </w:rPr>
              <w:br/>
              <w:t>1.599 (0.954, 2.681)</w:t>
            </w:r>
          </w:p>
        </w:tc>
        <w:tc>
          <w:tcPr>
            <w:tcW w:w="1107" w:type="pct"/>
            <w:tcMar>
              <w:left w:w="28" w:type="dxa"/>
              <w:right w:w="28" w:type="dxa"/>
            </w:tcMar>
            <w:vAlign w:val="center"/>
          </w:tcPr>
          <w:p w:rsidR="00C57969" w:rsidRPr="00866442" w:rsidRDefault="00C57969" w:rsidP="007A061E">
            <w:pPr>
              <w:keepNext/>
              <w:widowControl/>
              <w:jc w:val="left"/>
              <w:rPr>
                <w:rFonts w:ascii="Arial Narrow" w:hAnsi="Arial Narrow" w:cs="Times New Roman"/>
                <w:snapToGrid/>
                <w:sz w:val="20"/>
              </w:rPr>
            </w:pPr>
            <w:r w:rsidRPr="00866442">
              <w:rPr>
                <w:rFonts w:ascii="Arial Narrow" w:hAnsi="Arial Narrow" w:cs="Times New Roman"/>
                <w:snapToGrid/>
                <w:sz w:val="20"/>
              </w:rPr>
              <w:t>0.012 (-0.001, 0.025)</w:t>
            </w:r>
          </w:p>
        </w:tc>
      </w:tr>
      <w:tr w:rsidR="00C57969" w:rsidRPr="009E1F17" w:rsidTr="007A061E">
        <w:tc>
          <w:tcPr>
            <w:tcW w:w="796" w:type="pct"/>
            <w:tcMar>
              <w:left w:w="28" w:type="dxa"/>
              <w:right w:w="28" w:type="dxa"/>
            </w:tcMar>
            <w:vAlign w:val="center"/>
          </w:tcPr>
          <w:p w:rsidR="00C57969" w:rsidRPr="00866442" w:rsidRDefault="00C57969" w:rsidP="007A061E">
            <w:pPr>
              <w:widowControl/>
              <w:jc w:val="left"/>
              <w:rPr>
                <w:rFonts w:ascii="Arial Narrow" w:hAnsi="Arial Narrow" w:cs="Times New Roman"/>
                <w:snapToGrid/>
                <w:sz w:val="20"/>
              </w:rPr>
            </w:pPr>
            <w:r w:rsidRPr="00866442">
              <w:rPr>
                <w:rFonts w:ascii="Arial Narrow" w:hAnsi="Arial Narrow" w:cs="Times New Roman"/>
                <w:snapToGrid/>
                <w:sz w:val="20"/>
              </w:rPr>
              <w:t>Einstein EXT</w:t>
            </w:r>
          </w:p>
        </w:tc>
        <w:tc>
          <w:tcPr>
            <w:tcW w:w="1014" w:type="pct"/>
            <w:tcMar>
              <w:left w:w="28" w:type="dxa"/>
              <w:right w:w="28" w:type="dxa"/>
            </w:tcMar>
            <w:vAlign w:val="center"/>
          </w:tcPr>
          <w:p w:rsidR="00C57969" w:rsidRPr="00866442" w:rsidRDefault="00C57969" w:rsidP="007A061E">
            <w:pPr>
              <w:widowControl/>
              <w:jc w:val="left"/>
              <w:rPr>
                <w:rFonts w:ascii="Arial Narrow" w:hAnsi="Arial Narrow" w:cs="Times New Roman"/>
                <w:snapToGrid/>
                <w:sz w:val="20"/>
              </w:rPr>
            </w:pPr>
            <w:r w:rsidRPr="00866442">
              <w:rPr>
                <w:rFonts w:ascii="Arial Narrow" w:hAnsi="Arial Narrow" w:cs="Times New Roman"/>
                <w:snapToGrid/>
                <w:sz w:val="20"/>
              </w:rPr>
              <w:t>R20 32/598 (5.4)</w:t>
            </w:r>
          </w:p>
        </w:tc>
        <w:tc>
          <w:tcPr>
            <w:tcW w:w="1015" w:type="pct"/>
            <w:tcMar>
              <w:left w:w="28" w:type="dxa"/>
              <w:right w:w="28" w:type="dxa"/>
            </w:tcMar>
            <w:vAlign w:val="center"/>
          </w:tcPr>
          <w:p w:rsidR="00C57969" w:rsidRPr="00866442" w:rsidRDefault="00C57969" w:rsidP="007A061E">
            <w:pPr>
              <w:widowControl/>
              <w:jc w:val="left"/>
              <w:rPr>
                <w:rFonts w:ascii="Arial Narrow" w:hAnsi="Arial Narrow" w:cs="Times New Roman"/>
                <w:snapToGrid/>
                <w:sz w:val="20"/>
              </w:rPr>
            </w:pPr>
            <w:r w:rsidRPr="00866442">
              <w:rPr>
                <w:rFonts w:ascii="Arial Narrow" w:hAnsi="Arial Narrow" w:cs="Times New Roman"/>
                <w:snapToGrid/>
                <w:sz w:val="20"/>
              </w:rPr>
              <w:t>PBO 7/590 (1.2)</w:t>
            </w:r>
          </w:p>
        </w:tc>
        <w:tc>
          <w:tcPr>
            <w:tcW w:w="1068" w:type="pct"/>
            <w:tcMar>
              <w:left w:w="28" w:type="dxa"/>
              <w:right w:w="28" w:type="dxa"/>
            </w:tcMar>
            <w:vAlign w:val="center"/>
          </w:tcPr>
          <w:p w:rsidR="00C57969" w:rsidRPr="00866442" w:rsidRDefault="00C57969" w:rsidP="007A061E">
            <w:pPr>
              <w:widowControl/>
              <w:jc w:val="left"/>
              <w:rPr>
                <w:rFonts w:ascii="Arial Narrow" w:hAnsi="Arial Narrow" w:cs="Times New Roman"/>
                <w:b/>
                <w:snapToGrid/>
                <w:sz w:val="20"/>
              </w:rPr>
            </w:pPr>
            <w:r w:rsidRPr="00866442">
              <w:rPr>
                <w:rFonts w:ascii="Arial Narrow" w:hAnsi="Arial Narrow" w:cs="Times New Roman"/>
                <w:b/>
                <w:snapToGrid/>
                <w:sz w:val="20"/>
              </w:rPr>
              <w:t>5.19 (2.3, 11.7)</w:t>
            </w:r>
            <w:r w:rsidRPr="00866442">
              <w:rPr>
                <w:rFonts w:ascii="Arial Narrow" w:hAnsi="Arial Narrow" w:cs="Times New Roman"/>
                <w:b/>
                <w:snapToGrid/>
                <w:sz w:val="20"/>
                <w:vertAlign w:val="superscript"/>
              </w:rPr>
              <w:t xml:space="preserve"> 1</w:t>
            </w:r>
            <w:r w:rsidRPr="00866442">
              <w:rPr>
                <w:rFonts w:ascii="Arial Narrow" w:hAnsi="Arial Narrow" w:cs="Times New Roman"/>
                <w:b/>
                <w:snapToGrid/>
                <w:sz w:val="20"/>
              </w:rPr>
              <w:br/>
              <w:t>4.51 (2.007, 10.137)</w:t>
            </w:r>
          </w:p>
        </w:tc>
        <w:tc>
          <w:tcPr>
            <w:tcW w:w="1107" w:type="pct"/>
            <w:tcMar>
              <w:left w:w="28" w:type="dxa"/>
              <w:right w:w="28" w:type="dxa"/>
            </w:tcMar>
            <w:vAlign w:val="center"/>
          </w:tcPr>
          <w:p w:rsidR="00C57969" w:rsidRPr="00866442" w:rsidRDefault="00C57969" w:rsidP="007A061E">
            <w:pPr>
              <w:widowControl/>
              <w:jc w:val="left"/>
              <w:rPr>
                <w:rFonts w:ascii="Arial Narrow" w:hAnsi="Arial Narrow" w:cs="Times New Roman"/>
                <w:b/>
                <w:snapToGrid/>
                <w:sz w:val="20"/>
              </w:rPr>
            </w:pPr>
            <w:r w:rsidRPr="00866442">
              <w:rPr>
                <w:rFonts w:ascii="Arial Narrow" w:hAnsi="Arial Narrow" w:cs="Times New Roman"/>
                <w:b/>
                <w:snapToGrid/>
                <w:sz w:val="20"/>
              </w:rPr>
              <w:t>0.042 (0.022, 0.062)</w:t>
            </w:r>
          </w:p>
        </w:tc>
      </w:tr>
      <w:tr w:rsidR="00C57969" w:rsidRPr="009E1F17" w:rsidTr="007A061E">
        <w:tc>
          <w:tcPr>
            <w:tcW w:w="796" w:type="pct"/>
            <w:vMerge w:val="restart"/>
            <w:tcMar>
              <w:left w:w="28" w:type="dxa"/>
              <w:right w:w="28" w:type="dxa"/>
            </w:tcMar>
            <w:vAlign w:val="center"/>
          </w:tcPr>
          <w:p w:rsidR="00C57969" w:rsidRPr="00866442" w:rsidRDefault="00C57969" w:rsidP="007A061E">
            <w:pPr>
              <w:widowControl/>
              <w:jc w:val="left"/>
              <w:rPr>
                <w:rFonts w:ascii="Arial Narrow" w:hAnsi="Arial Narrow" w:cs="Times New Roman"/>
                <w:snapToGrid/>
                <w:sz w:val="20"/>
              </w:rPr>
            </w:pPr>
            <w:r w:rsidRPr="00866442">
              <w:rPr>
                <w:rFonts w:ascii="Arial Narrow" w:hAnsi="Arial Narrow" w:cs="Times New Roman"/>
                <w:snapToGrid/>
                <w:sz w:val="20"/>
              </w:rPr>
              <w:t>Amplify EXT</w:t>
            </w:r>
          </w:p>
        </w:tc>
        <w:tc>
          <w:tcPr>
            <w:tcW w:w="1014" w:type="pct"/>
            <w:vMerge w:val="restart"/>
            <w:tcMar>
              <w:left w:w="28" w:type="dxa"/>
              <w:right w:w="28" w:type="dxa"/>
            </w:tcMar>
            <w:vAlign w:val="center"/>
          </w:tcPr>
          <w:p w:rsidR="00C57969" w:rsidRPr="00866442" w:rsidRDefault="00C57969" w:rsidP="007A061E">
            <w:pPr>
              <w:widowControl/>
              <w:jc w:val="left"/>
              <w:rPr>
                <w:rFonts w:ascii="Arial Narrow" w:hAnsi="Arial Narrow" w:cs="Times New Roman"/>
                <w:snapToGrid/>
                <w:sz w:val="20"/>
              </w:rPr>
            </w:pPr>
            <w:r w:rsidRPr="00866442">
              <w:rPr>
                <w:rFonts w:ascii="Arial Narrow" w:hAnsi="Arial Narrow" w:cs="Times New Roman"/>
                <w:snapToGrid/>
                <w:sz w:val="20"/>
              </w:rPr>
              <w:t>A2.5 27/840 (3.2)</w:t>
            </w:r>
          </w:p>
        </w:tc>
        <w:tc>
          <w:tcPr>
            <w:tcW w:w="1015" w:type="pct"/>
            <w:tcMar>
              <w:left w:w="28" w:type="dxa"/>
              <w:right w:w="28" w:type="dxa"/>
            </w:tcMar>
            <w:vAlign w:val="center"/>
          </w:tcPr>
          <w:p w:rsidR="00C57969" w:rsidRPr="00866442" w:rsidRDefault="00C57969" w:rsidP="007A061E">
            <w:pPr>
              <w:widowControl/>
              <w:jc w:val="left"/>
              <w:rPr>
                <w:rFonts w:ascii="Arial Narrow" w:hAnsi="Arial Narrow" w:cs="Times New Roman"/>
                <w:snapToGrid/>
                <w:sz w:val="20"/>
              </w:rPr>
            </w:pPr>
            <w:r w:rsidRPr="00866442">
              <w:rPr>
                <w:rFonts w:ascii="Arial Narrow" w:hAnsi="Arial Narrow" w:cs="Times New Roman"/>
                <w:snapToGrid/>
                <w:sz w:val="20"/>
              </w:rPr>
              <w:t>A5 35/813 (4.3)</w:t>
            </w:r>
          </w:p>
        </w:tc>
        <w:tc>
          <w:tcPr>
            <w:tcW w:w="1068" w:type="pct"/>
            <w:tcMar>
              <w:left w:w="28" w:type="dxa"/>
              <w:right w:w="28" w:type="dxa"/>
            </w:tcMar>
            <w:vAlign w:val="center"/>
          </w:tcPr>
          <w:p w:rsidR="00C57969" w:rsidRPr="00866442" w:rsidRDefault="00C57969" w:rsidP="007A061E">
            <w:pPr>
              <w:widowControl/>
              <w:jc w:val="left"/>
              <w:rPr>
                <w:rFonts w:ascii="Arial Narrow" w:hAnsi="Arial Narrow" w:cs="Times New Roman"/>
                <w:snapToGrid/>
                <w:sz w:val="20"/>
              </w:rPr>
            </w:pPr>
            <w:r w:rsidRPr="00866442">
              <w:rPr>
                <w:rFonts w:ascii="Arial Narrow" w:hAnsi="Arial Narrow" w:cs="Times New Roman"/>
                <w:snapToGrid/>
                <w:sz w:val="20"/>
              </w:rPr>
              <w:t>0.747 (0.456, 1.222)</w:t>
            </w:r>
          </w:p>
        </w:tc>
        <w:tc>
          <w:tcPr>
            <w:tcW w:w="1107" w:type="pct"/>
            <w:tcMar>
              <w:left w:w="28" w:type="dxa"/>
              <w:right w:w="28" w:type="dxa"/>
            </w:tcMar>
            <w:vAlign w:val="center"/>
          </w:tcPr>
          <w:p w:rsidR="00C57969" w:rsidRPr="00866442" w:rsidRDefault="00C57969" w:rsidP="007A061E">
            <w:pPr>
              <w:widowControl/>
              <w:jc w:val="left"/>
              <w:rPr>
                <w:rFonts w:ascii="Arial Narrow" w:hAnsi="Arial Narrow" w:cs="Times New Roman"/>
                <w:snapToGrid/>
                <w:sz w:val="20"/>
              </w:rPr>
            </w:pPr>
            <w:r w:rsidRPr="00866442">
              <w:rPr>
                <w:rFonts w:ascii="Arial Narrow" w:hAnsi="Arial Narrow" w:cs="Times New Roman"/>
                <w:snapToGrid/>
                <w:sz w:val="20"/>
              </w:rPr>
              <w:t>-0.011 (-0.029, 0.007)</w:t>
            </w:r>
          </w:p>
        </w:tc>
      </w:tr>
      <w:tr w:rsidR="00C57969" w:rsidRPr="009E1F17" w:rsidTr="007A061E">
        <w:tc>
          <w:tcPr>
            <w:tcW w:w="796" w:type="pct"/>
            <w:vMerge/>
            <w:tcMar>
              <w:left w:w="28" w:type="dxa"/>
              <w:right w:w="28" w:type="dxa"/>
            </w:tcMar>
            <w:vAlign w:val="center"/>
          </w:tcPr>
          <w:p w:rsidR="00C57969" w:rsidRPr="00866442" w:rsidRDefault="00C57969" w:rsidP="007A061E">
            <w:pPr>
              <w:widowControl/>
              <w:jc w:val="left"/>
              <w:rPr>
                <w:rFonts w:ascii="Arial Narrow" w:hAnsi="Arial Narrow" w:cs="Times New Roman"/>
                <w:snapToGrid/>
                <w:sz w:val="20"/>
              </w:rPr>
            </w:pPr>
          </w:p>
        </w:tc>
        <w:tc>
          <w:tcPr>
            <w:tcW w:w="1014" w:type="pct"/>
            <w:vMerge/>
            <w:tcMar>
              <w:left w:w="28" w:type="dxa"/>
              <w:right w:w="28" w:type="dxa"/>
            </w:tcMar>
            <w:vAlign w:val="center"/>
          </w:tcPr>
          <w:p w:rsidR="00C57969" w:rsidRPr="00866442" w:rsidRDefault="00C57969" w:rsidP="007A061E">
            <w:pPr>
              <w:widowControl/>
              <w:jc w:val="left"/>
              <w:rPr>
                <w:rFonts w:ascii="Arial Narrow" w:hAnsi="Arial Narrow" w:cs="Times New Roman"/>
                <w:snapToGrid/>
                <w:sz w:val="20"/>
              </w:rPr>
            </w:pPr>
          </w:p>
        </w:tc>
        <w:tc>
          <w:tcPr>
            <w:tcW w:w="1015" w:type="pct"/>
            <w:tcMar>
              <w:left w:w="28" w:type="dxa"/>
              <w:right w:w="28" w:type="dxa"/>
            </w:tcMar>
            <w:vAlign w:val="center"/>
          </w:tcPr>
          <w:p w:rsidR="00C57969" w:rsidRPr="00866442" w:rsidRDefault="00C57969" w:rsidP="007A061E">
            <w:pPr>
              <w:widowControl/>
              <w:jc w:val="left"/>
              <w:rPr>
                <w:rFonts w:ascii="Arial Narrow" w:hAnsi="Arial Narrow" w:cs="Times New Roman"/>
                <w:snapToGrid/>
                <w:sz w:val="20"/>
              </w:rPr>
            </w:pPr>
            <w:r w:rsidRPr="00866442">
              <w:rPr>
                <w:rFonts w:ascii="Arial Narrow" w:hAnsi="Arial Narrow" w:cs="Times New Roman"/>
                <w:snapToGrid/>
                <w:sz w:val="20"/>
              </w:rPr>
              <w:t>PBO 22/829 (2.7)</w:t>
            </w:r>
          </w:p>
        </w:tc>
        <w:tc>
          <w:tcPr>
            <w:tcW w:w="1068" w:type="pct"/>
            <w:tcMar>
              <w:left w:w="28" w:type="dxa"/>
              <w:right w:w="28" w:type="dxa"/>
            </w:tcMar>
            <w:vAlign w:val="center"/>
          </w:tcPr>
          <w:p w:rsidR="00C57969" w:rsidRPr="00866442" w:rsidRDefault="00C57969" w:rsidP="007A061E">
            <w:pPr>
              <w:widowControl/>
              <w:jc w:val="left"/>
              <w:rPr>
                <w:rFonts w:ascii="Arial Narrow" w:hAnsi="Arial Narrow" w:cs="Times New Roman"/>
                <w:snapToGrid/>
                <w:sz w:val="20"/>
              </w:rPr>
            </w:pPr>
            <w:r w:rsidRPr="00866442">
              <w:rPr>
                <w:rFonts w:ascii="Arial Narrow" w:hAnsi="Arial Narrow" w:cs="Times New Roman"/>
                <w:snapToGrid/>
                <w:sz w:val="20"/>
              </w:rPr>
              <w:t>1.211 (0.696, 2.109)</w:t>
            </w:r>
          </w:p>
        </w:tc>
        <w:tc>
          <w:tcPr>
            <w:tcW w:w="1107" w:type="pct"/>
            <w:tcMar>
              <w:left w:w="28" w:type="dxa"/>
              <w:right w:w="28" w:type="dxa"/>
            </w:tcMar>
            <w:vAlign w:val="center"/>
          </w:tcPr>
          <w:p w:rsidR="00C57969" w:rsidRPr="00866442" w:rsidRDefault="00C57969" w:rsidP="007A061E">
            <w:pPr>
              <w:widowControl/>
              <w:jc w:val="left"/>
              <w:rPr>
                <w:rFonts w:ascii="Arial Narrow" w:hAnsi="Arial Narrow" w:cs="Times New Roman"/>
                <w:snapToGrid/>
                <w:sz w:val="20"/>
              </w:rPr>
            </w:pPr>
            <w:r w:rsidRPr="00866442">
              <w:rPr>
                <w:rFonts w:ascii="Arial Narrow" w:hAnsi="Arial Narrow" w:cs="Times New Roman"/>
                <w:snapToGrid/>
                <w:sz w:val="20"/>
              </w:rPr>
              <w:t>0.006 (-0.011, 0.022)</w:t>
            </w:r>
          </w:p>
        </w:tc>
      </w:tr>
      <w:tr w:rsidR="00C57969" w:rsidRPr="009E1F17" w:rsidTr="007A061E">
        <w:tc>
          <w:tcPr>
            <w:tcW w:w="796" w:type="pct"/>
            <w:vMerge/>
            <w:tcMar>
              <w:left w:w="28" w:type="dxa"/>
              <w:right w:w="28" w:type="dxa"/>
            </w:tcMar>
            <w:vAlign w:val="center"/>
          </w:tcPr>
          <w:p w:rsidR="00C57969" w:rsidRPr="00866442" w:rsidRDefault="00C57969" w:rsidP="007A061E">
            <w:pPr>
              <w:widowControl/>
              <w:jc w:val="left"/>
              <w:rPr>
                <w:rFonts w:ascii="Arial Narrow" w:hAnsi="Arial Narrow" w:cs="Times New Roman"/>
                <w:snapToGrid/>
                <w:sz w:val="20"/>
              </w:rPr>
            </w:pPr>
          </w:p>
        </w:tc>
        <w:tc>
          <w:tcPr>
            <w:tcW w:w="1014" w:type="pct"/>
            <w:tcMar>
              <w:left w:w="28" w:type="dxa"/>
              <w:right w:w="28" w:type="dxa"/>
            </w:tcMar>
            <w:vAlign w:val="center"/>
          </w:tcPr>
          <w:p w:rsidR="00C57969" w:rsidRPr="00866442" w:rsidRDefault="00C57969" w:rsidP="007A061E">
            <w:pPr>
              <w:widowControl/>
              <w:jc w:val="left"/>
              <w:rPr>
                <w:rFonts w:ascii="Arial Narrow" w:hAnsi="Arial Narrow" w:cs="Times New Roman"/>
                <w:snapToGrid/>
                <w:sz w:val="20"/>
              </w:rPr>
            </w:pPr>
            <w:r w:rsidRPr="00866442">
              <w:rPr>
                <w:rFonts w:ascii="Arial Narrow" w:hAnsi="Arial Narrow" w:cs="Times New Roman"/>
                <w:snapToGrid/>
                <w:sz w:val="20"/>
              </w:rPr>
              <w:t>A5 35/813 (4.3)</w:t>
            </w:r>
          </w:p>
        </w:tc>
        <w:tc>
          <w:tcPr>
            <w:tcW w:w="1015" w:type="pct"/>
            <w:tcMar>
              <w:left w:w="28" w:type="dxa"/>
              <w:right w:w="28" w:type="dxa"/>
            </w:tcMar>
            <w:vAlign w:val="center"/>
          </w:tcPr>
          <w:p w:rsidR="00C57969" w:rsidRPr="00866442" w:rsidRDefault="00C57969" w:rsidP="007A061E">
            <w:pPr>
              <w:widowControl/>
              <w:jc w:val="left"/>
              <w:rPr>
                <w:rFonts w:ascii="Arial Narrow" w:hAnsi="Arial Narrow" w:cs="Times New Roman"/>
                <w:snapToGrid/>
                <w:sz w:val="20"/>
              </w:rPr>
            </w:pPr>
            <w:r w:rsidRPr="00866442">
              <w:rPr>
                <w:rFonts w:ascii="Arial Narrow" w:hAnsi="Arial Narrow" w:cs="Times New Roman"/>
                <w:snapToGrid/>
                <w:sz w:val="20"/>
              </w:rPr>
              <w:t>PBO 22/829 (2.7)</w:t>
            </w:r>
          </w:p>
        </w:tc>
        <w:tc>
          <w:tcPr>
            <w:tcW w:w="1068" w:type="pct"/>
            <w:tcMar>
              <w:left w:w="28" w:type="dxa"/>
              <w:right w:w="28" w:type="dxa"/>
            </w:tcMar>
            <w:vAlign w:val="center"/>
          </w:tcPr>
          <w:p w:rsidR="00C57969" w:rsidRPr="00866442" w:rsidRDefault="00C57969" w:rsidP="007A061E">
            <w:pPr>
              <w:widowControl/>
              <w:jc w:val="left"/>
              <w:rPr>
                <w:rFonts w:ascii="Arial Narrow" w:hAnsi="Arial Narrow" w:cs="Times New Roman"/>
                <w:snapToGrid/>
                <w:sz w:val="20"/>
              </w:rPr>
            </w:pPr>
            <w:r w:rsidRPr="00866442">
              <w:rPr>
                <w:rFonts w:ascii="Arial Narrow" w:hAnsi="Arial Narrow" w:cs="Times New Roman"/>
                <w:snapToGrid/>
                <w:sz w:val="20"/>
              </w:rPr>
              <w:t>1.622 (0.96, 2.741)</w:t>
            </w:r>
          </w:p>
        </w:tc>
        <w:tc>
          <w:tcPr>
            <w:tcW w:w="1107" w:type="pct"/>
            <w:tcMar>
              <w:left w:w="28" w:type="dxa"/>
              <w:right w:w="28" w:type="dxa"/>
            </w:tcMar>
            <w:vAlign w:val="center"/>
          </w:tcPr>
          <w:p w:rsidR="00C57969" w:rsidRPr="00866442" w:rsidRDefault="00C57969" w:rsidP="007A061E">
            <w:pPr>
              <w:widowControl/>
              <w:jc w:val="left"/>
              <w:rPr>
                <w:rFonts w:ascii="Arial Narrow" w:hAnsi="Arial Narrow" w:cs="Times New Roman"/>
                <w:snapToGrid/>
                <w:sz w:val="20"/>
              </w:rPr>
            </w:pPr>
            <w:r w:rsidRPr="00866442">
              <w:rPr>
                <w:rFonts w:ascii="Arial Narrow" w:hAnsi="Arial Narrow" w:cs="Times New Roman"/>
                <w:snapToGrid/>
                <w:sz w:val="20"/>
              </w:rPr>
              <w:t>0.017 (-0.001, 0.034)</w:t>
            </w:r>
          </w:p>
        </w:tc>
      </w:tr>
      <w:tr w:rsidR="00C57969" w:rsidRPr="009E1F17" w:rsidTr="007A061E">
        <w:tc>
          <w:tcPr>
            <w:tcW w:w="796" w:type="pct"/>
            <w:tcMar>
              <w:left w:w="28" w:type="dxa"/>
              <w:right w:w="28" w:type="dxa"/>
            </w:tcMar>
            <w:vAlign w:val="center"/>
          </w:tcPr>
          <w:p w:rsidR="00C57969" w:rsidRPr="00866442" w:rsidRDefault="00C57969" w:rsidP="007A061E">
            <w:pPr>
              <w:widowControl/>
              <w:jc w:val="left"/>
              <w:rPr>
                <w:rFonts w:ascii="Arial Narrow" w:hAnsi="Arial Narrow" w:cs="Times New Roman"/>
                <w:snapToGrid/>
                <w:sz w:val="20"/>
              </w:rPr>
            </w:pPr>
            <w:r w:rsidRPr="00866442">
              <w:rPr>
                <w:rFonts w:ascii="Arial Narrow" w:hAnsi="Arial Narrow" w:cs="Times New Roman"/>
                <w:snapToGrid/>
                <w:sz w:val="20"/>
              </w:rPr>
              <w:t xml:space="preserve">ASPIRE </w:t>
            </w:r>
          </w:p>
        </w:tc>
        <w:tc>
          <w:tcPr>
            <w:tcW w:w="1014" w:type="pct"/>
            <w:tcMar>
              <w:left w:w="28" w:type="dxa"/>
              <w:right w:w="28" w:type="dxa"/>
            </w:tcMar>
            <w:vAlign w:val="center"/>
          </w:tcPr>
          <w:p w:rsidR="00C57969" w:rsidRPr="00866442" w:rsidRDefault="00C57969" w:rsidP="007A061E">
            <w:pPr>
              <w:widowControl/>
              <w:jc w:val="left"/>
              <w:rPr>
                <w:rFonts w:ascii="Arial Narrow" w:hAnsi="Arial Narrow" w:cs="Times New Roman"/>
                <w:snapToGrid/>
                <w:sz w:val="20"/>
              </w:rPr>
            </w:pPr>
            <w:r w:rsidRPr="00866442">
              <w:rPr>
                <w:rFonts w:ascii="Arial Narrow" w:hAnsi="Arial Narrow" w:cs="Times New Roman"/>
                <w:snapToGrid/>
                <w:sz w:val="20"/>
              </w:rPr>
              <w:t>ASA 6/411 (1.5)</w:t>
            </w:r>
          </w:p>
        </w:tc>
        <w:tc>
          <w:tcPr>
            <w:tcW w:w="1015" w:type="pct"/>
            <w:tcMar>
              <w:left w:w="28" w:type="dxa"/>
              <w:right w:w="28" w:type="dxa"/>
            </w:tcMar>
            <w:vAlign w:val="center"/>
          </w:tcPr>
          <w:p w:rsidR="00C57969" w:rsidRPr="00866442" w:rsidRDefault="00C57969" w:rsidP="007A061E">
            <w:pPr>
              <w:widowControl/>
              <w:jc w:val="left"/>
              <w:rPr>
                <w:rFonts w:ascii="Arial Narrow" w:hAnsi="Arial Narrow" w:cs="Times New Roman"/>
                <w:snapToGrid/>
                <w:sz w:val="20"/>
              </w:rPr>
            </w:pPr>
            <w:r w:rsidRPr="00866442">
              <w:rPr>
                <w:rFonts w:ascii="Arial Narrow" w:hAnsi="Arial Narrow" w:cs="Times New Roman"/>
                <w:snapToGrid/>
                <w:sz w:val="20"/>
              </w:rPr>
              <w:t>PBO 2/411 (0.5)</w:t>
            </w:r>
          </w:p>
        </w:tc>
        <w:tc>
          <w:tcPr>
            <w:tcW w:w="1068" w:type="pct"/>
            <w:tcMar>
              <w:left w:w="28" w:type="dxa"/>
              <w:right w:w="28" w:type="dxa"/>
            </w:tcMar>
            <w:vAlign w:val="center"/>
          </w:tcPr>
          <w:p w:rsidR="00C57969" w:rsidRPr="00866442" w:rsidRDefault="00C57969" w:rsidP="007A061E">
            <w:pPr>
              <w:widowControl/>
              <w:jc w:val="left"/>
              <w:rPr>
                <w:rFonts w:ascii="Arial Narrow" w:hAnsi="Arial Narrow" w:cs="Times New Roman"/>
                <w:snapToGrid/>
                <w:sz w:val="20"/>
              </w:rPr>
            </w:pPr>
            <w:r w:rsidRPr="00866442">
              <w:rPr>
                <w:rFonts w:ascii="Arial Narrow" w:hAnsi="Arial Narrow" w:cs="Times New Roman"/>
                <w:snapToGrid/>
                <w:sz w:val="20"/>
              </w:rPr>
              <w:t>3 (0.609, 14.777)</w:t>
            </w:r>
          </w:p>
        </w:tc>
        <w:tc>
          <w:tcPr>
            <w:tcW w:w="1107" w:type="pct"/>
            <w:tcMar>
              <w:left w:w="28" w:type="dxa"/>
              <w:right w:w="28" w:type="dxa"/>
            </w:tcMar>
            <w:vAlign w:val="center"/>
          </w:tcPr>
          <w:p w:rsidR="00C57969" w:rsidRPr="00866442" w:rsidRDefault="00C57969" w:rsidP="007A061E">
            <w:pPr>
              <w:widowControl/>
              <w:jc w:val="left"/>
              <w:rPr>
                <w:rFonts w:ascii="Arial Narrow" w:hAnsi="Arial Narrow" w:cs="Times New Roman"/>
                <w:snapToGrid/>
                <w:sz w:val="20"/>
              </w:rPr>
            </w:pPr>
            <w:r w:rsidRPr="00866442">
              <w:rPr>
                <w:rFonts w:ascii="Arial Narrow" w:hAnsi="Arial Narrow" w:cs="Times New Roman"/>
                <w:snapToGrid/>
                <w:sz w:val="20"/>
              </w:rPr>
              <w:t>0.01 (-0.004, 0.023)</w:t>
            </w:r>
          </w:p>
        </w:tc>
      </w:tr>
      <w:tr w:rsidR="00C57969" w:rsidRPr="009E1F17" w:rsidTr="007A061E">
        <w:tc>
          <w:tcPr>
            <w:tcW w:w="796" w:type="pct"/>
            <w:tcMar>
              <w:left w:w="28" w:type="dxa"/>
              <w:right w:w="28" w:type="dxa"/>
            </w:tcMar>
            <w:vAlign w:val="center"/>
          </w:tcPr>
          <w:p w:rsidR="00C57969" w:rsidRPr="00866442" w:rsidRDefault="00C57969" w:rsidP="007A061E">
            <w:pPr>
              <w:widowControl/>
              <w:jc w:val="left"/>
              <w:rPr>
                <w:rFonts w:ascii="Arial Narrow" w:hAnsi="Arial Narrow" w:cs="Times New Roman"/>
                <w:snapToGrid/>
                <w:sz w:val="20"/>
              </w:rPr>
            </w:pPr>
            <w:r w:rsidRPr="00866442">
              <w:rPr>
                <w:rFonts w:ascii="Arial Narrow" w:hAnsi="Arial Narrow" w:cs="Times New Roman"/>
                <w:snapToGrid/>
                <w:sz w:val="20"/>
              </w:rPr>
              <w:t>WARFASA</w:t>
            </w:r>
          </w:p>
        </w:tc>
        <w:tc>
          <w:tcPr>
            <w:tcW w:w="1014" w:type="pct"/>
            <w:tcMar>
              <w:left w:w="28" w:type="dxa"/>
              <w:right w:w="28" w:type="dxa"/>
            </w:tcMar>
            <w:vAlign w:val="center"/>
          </w:tcPr>
          <w:p w:rsidR="00C57969" w:rsidRPr="00866442" w:rsidRDefault="00C57969" w:rsidP="007A061E">
            <w:pPr>
              <w:widowControl/>
              <w:jc w:val="left"/>
              <w:rPr>
                <w:rFonts w:ascii="Arial Narrow" w:hAnsi="Arial Narrow" w:cs="Times New Roman"/>
                <w:snapToGrid/>
                <w:sz w:val="20"/>
              </w:rPr>
            </w:pPr>
            <w:r w:rsidRPr="00866442">
              <w:rPr>
                <w:rFonts w:ascii="Arial Narrow" w:hAnsi="Arial Narrow" w:cs="Times New Roman"/>
                <w:snapToGrid/>
                <w:sz w:val="20"/>
              </w:rPr>
              <w:t>ASA 3/205 (1.5)</w:t>
            </w:r>
          </w:p>
        </w:tc>
        <w:tc>
          <w:tcPr>
            <w:tcW w:w="1015" w:type="pct"/>
            <w:tcMar>
              <w:left w:w="28" w:type="dxa"/>
              <w:right w:w="28" w:type="dxa"/>
            </w:tcMar>
            <w:vAlign w:val="center"/>
          </w:tcPr>
          <w:p w:rsidR="00C57969" w:rsidRPr="00866442" w:rsidRDefault="00C57969" w:rsidP="007A061E">
            <w:pPr>
              <w:widowControl/>
              <w:jc w:val="left"/>
              <w:rPr>
                <w:rFonts w:ascii="Arial Narrow" w:hAnsi="Arial Narrow" w:cs="Times New Roman"/>
                <w:snapToGrid/>
                <w:sz w:val="20"/>
              </w:rPr>
            </w:pPr>
            <w:r w:rsidRPr="00866442">
              <w:rPr>
                <w:rFonts w:ascii="Arial Narrow" w:hAnsi="Arial Narrow" w:cs="Times New Roman"/>
                <w:snapToGrid/>
                <w:sz w:val="20"/>
              </w:rPr>
              <w:t>PBO 3/197 (1.5)</w:t>
            </w:r>
          </w:p>
        </w:tc>
        <w:tc>
          <w:tcPr>
            <w:tcW w:w="1068" w:type="pct"/>
            <w:tcMar>
              <w:left w:w="28" w:type="dxa"/>
              <w:right w:w="28" w:type="dxa"/>
            </w:tcMar>
            <w:vAlign w:val="center"/>
          </w:tcPr>
          <w:p w:rsidR="00C57969" w:rsidRPr="00866442" w:rsidRDefault="00C57969" w:rsidP="007A061E">
            <w:pPr>
              <w:widowControl/>
              <w:jc w:val="left"/>
              <w:rPr>
                <w:rFonts w:ascii="Arial Narrow" w:hAnsi="Arial Narrow" w:cs="Times New Roman"/>
                <w:snapToGrid/>
                <w:sz w:val="20"/>
              </w:rPr>
            </w:pPr>
            <w:r w:rsidRPr="00866442">
              <w:rPr>
                <w:rFonts w:ascii="Arial Narrow" w:hAnsi="Arial Narrow" w:cs="Times New Roman"/>
                <w:snapToGrid/>
                <w:sz w:val="20"/>
              </w:rPr>
              <w:t>0.961 (0.196, 4.704)</w:t>
            </w:r>
          </w:p>
        </w:tc>
        <w:tc>
          <w:tcPr>
            <w:tcW w:w="1107" w:type="pct"/>
            <w:tcMar>
              <w:left w:w="28" w:type="dxa"/>
              <w:right w:w="28" w:type="dxa"/>
            </w:tcMar>
            <w:vAlign w:val="center"/>
          </w:tcPr>
          <w:p w:rsidR="00C57969" w:rsidRPr="00866442" w:rsidRDefault="00C57969" w:rsidP="007A061E">
            <w:pPr>
              <w:widowControl/>
              <w:jc w:val="left"/>
              <w:rPr>
                <w:rFonts w:ascii="Arial Narrow" w:hAnsi="Arial Narrow" w:cs="Times New Roman"/>
                <w:snapToGrid/>
                <w:sz w:val="20"/>
              </w:rPr>
            </w:pPr>
            <w:r w:rsidRPr="00866442">
              <w:rPr>
                <w:rFonts w:ascii="Arial Narrow" w:hAnsi="Arial Narrow" w:cs="Times New Roman"/>
                <w:snapToGrid/>
                <w:sz w:val="20"/>
              </w:rPr>
              <w:t>-0.001 (-0.024, 0.023)</w:t>
            </w:r>
          </w:p>
        </w:tc>
      </w:tr>
    </w:tbl>
    <w:p w:rsidR="00C57969" w:rsidRPr="009E1F17" w:rsidRDefault="00C57969" w:rsidP="00C57969">
      <w:pPr>
        <w:rPr>
          <w:rFonts w:ascii="Arial Narrow" w:hAnsi="Arial Narrow"/>
          <w:sz w:val="18"/>
        </w:rPr>
      </w:pPr>
      <w:r w:rsidRPr="009E1F17">
        <w:rPr>
          <w:rFonts w:ascii="Arial Narrow" w:hAnsi="Arial Narrow"/>
          <w:sz w:val="18"/>
        </w:rPr>
        <w:t xml:space="preserve">Source: Table 2.19, p51 of the submission; Table 4 p1220 </w:t>
      </w:r>
      <w:proofErr w:type="spellStart"/>
      <w:r w:rsidRPr="009E1F17">
        <w:rPr>
          <w:rFonts w:ascii="Arial Narrow" w:hAnsi="Arial Narrow"/>
          <w:sz w:val="18"/>
        </w:rPr>
        <w:t>Weitz</w:t>
      </w:r>
      <w:proofErr w:type="spellEnd"/>
      <w:r w:rsidRPr="009E1F17">
        <w:rPr>
          <w:rFonts w:ascii="Arial Narrow" w:hAnsi="Arial Narrow"/>
          <w:sz w:val="18"/>
        </w:rPr>
        <w:t xml:space="preserve"> 2017, Table 2, p704 </w:t>
      </w:r>
      <w:proofErr w:type="spellStart"/>
      <w:r w:rsidRPr="009E1F17">
        <w:rPr>
          <w:rFonts w:ascii="Arial Narrow" w:hAnsi="Arial Narrow"/>
          <w:sz w:val="18"/>
        </w:rPr>
        <w:t>Agnelli</w:t>
      </w:r>
      <w:proofErr w:type="spellEnd"/>
      <w:r w:rsidRPr="009E1F17">
        <w:rPr>
          <w:rFonts w:ascii="Arial Narrow" w:hAnsi="Arial Narrow"/>
          <w:sz w:val="18"/>
        </w:rPr>
        <w:t xml:space="preserve"> 2013a Table 4 p2509, </w:t>
      </w:r>
      <w:proofErr w:type="spellStart"/>
      <w:r w:rsidRPr="009E1F17">
        <w:rPr>
          <w:rFonts w:ascii="Arial Narrow" w:hAnsi="Arial Narrow"/>
          <w:sz w:val="18"/>
        </w:rPr>
        <w:t>Bauersachs</w:t>
      </w:r>
      <w:proofErr w:type="spellEnd"/>
      <w:r w:rsidRPr="009E1F17">
        <w:rPr>
          <w:rFonts w:ascii="Arial Narrow" w:hAnsi="Arial Narrow"/>
          <w:sz w:val="18"/>
        </w:rPr>
        <w:t xml:space="preserve"> 2010, Table 2, p1985 Brighton 2012, Table 2, p1965 </w:t>
      </w:r>
      <w:proofErr w:type="spellStart"/>
      <w:r w:rsidRPr="009E1F17">
        <w:rPr>
          <w:rFonts w:ascii="Arial Narrow" w:hAnsi="Arial Narrow"/>
          <w:sz w:val="18"/>
        </w:rPr>
        <w:t>Becattine</w:t>
      </w:r>
      <w:proofErr w:type="spellEnd"/>
      <w:r w:rsidRPr="009E1F17">
        <w:rPr>
          <w:rFonts w:ascii="Arial Narrow" w:hAnsi="Arial Narrow"/>
          <w:sz w:val="18"/>
        </w:rPr>
        <w:t xml:space="preserve"> 2012</w:t>
      </w:r>
    </w:p>
    <w:p w:rsidR="00C57969" w:rsidRPr="009E1F17" w:rsidRDefault="00C57969" w:rsidP="00C57969">
      <w:pPr>
        <w:rPr>
          <w:rFonts w:ascii="Arial Narrow" w:hAnsi="Arial Narrow"/>
          <w:sz w:val="18"/>
          <w:highlight w:val="yellow"/>
        </w:rPr>
      </w:pPr>
      <w:r w:rsidRPr="009E1F17">
        <w:rPr>
          <w:rFonts w:ascii="Arial Narrow" w:hAnsi="Arial Narrow"/>
          <w:sz w:val="18"/>
        </w:rPr>
        <w:t>Abbreviations: A2.5=</w:t>
      </w:r>
      <w:proofErr w:type="spellStart"/>
      <w:r w:rsidRPr="009E1F17">
        <w:rPr>
          <w:rFonts w:ascii="Arial Narrow" w:hAnsi="Arial Narrow"/>
          <w:sz w:val="18"/>
        </w:rPr>
        <w:t>apixaban</w:t>
      </w:r>
      <w:proofErr w:type="spellEnd"/>
      <w:r w:rsidRPr="009E1F17">
        <w:rPr>
          <w:rFonts w:ascii="Arial Narrow" w:hAnsi="Arial Narrow"/>
          <w:sz w:val="18"/>
        </w:rPr>
        <w:t xml:space="preserve"> 2.5 mg; A5=</w:t>
      </w:r>
      <w:proofErr w:type="spellStart"/>
      <w:r w:rsidRPr="009E1F17">
        <w:rPr>
          <w:rFonts w:ascii="Arial Narrow" w:hAnsi="Arial Narrow"/>
          <w:sz w:val="18"/>
        </w:rPr>
        <w:t>apixaban</w:t>
      </w:r>
      <w:proofErr w:type="spellEnd"/>
      <w:r w:rsidRPr="009E1F17">
        <w:rPr>
          <w:rFonts w:ascii="Arial Narrow" w:hAnsi="Arial Narrow"/>
          <w:sz w:val="18"/>
        </w:rPr>
        <w:t xml:space="preserve"> 5 mg; ASA=aspirin; CI=confidence interval; ID=identification; n=number of participants, N=total participants in group; PBO=placebo; R10=rivaroxaban 10 mg; R20=rivaroxaban 20 mg</w:t>
      </w:r>
    </w:p>
    <w:p w:rsidR="00C57969" w:rsidRPr="009E1F17" w:rsidRDefault="00C57969" w:rsidP="00C57969">
      <w:pPr>
        <w:rPr>
          <w:rFonts w:ascii="Arial Narrow" w:hAnsi="Arial Narrow"/>
          <w:sz w:val="18"/>
        </w:rPr>
      </w:pPr>
      <w:r w:rsidRPr="009E1F17">
        <w:rPr>
          <w:rFonts w:ascii="Arial Narrow" w:hAnsi="Arial Narrow"/>
          <w:sz w:val="18"/>
        </w:rPr>
        <w:t xml:space="preserve">Note: </w:t>
      </w:r>
      <w:r w:rsidRPr="009E1F17">
        <w:rPr>
          <w:rFonts w:ascii="Arial Narrow" w:hAnsi="Arial Narrow"/>
          <w:sz w:val="18"/>
          <w:vertAlign w:val="superscript"/>
        </w:rPr>
        <w:t>1</w:t>
      </w:r>
      <w:r w:rsidRPr="009E1F17">
        <w:rPr>
          <w:rFonts w:ascii="Arial Narrow" w:hAnsi="Arial Narrow"/>
          <w:sz w:val="18"/>
        </w:rPr>
        <w:t xml:space="preserve"> Reported as an HR in the submission.</w:t>
      </w:r>
    </w:p>
    <w:p w:rsidR="00C57969" w:rsidRDefault="00C57969" w:rsidP="00C57969">
      <w:pPr>
        <w:rPr>
          <w:rFonts w:ascii="Arial Narrow" w:hAnsi="Arial Narrow"/>
          <w:sz w:val="18"/>
        </w:rPr>
      </w:pPr>
      <w:r w:rsidRPr="009E1F17">
        <w:rPr>
          <w:rFonts w:ascii="Arial Narrow" w:hAnsi="Arial Narrow"/>
          <w:sz w:val="18"/>
        </w:rPr>
        <w:t>Bold indicates a statistically si</w:t>
      </w:r>
      <w:r>
        <w:rPr>
          <w:rFonts w:ascii="Arial Narrow" w:hAnsi="Arial Narrow"/>
          <w:sz w:val="18"/>
        </w:rPr>
        <w:t>gnificant difference</w:t>
      </w:r>
    </w:p>
    <w:p w:rsidR="00C57969" w:rsidRPr="00C57969" w:rsidRDefault="00C57969" w:rsidP="00C57969">
      <w:pPr>
        <w:rPr>
          <w:rFonts w:ascii="Arial Narrow" w:hAnsi="Arial Narrow"/>
          <w:sz w:val="18"/>
        </w:rPr>
      </w:pPr>
    </w:p>
    <w:p w:rsidR="009E1F17" w:rsidRPr="009E1F17" w:rsidRDefault="009E1F17" w:rsidP="009E1F17">
      <w:pPr>
        <w:numPr>
          <w:ilvl w:val="1"/>
          <w:numId w:val="3"/>
        </w:numPr>
        <w:spacing w:after="160"/>
      </w:pPr>
      <w:r w:rsidRPr="009E1F17">
        <w:t xml:space="preserve">The rates of adverse events (AEs) and serious AEs (SEAs) emerging during treatment were similar across each treatment arm in Einstein CHOICE, Einstein EXT and Amplify EXT. The Amplify EXT reported three composite AE outcomes: any AE emerging during treatment; any serious AE emerging during treatment; and AEs resulting in permanent discontinuation of treatment. </w:t>
      </w:r>
      <w:r w:rsidRPr="00636D45">
        <w:t>Overall, there were no differences noted across the studies in any of the safety outcomes reported.</w:t>
      </w:r>
    </w:p>
    <w:p w:rsidR="009E1F17" w:rsidRPr="009E1F17" w:rsidRDefault="009E1F17" w:rsidP="009E1F17">
      <w:pPr>
        <w:numPr>
          <w:ilvl w:val="1"/>
          <w:numId w:val="3"/>
        </w:numPr>
        <w:spacing w:after="160"/>
        <w:rPr>
          <w:rFonts w:asciiTheme="minorHAnsi" w:hAnsiTheme="minorHAnsi" w:cstheme="minorHAnsi"/>
          <w:szCs w:val="24"/>
        </w:rPr>
      </w:pPr>
      <w:r w:rsidRPr="009E1F17">
        <w:t xml:space="preserve">A summary of key AEs is presented </w:t>
      </w:r>
      <w:r w:rsidRPr="009E1F17">
        <w:rPr>
          <w:rFonts w:asciiTheme="minorHAnsi" w:hAnsiTheme="minorHAnsi" w:cstheme="minorHAnsi"/>
          <w:szCs w:val="24"/>
        </w:rPr>
        <w:t xml:space="preserve">in </w:t>
      </w:r>
      <w:r w:rsidR="00C56905" w:rsidRPr="00C56905">
        <w:rPr>
          <w:rFonts w:asciiTheme="minorHAnsi" w:hAnsiTheme="minorHAnsi" w:cstheme="minorHAnsi"/>
          <w:szCs w:val="24"/>
        </w:rPr>
        <w:t xml:space="preserve">Table </w:t>
      </w:r>
      <w:r w:rsidR="00C56905" w:rsidRPr="00C56905">
        <w:rPr>
          <w:rFonts w:asciiTheme="minorHAnsi" w:hAnsiTheme="minorHAnsi" w:cstheme="minorHAnsi"/>
          <w:noProof/>
          <w:szCs w:val="24"/>
        </w:rPr>
        <w:t>9</w:t>
      </w:r>
      <w:r w:rsidRPr="009E1F17">
        <w:rPr>
          <w:rFonts w:asciiTheme="minorHAnsi" w:hAnsiTheme="minorHAnsi" w:cstheme="minorHAnsi"/>
          <w:szCs w:val="24"/>
        </w:rPr>
        <w:t xml:space="preserve">, </w:t>
      </w:r>
      <w:r w:rsidR="00C56905" w:rsidRPr="00C56905">
        <w:rPr>
          <w:rFonts w:asciiTheme="minorHAnsi" w:hAnsiTheme="minorHAnsi" w:cstheme="minorHAnsi"/>
          <w:szCs w:val="24"/>
        </w:rPr>
        <w:t xml:space="preserve">Table </w:t>
      </w:r>
      <w:r w:rsidR="00C56905" w:rsidRPr="00C56905">
        <w:rPr>
          <w:rFonts w:asciiTheme="minorHAnsi" w:hAnsiTheme="minorHAnsi" w:cstheme="minorHAnsi"/>
          <w:noProof/>
          <w:szCs w:val="24"/>
        </w:rPr>
        <w:t>10</w:t>
      </w:r>
      <w:r w:rsidRPr="009E1F17">
        <w:rPr>
          <w:rFonts w:asciiTheme="minorHAnsi" w:hAnsiTheme="minorHAnsi" w:cstheme="minorHAnsi"/>
          <w:szCs w:val="24"/>
        </w:rPr>
        <w:t xml:space="preserve"> and </w:t>
      </w:r>
      <w:r w:rsidR="00C56905" w:rsidRPr="00C56905">
        <w:rPr>
          <w:rFonts w:asciiTheme="minorHAnsi" w:hAnsiTheme="minorHAnsi" w:cstheme="minorHAnsi"/>
          <w:szCs w:val="24"/>
        </w:rPr>
        <w:t xml:space="preserve">Table </w:t>
      </w:r>
      <w:r w:rsidR="00C56905" w:rsidRPr="00C56905">
        <w:rPr>
          <w:rFonts w:asciiTheme="minorHAnsi" w:hAnsiTheme="minorHAnsi" w:cstheme="minorHAnsi"/>
          <w:noProof/>
          <w:szCs w:val="24"/>
        </w:rPr>
        <w:t>11</w:t>
      </w:r>
      <w:r w:rsidRPr="009E1F17">
        <w:rPr>
          <w:rFonts w:asciiTheme="minorHAnsi" w:hAnsiTheme="minorHAnsi" w:cstheme="minorHAnsi"/>
          <w:szCs w:val="24"/>
        </w:rPr>
        <w:t>.</w:t>
      </w:r>
    </w:p>
    <w:p w:rsidR="009E1F17" w:rsidRPr="009E1F17" w:rsidRDefault="009E1F17" w:rsidP="009E1F17">
      <w:pPr>
        <w:keepNext/>
        <w:rPr>
          <w:rFonts w:ascii="Arial Narrow" w:hAnsi="Arial Narrow"/>
          <w:b/>
          <w:sz w:val="20"/>
          <w:szCs w:val="20"/>
        </w:rPr>
      </w:pPr>
      <w:bookmarkStart w:id="18" w:name="_Ref523399340"/>
      <w:r w:rsidRPr="009E1F17">
        <w:rPr>
          <w:rFonts w:ascii="Arial Narrow" w:hAnsi="Arial Narrow"/>
          <w:b/>
          <w:sz w:val="20"/>
          <w:szCs w:val="20"/>
        </w:rPr>
        <w:t xml:space="preserve">Table </w:t>
      </w:r>
      <w:r w:rsidR="00C56905">
        <w:rPr>
          <w:rFonts w:ascii="Arial Narrow" w:hAnsi="Arial Narrow"/>
          <w:b/>
          <w:noProof/>
          <w:sz w:val="20"/>
          <w:szCs w:val="20"/>
        </w:rPr>
        <w:t>9</w:t>
      </w:r>
      <w:bookmarkEnd w:id="18"/>
      <w:r w:rsidRPr="009E1F17">
        <w:rPr>
          <w:rFonts w:ascii="Arial Narrow" w:hAnsi="Arial Narrow"/>
          <w:b/>
          <w:sz w:val="20"/>
          <w:szCs w:val="20"/>
        </w:rPr>
        <w:t>: Summary of any adverse events n (%</w:t>
      </w:r>
      <w:proofErr w:type="gramStart"/>
      <w:r w:rsidRPr="009E1F17">
        <w:rPr>
          <w:rFonts w:ascii="Arial Narrow" w:hAnsi="Arial Narrow"/>
          <w:b/>
          <w:sz w:val="20"/>
          <w:szCs w:val="20"/>
        </w:rPr>
        <w:t>)</w:t>
      </w:r>
      <w:r w:rsidRPr="009E1F17">
        <w:rPr>
          <w:rFonts w:ascii="Arial Narrow" w:hAnsi="Arial Narrow"/>
          <w:b/>
          <w:sz w:val="20"/>
          <w:szCs w:val="20"/>
          <w:vertAlign w:val="superscript"/>
        </w:rPr>
        <w:t>1</w:t>
      </w:r>
      <w:proofErr w:type="gramEnd"/>
      <w:r w:rsidRPr="009E1F17">
        <w:rPr>
          <w:rFonts w:ascii="Arial Narrow" w:hAnsi="Arial Narrow"/>
          <w:b/>
          <w:sz w:val="20"/>
          <w:szCs w:val="20"/>
        </w:rPr>
        <w:t xml:space="preserve"> in the randomised trials</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1417"/>
        <w:gridCol w:w="1559"/>
        <w:gridCol w:w="1701"/>
        <w:gridCol w:w="1701"/>
      </w:tblGrid>
      <w:tr w:rsidR="009E1F17" w:rsidRPr="009E1F17" w:rsidTr="000840CF">
        <w:trPr>
          <w:tblHeader/>
        </w:trPr>
        <w:tc>
          <w:tcPr>
            <w:tcW w:w="2722" w:type="dxa"/>
            <w:tcMar>
              <w:left w:w="28" w:type="dxa"/>
              <w:right w:w="28" w:type="dxa"/>
            </w:tcMar>
            <w:vAlign w:val="center"/>
          </w:tcPr>
          <w:p w:rsidR="009E1F17" w:rsidRPr="009E1F17" w:rsidRDefault="009E1F17" w:rsidP="00100A7A">
            <w:pPr>
              <w:keepNext/>
              <w:keepLines/>
              <w:widowControl/>
              <w:jc w:val="left"/>
              <w:rPr>
                <w:rFonts w:ascii="Arial Narrow" w:hAnsi="Arial Narrow" w:cs="Times New Roman"/>
                <w:b/>
                <w:snapToGrid/>
                <w:sz w:val="20"/>
              </w:rPr>
            </w:pPr>
            <w:r w:rsidRPr="009E1F17">
              <w:rPr>
                <w:rFonts w:ascii="Arial Narrow" w:hAnsi="Arial Narrow" w:cs="Times New Roman"/>
                <w:b/>
                <w:snapToGrid/>
                <w:sz w:val="20"/>
              </w:rPr>
              <w:t>Trial ID</w:t>
            </w:r>
          </w:p>
        </w:tc>
        <w:tc>
          <w:tcPr>
            <w:tcW w:w="1417" w:type="dxa"/>
            <w:tcMar>
              <w:left w:w="28" w:type="dxa"/>
              <w:right w:w="28" w:type="dxa"/>
            </w:tcMar>
            <w:vAlign w:val="center"/>
          </w:tcPr>
          <w:p w:rsidR="009E1F17" w:rsidRPr="009E1F17" w:rsidRDefault="009E1F17" w:rsidP="00100A7A">
            <w:pPr>
              <w:keepNext/>
              <w:keepLines/>
              <w:widowControl/>
              <w:jc w:val="left"/>
              <w:rPr>
                <w:rFonts w:ascii="Arial Narrow" w:hAnsi="Arial Narrow" w:cs="Times New Roman"/>
                <w:b/>
                <w:snapToGrid/>
                <w:sz w:val="20"/>
              </w:rPr>
            </w:pPr>
            <w:r w:rsidRPr="009E1F17">
              <w:rPr>
                <w:rFonts w:ascii="Arial Narrow" w:hAnsi="Arial Narrow" w:cs="Times New Roman"/>
                <w:b/>
                <w:snapToGrid/>
                <w:sz w:val="20"/>
              </w:rPr>
              <w:t xml:space="preserve">Intervention </w:t>
            </w:r>
          </w:p>
        </w:tc>
        <w:tc>
          <w:tcPr>
            <w:tcW w:w="1559" w:type="dxa"/>
            <w:tcMar>
              <w:left w:w="28" w:type="dxa"/>
              <w:right w:w="28" w:type="dxa"/>
            </w:tcMar>
            <w:vAlign w:val="center"/>
          </w:tcPr>
          <w:p w:rsidR="009E1F17" w:rsidRPr="009E1F17" w:rsidRDefault="009E1F17" w:rsidP="00100A7A">
            <w:pPr>
              <w:keepNext/>
              <w:keepLines/>
              <w:widowControl/>
              <w:jc w:val="left"/>
              <w:rPr>
                <w:rFonts w:ascii="Arial Narrow" w:hAnsi="Arial Narrow" w:cs="Times New Roman"/>
                <w:b/>
                <w:snapToGrid/>
                <w:sz w:val="20"/>
              </w:rPr>
            </w:pPr>
            <w:r w:rsidRPr="009E1F17">
              <w:rPr>
                <w:rFonts w:ascii="Arial Narrow" w:hAnsi="Arial Narrow" w:cs="Times New Roman"/>
                <w:b/>
                <w:snapToGrid/>
                <w:sz w:val="20"/>
              </w:rPr>
              <w:t xml:space="preserve">Comparator </w:t>
            </w:r>
          </w:p>
        </w:tc>
        <w:tc>
          <w:tcPr>
            <w:tcW w:w="1701" w:type="dxa"/>
            <w:shd w:val="clear" w:color="auto" w:fill="auto"/>
            <w:tcMar>
              <w:left w:w="28" w:type="dxa"/>
              <w:right w:w="28" w:type="dxa"/>
            </w:tcMar>
            <w:vAlign w:val="center"/>
          </w:tcPr>
          <w:p w:rsidR="009E1F17" w:rsidRPr="009E1F17" w:rsidRDefault="009E1F17" w:rsidP="00100A7A">
            <w:pPr>
              <w:keepNext/>
              <w:keepLines/>
              <w:widowControl/>
              <w:jc w:val="left"/>
              <w:rPr>
                <w:rFonts w:ascii="Arial Narrow" w:hAnsi="Arial Narrow" w:cs="Times New Roman"/>
                <w:b/>
                <w:snapToGrid/>
                <w:sz w:val="20"/>
              </w:rPr>
            </w:pPr>
            <w:r w:rsidRPr="009E1F17">
              <w:rPr>
                <w:rFonts w:ascii="Arial Narrow" w:hAnsi="Arial Narrow" w:cs="Times New Roman"/>
                <w:b/>
                <w:snapToGrid/>
                <w:sz w:val="20"/>
              </w:rPr>
              <w:t>RR (95% CI)</w:t>
            </w:r>
          </w:p>
        </w:tc>
        <w:tc>
          <w:tcPr>
            <w:tcW w:w="1701" w:type="dxa"/>
            <w:tcMar>
              <w:left w:w="28" w:type="dxa"/>
              <w:right w:w="28" w:type="dxa"/>
            </w:tcMar>
          </w:tcPr>
          <w:p w:rsidR="009E1F17" w:rsidRPr="009E1F17" w:rsidRDefault="009E1F17" w:rsidP="00100A7A">
            <w:pPr>
              <w:keepNext/>
              <w:keepLines/>
              <w:widowControl/>
              <w:jc w:val="left"/>
              <w:rPr>
                <w:rFonts w:ascii="Arial Narrow" w:hAnsi="Arial Narrow" w:cs="Times New Roman"/>
                <w:b/>
                <w:snapToGrid/>
                <w:sz w:val="20"/>
              </w:rPr>
            </w:pPr>
            <w:r w:rsidRPr="009E1F17">
              <w:rPr>
                <w:rFonts w:ascii="Arial Narrow" w:hAnsi="Arial Narrow" w:cs="Times New Roman"/>
                <w:b/>
                <w:snapToGrid/>
                <w:sz w:val="20"/>
              </w:rPr>
              <w:t>RD (95% CI)</w:t>
            </w:r>
          </w:p>
        </w:tc>
      </w:tr>
      <w:tr w:rsidR="009E1F17" w:rsidRPr="009E1F17" w:rsidTr="000840CF">
        <w:tc>
          <w:tcPr>
            <w:tcW w:w="9100" w:type="dxa"/>
            <w:gridSpan w:val="5"/>
            <w:tcMar>
              <w:left w:w="28" w:type="dxa"/>
              <w:right w:w="28" w:type="dxa"/>
            </w:tcMar>
            <w:vAlign w:val="center"/>
          </w:tcPr>
          <w:p w:rsidR="009E1F17" w:rsidRPr="009E1F17" w:rsidRDefault="009E1F17" w:rsidP="00100A7A">
            <w:pPr>
              <w:keepNext/>
              <w:keepLines/>
              <w:widowControl/>
              <w:jc w:val="left"/>
              <w:rPr>
                <w:rFonts w:ascii="Arial Narrow" w:hAnsi="Arial Narrow" w:cs="Times New Roman"/>
                <w:b/>
                <w:snapToGrid/>
                <w:sz w:val="20"/>
              </w:rPr>
            </w:pPr>
            <w:r w:rsidRPr="009E1F17">
              <w:rPr>
                <w:rFonts w:ascii="Arial Narrow" w:hAnsi="Arial Narrow" w:cs="Times New Roman"/>
                <w:b/>
                <w:snapToGrid/>
                <w:sz w:val="20"/>
              </w:rPr>
              <w:t xml:space="preserve">Einstein CHOICE </w:t>
            </w:r>
          </w:p>
        </w:tc>
      </w:tr>
      <w:tr w:rsidR="009E1F17" w:rsidRPr="009E1F17" w:rsidTr="000840CF">
        <w:tc>
          <w:tcPr>
            <w:tcW w:w="2722"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R10 (N=1127) vs R20 (N=1107)</w:t>
            </w:r>
          </w:p>
        </w:tc>
        <w:tc>
          <w:tcPr>
            <w:tcW w:w="1417"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R10 196 (17.4)</w:t>
            </w:r>
          </w:p>
        </w:tc>
        <w:tc>
          <w:tcPr>
            <w:tcW w:w="1559"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R20 194 (17.5)</w:t>
            </w:r>
          </w:p>
        </w:tc>
        <w:tc>
          <w:tcPr>
            <w:tcW w:w="1701"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0.992 (0.829,  1.188)</w:t>
            </w:r>
          </w:p>
        </w:tc>
        <w:tc>
          <w:tcPr>
            <w:tcW w:w="1701"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-0.001 (-0.033, 0.03)</w:t>
            </w:r>
          </w:p>
        </w:tc>
      </w:tr>
      <w:tr w:rsidR="009E1F17" w:rsidRPr="009E1F17" w:rsidTr="000840CF">
        <w:tc>
          <w:tcPr>
            <w:tcW w:w="2722"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R10 (N=1127) vs ASA (N=1131)</w:t>
            </w:r>
          </w:p>
        </w:tc>
        <w:tc>
          <w:tcPr>
            <w:tcW w:w="1417"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R10 196 (17.4)</w:t>
            </w:r>
          </w:p>
        </w:tc>
        <w:tc>
          <w:tcPr>
            <w:tcW w:w="1559"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ASA 193 (17.1)</w:t>
            </w:r>
          </w:p>
        </w:tc>
        <w:tc>
          <w:tcPr>
            <w:tcW w:w="1701"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1.019 (0.851, 1.221)</w:t>
            </w:r>
          </w:p>
        </w:tc>
        <w:tc>
          <w:tcPr>
            <w:tcW w:w="1701"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0.003 (-0.028, 0.034)</w:t>
            </w:r>
          </w:p>
        </w:tc>
      </w:tr>
      <w:tr w:rsidR="009E1F17" w:rsidRPr="009E1F17" w:rsidTr="000840CF">
        <w:tc>
          <w:tcPr>
            <w:tcW w:w="2722"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R20 (N=1107) vs ASA (N=1131)</w:t>
            </w:r>
          </w:p>
        </w:tc>
        <w:tc>
          <w:tcPr>
            <w:tcW w:w="1417"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R20 194 (17.5)</w:t>
            </w:r>
          </w:p>
        </w:tc>
        <w:tc>
          <w:tcPr>
            <w:tcW w:w="1559"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ASA 193 (17.1)</w:t>
            </w:r>
          </w:p>
        </w:tc>
        <w:tc>
          <w:tcPr>
            <w:tcW w:w="1701"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1.027 (0.857, 1.231)</w:t>
            </w:r>
          </w:p>
        </w:tc>
        <w:tc>
          <w:tcPr>
            <w:tcW w:w="1701"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0.005 (-0.027, 0.036)</w:t>
            </w:r>
          </w:p>
        </w:tc>
      </w:tr>
      <w:tr w:rsidR="009E1F17" w:rsidRPr="009E1F17" w:rsidTr="000840CF">
        <w:tc>
          <w:tcPr>
            <w:tcW w:w="9100" w:type="dxa"/>
            <w:gridSpan w:val="5"/>
            <w:tcMar>
              <w:left w:w="28" w:type="dxa"/>
              <w:right w:w="28" w:type="dxa"/>
            </w:tcMar>
            <w:vAlign w:val="center"/>
          </w:tcPr>
          <w:p w:rsidR="009E1F17" w:rsidRPr="00EE7B26" w:rsidRDefault="009E1F17" w:rsidP="00100A7A">
            <w:pPr>
              <w:keepNext/>
              <w:keepLines/>
              <w:widowControl/>
              <w:jc w:val="left"/>
              <w:rPr>
                <w:rFonts w:ascii="Arial Narrow" w:hAnsi="Arial Narrow" w:cs="Times New Roman"/>
                <w:b/>
                <w:snapToGrid/>
                <w:sz w:val="20"/>
              </w:rPr>
            </w:pPr>
            <w:r w:rsidRPr="00EE7B26">
              <w:rPr>
                <w:rFonts w:ascii="Arial Narrow" w:hAnsi="Arial Narrow" w:cs="Times New Roman"/>
                <w:b/>
                <w:snapToGrid/>
                <w:sz w:val="20"/>
              </w:rPr>
              <w:t xml:space="preserve">Einstein EXT </w:t>
            </w:r>
          </w:p>
        </w:tc>
      </w:tr>
      <w:tr w:rsidR="009E1F17" w:rsidRPr="009E1F17" w:rsidTr="000840CF">
        <w:tc>
          <w:tcPr>
            <w:tcW w:w="2722"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R20 (N=598) vs. PBO (N=590)</w:t>
            </w:r>
          </w:p>
        </w:tc>
        <w:tc>
          <w:tcPr>
            <w:tcW w:w="1417"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R20 349 (58.4)</w:t>
            </w:r>
          </w:p>
        </w:tc>
        <w:tc>
          <w:tcPr>
            <w:tcW w:w="1559"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PBO 337 (57.1)</w:t>
            </w:r>
          </w:p>
        </w:tc>
        <w:tc>
          <w:tcPr>
            <w:tcW w:w="1701"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1.021 (0.927, 1.126)</w:t>
            </w:r>
          </w:p>
        </w:tc>
        <w:tc>
          <w:tcPr>
            <w:tcW w:w="1701"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0.012 (-0.044, 0.069)</w:t>
            </w:r>
          </w:p>
        </w:tc>
      </w:tr>
      <w:tr w:rsidR="009E1F17" w:rsidRPr="009E1F17" w:rsidTr="000840CF">
        <w:tc>
          <w:tcPr>
            <w:tcW w:w="9100" w:type="dxa"/>
            <w:gridSpan w:val="5"/>
            <w:tcMar>
              <w:left w:w="28" w:type="dxa"/>
              <w:right w:w="28" w:type="dxa"/>
            </w:tcMar>
            <w:vAlign w:val="center"/>
          </w:tcPr>
          <w:p w:rsidR="009E1F17" w:rsidRPr="00EE7B26" w:rsidRDefault="009E1F17" w:rsidP="00100A7A">
            <w:pPr>
              <w:keepNext/>
              <w:keepLines/>
              <w:widowControl/>
              <w:jc w:val="left"/>
              <w:rPr>
                <w:rFonts w:ascii="Arial Narrow" w:hAnsi="Arial Narrow" w:cs="Times New Roman"/>
                <w:b/>
                <w:snapToGrid/>
                <w:sz w:val="20"/>
              </w:rPr>
            </w:pPr>
            <w:r w:rsidRPr="00EE7B26">
              <w:rPr>
                <w:rFonts w:ascii="Arial Narrow" w:hAnsi="Arial Narrow" w:cs="Times New Roman"/>
                <w:b/>
                <w:snapToGrid/>
                <w:sz w:val="20"/>
              </w:rPr>
              <w:t xml:space="preserve">Amplify EXT </w:t>
            </w:r>
          </w:p>
        </w:tc>
      </w:tr>
      <w:tr w:rsidR="009E1F17" w:rsidRPr="009E1F17" w:rsidTr="000840CF">
        <w:tc>
          <w:tcPr>
            <w:tcW w:w="2722"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A2.5 (N=840) vs. A.5 (N=811)</w:t>
            </w:r>
          </w:p>
        </w:tc>
        <w:tc>
          <w:tcPr>
            <w:tcW w:w="1417"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A2.5 596 (71.0)</w:t>
            </w:r>
          </w:p>
        </w:tc>
        <w:tc>
          <w:tcPr>
            <w:tcW w:w="1559"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A5 542 (66.8)</w:t>
            </w:r>
          </w:p>
        </w:tc>
        <w:tc>
          <w:tcPr>
            <w:tcW w:w="1701"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1.061 (0.994, 1.132)</w:t>
            </w:r>
          </w:p>
        </w:tc>
        <w:tc>
          <w:tcPr>
            <w:tcW w:w="1701"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0.041 (-0.003, 0.086)</w:t>
            </w:r>
          </w:p>
        </w:tc>
      </w:tr>
      <w:tr w:rsidR="009E1F17" w:rsidRPr="009E1F17" w:rsidTr="000840CF">
        <w:tc>
          <w:tcPr>
            <w:tcW w:w="2722"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A2.5 (N=840) vs. PBO (N=826)</w:t>
            </w:r>
          </w:p>
        </w:tc>
        <w:tc>
          <w:tcPr>
            <w:tcW w:w="1417"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A2.5 596 (71.0)</w:t>
            </w:r>
          </w:p>
        </w:tc>
        <w:tc>
          <w:tcPr>
            <w:tcW w:w="1559"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PBO 606 (73.4)</w:t>
            </w:r>
          </w:p>
        </w:tc>
        <w:tc>
          <w:tcPr>
            <w:tcW w:w="1701"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0.967(0.911, 1.026)</w:t>
            </w:r>
          </w:p>
        </w:tc>
        <w:tc>
          <w:tcPr>
            <w:tcW w:w="1701"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-0.024 (-0.067, 0.019)</w:t>
            </w:r>
          </w:p>
        </w:tc>
      </w:tr>
      <w:tr w:rsidR="009E1F17" w:rsidRPr="009E1F17" w:rsidTr="000840CF">
        <w:tc>
          <w:tcPr>
            <w:tcW w:w="2722"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A5 (N=811) vs. PBO (N=826)</w:t>
            </w:r>
          </w:p>
        </w:tc>
        <w:tc>
          <w:tcPr>
            <w:tcW w:w="1417"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A5 542 (66.8)</w:t>
            </w:r>
          </w:p>
        </w:tc>
        <w:tc>
          <w:tcPr>
            <w:tcW w:w="1559"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snapToGrid/>
                <w:sz w:val="20"/>
              </w:rPr>
            </w:pPr>
            <w:r w:rsidRPr="00EE7B26">
              <w:rPr>
                <w:rFonts w:ascii="Arial Narrow" w:hAnsi="Arial Narrow" w:cs="Times New Roman"/>
                <w:snapToGrid/>
                <w:sz w:val="20"/>
              </w:rPr>
              <w:t>PBO 606 (73.4)</w:t>
            </w:r>
          </w:p>
        </w:tc>
        <w:tc>
          <w:tcPr>
            <w:tcW w:w="1701"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b/>
                <w:snapToGrid/>
                <w:sz w:val="20"/>
              </w:rPr>
            </w:pPr>
            <w:r w:rsidRPr="00EE7B26">
              <w:rPr>
                <w:rFonts w:ascii="Arial Narrow" w:hAnsi="Arial Narrow" w:cs="Times New Roman"/>
                <w:b/>
                <w:snapToGrid/>
                <w:sz w:val="20"/>
              </w:rPr>
              <w:t>0.91 (0.854, 0.97)</w:t>
            </w:r>
          </w:p>
        </w:tc>
        <w:tc>
          <w:tcPr>
            <w:tcW w:w="1701" w:type="dxa"/>
            <w:tcMar>
              <w:left w:w="28" w:type="dxa"/>
              <w:right w:w="28" w:type="dxa"/>
            </w:tcMar>
            <w:vAlign w:val="center"/>
          </w:tcPr>
          <w:p w:rsidR="009E1F17" w:rsidRPr="00EE7B26" w:rsidRDefault="009E1F17" w:rsidP="00100A7A">
            <w:pPr>
              <w:keepNext/>
              <w:keepLines/>
              <w:widowControl/>
              <w:jc w:val="left"/>
              <w:rPr>
                <w:rFonts w:ascii="Arial Narrow" w:hAnsi="Arial Narrow" w:cs="Times New Roman"/>
                <w:b/>
                <w:snapToGrid/>
                <w:sz w:val="20"/>
              </w:rPr>
            </w:pPr>
            <w:r w:rsidRPr="00EE7B26">
              <w:rPr>
                <w:rFonts w:ascii="Arial Narrow" w:hAnsi="Arial Narrow" w:cs="Times New Roman"/>
                <w:b/>
                <w:snapToGrid/>
                <w:sz w:val="20"/>
              </w:rPr>
              <w:t>-0.065 (-0.11, -0.021)</w:t>
            </w:r>
          </w:p>
        </w:tc>
      </w:tr>
    </w:tbl>
    <w:p w:rsidR="009E1F17" w:rsidRPr="009E1F17" w:rsidRDefault="009E1F17" w:rsidP="009E1F17">
      <w:pPr>
        <w:rPr>
          <w:rFonts w:ascii="Arial Narrow" w:hAnsi="Arial Narrow"/>
          <w:sz w:val="18"/>
        </w:rPr>
      </w:pPr>
      <w:r w:rsidRPr="009E1F17">
        <w:rPr>
          <w:rFonts w:ascii="Arial Narrow" w:hAnsi="Arial Narrow"/>
          <w:sz w:val="18"/>
        </w:rPr>
        <w:t xml:space="preserve">Source: Table 2.20 p53 of the submission, Table 4 p1220 </w:t>
      </w:r>
      <w:proofErr w:type="spellStart"/>
      <w:r w:rsidRPr="009E1F17">
        <w:rPr>
          <w:rFonts w:ascii="Arial Narrow" w:hAnsi="Arial Narrow"/>
          <w:sz w:val="18"/>
        </w:rPr>
        <w:t>Weitz</w:t>
      </w:r>
      <w:proofErr w:type="spellEnd"/>
      <w:r w:rsidRPr="009E1F17">
        <w:rPr>
          <w:rFonts w:ascii="Arial Narrow" w:hAnsi="Arial Narrow"/>
          <w:sz w:val="18"/>
        </w:rPr>
        <w:t xml:space="preserve"> 2017, Table 2, p704 </w:t>
      </w:r>
      <w:proofErr w:type="spellStart"/>
      <w:r w:rsidRPr="009E1F17">
        <w:rPr>
          <w:rFonts w:ascii="Arial Narrow" w:hAnsi="Arial Narrow"/>
          <w:sz w:val="18"/>
        </w:rPr>
        <w:t>Agnelli</w:t>
      </w:r>
      <w:proofErr w:type="spellEnd"/>
      <w:r w:rsidRPr="009E1F17">
        <w:rPr>
          <w:rFonts w:ascii="Arial Narrow" w:hAnsi="Arial Narrow"/>
          <w:sz w:val="18"/>
        </w:rPr>
        <w:t xml:space="preserve"> 2013a Table 4 p2509, </w:t>
      </w:r>
      <w:proofErr w:type="spellStart"/>
      <w:r w:rsidRPr="009E1F17">
        <w:rPr>
          <w:rFonts w:ascii="Arial Narrow" w:hAnsi="Arial Narrow"/>
          <w:sz w:val="18"/>
        </w:rPr>
        <w:t>Bauersachs</w:t>
      </w:r>
      <w:proofErr w:type="spellEnd"/>
      <w:r w:rsidRPr="009E1F17">
        <w:rPr>
          <w:rFonts w:ascii="Arial Narrow" w:hAnsi="Arial Narrow"/>
          <w:sz w:val="18"/>
        </w:rPr>
        <w:t xml:space="preserve"> 2010, Table </w:t>
      </w:r>
      <w:r w:rsidRPr="009E1F17">
        <w:rPr>
          <w:rFonts w:ascii="Arial Narrow" w:hAnsi="Arial Narrow"/>
          <w:sz w:val="18"/>
        </w:rPr>
        <w:lastRenderedPageBreak/>
        <w:t xml:space="preserve">2, p1985 Brighton 2012, Table 2, p1965 </w:t>
      </w:r>
      <w:proofErr w:type="spellStart"/>
      <w:r w:rsidRPr="009E1F17">
        <w:rPr>
          <w:rFonts w:ascii="Arial Narrow" w:hAnsi="Arial Narrow"/>
          <w:sz w:val="18"/>
        </w:rPr>
        <w:t>Becattine</w:t>
      </w:r>
      <w:proofErr w:type="spellEnd"/>
      <w:r w:rsidRPr="009E1F17">
        <w:rPr>
          <w:rFonts w:ascii="Arial Narrow" w:hAnsi="Arial Narrow"/>
          <w:sz w:val="18"/>
        </w:rPr>
        <w:t xml:space="preserve"> 2012</w:t>
      </w:r>
    </w:p>
    <w:p w:rsidR="009E1F17" w:rsidRPr="009E1F17" w:rsidRDefault="009E1F17" w:rsidP="009E1F17">
      <w:pPr>
        <w:rPr>
          <w:rFonts w:ascii="Arial Narrow" w:hAnsi="Arial Narrow"/>
          <w:sz w:val="18"/>
        </w:rPr>
      </w:pPr>
      <w:r w:rsidRPr="009E1F17">
        <w:rPr>
          <w:rFonts w:ascii="Arial Narrow" w:hAnsi="Arial Narrow"/>
          <w:sz w:val="18"/>
        </w:rPr>
        <w:t>Abbreviations: A2.5=</w:t>
      </w:r>
      <w:proofErr w:type="spellStart"/>
      <w:r w:rsidRPr="009E1F17">
        <w:rPr>
          <w:rFonts w:ascii="Arial Narrow" w:hAnsi="Arial Narrow"/>
          <w:sz w:val="18"/>
        </w:rPr>
        <w:t>apixaban</w:t>
      </w:r>
      <w:proofErr w:type="spellEnd"/>
      <w:r w:rsidRPr="009E1F17">
        <w:rPr>
          <w:rFonts w:ascii="Arial Narrow" w:hAnsi="Arial Narrow"/>
          <w:sz w:val="18"/>
        </w:rPr>
        <w:t xml:space="preserve"> 2.5 mg; A5=</w:t>
      </w:r>
      <w:proofErr w:type="spellStart"/>
      <w:r w:rsidRPr="009E1F17">
        <w:rPr>
          <w:rFonts w:ascii="Arial Narrow" w:hAnsi="Arial Narrow"/>
          <w:sz w:val="18"/>
        </w:rPr>
        <w:t>apixaban</w:t>
      </w:r>
      <w:proofErr w:type="spellEnd"/>
      <w:r w:rsidRPr="009E1F17">
        <w:rPr>
          <w:rFonts w:ascii="Arial Narrow" w:hAnsi="Arial Narrow"/>
          <w:sz w:val="18"/>
        </w:rPr>
        <w:t xml:space="preserve"> 5 mg; AE=adverse event; ASA=aspirin; CI=confidence interval; ID=identification; n=number; N=total participants in group; R10=rivaroxaban 10mg; R20=rivaroxaban 20 mg; </w:t>
      </w:r>
    </w:p>
    <w:p w:rsidR="009E1F17" w:rsidRPr="009E1F17" w:rsidRDefault="009E1F17" w:rsidP="009E1F17">
      <w:pPr>
        <w:rPr>
          <w:rFonts w:ascii="Arial Narrow" w:hAnsi="Arial Narrow"/>
          <w:sz w:val="18"/>
        </w:rPr>
      </w:pPr>
      <w:r w:rsidRPr="009E1F17">
        <w:rPr>
          <w:rFonts w:ascii="Arial Narrow" w:hAnsi="Arial Narrow"/>
          <w:sz w:val="18"/>
        </w:rPr>
        <w:t>Notes: 1. Einstein CHOICE and Einstein EXT based on number of subjects. Amplify EXT based on any event emerging during treatment</w:t>
      </w:r>
    </w:p>
    <w:p w:rsidR="009E1F17" w:rsidRDefault="009E1F17" w:rsidP="00082122">
      <w:pPr>
        <w:rPr>
          <w:rFonts w:ascii="Arial Narrow" w:hAnsi="Arial Narrow"/>
          <w:sz w:val="18"/>
        </w:rPr>
      </w:pPr>
      <w:r w:rsidRPr="009E1F17">
        <w:rPr>
          <w:rFonts w:ascii="Arial Narrow" w:hAnsi="Arial Narrow"/>
          <w:sz w:val="18"/>
        </w:rPr>
        <w:t>Bold text indicates a statis</w:t>
      </w:r>
      <w:r w:rsidR="00082122">
        <w:rPr>
          <w:rFonts w:ascii="Arial Narrow" w:hAnsi="Arial Narrow"/>
          <w:sz w:val="18"/>
        </w:rPr>
        <w:t>tically significant difference.</w:t>
      </w:r>
    </w:p>
    <w:p w:rsidR="00082122" w:rsidRPr="00082122" w:rsidRDefault="00082122" w:rsidP="00082122">
      <w:pPr>
        <w:rPr>
          <w:rFonts w:ascii="Arial Narrow" w:hAnsi="Arial Narrow"/>
          <w:sz w:val="18"/>
        </w:rPr>
      </w:pPr>
    </w:p>
    <w:p w:rsidR="009E1F17" w:rsidRPr="009E1F17" w:rsidRDefault="009E1F17" w:rsidP="009E1F17">
      <w:pPr>
        <w:widowControl/>
        <w:jc w:val="left"/>
        <w:rPr>
          <w:rFonts w:ascii="Arial Narrow" w:hAnsi="Arial Narrow" w:cs="Times New Roman"/>
          <w:b/>
          <w:snapToGrid/>
          <w:sz w:val="20"/>
          <w:szCs w:val="20"/>
        </w:rPr>
      </w:pPr>
      <w:bookmarkStart w:id="19" w:name="_Ref523408105"/>
      <w:r w:rsidRPr="009E1F17">
        <w:rPr>
          <w:rFonts w:ascii="Arial Narrow" w:hAnsi="Arial Narrow"/>
          <w:b/>
          <w:sz w:val="20"/>
          <w:szCs w:val="20"/>
        </w:rPr>
        <w:t xml:space="preserve">Table </w:t>
      </w:r>
      <w:r w:rsidR="00C56905">
        <w:rPr>
          <w:rFonts w:ascii="Arial Narrow" w:hAnsi="Arial Narrow"/>
          <w:b/>
          <w:noProof/>
          <w:sz w:val="20"/>
          <w:szCs w:val="20"/>
        </w:rPr>
        <w:t>10</w:t>
      </w:r>
      <w:bookmarkEnd w:id="19"/>
      <w:r w:rsidRPr="009E1F17">
        <w:rPr>
          <w:rFonts w:ascii="Arial Narrow" w:hAnsi="Arial Narrow"/>
          <w:b/>
          <w:sz w:val="20"/>
          <w:szCs w:val="20"/>
        </w:rPr>
        <w:t xml:space="preserve">: </w:t>
      </w:r>
      <w:r w:rsidRPr="009E1F17">
        <w:rPr>
          <w:rFonts w:ascii="Arial Narrow" w:hAnsi="Arial Narrow" w:cs="Times New Roman"/>
          <w:b/>
          <w:snapToGrid/>
          <w:sz w:val="20"/>
          <w:szCs w:val="20"/>
        </w:rPr>
        <w:t>Summary of any serious adverse events (SAE) n (%</w:t>
      </w:r>
      <w:proofErr w:type="gramStart"/>
      <w:r w:rsidRPr="009E1F17">
        <w:rPr>
          <w:rFonts w:ascii="Arial Narrow" w:hAnsi="Arial Narrow" w:cs="Times New Roman"/>
          <w:b/>
          <w:snapToGrid/>
          <w:sz w:val="20"/>
          <w:szCs w:val="20"/>
        </w:rPr>
        <w:t>)</w:t>
      </w:r>
      <w:r w:rsidRPr="009E1F17">
        <w:rPr>
          <w:rFonts w:ascii="Arial Narrow" w:hAnsi="Arial Narrow" w:cs="Times New Roman"/>
          <w:b/>
          <w:snapToGrid/>
          <w:sz w:val="20"/>
          <w:szCs w:val="20"/>
          <w:vertAlign w:val="superscript"/>
        </w:rPr>
        <w:t>1</w:t>
      </w:r>
      <w:proofErr w:type="gramEnd"/>
      <w:r w:rsidRPr="009E1F17">
        <w:rPr>
          <w:rFonts w:ascii="Arial Narrow" w:hAnsi="Arial Narrow" w:cs="Times New Roman"/>
          <w:b/>
          <w:snapToGrid/>
          <w:sz w:val="20"/>
          <w:szCs w:val="20"/>
        </w:rPr>
        <w:t xml:space="preserve"> in the randomised trials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1417"/>
        <w:gridCol w:w="1559"/>
        <w:gridCol w:w="1701"/>
        <w:gridCol w:w="1781"/>
      </w:tblGrid>
      <w:tr w:rsidR="009E1F17" w:rsidRPr="009E1F17" w:rsidTr="000840CF">
        <w:trPr>
          <w:tblHeader/>
        </w:trPr>
        <w:tc>
          <w:tcPr>
            <w:tcW w:w="2722" w:type="dxa"/>
            <w:tcMar>
              <w:left w:w="28" w:type="dxa"/>
              <w:right w:w="28" w:type="dxa"/>
            </w:tcMar>
            <w:vAlign w:val="center"/>
          </w:tcPr>
          <w:p w:rsidR="009E1F17" w:rsidRPr="00EE7B26" w:rsidRDefault="009E1F17" w:rsidP="009E1F17">
            <w:pPr>
              <w:widowControl/>
              <w:jc w:val="left"/>
              <w:rPr>
                <w:rFonts w:ascii="Arial Narrow" w:hAnsi="Arial Narrow" w:cs="Times New Roman"/>
                <w:b/>
                <w:snapToGrid/>
                <w:sz w:val="20"/>
              </w:rPr>
            </w:pPr>
            <w:r w:rsidRPr="00EE7B26">
              <w:rPr>
                <w:rFonts w:ascii="Arial Narrow" w:hAnsi="Arial Narrow" w:cs="Times New Roman"/>
                <w:b/>
                <w:snapToGrid/>
                <w:sz w:val="20"/>
              </w:rPr>
              <w:t>Trial ID</w:t>
            </w:r>
          </w:p>
        </w:tc>
        <w:tc>
          <w:tcPr>
            <w:tcW w:w="1417" w:type="dxa"/>
            <w:tcMar>
              <w:left w:w="28" w:type="dxa"/>
              <w:right w:w="28" w:type="dxa"/>
            </w:tcMar>
            <w:vAlign w:val="center"/>
          </w:tcPr>
          <w:p w:rsidR="009E1F17" w:rsidRPr="00EE7B26" w:rsidRDefault="009E1F17" w:rsidP="009E1F17">
            <w:pPr>
              <w:widowControl/>
              <w:jc w:val="left"/>
              <w:rPr>
                <w:rFonts w:ascii="Arial Narrow" w:hAnsi="Arial Narrow" w:cs="Times New Roman"/>
                <w:b/>
                <w:snapToGrid/>
                <w:sz w:val="20"/>
              </w:rPr>
            </w:pPr>
            <w:r w:rsidRPr="00EE7B26">
              <w:rPr>
                <w:rFonts w:ascii="Arial Narrow" w:hAnsi="Arial Narrow" w:cs="Times New Roman"/>
                <w:b/>
                <w:snapToGrid/>
                <w:sz w:val="20"/>
              </w:rPr>
              <w:t xml:space="preserve">Intervention </w:t>
            </w:r>
          </w:p>
        </w:tc>
        <w:tc>
          <w:tcPr>
            <w:tcW w:w="1559" w:type="dxa"/>
            <w:tcMar>
              <w:left w:w="28" w:type="dxa"/>
              <w:right w:w="28" w:type="dxa"/>
            </w:tcMar>
            <w:vAlign w:val="center"/>
          </w:tcPr>
          <w:p w:rsidR="009E1F17" w:rsidRPr="00EE7B26" w:rsidRDefault="009E1F17" w:rsidP="009E1F17">
            <w:pPr>
              <w:widowControl/>
              <w:jc w:val="left"/>
              <w:rPr>
                <w:rFonts w:ascii="Arial Narrow" w:hAnsi="Arial Narrow" w:cs="Times New Roman"/>
                <w:b/>
                <w:snapToGrid/>
                <w:sz w:val="20"/>
              </w:rPr>
            </w:pPr>
            <w:r w:rsidRPr="00EE7B26">
              <w:rPr>
                <w:rFonts w:ascii="Arial Narrow" w:hAnsi="Arial Narrow" w:cs="Times New Roman"/>
                <w:b/>
                <w:snapToGrid/>
                <w:sz w:val="20"/>
              </w:rPr>
              <w:t xml:space="preserve">Comparator </w:t>
            </w:r>
          </w:p>
        </w:tc>
        <w:tc>
          <w:tcPr>
            <w:tcW w:w="1701" w:type="dxa"/>
            <w:shd w:val="clear" w:color="auto" w:fill="auto"/>
            <w:tcMar>
              <w:left w:w="28" w:type="dxa"/>
              <w:right w:w="28" w:type="dxa"/>
            </w:tcMar>
            <w:vAlign w:val="center"/>
          </w:tcPr>
          <w:p w:rsidR="009E1F17" w:rsidRPr="00EE7B26" w:rsidRDefault="009E1F17" w:rsidP="009E1F17">
            <w:pPr>
              <w:widowControl/>
              <w:jc w:val="left"/>
              <w:rPr>
                <w:rFonts w:ascii="Arial Narrow" w:hAnsi="Arial Narrow" w:cs="Times New Roman"/>
                <w:b/>
                <w:snapToGrid/>
                <w:sz w:val="20"/>
              </w:rPr>
            </w:pPr>
            <w:r w:rsidRPr="00EE7B26">
              <w:rPr>
                <w:rFonts w:ascii="Arial Narrow" w:hAnsi="Arial Narrow" w:cs="Times New Roman"/>
                <w:b/>
                <w:snapToGrid/>
                <w:sz w:val="20"/>
              </w:rPr>
              <w:t>RR (95% CI)</w:t>
            </w:r>
          </w:p>
        </w:tc>
        <w:tc>
          <w:tcPr>
            <w:tcW w:w="1781" w:type="dxa"/>
            <w:tcMar>
              <w:left w:w="28" w:type="dxa"/>
              <w:right w:w="28" w:type="dxa"/>
            </w:tcMa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b/>
                <w:snapToGrid/>
                <w:sz w:val="20"/>
              </w:rPr>
              <w:t>RD (95% CI)</w:t>
            </w:r>
          </w:p>
        </w:tc>
      </w:tr>
      <w:tr w:rsidR="009E1F17" w:rsidRPr="009E1F17" w:rsidTr="000840CF">
        <w:tc>
          <w:tcPr>
            <w:tcW w:w="9180" w:type="dxa"/>
            <w:gridSpan w:val="5"/>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b/>
                <w:snapToGrid/>
                <w:sz w:val="20"/>
              </w:rPr>
              <w:t xml:space="preserve">Einstein CHOICE </w:t>
            </w:r>
          </w:p>
        </w:tc>
      </w:tr>
      <w:tr w:rsidR="009E1F17" w:rsidRPr="009E1F17" w:rsidTr="000840CF">
        <w:tc>
          <w:tcPr>
            <w:tcW w:w="2722"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R10 (N=1127) vs R20 (N=1107)</w:t>
            </w:r>
          </w:p>
        </w:tc>
        <w:tc>
          <w:tcPr>
            <w:tcW w:w="1417"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R10 94 (8.3)</w:t>
            </w:r>
          </w:p>
        </w:tc>
        <w:tc>
          <w:tcPr>
            <w:tcW w:w="1559"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R20 97 (8.8)</w:t>
            </w:r>
          </w:p>
        </w:tc>
        <w:tc>
          <w:tcPr>
            <w:tcW w:w="1701"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0.951 (0.725, 1.248)</w:t>
            </w:r>
          </w:p>
        </w:tc>
        <w:tc>
          <w:tcPr>
            <w:tcW w:w="1781"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-0.004 (-0.027, 0.019)</w:t>
            </w:r>
          </w:p>
        </w:tc>
      </w:tr>
      <w:tr w:rsidR="009E1F17" w:rsidRPr="009E1F17" w:rsidTr="000840CF">
        <w:tc>
          <w:tcPr>
            <w:tcW w:w="2722"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R10 (N=1127) vs. ASA (N=1131)</w:t>
            </w:r>
          </w:p>
        </w:tc>
        <w:tc>
          <w:tcPr>
            <w:tcW w:w="1417"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R10 94 (8.3)</w:t>
            </w:r>
          </w:p>
        </w:tc>
        <w:tc>
          <w:tcPr>
            <w:tcW w:w="1559"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ASA 99 (8.8)</w:t>
            </w:r>
          </w:p>
        </w:tc>
        <w:tc>
          <w:tcPr>
            <w:tcW w:w="1701"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0.952 (0.727, 1.248)</w:t>
            </w:r>
          </w:p>
        </w:tc>
        <w:tc>
          <w:tcPr>
            <w:tcW w:w="1781"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-0.004 (-0.027, 0.019)</w:t>
            </w:r>
          </w:p>
        </w:tc>
      </w:tr>
      <w:tr w:rsidR="009E1F17" w:rsidRPr="009E1F17" w:rsidTr="000840CF">
        <w:tc>
          <w:tcPr>
            <w:tcW w:w="2722"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R20 (N=1107) vs. ASA (N=1131)</w:t>
            </w:r>
          </w:p>
        </w:tc>
        <w:tc>
          <w:tcPr>
            <w:tcW w:w="1417"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R20 97 (8.8)</w:t>
            </w:r>
          </w:p>
        </w:tc>
        <w:tc>
          <w:tcPr>
            <w:tcW w:w="1559"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ASA 99 (8.8)</w:t>
            </w:r>
          </w:p>
        </w:tc>
        <w:tc>
          <w:tcPr>
            <w:tcW w:w="1701"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1.001 (0.766, 1.308)</w:t>
            </w:r>
          </w:p>
        </w:tc>
        <w:tc>
          <w:tcPr>
            <w:tcW w:w="1781"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-0.000 (-0.023, 0.024)</w:t>
            </w:r>
          </w:p>
        </w:tc>
      </w:tr>
      <w:tr w:rsidR="009E1F17" w:rsidRPr="009E1F17" w:rsidTr="000840CF">
        <w:tc>
          <w:tcPr>
            <w:tcW w:w="9180" w:type="dxa"/>
            <w:gridSpan w:val="5"/>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b/>
                <w:snapToGrid/>
                <w:sz w:val="20"/>
              </w:rPr>
              <w:t xml:space="preserve">Einstein EXT </w:t>
            </w:r>
          </w:p>
        </w:tc>
      </w:tr>
      <w:tr w:rsidR="009E1F17" w:rsidRPr="009E1F17" w:rsidTr="000840CF">
        <w:tc>
          <w:tcPr>
            <w:tcW w:w="2722"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R20 (N=598) vs. PBO (N=590)</w:t>
            </w:r>
          </w:p>
        </w:tc>
        <w:tc>
          <w:tcPr>
            <w:tcW w:w="1417"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R20 59 (9.9)</w:t>
            </w:r>
          </w:p>
        </w:tc>
        <w:tc>
          <w:tcPr>
            <w:tcW w:w="1559"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PBO 52 (8.8)</w:t>
            </w:r>
          </w:p>
        </w:tc>
        <w:tc>
          <w:tcPr>
            <w:tcW w:w="1701"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1.119 (0.784, 1.596)</w:t>
            </w:r>
          </w:p>
        </w:tc>
        <w:tc>
          <w:tcPr>
            <w:tcW w:w="1781"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0.011 (-0.023, 0.044)</w:t>
            </w:r>
          </w:p>
        </w:tc>
      </w:tr>
      <w:tr w:rsidR="009E1F17" w:rsidRPr="009E1F17" w:rsidTr="000840CF">
        <w:tc>
          <w:tcPr>
            <w:tcW w:w="9180" w:type="dxa"/>
            <w:gridSpan w:val="5"/>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b/>
                <w:snapToGrid/>
                <w:sz w:val="20"/>
              </w:rPr>
              <w:t xml:space="preserve">Amplify EXT </w:t>
            </w:r>
          </w:p>
        </w:tc>
      </w:tr>
      <w:tr w:rsidR="009E1F17" w:rsidRPr="009E1F17" w:rsidTr="000840CF">
        <w:tc>
          <w:tcPr>
            <w:tcW w:w="2722"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A2.5 (N=840) vs. A5 (N 811)</w:t>
            </w:r>
          </w:p>
        </w:tc>
        <w:tc>
          <w:tcPr>
            <w:tcW w:w="1417"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A2.5 112 (13.3)</w:t>
            </w:r>
          </w:p>
        </w:tc>
        <w:tc>
          <w:tcPr>
            <w:tcW w:w="1559"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A5 107 (13.2)</w:t>
            </w:r>
          </w:p>
        </w:tc>
        <w:tc>
          <w:tcPr>
            <w:tcW w:w="1701"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1.01 (0.789, 1.293)</w:t>
            </w:r>
          </w:p>
        </w:tc>
        <w:tc>
          <w:tcPr>
            <w:tcW w:w="1781"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0.001 (-0.031, 0.034)</w:t>
            </w:r>
          </w:p>
        </w:tc>
      </w:tr>
      <w:tr w:rsidR="009E1F17" w:rsidRPr="009E1F17" w:rsidTr="000840CF">
        <w:tc>
          <w:tcPr>
            <w:tcW w:w="2722"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A2.5 (N=840) vs PBO (N=826)</w:t>
            </w:r>
          </w:p>
        </w:tc>
        <w:tc>
          <w:tcPr>
            <w:tcW w:w="1417"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A2.5 112 (13.3)</w:t>
            </w:r>
          </w:p>
        </w:tc>
        <w:tc>
          <w:tcPr>
            <w:tcW w:w="1559"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PBO 158 (19.1)</w:t>
            </w:r>
          </w:p>
        </w:tc>
        <w:tc>
          <w:tcPr>
            <w:tcW w:w="1701" w:type="dxa"/>
            <w:tcMar>
              <w:left w:w="28" w:type="dxa"/>
              <w:right w:w="28" w:type="dxa"/>
            </w:tcMar>
            <w:vAlign w:val="center"/>
          </w:tcPr>
          <w:p w:rsidR="009E1F17" w:rsidRPr="00EE7B26" w:rsidRDefault="009E1F17" w:rsidP="009E1F17">
            <w:pPr>
              <w:widowControl/>
              <w:jc w:val="left"/>
              <w:rPr>
                <w:rFonts w:ascii="Arial Narrow" w:hAnsi="Arial Narrow" w:cs="Times New Roman"/>
                <w:b/>
                <w:snapToGrid/>
                <w:sz w:val="20"/>
              </w:rPr>
            </w:pPr>
            <w:r w:rsidRPr="00EE7B26">
              <w:rPr>
                <w:rFonts w:ascii="Arial Narrow" w:hAnsi="Arial Narrow" w:cs="Times New Roman"/>
                <w:b/>
                <w:snapToGrid/>
                <w:sz w:val="20"/>
              </w:rPr>
              <w:t>0.697 (0.558, 0.87)</w:t>
            </w:r>
          </w:p>
        </w:tc>
        <w:tc>
          <w:tcPr>
            <w:tcW w:w="1781" w:type="dxa"/>
            <w:tcMar>
              <w:left w:w="28" w:type="dxa"/>
              <w:right w:w="28" w:type="dxa"/>
            </w:tcMar>
            <w:vAlign w:val="center"/>
          </w:tcPr>
          <w:p w:rsidR="009E1F17" w:rsidRPr="00EE7B26" w:rsidRDefault="009E1F17" w:rsidP="009E1F17">
            <w:pPr>
              <w:widowControl/>
              <w:jc w:val="left"/>
              <w:rPr>
                <w:rFonts w:ascii="Arial Narrow" w:hAnsi="Arial Narrow" w:cs="Times New Roman"/>
                <w:b/>
                <w:snapToGrid/>
                <w:sz w:val="20"/>
              </w:rPr>
            </w:pPr>
            <w:r w:rsidRPr="00EE7B26">
              <w:rPr>
                <w:rFonts w:ascii="Arial Narrow" w:hAnsi="Arial Narrow" w:cs="Times New Roman"/>
                <w:b/>
                <w:snapToGrid/>
                <w:sz w:val="20"/>
              </w:rPr>
              <w:t>-0.058 (-0.093, -0.023)</w:t>
            </w:r>
          </w:p>
        </w:tc>
      </w:tr>
      <w:tr w:rsidR="009E1F17" w:rsidRPr="009E1F17" w:rsidTr="000840CF">
        <w:tc>
          <w:tcPr>
            <w:tcW w:w="2722"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A5 (N=811) vs. PBO (N=826)</w:t>
            </w:r>
          </w:p>
        </w:tc>
        <w:tc>
          <w:tcPr>
            <w:tcW w:w="1417"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A5 107 (13.2)</w:t>
            </w:r>
          </w:p>
        </w:tc>
        <w:tc>
          <w:tcPr>
            <w:tcW w:w="1559"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PBO 158 (19.1)</w:t>
            </w:r>
          </w:p>
        </w:tc>
        <w:tc>
          <w:tcPr>
            <w:tcW w:w="1701" w:type="dxa"/>
            <w:tcMar>
              <w:left w:w="28" w:type="dxa"/>
              <w:right w:w="28" w:type="dxa"/>
            </w:tcMar>
            <w:vAlign w:val="center"/>
          </w:tcPr>
          <w:p w:rsidR="009E1F17" w:rsidRPr="00EE7B26" w:rsidRDefault="009E1F17" w:rsidP="009E1F17">
            <w:pPr>
              <w:widowControl/>
              <w:jc w:val="left"/>
              <w:rPr>
                <w:rFonts w:ascii="Arial Narrow" w:hAnsi="Arial Narrow" w:cs="Times New Roman"/>
                <w:b/>
                <w:snapToGrid/>
                <w:sz w:val="20"/>
              </w:rPr>
            </w:pPr>
            <w:r w:rsidRPr="00EE7B26">
              <w:rPr>
                <w:rFonts w:ascii="Arial Narrow" w:hAnsi="Arial Narrow" w:cs="Times New Roman"/>
                <w:b/>
                <w:snapToGrid/>
                <w:sz w:val="20"/>
              </w:rPr>
              <w:t>0.689 (0.55, 0.864)</w:t>
            </w:r>
          </w:p>
        </w:tc>
        <w:tc>
          <w:tcPr>
            <w:tcW w:w="1781" w:type="dxa"/>
            <w:tcMar>
              <w:left w:w="28" w:type="dxa"/>
              <w:right w:w="28" w:type="dxa"/>
            </w:tcMar>
            <w:vAlign w:val="center"/>
          </w:tcPr>
          <w:p w:rsidR="009E1F17" w:rsidRPr="00EE7B26" w:rsidRDefault="009E1F17" w:rsidP="009E1F17">
            <w:pPr>
              <w:widowControl/>
              <w:jc w:val="left"/>
              <w:rPr>
                <w:rFonts w:ascii="Arial Narrow" w:hAnsi="Arial Narrow" w:cs="Times New Roman"/>
                <w:b/>
                <w:snapToGrid/>
                <w:sz w:val="20"/>
              </w:rPr>
            </w:pPr>
            <w:r w:rsidRPr="00EE7B26">
              <w:rPr>
                <w:rFonts w:ascii="Arial Narrow" w:hAnsi="Arial Narrow" w:cs="Times New Roman"/>
                <w:b/>
                <w:snapToGrid/>
                <w:sz w:val="20"/>
              </w:rPr>
              <w:t>-0.059 (-0.095, -0.024)</w:t>
            </w:r>
          </w:p>
        </w:tc>
      </w:tr>
      <w:tr w:rsidR="009E1F17" w:rsidRPr="009E1F17" w:rsidTr="000840CF">
        <w:tc>
          <w:tcPr>
            <w:tcW w:w="9180" w:type="dxa"/>
            <w:gridSpan w:val="5"/>
            <w:tcMar>
              <w:left w:w="28" w:type="dxa"/>
              <w:right w:w="28" w:type="dxa"/>
            </w:tcMar>
            <w:vAlign w:val="center"/>
          </w:tcPr>
          <w:p w:rsidR="009E1F17" w:rsidRPr="00EE7B26" w:rsidRDefault="009E1F17" w:rsidP="009E1F17">
            <w:pPr>
              <w:widowControl/>
              <w:jc w:val="left"/>
              <w:rPr>
                <w:rFonts w:ascii="Arial Narrow" w:hAnsi="Arial Narrow" w:cs="Times New Roman"/>
                <w:b/>
                <w:snapToGrid/>
                <w:sz w:val="20"/>
              </w:rPr>
            </w:pPr>
            <w:r w:rsidRPr="00EE7B26">
              <w:rPr>
                <w:rFonts w:ascii="Arial Narrow" w:hAnsi="Arial Narrow" w:cs="Times New Roman"/>
                <w:b/>
                <w:snapToGrid/>
                <w:sz w:val="20"/>
              </w:rPr>
              <w:t>ASPIRE</w:t>
            </w:r>
            <w:r w:rsidRPr="00EE7B26">
              <w:rPr>
                <w:rFonts w:ascii="Arial Narrow" w:hAnsi="Arial Narrow" w:cs="Times New Roman"/>
                <w:b/>
                <w:snapToGrid/>
                <w:sz w:val="20"/>
                <w:vertAlign w:val="superscript"/>
              </w:rPr>
              <w:t>2</w:t>
            </w:r>
            <w:r w:rsidRPr="00EE7B26">
              <w:rPr>
                <w:rFonts w:ascii="Arial Narrow" w:hAnsi="Arial Narrow" w:cs="Times New Roman"/>
                <w:b/>
                <w:snapToGrid/>
                <w:sz w:val="20"/>
              </w:rPr>
              <w:t xml:space="preserve"> </w:t>
            </w:r>
          </w:p>
        </w:tc>
      </w:tr>
      <w:tr w:rsidR="009E1F17" w:rsidRPr="009E1F17" w:rsidTr="000840CF">
        <w:tc>
          <w:tcPr>
            <w:tcW w:w="2722"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lang w:val="nn-NO"/>
              </w:rPr>
            </w:pPr>
            <w:r w:rsidRPr="00EE7B26">
              <w:rPr>
                <w:rFonts w:ascii="Arial Narrow" w:hAnsi="Arial Narrow" w:cs="Times New Roman"/>
                <w:snapToGrid/>
                <w:sz w:val="20"/>
                <w:lang w:val="nn-NO"/>
              </w:rPr>
              <w:t xml:space="preserve">ASA (N=411) vs PBO (N=411) </w:t>
            </w:r>
          </w:p>
        </w:tc>
        <w:tc>
          <w:tcPr>
            <w:tcW w:w="1417"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ASA 102 (24.8)</w:t>
            </w:r>
          </w:p>
        </w:tc>
        <w:tc>
          <w:tcPr>
            <w:tcW w:w="1559"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PBO 117 (28.5)</w:t>
            </w:r>
          </w:p>
        </w:tc>
        <w:tc>
          <w:tcPr>
            <w:tcW w:w="1701"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0.871 (0.694, 1.094)</w:t>
            </w:r>
          </w:p>
        </w:tc>
        <w:tc>
          <w:tcPr>
            <w:tcW w:w="1781" w:type="dxa"/>
            <w:tcMar>
              <w:left w:w="28" w:type="dxa"/>
              <w:right w:w="28" w:type="dxa"/>
            </w:tcMar>
            <w:vAlign w:val="center"/>
          </w:tcPr>
          <w:p w:rsidR="009E1F17" w:rsidRPr="00EE7B26" w:rsidRDefault="009E1F17" w:rsidP="009E1F17">
            <w:pPr>
              <w:widowControl/>
              <w:jc w:val="left"/>
              <w:rPr>
                <w:rFonts w:ascii="Arial Narrow" w:hAnsi="Arial Narrow" w:cs="Times New Roman"/>
                <w:snapToGrid/>
                <w:sz w:val="20"/>
              </w:rPr>
            </w:pPr>
            <w:r w:rsidRPr="00EE7B26">
              <w:rPr>
                <w:rFonts w:ascii="Arial Narrow" w:hAnsi="Arial Narrow" w:cs="Times New Roman"/>
                <w:snapToGrid/>
                <w:sz w:val="20"/>
              </w:rPr>
              <w:t>-0.036 (-0.097, 0.024)</w:t>
            </w:r>
          </w:p>
        </w:tc>
      </w:tr>
    </w:tbl>
    <w:p w:rsidR="009E1F17" w:rsidRPr="009E1F17" w:rsidRDefault="009E1F17" w:rsidP="009E1F17">
      <w:pPr>
        <w:rPr>
          <w:rFonts w:ascii="Arial Narrow" w:hAnsi="Arial Narrow"/>
          <w:sz w:val="18"/>
        </w:rPr>
      </w:pPr>
      <w:r w:rsidRPr="009E1F17">
        <w:rPr>
          <w:rFonts w:ascii="Arial Narrow" w:hAnsi="Arial Narrow"/>
          <w:sz w:val="18"/>
        </w:rPr>
        <w:t>Source: Table 2.20 p53 of the submission, Table S1, Supplementary Appendix p8 Brighton 2012</w:t>
      </w:r>
    </w:p>
    <w:p w:rsidR="009E1F17" w:rsidRPr="009E1F17" w:rsidRDefault="009E1F17" w:rsidP="009E1F17">
      <w:pPr>
        <w:rPr>
          <w:rFonts w:ascii="Arial Narrow" w:hAnsi="Arial Narrow"/>
          <w:sz w:val="18"/>
        </w:rPr>
      </w:pPr>
      <w:r w:rsidRPr="009E1F17">
        <w:rPr>
          <w:rFonts w:ascii="Arial Narrow" w:hAnsi="Arial Narrow"/>
          <w:sz w:val="18"/>
        </w:rPr>
        <w:t>Abbreviations: A2.5=</w:t>
      </w:r>
      <w:proofErr w:type="spellStart"/>
      <w:r w:rsidRPr="009E1F17">
        <w:rPr>
          <w:rFonts w:ascii="Arial Narrow" w:hAnsi="Arial Narrow"/>
          <w:sz w:val="18"/>
        </w:rPr>
        <w:t>apixaban</w:t>
      </w:r>
      <w:proofErr w:type="spellEnd"/>
      <w:r w:rsidRPr="009E1F17">
        <w:rPr>
          <w:rFonts w:ascii="Arial Narrow" w:hAnsi="Arial Narrow"/>
          <w:sz w:val="18"/>
        </w:rPr>
        <w:t xml:space="preserve"> 2.5 mg; A5=</w:t>
      </w:r>
      <w:proofErr w:type="spellStart"/>
      <w:r w:rsidRPr="009E1F17">
        <w:rPr>
          <w:rFonts w:ascii="Arial Narrow" w:hAnsi="Arial Narrow"/>
          <w:sz w:val="18"/>
        </w:rPr>
        <w:t>apixaban</w:t>
      </w:r>
      <w:proofErr w:type="spellEnd"/>
      <w:r w:rsidRPr="009E1F17">
        <w:rPr>
          <w:rFonts w:ascii="Arial Narrow" w:hAnsi="Arial Narrow"/>
          <w:sz w:val="18"/>
        </w:rPr>
        <w:t xml:space="preserve"> 5 mg; AE=adverse event; ASA=aspirin; CI=confidence interval; ID=identification n=number; N=total participants in group; R10=rivaroxaban 10mg; R20=rivaroxaban 20 mg; SAE=serious adverse event; </w:t>
      </w:r>
    </w:p>
    <w:p w:rsidR="009E1F17" w:rsidRPr="009E1F17" w:rsidRDefault="009E1F17" w:rsidP="009E1F17">
      <w:pPr>
        <w:rPr>
          <w:rFonts w:ascii="Arial Narrow" w:hAnsi="Arial Narrow"/>
          <w:sz w:val="18"/>
        </w:rPr>
      </w:pPr>
      <w:r w:rsidRPr="009E1F17">
        <w:rPr>
          <w:rFonts w:ascii="Arial Narrow" w:hAnsi="Arial Narrow"/>
          <w:sz w:val="18"/>
        </w:rPr>
        <w:t xml:space="preserve">Notes: </w:t>
      </w:r>
      <w:r w:rsidRPr="009E1F17">
        <w:rPr>
          <w:rFonts w:ascii="Arial Narrow" w:hAnsi="Arial Narrow"/>
          <w:sz w:val="18"/>
          <w:vertAlign w:val="superscript"/>
        </w:rPr>
        <w:t>1.</w:t>
      </w:r>
      <w:r w:rsidRPr="009E1F17">
        <w:rPr>
          <w:rFonts w:ascii="Arial Narrow" w:hAnsi="Arial Narrow"/>
          <w:sz w:val="18"/>
        </w:rPr>
        <w:t xml:space="preserve"> Einstein CHOICE and Einstein EXT based on number of subjects. Amplify EXT based on any serious event emerging during treatment; </w:t>
      </w:r>
      <w:r w:rsidRPr="009E1F17">
        <w:rPr>
          <w:rFonts w:ascii="Arial Narrow" w:hAnsi="Arial Narrow"/>
          <w:sz w:val="18"/>
          <w:vertAlign w:val="superscript"/>
        </w:rPr>
        <w:t>2.</w:t>
      </w:r>
      <w:r w:rsidRPr="009E1F17">
        <w:rPr>
          <w:rFonts w:ascii="Arial Narrow" w:hAnsi="Arial Narrow"/>
          <w:sz w:val="18"/>
        </w:rPr>
        <w:t xml:space="preserve"> SAE leading to hospitalisation, Table 1 of Supplementary Appendix, Brighton 2012</w:t>
      </w:r>
    </w:p>
    <w:p w:rsidR="009E1F17" w:rsidRDefault="009E1F17" w:rsidP="009E1F17">
      <w:pPr>
        <w:rPr>
          <w:rFonts w:ascii="Arial Narrow" w:hAnsi="Arial Narrow" w:cs="Times New Roman"/>
          <w:b/>
          <w:snapToGrid/>
          <w:sz w:val="20"/>
        </w:rPr>
      </w:pPr>
      <w:r w:rsidRPr="009E1F17">
        <w:rPr>
          <w:rFonts w:ascii="Arial Narrow" w:hAnsi="Arial Narrow"/>
          <w:sz w:val="18"/>
        </w:rPr>
        <w:t>Bold text indicates a statistically significant difference.</w:t>
      </w:r>
    </w:p>
    <w:p w:rsidR="00082122" w:rsidRPr="00082122" w:rsidRDefault="00082122" w:rsidP="009E1F17">
      <w:pPr>
        <w:rPr>
          <w:rFonts w:ascii="Arial Narrow" w:hAnsi="Arial Narrow" w:cs="Times New Roman"/>
          <w:b/>
          <w:snapToGrid/>
          <w:sz w:val="20"/>
        </w:rPr>
      </w:pPr>
    </w:p>
    <w:p w:rsidR="009E1F17" w:rsidRPr="009E1F17" w:rsidRDefault="009E1F17" w:rsidP="009E1F17">
      <w:pPr>
        <w:keepNext/>
        <w:widowControl/>
        <w:jc w:val="left"/>
        <w:rPr>
          <w:rFonts w:ascii="Arial Narrow" w:hAnsi="Arial Narrow" w:cs="Times New Roman"/>
          <w:b/>
          <w:snapToGrid/>
          <w:sz w:val="20"/>
          <w:szCs w:val="20"/>
        </w:rPr>
      </w:pPr>
      <w:bookmarkStart w:id="20" w:name="_Ref523399562"/>
      <w:r w:rsidRPr="009E1F17">
        <w:rPr>
          <w:rFonts w:ascii="Arial Narrow" w:hAnsi="Arial Narrow"/>
          <w:b/>
          <w:sz w:val="20"/>
          <w:szCs w:val="20"/>
        </w:rPr>
        <w:t xml:space="preserve">Table </w:t>
      </w:r>
      <w:r w:rsidR="00C56905">
        <w:rPr>
          <w:rFonts w:ascii="Arial Narrow" w:hAnsi="Arial Narrow"/>
          <w:b/>
          <w:noProof/>
          <w:sz w:val="20"/>
          <w:szCs w:val="20"/>
        </w:rPr>
        <w:t>11</w:t>
      </w:r>
      <w:bookmarkEnd w:id="20"/>
      <w:r w:rsidRPr="009E1F17">
        <w:rPr>
          <w:rFonts w:ascii="Arial Narrow" w:hAnsi="Arial Narrow"/>
          <w:b/>
          <w:sz w:val="20"/>
          <w:szCs w:val="20"/>
        </w:rPr>
        <w:t xml:space="preserve">: </w:t>
      </w:r>
      <w:r w:rsidRPr="009E1F17">
        <w:rPr>
          <w:rFonts w:ascii="Arial Narrow" w:hAnsi="Arial Narrow" w:cs="Times New Roman"/>
          <w:b/>
          <w:snapToGrid/>
          <w:sz w:val="20"/>
          <w:szCs w:val="20"/>
        </w:rPr>
        <w:t>Summary of adverse events (AE) resulting in death n (%)</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1417"/>
        <w:gridCol w:w="1559"/>
        <w:gridCol w:w="1701"/>
        <w:gridCol w:w="1701"/>
      </w:tblGrid>
      <w:tr w:rsidR="009E1F17" w:rsidRPr="009E1F17" w:rsidTr="000840CF">
        <w:tc>
          <w:tcPr>
            <w:tcW w:w="2722" w:type="dxa"/>
            <w:tcMar>
              <w:left w:w="28" w:type="dxa"/>
              <w:right w:w="28" w:type="dxa"/>
            </w:tcMar>
            <w:vAlign w:val="center"/>
          </w:tcPr>
          <w:p w:rsidR="009E1F17" w:rsidRPr="009E1F17" w:rsidRDefault="009E1F17" w:rsidP="009E1F17">
            <w:pPr>
              <w:keepNext/>
              <w:widowControl/>
              <w:jc w:val="left"/>
              <w:rPr>
                <w:rFonts w:ascii="Arial Narrow" w:hAnsi="Arial Narrow" w:cs="Times New Roman"/>
                <w:b/>
                <w:snapToGrid/>
                <w:sz w:val="20"/>
              </w:rPr>
            </w:pPr>
            <w:r w:rsidRPr="009E1F17">
              <w:rPr>
                <w:rFonts w:ascii="Arial Narrow" w:hAnsi="Arial Narrow" w:cs="Times New Roman"/>
                <w:b/>
                <w:snapToGrid/>
                <w:sz w:val="20"/>
              </w:rPr>
              <w:t xml:space="preserve">Trial ID </w:t>
            </w:r>
          </w:p>
        </w:tc>
        <w:tc>
          <w:tcPr>
            <w:tcW w:w="1417" w:type="dxa"/>
            <w:tcMar>
              <w:left w:w="28" w:type="dxa"/>
              <w:right w:w="28" w:type="dxa"/>
            </w:tcMar>
            <w:vAlign w:val="center"/>
          </w:tcPr>
          <w:p w:rsidR="009E1F17" w:rsidRPr="009E1F17" w:rsidRDefault="009E1F17" w:rsidP="009E1F17">
            <w:pPr>
              <w:keepNext/>
              <w:widowControl/>
              <w:jc w:val="left"/>
              <w:rPr>
                <w:rFonts w:ascii="Arial Narrow" w:hAnsi="Arial Narrow" w:cs="Times New Roman"/>
                <w:b/>
                <w:snapToGrid/>
                <w:sz w:val="20"/>
              </w:rPr>
            </w:pPr>
            <w:r w:rsidRPr="009E1F17">
              <w:rPr>
                <w:rFonts w:ascii="Arial Narrow" w:hAnsi="Arial Narrow" w:cs="Times New Roman"/>
                <w:b/>
                <w:snapToGrid/>
                <w:sz w:val="20"/>
              </w:rPr>
              <w:t xml:space="preserve">Intervention </w:t>
            </w:r>
          </w:p>
        </w:tc>
        <w:tc>
          <w:tcPr>
            <w:tcW w:w="1559" w:type="dxa"/>
            <w:tcMar>
              <w:left w:w="28" w:type="dxa"/>
              <w:right w:w="28" w:type="dxa"/>
            </w:tcMar>
            <w:vAlign w:val="center"/>
          </w:tcPr>
          <w:p w:rsidR="009E1F17" w:rsidRPr="009E1F17" w:rsidRDefault="009E1F17" w:rsidP="009E1F17">
            <w:pPr>
              <w:keepNext/>
              <w:widowControl/>
              <w:jc w:val="left"/>
              <w:rPr>
                <w:rFonts w:ascii="Arial Narrow" w:hAnsi="Arial Narrow" w:cs="Times New Roman"/>
                <w:b/>
                <w:snapToGrid/>
                <w:sz w:val="20"/>
              </w:rPr>
            </w:pPr>
            <w:r w:rsidRPr="009E1F17">
              <w:rPr>
                <w:rFonts w:ascii="Arial Narrow" w:hAnsi="Arial Narrow" w:cs="Times New Roman"/>
                <w:b/>
                <w:snapToGrid/>
                <w:sz w:val="20"/>
              </w:rPr>
              <w:t>Comparator</w:t>
            </w:r>
          </w:p>
        </w:tc>
        <w:tc>
          <w:tcPr>
            <w:tcW w:w="1701" w:type="dxa"/>
            <w:tcMar>
              <w:left w:w="28" w:type="dxa"/>
              <w:right w:w="28" w:type="dxa"/>
            </w:tcMar>
            <w:vAlign w:val="center"/>
          </w:tcPr>
          <w:p w:rsidR="009E1F17" w:rsidRPr="009E1F17" w:rsidRDefault="009E1F17" w:rsidP="009E1F17">
            <w:pPr>
              <w:keepNext/>
              <w:widowControl/>
              <w:jc w:val="left"/>
              <w:rPr>
                <w:rFonts w:ascii="Arial Narrow" w:hAnsi="Arial Narrow" w:cs="Times New Roman"/>
                <w:b/>
                <w:snapToGrid/>
                <w:sz w:val="20"/>
              </w:rPr>
            </w:pPr>
            <w:r w:rsidRPr="009E1F17">
              <w:rPr>
                <w:rFonts w:ascii="Arial Narrow" w:hAnsi="Arial Narrow" w:cs="Times New Roman"/>
                <w:b/>
                <w:snapToGrid/>
                <w:sz w:val="20"/>
              </w:rPr>
              <w:t>RR (95% CI)</w:t>
            </w:r>
          </w:p>
        </w:tc>
        <w:tc>
          <w:tcPr>
            <w:tcW w:w="1701" w:type="dxa"/>
            <w:tcMar>
              <w:left w:w="28" w:type="dxa"/>
              <w:right w:w="28" w:type="dxa"/>
            </w:tcMar>
          </w:tcPr>
          <w:p w:rsidR="009E1F17" w:rsidRPr="009E1F17" w:rsidRDefault="009E1F17" w:rsidP="009E1F17">
            <w:pPr>
              <w:keepNext/>
              <w:widowControl/>
              <w:jc w:val="left"/>
              <w:rPr>
                <w:rFonts w:ascii="Arial Narrow" w:hAnsi="Arial Narrow" w:cs="Times New Roman"/>
                <w:b/>
                <w:snapToGrid/>
                <w:sz w:val="20"/>
              </w:rPr>
            </w:pPr>
            <w:r w:rsidRPr="009E1F17">
              <w:rPr>
                <w:rFonts w:ascii="Arial Narrow" w:hAnsi="Arial Narrow" w:cs="Times New Roman"/>
                <w:b/>
                <w:snapToGrid/>
                <w:sz w:val="20"/>
              </w:rPr>
              <w:t>RD (95% CI)</w:t>
            </w:r>
          </w:p>
        </w:tc>
      </w:tr>
      <w:tr w:rsidR="009E1F17" w:rsidRPr="009E1F17" w:rsidTr="000840CF">
        <w:tc>
          <w:tcPr>
            <w:tcW w:w="9100" w:type="dxa"/>
            <w:gridSpan w:val="5"/>
            <w:tcMar>
              <w:left w:w="28" w:type="dxa"/>
              <w:right w:w="28" w:type="dxa"/>
            </w:tcMar>
            <w:vAlign w:val="center"/>
          </w:tcPr>
          <w:p w:rsidR="009E1F17" w:rsidRPr="00EE7B26" w:rsidRDefault="009E1F17" w:rsidP="009E1F17">
            <w:pPr>
              <w:keepNext/>
              <w:widowControl/>
              <w:jc w:val="left"/>
              <w:rPr>
                <w:rFonts w:ascii="Arial Narrow" w:hAnsi="Arial Narrow" w:cs="Times New Roman"/>
                <w:snapToGrid/>
                <w:sz w:val="20"/>
              </w:rPr>
            </w:pPr>
            <w:r w:rsidRPr="00EE7B26">
              <w:rPr>
                <w:rFonts w:ascii="Arial Narrow" w:hAnsi="Arial Narrow" w:cs="Times New Roman"/>
                <w:b/>
                <w:snapToGrid/>
                <w:sz w:val="20"/>
              </w:rPr>
              <w:t xml:space="preserve">Einstein CHOICE </w:t>
            </w:r>
          </w:p>
        </w:tc>
      </w:tr>
      <w:tr w:rsidR="009E1F17" w:rsidRPr="009E1F17" w:rsidTr="000840CF">
        <w:tc>
          <w:tcPr>
            <w:tcW w:w="2722" w:type="dxa"/>
            <w:tcMar>
              <w:left w:w="28" w:type="dxa"/>
              <w:right w:w="28" w:type="dxa"/>
            </w:tcMar>
            <w:vAlign w:val="center"/>
          </w:tcPr>
          <w:p w:rsidR="009E1F17" w:rsidRPr="00EE7B26" w:rsidRDefault="009E1F17" w:rsidP="009E1F17">
            <w:pPr>
              <w:keepNext/>
              <w:widowControl/>
              <w:jc w:val="left"/>
              <w:rPr>
                <w:rFonts w:ascii="Arial Narrow" w:hAnsi="Arial Narrow" w:cs="Times New Roman"/>
                <w:b/>
                <w:snapToGrid/>
                <w:sz w:val="20"/>
              </w:rPr>
            </w:pPr>
            <w:r w:rsidRPr="00EE7B26">
              <w:rPr>
                <w:rFonts w:ascii="Arial Narrow" w:hAnsi="Arial Narrow" w:cs="Times New Roman"/>
                <w:snapToGrid/>
                <w:sz w:val="20"/>
              </w:rPr>
              <w:t>R10 (N=1127) vs. R20 (N=1107)</w:t>
            </w:r>
          </w:p>
        </w:tc>
        <w:tc>
          <w:tcPr>
            <w:tcW w:w="1417" w:type="dxa"/>
            <w:tcMar>
              <w:left w:w="28" w:type="dxa"/>
              <w:right w:w="28" w:type="dxa"/>
            </w:tcMar>
            <w:vAlign w:val="center"/>
          </w:tcPr>
          <w:p w:rsidR="009E1F17" w:rsidRPr="00EE7B26" w:rsidRDefault="009E1F17" w:rsidP="009E1F17">
            <w:pPr>
              <w:keepNext/>
              <w:widowControl/>
              <w:jc w:val="left"/>
              <w:rPr>
                <w:rFonts w:ascii="Arial Narrow" w:hAnsi="Arial Narrow" w:cs="Times New Roman"/>
                <w:snapToGrid/>
                <w:sz w:val="20"/>
              </w:rPr>
            </w:pPr>
            <w:r w:rsidRPr="00EE7B26">
              <w:rPr>
                <w:rFonts w:ascii="Arial Narrow" w:hAnsi="Arial Narrow" w:cs="Times New Roman"/>
                <w:snapToGrid/>
                <w:sz w:val="20"/>
              </w:rPr>
              <w:t>R10 3 (0.3)</w:t>
            </w:r>
          </w:p>
        </w:tc>
        <w:tc>
          <w:tcPr>
            <w:tcW w:w="1559" w:type="dxa"/>
            <w:tcMar>
              <w:left w:w="28" w:type="dxa"/>
              <w:right w:w="28" w:type="dxa"/>
            </w:tcMar>
            <w:vAlign w:val="center"/>
          </w:tcPr>
          <w:p w:rsidR="009E1F17" w:rsidRPr="00EE7B26" w:rsidRDefault="009E1F17" w:rsidP="009E1F17">
            <w:pPr>
              <w:keepNext/>
              <w:widowControl/>
              <w:jc w:val="left"/>
              <w:rPr>
                <w:rFonts w:ascii="Arial Narrow" w:hAnsi="Arial Narrow" w:cs="Times New Roman"/>
                <w:snapToGrid/>
                <w:sz w:val="20"/>
              </w:rPr>
            </w:pPr>
            <w:r w:rsidRPr="00EE7B26">
              <w:rPr>
                <w:rFonts w:ascii="Arial Narrow" w:hAnsi="Arial Narrow" w:cs="Times New Roman"/>
                <w:snapToGrid/>
                <w:sz w:val="20"/>
              </w:rPr>
              <w:t>R20 8 (0.7)</w:t>
            </w:r>
          </w:p>
        </w:tc>
        <w:tc>
          <w:tcPr>
            <w:tcW w:w="1701" w:type="dxa"/>
            <w:tcMar>
              <w:left w:w="28" w:type="dxa"/>
              <w:right w:w="28" w:type="dxa"/>
            </w:tcMar>
            <w:vAlign w:val="center"/>
          </w:tcPr>
          <w:p w:rsidR="009E1F17" w:rsidRPr="00EE7B26" w:rsidRDefault="009E1F17" w:rsidP="009E1F17">
            <w:pPr>
              <w:keepNext/>
              <w:widowControl/>
              <w:jc w:val="left"/>
              <w:rPr>
                <w:rFonts w:ascii="Arial Narrow" w:hAnsi="Arial Narrow" w:cs="Times New Roman"/>
                <w:snapToGrid/>
                <w:sz w:val="20"/>
              </w:rPr>
            </w:pPr>
            <w:r w:rsidRPr="00EE7B26">
              <w:rPr>
                <w:rFonts w:ascii="Arial Narrow" w:hAnsi="Arial Narrow" w:cs="Times New Roman"/>
                <w:snapToGrid/>
                <w:sz w:val="20"/>
              </w:rPr>
              <w:t>0.368 (0.097, 1.384)</w:t>
            </w:r>
          </w:p>
        </w:tc>
        <w:tc>
          <w:tcPr>
            <w:tcW w:w="1701" w:type="dxa"/>
            <w:tcMar>
              <w:left w:w="28" w:type="dxa"/>
              <w:right w:w="28" w:type="dxa"/>
            </w:tcMar>
            <w:vAlign w:val="center"/>
          </w:tcPr>
          <w:p w:rsidR="009E1F17" w:rsidRPr="00EE7B26" w:rsidRDefault="009E1F17" w:rsidP="009E1F17">
            <w:pPr>
              <w:keepNext/>
              <w:widowControl/>
              <w:jc w:val="left"/>
              <w:rPr>
                <w:rFonts w:ascii="Arial Narrow" w:hAnsi="Arial Narrow" w:cs="Times New Roman"/>
                <w:snapToGrid/>
                <w:sz w:val="20"/>
              </w:rPr>
            </w:pPr>
            <w:r w:rsidRPr="00EE7B26">
              <w:rPr>
                <w:rFonts w:ascii="Arial Narrow" w:hAnsi="Arial Narrow" w:cs="Times New Roman"/>
                <w:snapToGrid/>
                <w:sz w:val="20"/>
              </w:rPr>
              <w:t>-0.005 (-0.01, 0.001)</w:t>
            </w:r>
          </w:p>
        </w:tc>
      </w:tr>
      <w:tr w:rsidR="009E1F17" w:rsidRPr="009E1F17" w:rsidTr="000840CF">
        <w:tc>
          <w:tcPr>
            <w:tcW w:w="2722" w:type="dxa"/>
            <w:tcMar>
              <w:left w:w="28" w:type="dxa"/>
              <w:right w:w="28" w:type="dxa"/>
            </w:tcMar>
            <w:vAlign w:val="center"/>
          </w:tcPr>
          <w:p w:rsidR="009E1F17" w:rsidRPr="00EE7B26" w:rsidRDefault="009E1F17" w:rsidP="009E1F17">
            <w:pPr>
              <w:keepNext/>
              <w:widowControl/>
              <w:jc w:val="left"/>
              <w:rPr>
                <w:rFonts w:ascii="Arial Narrow" w:hAnsi="Arial Narrow" w:cs="Times New Roman"/>
                <w:b/>
                <w:snapToGrid/>
                <w:sz w:val="20"/>
              </w:rPr>
            </w:pPr>
            <w:r w:rsidRPr="00EE7B26">
              <w:rPr>
                <w:rFonts w:ascii="Arial Narrow" w:hAnsi="Arial Narrow" w:cs="Times New Roman"/>
                <w:snapToGrid/>
                <w:sz w:val="20"/>
              </w:rPr>
              <w:t>R10 (N=1127) vs. ASA (N=1131)</w:t>
            </w:r>
          </w:p>
        </w:tc>
        <w:tc>
          <w:tcPr>
            <w:tcW w:w="1417" w:type="dxa"/>
            <w:tcMar>
              <w:left w:w="28" w:type="dxa"/>
              <w:right w:w="28" w:type="dxa"/>
            </w:tcMar>
            <w:vAlign w:val="center"/>
          </w:tcPr>
          <w:p w:rsidR="009E1F17" w:rsidRPr="00EE7B26" w:rsidRDefault="009E1F17" w:rsidP="009E1F17">
            <w:pPr>
              <w:keepNext/>
              <w:widowControl/>
              <w:jc w:val="left"/>
              <w:rPr>
                <w:rFonts w:ascii="Arial Narrow" w:hAnsi="Arial Narrow" w:cs="Times New Roman"/>
                <w:snapToGrid/>
                <w:sz w:val="20"/>
              </w:rPr>
            </w:pPr>
            <w:r w:rsidRPr="00EE7B26">
              <w:rPr>
                <w:rFonts w:ascii="Arial Narrow" w:hAnsi="Arial Narrow" w:cs="Times New Roman"/>
                <w:snapToGrid/>
                <w:sz w:val="20"/>
              </w:rPr>
              <w:t>R10 3 (0.3)</w:t>
            </w:r>
          </w:p>
        </w:tc>
        <w:tc>
          <w:tcPr>
            <w:tcW w:w="1559" w:type="dxa"/>
            <w:tcMar>
              <w:left w:w="28" w:type="dxa"/>
              <w:right w:w="28" w:type="dxa"/>
            </w:tcMar>
            <w:vAlign w:val="center"/>
          </w:tcPr>
          <w:p w:rsidR="009E1F17" w:rsidRPr="00EE7B26" w:rsidRDefault="009E1F17" w:rsidP="009E1F17">
            <w:pPr>
              <w:keepNext/>
              <w:widowControl/>
              <w:jc w:val="left"/>
              <w:rPr>
                <w:rFonts w:ascii="Arial Narrow" w:hAnsi="Arial Narrow" w:cs="Times New Roman"/>
                <w:snapToGrid/>
                <w:sz w:val="20"/>
              </w:rPr>
            </w:pPr>
            <w:r w:rsidRPr="00EE7B26">
              <w:rPr>
                <w:rFonts w:ascii="Arial Narrow" w:hAnsi="Arial Narrow" w:cs="Times New Roman"/>
                <w:snapToGrid/>
                <w:sz w:val="20"/>
              </w:rPr>
              <w:t>ASA 4 (0.4)</w:t>
            </w:r>
          </w:p>
        </w:tc>
        <w:tc>
          <w:tcPr>
            <w:tcW w:w="1701" w:type="dxa"/>
            <w:tcMar>
              <w:left w:w="28" w:type="dxa"/>
              <w:right w:w="28" w:type="dxa"/>
            </w:tcMar>
            <w:vAlign w:val="center"/>
          </w:tcPr>
          <w:p w:rsidR="009E1F17" w:rsidRPr="00EE7B26" w:rsidRDefault="009E1F17" w:rsidP="009E1F17">
            <w:pPr>
              <w:keepNext/>
              <w:widowControl/>
              <w:jc w:val="left"/>
              <w:rPr>
                <w:rFonts w:ascii="Arial Narrow" w:hAnsi="Arial Narrow" w:cs="Times New Roman"/>
                <w:snapToGrid/>
                <w:sz w:val="20"/>
              </w:rPr>
            </w:pPr>
            <w:r w:rsidRPr="00EE7B26">
              <w:rPr>
                <w:rFonts w:ascii="Arial Narrow" w:hAnsi="Arial Narrow" w:cs="Times New Roman"/>
                <w:snapToGrid/>
                <w:sz w:val="20"/>
              </w:rPr>
              <w:t>0.752 (0.168, 3.355)</w:t>
            </w:r>
          </w:p>
        </w:tc>
        <w:tc>
          <w:tcPr>
            <w:tcW w:w="1701" w:type="dxa"/>
            <w:tcMar>
              <w:left w:w="28" w:type="dxa"/>
              <w:right w:w="28" w:type="dxa"/>
            </w:tcMar>
            <w:vAlign w:val="center"/>
          </w:tcPr>
          <w:p w:rsidR="009E1F17" w:rsidRPr="00EE7B26" w:rsidRDefault="009E1F17" w:rsidP="009E1F17">
            <w:pPr>
              <w:keepNext/>
              <w:widowControl/>
              <w:jc w:val="left"/>
              <w:rPr>
                <w:rFonts w:ascii="Arial Narrow" w:hAnsi="Arial Narrow" w:cs="Times New Roman"/>
                <w:snapToGrid/>
                <w:sz w:val="20"/>
              </w:rPr>
            </w:pPr>
            <w:r w:rsidRPr="00EE7B26">
              <w:rPr>
                <w:rFonts w:ascii="Arial Narrow" w:hAnsi="Arial Narrow" w:cs="Times New Roman"/>
                <w:snapToGrid/>
                <w:sz w:val="20"/>
              </w:rPr>
              <w:t>-0.001 (-0.005, 0.004)</w:t>
            </w:r>
          </w:p>
        </w:tc>
      </w:tr>
      <w:tr w:rsidR="009E1F17" w:rsidRPr="009E1F17" w:rsidTr="000840CF">
        <w:tc>
          <w:tcPr>
            <w:tcW w:w="2722" w:type="dxa"/>
            <w:tcMar>
              <w:left w:w="28" w:type="dxa"/>
              <w:right w:w="28" w:type="dxa"/>
            </w:tcMar>
            <w:vAlign w:val="center"/>
          </w:tcPr>
          <w:p w:rsidR="009E1F17" w:rsidRPr="00EE7B26" w:rsidRDefault="009E1F17" w:rsidP="009E1F17">
            <w:pPr>
              <w:keepNext/>
              <w:widowControl/>
              <w:jc w:val="left"/>
              <w:rPr>
                <w:rFonts w:ascii="Arial Narrow" w:hAnsi="Arial Narrow" w:cs="Times New Roman"/>
                <w:b/>
                <w:snapToGrid/>
                <w:sz w:val="20"/>
              </w:rPr>
            </w:pPr>
            <w:r w:rsidRPr="00EE7B26">
              <w:rPr>
                <w:rFonts w:ascii="Arial Narrow" w:hAnsi="Arial Narrow" w:cs="Times New Roman"/>
                <w:snapToGrid/>
                <w:sz w:val="20"/>
              </w:rPr>
              <w:t>R20 (N=1107) vs. ASA (N=1131)</w:t>
            </w:r>
          </w:p>
        </w:tc>
        <w:tc>
          <w:tcPr>
            <w:tcW w:w="1417" w:type="dxa"/>
            <w:tcMar>
              <w:left w:w="28" w:type="dxa"/>
              <w:right w:w="28" w:type="dxa"/>
            </w:tcMar>
            <w:vAlign w:val="center"/>
          </w:tcPr>
          <w:p w:rsidR="009E1F17" w:rsidRPr="00EE7B26" w:rsidRDefault="009E1F17" w:rsidP="009E1F17">
            <w:pPr>
              <w:keepNext/>
              <w:widowControl/>
              <w:jc w:val="left"/>
              <w:rPr>
                <w:rFonts w:ascii="Arial Narrow" w:hAnsi="Arial Narrow" w:cs="Times New Roman"/>
                <w:snapToGrid/>
                <w:sz w:val="20"/>
              </w:rPr>
            </w:pPr>
            <w:r w:rsidRPr="00EE7B26">
              <w:rPr>
                <w:rFonts w:ascii="Arial Narrow" w:hAnsi="Arial Narrow" w:cs="Times New Roman"/>
                <w:snapToGrid/>
                <w:sz w:val="20"/>
              </w:rPr>
              <w:t>R20 8 (0.7)</w:t>
            </w:r>
          </w:p>
        </w:tc>
        <w:tc>
          <w:tcPr>
            <w:tcW w:w="1559" w:type="dxa"/>
            <w:tcMar>
              <w:left w:w="28" w:type="dxa"/>
              <w:right w:w="28" w:type="dxa"/>
            </w:tcMar>
            <w:vAlign w:val="center"/>
          </w:tcPr>
          <w:p w:rsidR="009E1F17" w:rsidRPr="00EE7B26" w:rsidRDefault="009E1F17" w:rsidP="009E1F17">
            <w:pPr>
              <w:keepNext/>
              <w:widowControl/>
              <w:jc w:val="left"/>
              <w:rPr>
                <w:rFonts w:ascii="Arial Narrow" w:hAnsi="Arial Narrow" w:cs="Times New Roman"/>
                <w:snapToGrid/>
                <w:sz w:val="20"/>
              </w:rPr>
            </w:pPr>
            <w:r w:rsidRPr="00EE7B26">
              <w:rPr>
                <w:rFonts w:ascii="Arial Narrow" w:hAnsi="Arial Narrow" w:cs="Times New Roman"/>
                <w:snapToGrid/>
                <w:sz w:val="20"/>
              </w:rPr>
              <w:t>ASA 4 (0.4)</w:t>
            </w:r>
          </w:p>
        </w:tc>
        <w:tc>
          <w:tcPr>
            <w:tcW w:w="1701" w:type="dxa"/>
            <w:tcMar>
              <w:left w:w="28" w:type="dxa"/>
              <w:right w:w="28" w:type="dxa"/>
            </w:tcMar>
            <w:vAlign w:val="center"/>
          </w:tcPr>
          <w:p w:rsidR="009E1F17" w:rsidRPr="00EE7B26" w:rsidRDefault="009E1F17" w:rsidP="009E1F17">
            <w:pPr>
              <w:keepNext/>
              <w:widowControl/>
              <w:jc w:val="left"/>
              <w:rPr>
                <w:rFonts w:ascii="Arial Narrow" w:hAnsi="Arial Narrow" w:cs="Times New Roman"/>
                <w:snapToGrid/>
                <w:sz w:val="20"/>
              </w:rPr>
            </w:pPr>
            <w:r w:rsidRPr="00EE7B26">
              <w:rPr>
                <w:rFonts w:ascii="Arial Narrow" w:hAnsi="Arial Narrow" w:cs="Times New Roman"/>
                <w:snapToGrid/>
                <w:sz w:val="20"/>
              </w:rPr>
              <w:t>2.043 (0.617, 6.766)</w:t>
            </w:r>
          </w:p>
        </w:tc>
        <w:tc>
          <w:tcPr>
            <w:tcW w:w="1701" w:type="dxa"/>
            <w:tcMar>
              <w:left w:w="28" w:type="dxa"/>
              <w:right w:w="28" w:type="dxa"/>
            </w:tcMar>
            <w:vAlign w:val="center"/>
          </w:tcPr>
          <w:p w:rsidR="009E1F17" w:rsidRPr="00EE7B26" w:rsidRDefault="009E1F17" w:rsidP="009E1F17">
            <w:pPr>
              <w:keepNext/>
              <w:widowControl/>
              <w:jc w:val="left"/>
              <w:rPr>
                <w:rFonts w:ascii="Arial Narrow" w:hAnsi="Arial Narrow" w:cs="Times New Roman"/>
                <w:snapToGrid/>
                <w:sz w:val="20"/>
              </w:rPr>
            </w:pPr>
            <w:r w:rsidRPr="00EE7B26">
              <w:rPr>
                <w:rFonts w:ascii="Arial Narrow" w:hAnsi="Arial Narrow" w:cs="Times New Roman"/>
                <w:snapToGrid/>
                <w:sz w:val="20"/>
              </w:rPr>
              <w:t>0.004 (-0.002, 0.01)</w:t>
            </w:r>
          </w:p>
        </w:tc>
      </w:tr>
      <w:tr w:rsidR="009E1F17" w:rsidRPr="009E1F17" w:rsidTr="000840CF">
        <w:tc>
          <w:tcPr>
            <w:tcW w:w="9100" w:type="dxa"/>
            <w:gridSpan w:val="5"/>
            <w:tcMar>
              <w:left w:w="28" w:type="dxa"/>
              <w:right w:w="28" w:type="dxa"/>
            </w:tcMar>
            <w:vAlign w:val="center"/>
          </w:tcPr>
          <w:p w:rsidR="009E1F17" w:rsidRPr="00EE7B26" w:rsidRDefault="009E1F17" w:rsidP="009E1F17">
            <w:pPr>
              <w:keepNext/>
              <w:widowControl/>
              <w:jc w:val="left"/>
              <w:rPr>
                <w:rFonts w:ascii="Arial Narrow" w:hAnsi="Arial Narrow" w:cs="Times New Roman"/>
                <w:snapToGrid/>
                <w:sz w:val="20"/>
              </w:rPr>
            </w:pPr>
            <w:r w:rsidRPr="00EE7B26">
              <w:rPr>
                <w:rFonts w:ascii="Arial Narrow" w:hAnsi="Arial Narrow" w:cs="Times New Roman"/>
                <w:b/>
                <w:snapToGrid/>
                <w:sz w:val="20"/>
              </w:rPr>
              <w:t xml:space="preserve">Einstein EXT </w:t>
            </w:r>
          </w:p>
        </w:tc>
      </w:tr>
      <w:tr w:rsidR="009E1F17" w:rsidRPr="009E1F17" w:rsidTr="000840CF">
        <w:tc>
          <w:tcPr>
            <w:tcW w:w="2722" w:type="dxa"/>
            <w:tcMar>
              <w:left w:w="28" w:type="dxa"/>
              <w:right w:w="28" w:type="dxa"/>
            </w:tcMar>
            <w:vAlign w:val="center"/>
          </w:tcPr>
          <w:p w:rsidR="009E1F17" w:rsidRPr="00EE7B26" w:rsidRDefault="009E1F17" w:rsidP="009E1F17">
            <w:pPr>
              <w:keepNext/>
              <w:widowControl/>
              <w:jc w:val="left"/>
              <w:rPr>
                <w:rFonts w:ascii="Arial Narrow" w:hAnsi="Arial Narrow" w:cs="Times New Roman"/>
                <w:b/>
                <w:snapToGrid/>
                <w:sz w:val="20"/>
              </w:rPr>
            </w:pPr>
            <w:r w:rsidRPr="00EE7B26">
              <w:rPr>
                <w:rFonts w:ascii="Arial Narrow" w:hAnsi="Arial Narrow" w:cs="Times New Roman"/>
                <w:snapToGrid/>
                <w:sz w:val="20"/>
              </w:rPr>
              <w:t xml:space="preserve">R20 (N=598) vs. PBO (N=590) </w:t>
            </w:r>
          </w:p>
        </w:tc>
        <w:tc>
          <w:tcPr>
            <w:tcW w:w="1417" w:type="dxa"/>
            <w:tcMar>
              <w:left w:w="28" w:type="dxa"/>
              <w:right w:w="28" w:type="dxa"/>
            </w:tcMar>
            <w:vAlign w:val="center"/>
          </w:tcPr>
          <w:p w:rsidR="009E1F17" w:rsidRPr="00EE7B26" w:rsidRDefault="009E1F17" w:rsidP="009E1F17">
            <w:pPr>
              <w:keepNext/>
              <w:widowControl/>
              <w:jc w:val="left"/>
              <w:rPr>
                <w:rFonts w:ascii="Arial Narrow" w:hAnsi="Arial Narrow" w:cs="Times New Roman"/>
                <w:snapToGrid/>
                <w:sz w:val="20"/>
              </w:rPr>
            </w:pPr>
            <w:r w:rsidRPr="00EE7B26">
              <w:rPr>
                <w:rFonts w:ascii="Arial Narrow" w:hAnsi="Arial Narrow" w:cs="Times New Roman"/>
                <w:snapToGrid/>
                <w:sz w:val="20"/>
              </w:rPr>
              <w:t>R20 1 (0.2)</w:t>
            </w:r>
          </w:p>
        </w:tc>
        <w:tc>
          <w:tcPr>
            <w:tcW w:w="1559" w:type="dxa"/>
            <w:tcMar>
              <w:left w:w="28" w:type="dxa"/>
              <w:right w:w="28" w:type="dxa"/>
            </w:tcMar>
            <w:vAlign w:val="center"/>
          </w:tcPr>
          <w:p w:rsidR="009E1F17" w:rsidRPr="00EE7B26" w:rsidRDefault="009E1F17" w:rsidP="009E1F17">
            <w:pPr>
              <w:keepNext/>
              <w:widowControl/>
              <w:jc w:val="left"/>
              <w:rPr>
                <w:rFonts w:ascii="Arial Narrow" w:hAnsi="Arial Narrow" w:cs="Times New Roman"/>
                <w:snapToGrid/>
                <w:sz w:val="20"/>
              </w:rPr>
            </w:pPr>
            <w:r w:rsidRPr="00EE7B26">
              <w:rPr>
                <w:rFonts w:ascii="Arial Narrow" w:hAnsi="Arial Narrow" w:cs="Times New Roman"/>
                <w:snapToGrid/>
                <w:sz w:val="20"/>
              </w:rPr>
              <w:t>PBO 2 (0.3)</w:t>
            </w:r>
          </w:p>
        </w:tc>
        <w:tc>
          <w:tcPr>
            <w:tcW w:w="1701" w:type="dxa"/>
            <w:tcMar>
              <w:left w:w="28" w:type="dxa"/>
              <w:right w:w="28" w:type="dxa"/>
            </w:tcMar>
            <w:vAlign w:val="center"/>
          </w:tcPr>
          <w:p w:rsidR="009E1F17" w:rsidRPr="00EE7B26" w:rsidRDefault="009E1F17" w:rsidP="009E1F17">
            <w:pPr>
              <w:keepNext/>
              <w:widowControl/>
              <w:jc w:val="left"/>
              <w:rPr>
                <w:rFonts w:ascii="Arial Narrow" w:hAnsi="Arial Narrow" w:cs="Times New Roman"/>
                <w:snapToGrid/>
                <w:sz w:val="20"/>
              </w:rPr>
            </w:pPr>
            <w:r w:rsidRPr="00EE7B26">
              <w:rPr>
                <w:rFonts w:ascii="Arial Narrow" w:hAnsi="Arial Narrow" w:cs="Times New Roman"/>
                <w:snapToGrid/>
                <w:sz w:val="20"/>
              </w:rPr>
              <w:t>0.0493 (0.044, 5.425)</w:t>
            </w:r>
          </w:p>
        </w:tc>
        <w:tc>
          <w:tcPr>
            <w:tcW w:w="1701" w:type="dxa"/>
            <w:tcMar>
              <w:left w:w="28" w:type="dxa"/>
              <w:right w:w="28" w:type="dxa"/>
            </w:tcMar>
            <w:vAlign w:val="center"/>
          </w:tcPr>
          <w:p w:rsidR="009E1F17" w:rsidRPr="00EE7B26" w:rsidRDefault="009E1F17" w:rsidP="009E1F17">
            <w:pPr>
              <w:keepNext/>
              <w:widowControl/>
              <w:jc w:val="left"/>
              <w:rPr>
                <w:rFonts w:ascii="Arial Narrow" w:hAnsi="Arial Narrow" w:cs="Times New Roman"/>
                <w:snapToGrid/>
                <w:sz w:val="20"/>
              </w:rPr>
            </w:pPr>
            <w:r w:rsidRPr="00EE7B26">
              <w:rPr>
                <w:rFonts w:ascii="Arial Narrow" w:hAnsi="Arial Narrow" w:cs="Times New Roman"/>
                <w:snapToGrid/>
                <w:sz w:val="20"/>
              </w:rPr>
              <w:t>-0.002 (-0.007, 0.004)</w:t>
            </w:r>
          </w:p>
        </w:tc>
      </w:tr>
    </w:tbl>
    <w:p w:rsidR="009E1F17" w:rsidRPr="009E1F17" w:rsidRDefault="009E1F17" w:rsidP="009E1F17">
      <w:pPr>
        <w:widowControl/>
        <w:jc w:val="left"/>
        <w:rPr>
          <w:rFonts w:ascii="Arial Narrow" w:hAnsi="Arial Narrow" w:cs="Times New Roman"/>
          <w:snapToGrid/>
          <w:sz w:val="18"/>
          <w:szCs w:val="18"/>
        </w:rPr>
      </w:pPr>
      <w:r w:rsidRPr="009E1F17">
        <w:rPr>
          <w:rFonts w:ascii="Arial Narrow" w:hAnsi="Arial Narrow" w:cs="Times New Roman"/>
          <w:snapToGrid/>
          <w:sz w:val="18"/>
          <w:szCs w:val="18"/>
        </w:rPr>
        <w:t>Source: Table 2.20 p53 of the submission</w:t>
      </w:r>
    </w:p>
    <w:p w:rsidR="009E1F17" w:rsidRPr="009E1F17" w:rsidRDefault="009E1F17" w:rsidP="009E1F17">
      <w:pPr>
        <w:widowControl/>
        <w:jc w:val="left"/>
        <w:rPr>
          <w:rFonts w:ascii="Arial Narrow" w:hAnsi="Arial Narrow" w:cs="Times New Roman"/>
          <w:snapToGrid/>
          <w:sz w:val="18"/>
          <w:szCs w:val="18"/>
        </w:rPr>
      </w:pPr>
      <w:r w:rsidRPr="009E1F17">
        <w:rPr>
          <w:rFonts w:ascii="Arial Narrow" w:hAnsi="Arial Narrow" w:cs="Times New Roman"/>
          <w:snapToGrid/>
          <w:sz w:val="18"/>
          <w:szCs w:val="18"/>
        </w:rPr>
        <w:t>Abbreviations: A2.5=</w:t>
      </w:r>
      <w:proofErr w:type="spellStart"/>
      <w:r w:rsidRPr="009E1F17">
        <w:rPr>
          <w:rFonts w:ascii="Arial Narrow" w:hAnsi="Arial Narrow" w:cs="Times New Roman"/>
          <w:snapToGrid/>
          <w:sz w:val="18"/>
          <w:szCs w:val="18"/>
        </w:rPr>
        <w:t>apixaban</w:t>
      </w:r>
      <w:proofErr w:type="spellEnd"/>
      <w:r w:rsidRPr="009E1F17">
        <w:rPr>
          <w:rFonts w:ascii="Arial Narrow" w:hAnsi="Arial Narrow" w:cs="Times New Roman"/>
          <w:snapToGrid/>
          <w:sz w:val="18"/>
          <w:szCs w:val="18"/>
        </w:rPr>
        <w:t xml:space="preserve"> 2.5 mg; A5=</w:t>
      </w:r>
      <w:proofErr w:type="spellStart"/>
      <w:r w:rsidRPr="009E1F17">
        <w:rPr>
          <w:rFonts w:ascii="Arial Narrow" w:hAnsi="Arial Narrow" w:cs="Times New Roman"/>
          <w:snapToGrid/>
          <w:sz w:val="18"/>
          <w:szCs w:val="18"/>
        </w:rPr>
        <w:t>apixaban</w:t>
      </w:r>
      <w:proofErr w:type="spellEnd"/>
      <w:r w:rsidRPr="009E1F17">
        <w:rPr>
          <w:rFonts w:ascii="Arial Narrow" w:hAnsi="Arial Narrow" w:cs="Times New Roman"/>
          <w:snapToGrid/>
          <w:sz w:val="18"/>
          <w:szCs w:val="18"/>
        </w:rPr>
        <w:t xml:space="preserve"> 5 mg; AE=adverse event; ASA=aspirin; CI=confidence interval; ID=identification n=number; N=total participants in group; R10=rivaroxaban 10mg; R20=rivaroxaban 20 mg </w:t>
      </w:r>
    </w:p>
    <w:p w:rsidR="00082122" w:rsidRPr="009E1F17" w:rsidRDefault="00082122" w:rsidP="00100A7A">
      <w:pPr>
        <w:pStyle w:val="TableFooter"/>
        <w:rPr>
          <w:rFonts w:eastAsia="Calibri"/>
        </w:rPr>
      </w:pPr>
    </w:p>
    <w:p w:rsidR="009E1F17" w:rsidRPr="009E1F17" w:rsidRDefault="009E1F17" w:rsidP="009E1F17">
      <w:pPr>
        <w:numPr>
          <w:ilvl w:val="1"/>
          <w:numId w:val="3"/>
        </w:numPr>
        <w:spacing w:after="160"/>
      </w:pPr>
      <w:r w:rsidRPr="009E1F17">
        <w:t xml:space="preserve">The ITC was generated via a two-step process, using results from a meta-analysis reported by Robertson 2017 (which combined data from the WARFASA and ASPIRE studies) to generate intermediate indirect comparisons between either rivaroxaban 10 mg or </w:t>
      </w:r>
      <w:proofErr w:type="spellStart"/>
      <w:r w:rsidRPr="009E1F17">
        <w:t>apixaban</w:t>
      </w:r>
      <w:proofErr w:type="spellEnd"/>
      <w:r w:rsidRPr="009E1F17">
        <w:t xml:space="preserve"> 2.5 mg and the relevant common reference in the first instance, and the results from that intermediate comparison to inform the ITC of rivaroxaban 10 mg with </w:t>
      </w:r>
      <w:proofErr w:type="spellStart"/>
      <w:r w:rsidRPr="009E1F17">
        <w:t>apixaban</w:t>
      </w:r>
      <w:proofErr w:type="spellEnd"/>
      <w:r w:rsidRPr="009E1F17">
        <w:t xml:space="preserve"> 2.5 mg.</w:t>
      </w:r>
    </w:p>
    <w:p w:rsidR="009E1F17" w:rsidRPr="009E1F17" w:rsidRDefault="009E1F17" w:rsidP="009E1F17">
      <w:pPr>
        <w:numPr>
          <w:ilvl w:val="1"/>
          <w:numId w:val="3"/>
        </w:numPr>
        <w:spacing w:after="160"/>
        <w:rPr>
          <w:rFonts w:asciiTheme="minorHAnsi" w:hAnsiTheme="minorHAnsi" w:cstheme="minorHAnsi"/>
          <w:i/>
          <w:szCs w:val="24"/>
        </w:rPr>
      </w:pPr>
      <w:r w:rsidRPr="009E1F17">
        <w:t xml:space="preserve">The results of the ITC for the primary efficacy and safety outcomes are presented in </w:t>
      </w:r>
      <w:r w:rsidR="00C56905" w:rsidRPr="00C56905">
        <w:rPr>
          <w:rFonts w:asciiTheme="minorHAnsi" w:hAnsiTheme="minorHAnsi" w:cstheme="minorHAnsi"/>
          <w:szCs w:val="24"/>
        </w:rPr>
        <w:t xml:space="preserve">Table </w:t>
      </w:r>
      <w:r w:rsidR="00C56905" w:rsidRPr="00C56905">
        <w:rPr>
          <w:rFonts w:asciiTheme="minorHAnsi" w:hAnsiTheme="minorHAnsi" w:cstheme="minorHAnsi"/>
          <w:noProof/>
          <w:szCs w:val="24"/>
        </w:rPr>
        <w:t>12</w:t>
      </w:r>
      <w:r w:rsidRPr="009E1F17">
        <w:t xml:space="preserve">. For recurrent VTE or VTE-related deaths, methods 1A (using aspirin then placebo as the common reference) and 1B (using placebo then aspirin as the common reference) resulted in an identical indirect estimate of effect for rivaroxaban 10 mg vs. </w:t>
      </w:r>
      <w:proofErr w:type="spellStart"/>
      <w:r w:rsidRPr="009E1F17">
        <w:t>apixaban</w:t>
      </w:r>
      <w:proofErr w:type="spellEnd"/>
      <w:r w:rsidRPr="009E1F17">
        <w:t xml:space="preserve"> 2.5 mg, with an HR = 0.93 (95% CI: 0.39, 2.23; p=0.87). The submission concluded that since the estimate is very close to one and the p-value is greater than 0.05, it can be inferred that rivaroxaban 10 mg and </w:t>
      </w:r>
      <w:proofErr w:type="spellStart"/>
      <w:r w:rsidRPr="009E1F17">
        <w:t>apixaban</w:t>
      </w:r>
      <w:proofErr w:type="spellEnd"/>
      <w:r w:rsidRPr="009E1F17">
        <w:t xml:space="preserve"> 2.5 mg</w:t>
      </w:r>
      <w:r w:rsidRPr="009E1F17" w:rsidDel="00447679">
        <w:t xml:space="preserve"> </w:t>
      </w:r>
      <w:r w:rsidRPr="009E1F17">
        <w:t xml:space="preserve">are equivalent. </w:t>
      </w:r>
      <w:r w:rsidRPr="00636D45">
        <w:lastRenderedPageBreak/>
        <w:t>This was reasonable.</w:t>
      </w:r>
    </w:p>
    <w:p w:rsidR="009E1F17" w:rsidRPr="009E1F17" w:rsidRDefault="009E1F17" w:rsidP="009E1F17">
      <w:pPr>
        <w:numPr>
          <w:ilvl w:val="1"/>
          <w:numId w:val="3"/>
        </w:numPr>
        <w:spacing w:after="160"/>
        <w:rPr>
          <w:rFonts w:asciiTheme="minorHAnsi" w:hAnsiTheme="minorHAnsi" w:cstheme="minorHAnsi"/>
          <w:i/>
          <w:szCs w:val="24"/>
        </w:rPr>
      </w:pPr>
      <w:r w:rsidRPr="009E1F17">
        <w:t xml:space="preserve">The submission stated that the indirect estimate of effect of rivaroxaban 10 mg vs. </w:t>
      </w:r>
      <w:proofErr w:type="spellStart"/>
      <w:r w:rsidRPr="009E1F17">
        <w:t>apixaban</w:t>
      </w:r>
      <w:proofErr w:type="spellEnd"/>
      <w:r w:rsidRPr="009E1F17">
        <w:t xml:space="preserve"> 2.5 mg</w:t>
      </w:r>
      <w:r w:rsidRPr="009E1F17" w:rsidDel="00447679">
        <w:t xml:space="preserve"> </w:t>
      </w:r>
      <w:r w:rsidRPr="009E1F17">
        <w:t xml:space="preserve">using methods 2A (using rivaroxaban 20 mg then placebo as the common reference) and 2B (using placebo then rivaroxaban 20 mg as the common reference) slightly favoured rivaroxaban 10 mg (HR=0.71, 95% CI: 0.22-2.27, p=0.56). However, the p-value was not significant, and the confidence interval overlapped the null value, thereby validating the results of methods 1A and 1B. Combined, these results indicate no statistically significant difference between rivaroxaban 10 mg and rivaroxaban 20 mg or </w:t>
      </w:r>
      <w:proofErr w:type="spellStart"/>
      <w:r w:rsidRPr="009E1F17">
        <w:t>apixaban</w:t>
      </w:r>
      <w:proofErr w:type="spellEnd"/>
      <w:r w:rsidRPr="009E1F17">
        <w:t xml:space="preserve"> 2.5 mg in the reduction of risk of recurrent VTE or VTE-related deaths. </w:t>
      </w:r>
      <w:r w:rsidRPr="00636D45">
        <w:t>This was reasonable.</w:t>
      </w:r>
    </w:p>
    <w:p w:rsidR="009E1F17" w:rsidRPr="009E1F17" w:rsidRDefault="009E1F17" w:rsidP="007477ED">
      <w:pPr>
        <w:keepNext/>
        <w:rPr>
          <w:rFonts w:ascii="Arial Narrow" w:hAnsi="Arial Narrow"/>
          <w:b/>
          <w:bCs/>
          <w:sz w:val="20"/>
          <w:szCs w:val="20"/>
        </w:rPr>
      </w:pPr>
      <w:bookmarkStart w:id="21" w:name="_Ref523500834"/>
      <w:r w:rsidRPr="009E1F17">
        <w:rPr>
          <w:rFonts w:ascii="Arial Narrow" w:hAnsi="Arial Narrow"/>
          <w:b/>
          <w:bCs/>
          <w:sz w:val="20"/>
          <w:szCs w:val="20"/>
        </w:rPr>
        <w:t xml:space="preserve">Table </w:t>
      </w:r>
      <w:r w:rsidR="00C56905">
        <w:rPr>
          <w:rFonts w:ascii="Arial Narrow" w:hAnsi="Arial Narrow"/>
          <w:b/>
          <w:bCs/>
          <w:noProof/>
          <w:sz w:val="20"/>
          <w:szCs w:val="20"/>
        </w:rPr>
        <w:t>12</w:t>
      </w:r>
      <w:bookmarkEnd w:id="21"/>
      <w:r w:rsidRPr="009E1F17">
        <w:rPr>
          <w:rFonts w:ascii="Arial Narrow" w:hAnsi="Arial Narrow"/>
          <w:b/>
          <w:bCs/>
          <w:sz w:val="20"/>
          <w:szCs w:val="20"/>
        </w:rPr>
        <w:t xml:space="preserve">: </w:t>
      </w:r>
      <w:r w:rsidRPr="009E1F17">
        <w:rPr>
          <w:rFonts w:ascii="Arial Narrow" w:hAnsi="Arial Narrow" w:cstheme="minorHAnsi"/>
          <w:b/>
          <w:bCs/>
          <w:sz w:val="20"/>
          <w:szCs w:val="20"/>
        </w:rPr>
        <w:t xml:space="preserve">Results from the two step ITC for key efficacy and safety outcomes </w:t>
      </w:r>
    </w:p>
    <w:tbl>
      <w:tblPr>
        <w:tblW w:w="4986"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701"/>
        <w:gridCol w:w="701"/>
        <w:gridCol w:w="2113"/>
        <w:gridCol w:w="1978"/>
        <w:gridCol w:w="2088"/>
      </w:tblGrid>
      <w:tr w:rsidR="009E1F17" w:rsidRPr="009E1F17" w:rsidTr="000840CF">
        <w:trPr>
          <w:tblHeader/>
        </w:trPr>
        <w:tc>
          <w:tcPr>
            <w:tcW w:w="784" w:type="pct"/>
            <w:shd w:val="clear" w:color="auto" w:fill="FFFFFF" w:themeFill="background1"/>
            <w:tcMar>
              <w:left w:w="28" w:type="dxa"/>
              <w:right w:w="28" w:type="dxa"/>
            </w:tcMar>
          </w:tcPr>
          <w:p w:rsidR="009E1F17" w:rsidRPr="009E1F17" w:rsidRDefault="009E1F17" w:rsidP="00100A7A">
            <w:pPr>
              <w:keepNext/>
              <w:keepLines/>
              <w:widowControl/>
              <w:jc w:val="left"/>
              <w:rPr>
                <w:rFonts w:ascii="Arial Narrow" w:hAnsi="Arial Narrow" w:cs="Times New Roman"/>
                <w:b/>
                <w:snapToGrid/>
                <w:sz w:val="20"/>
                <w:szCs w:val="20"/>
              </w:rPr>
            </w:pPr>
            <w:r w:rsidRPr="009E1F17">
              <w:rPr>
                <w:rFonts w:ascii="Arial Narrow" w:hAnsi="Arial Narrow" w:cs="Times New Roman"/>
                <w:b/>
                <w:snapToGrid/>
                <w:sz w:val="20"/>
                <w:szCs w:val="20"/>
              </w:rPr>
              <w:t>Trial or calculation</w:t>
            </w:r>
          </w:p>
        </w:tc>
        <w:tc>
          <w:tcPr>
            <w:tcW w:w="780" w:type="pct"/>
            <w:gridSpan w:val="2"/>
            <w:shd w:val="clear" w:color="auto" w:fill="FFFFFF" w:themeFill="background1"/>
            <w:tcMar>
              <w:left w:w="28" w:type="dxa"/>
              <w:right w:w="28" w:type="dxa"/>
            </w:tcMar>
          </w:tcPr>
          <w:p w:rsidR="009E1F17" w:rsidRPr="009E1F17" w:rsidRDefault="009E1F17" w:rsidP="00100A7A">
            <w:pPr>
              <w:keepNext/>
              <w:keepLines/>
              <w:widowControl/>
              <w:jc w:val="left"/>
              <w:rPr>
                <w:rFonts w:ascii="Arial Narrow" w:hAnsi="Arial Narrow" w:cs="Times New Roman"/>
                <w:b/>
                <w:snapToGrid/>
                <w:sz w:val="20"/>
                <w:szCs w:val="20"/>
              </w:rPr>
            </w:pPr>
            <w:r w:rsidRPr="009E1F17">
              <w:rPr>
                <w:rFonts w:ascii="Arial Narrow" w:hAnsi="Arial Narrow" w:cs="Times New Roman"/>
                <w:b/>
                <w:snapToGrid/>
                <w:sz w:val="20"/>
                <w:szCs w:val="20"/>
              </w:rPr>
              <w:t>Comparison</w:t>
            </w:r>
          </w:p>
        </w:tc>
        <w:tc>
          <w:tcPr>
            <w:tcW w:w="1175" w:type="pct"/>
            <w:shd w:val="clear" w:color="auto" w:fill="FFFFFF" w:themeFill="background1"/>
            <w:tcMar>
              <w:left w:w="28" w:type="dxa"/>
              <w:right w:w="28" w:type="dxa"/>
            </w:tcMar>
          </w:tcPr>
          <w:p w:rsidR="009E1F17" w:rsidRPr="009E1F17" w:rsidRDefault="009E1F17" w:rsidP="00100A7A">
            <w:pPr>
              <w:keepNext/>
              <w:keepLines/>
              <w:widowControl/>
              <w:jc w:val="center"/>
              <w:rPr>
                <w:rFonts w:ascii="Arial Narrow" w:hAnsi="Arial Narrow" w:cs="Times New Roman"/>
                <w:b/>
                <w:snapToGrid/>
                <w:sz w:val="20"/>
                <w:szCs w:val="20"/>
              </w:rPr>
            </w:pPr>
            <w:r w:rsidRPr="009E1F17">
              <w:rPr>
                <w:rFonts w:ascii="Arial Narrow" w:hAnsi="Arial Narrow" w:cs="Times New Roman"/>
                <w:b/>
                <w:snapToGrid/>
                <w:sz w:val="20"/>
                <w:szCs w:val="20"/>
              </w:rPr>
              <w:t xml:space="preserve">Recurrent VTE or VTE-related death: RR </w:t>
            </w:r>
            <w:r w:rsidR="000840CF">
              <w:rPr>
                <w:rFonts w:ascii="Arial Narrow" w:hAnsi="Arial Narrow" w:cs="Times New Roman"/>
                <w:b/>
                <w:snapToGrid/>
                <w:sz w:val="20"/>
                <w:szCs w:val="20"/>
              </w:rPr>
              <w:br/>
            </w:r>
            <w:r w:rsidRPr="009E1F17">
              <w:rPr>
                <w:rFonts w:ascii="Arial Narrow" w:hAnsi="Arial Narrow" w:cs="Times New Roman"/>
                <w:b/>
                <w:snapToGrid/>
                <w:sz w:val="20"/>
                <w:szCs w:val="20"/>
              </w:rPr>
              <w:t>(95% CI)</w:t>
            </w:r>
          </w:p>
        </w:tc>
        <w:tc>
          <w:tcPr>
            <w:tcW w:w="1100" w:type="pct"/>
            <w:shd w:val="clear" w:color="auto" w:fill="FFFFFF" w:themeFill="background1"/>
            <w:tcMar>
              <w:left w:w="28" w:type="dxa"/>
              <w:right w:w="28" w:type="dxa"/>
            </w:tcMar>
          </w:tcPr>
          <w:p w:rsidR="009E1F17" w:rsidRPr="009E1F17" w:rsidRDefault="009E1F17" w:rsidP="00100A7A">
            <w:pPr>
              <w:keepNext/>
              <w:keepLines/>
              <w:widowControl/>
              <w:jc w:val="center"/>
              <w:rPr>
                <w:rFonts w:ascii="Arial Narrow" w:hAnsi="Arial Narrow" w:cs="Times New Roman"/>
                <w:b/>
                <w:snapToGrid/>
                <w:sz w:val="20"/>
                <w:szCs w:val="20"/>
              </w:rPr>
            </w:pPr>
            <w:r w:rsidRPr="009E1F17">
              <w:rPr>
                <w:rFonts w:ascii="Arial Narrow" w:hAnsi="Arial Narrow" w:cs="Times New Roman"/>
                <w:b/>
                <w:snapToGrid/>
                <w:sz w:val="20"/>
                <w:szCs w:val="20"/>
              </w:rPr>
              <w:t>Major bleeding : RR (95% CI)</w:t>
            </w:r>
          </w:p>
        </w:tc>
        <w:tc>
          <w:tcPr>
            <w:tcW w:w="1161" w:type="pct"/>
            <w:shd w:val="clear" w:color="auto" w:fill="FFFFFF" w:themeFill="background1"/>
            <w:tcMar>
              <w:left w:w="28" w:type="dxa"/>
              <w:right w:w="28" w:type="dxa"/>
            </w:tcMar>
          </w:tcPr>
          <w:p w:rsidR="009E1F17" w:rsidRPr="009E1F17" w:rsidRDefault="009E1F17" w:rsidP="00100A7A">
            <w:pPr>
              <w:keepNext/>
              <w:keepLines/>
              <w:widowControl/>
              <w:jc w:val="center"/>
              <w:rPr>
                <w:rFonts w:ascii="Arial Narrow" w:hAnsi="Arial Narrow" w:cs="Times New Roman"/>
                <w:b/>
                <w:snapToGrid/>
                <w:sz w:val="20"/>
                <w:szCs w:val="20"/>
              </w:rPr>
            </w:pPr>
            <w:r w:rsidRPr="009E1F17">
              <w:rPr>
                <w:rFonts w:ascii="Arial Narrow" w:hAnsi="Arial Narrow" w:cs="Times New Roman"/>
                <w:b/>
                <w:snapToGrid/>
                <w:sz w:val="20"/>
                <w:szCs w:val="20"/>
              </w:rPr>
              <w:t xml:space="preserve">Major or CRNM </w:t>
            </w:r>
            <w:r w:rsidR="000840CF">
              <w:rPr>
                <w:rFonts w:ascii="Arial Narrow" w:hAnsi="Arial Narrow" w:cs="Times New Roman"/>
                <w:b/>
                <w:snapToGrid/>
                <w:sz w:val="20"/>
                <w:szCs w:val="20"/>
              </w:rPr>
              <w:br/>
            </w:r>
            <w:r w:rsidRPr="009E1F17">
              <w:rPr>
                <w:rFonts w:ascii="Arial Narrow" w:hAnsi="Arial Narrow" w:cs="Times New Roman"/>
                <w:b/>
                <w:snapToGrid/>
                <w:sz w:val="20"/>
                <w:szCs w:val="20"/>
              </w:rPr>
              <w:t>bleeding</w:t>
            </w:r>
            <w:r w:rsidR="000840CF">
              <w:rPr>
                <w:rFonts w:ascii="Arial Narrow" w:hAnsi="Arial Narrow" w:cs="Times New Roman"/>
                <w:b/>
                <w:snapToGrid/>
                <w:sz w:val="20"/>
                <w:szCs w:val="20"/>
              </w:rPr>
              <w:t xml:space="preserve"> </w:t>
            </w:r>
            <w:r w:rsidRPr="009E1F17">
              <w:rPr>
                <w:rFonts w:ascii="Arial Narrow" w:hAnsi="Arial Narrow" w:cs="Times New Roman"/>
                <w:b/>
                <w:snapToGrid/>
                <w:sz w:val="20"/>
                <w:szCs w:val="20"/>
              </w:rPr>
              <w:t>: RR (95% CI)</w:t>
            </w:r>
          </w:p>
        </w:tc>
      </w:tr>
      <w:tr w:rsidR="009E1F17" w:rsidRPr="009E1F17" w:rsidTr="000840CF">
        <w:tc>
          <w:tcPr>
            <w:tcW w:w="784" w:type="pct"/>
            <w:vMerge w:val="restart"/>
            <w:tcMar>
              <w:left w:w="28" w:type="dxa"/>
              <w:right w:w="28" w:type="dxa"/>
            </w:tcMar>
          </w:tcPr>
          <w:p w:rsidR="009E1F17" w:rsidRPr="009E1F17" w:rsidRDefault="009E1F17" w:rsidP="00100A7A">
            <w:pPr>
              <w:keepNext/>
              <w:keepLines/>
              <w:widowControl/>
              <w:jc w:val="left"/>
              <w:rPr>
                <w:rFonts w:ascii="Arial Narrow" w:hAnsi="Arial Narrow" w:cs="Times New Roman"/>
                <w:snapToGrid/>
                <w:sz w:val="20"/>
                <w:szCs w:val="20"/>
              </w:rPr>
            </w:pPr>
            <w:r w:rsidRPr="009E1F17">
              <w:rPr>
                <w:rFonts w:ascii="Arial Narrow" w:hAnsi="Arial Narrow" w:cs="Times New Roman"/>
                <w:snapToGrid/>
                <w:sz w:val="20"/>
                <w:szCs w:val="20"/>
              </w:rPr>
              <w:t>Einstein CHOICE</w:t>
            </w:r>
          </w:p>
        </w:tc>
        <w:tc>
          <w:tcPr>
            <w:tcW w:w="780" w:type="pct"/>
            <w:gridSpan w:val="2"/>
            <w:tcMar>
              <w:left w:w="28" w:type="dxa"/>
              <w:right w:w="28" w:type="dxa"/>
            </w:tcMar>
          </w:tcPr>
          <w:p w:rsidR="009E1F17" w:rsidRPr="009E1F17" w:rsidRDefault="009E1F17" w:rsidP="00100A7A">
            <w:pPr>
              <w:keepNext/>
              <w:keepLines/>
              <w:widowControl/>
              <w:jc w:val="left"/>
              <w:rPr>
                <w:rFonts w:ascii="Arial Narrow" w:hAnsi="Arial Narrow" w:cs="Times New Roman"/>
                <w:snapToGrid/>
                <w:sz w:val="20"/>
                <w:szCs w:val="20"/>
              </w:rPr>
            </w:pPr>
            <w:r w:rsidRPr="009E1F17">
              <w:rPr>
                <w:rFonts w:ascii="Arial Narrow" w:hAnsi="Arial Narrow" w:cs="Times New Roman"/>
                <w:snapToGrid/>
                <w:sz w:val="20"/>
                <w:szCs w:val="20"/>
              </w:rPr>
              <w:t>R10 vs. ASA</w:t>
            </w:r>
          </w:p>
        </w:tc>
        <w:tc>
          <w:tcPr>
            <w:tcW w:w="1175" w:type="pct"/>
            <w:tcMar>
              <w:left w:w="28" w:type="dxa"/>
              <w:right w:w="28" w:type="dxa"/>
            </w:tcMar>
          </w:tcPr>
          <w:p w:rsidR="009E1F17" w:rsidRPr="00EE7B26" w:rsidRDefault="009E1F17" w:rsidP="00100A7A">
            <w:pPr>
              <w:keepNext/>
              <w:keepLines/>
              <w:widowControl/>
              <w:jc w:val="center"/>
              <w:rPr>
                <w:rFonts w:ascii="Arial Narrow" w:hAnsi="Arial Narrow" w:cs="Times New Roman"/>
                <w:b/>
                <w:snapToGrid/>
                <w:sz w:val="20"/>
                <w:szCs w:val="20"/>
                <w:vertAlign w:val="superscript"/>
              </w:rPr>
            </w:pPr>
            <w:r w:rsidRPr="00EE7B26">
              <w:rPr>
                <w:rFonts w:ascii="Arial Narrow" w:hAnsi="Arial Narrow" w:cs="Times New Roman"/>
                <w:b/>
                <w:snapToGrid/>
                <w:sz w:val="20"/>
                <w:szCs w:val="20"/>
              </w:rPr>
              <w:t>0.26 (0.14, 0.47)</w:t>
            </w:r>
            <w:r w:rsidRPr="00EE7B26">
              <w:rPr>
                <w:rFonts w:ascii="Arial Narrow" w:hAnsi="Arial Narrow" w:cs="Times New Roman"/>
                <w:b/>
                <w:snapToGrid/>
                <w:sz w:val="20"/>
                <w:szCs w:val="20"/>
                <w:vertAlign w:val="superscript"/>
              </w:rPr>
              <w:t>5</w:t>
            </w:r>
          </w:p>
          <w:p w:rsidR="009E1F17" w:rsidRPr="00EE7B26" w:rsidRDefault="009E1F17" w:rsidP="00100A7A">
            <w:pPr>
              <w:keepNext/>
              <w:keepLines/>
              <w:widowControl/>
              <w:jc w:val="center"/>
              <w:rPr>
                <w:rFonts w:ascii="Arial Narrow" w:hAnsi="Arial Narrow" w:cs="Times New Roman"/>
                <w:b/>
                <w:snapToGrid/>
                <w:sz w:val="20"/>
                <w:szCs w:val="20"/>
              </w:rPr>
            </w:pPr>
            <w:r w:rsidRPr="00EE7B26">
              <w:rPr>
                <w:rFonts w:ascii="Arial Narrow" w:hAnsi="Arial Narrow" w:cs="Times New Roman"/>
                <w:b/>
                <w:snapToGrid/>
                <w:sz w:val="20"/>
                <w:szCs w:val="20"/>
              </w:rPr>
              <w:t>0.26 (0.14, 0.48)</w:t>
            </w:r>
          </w:p>
        </w:tc>
        <w:tc>
          <w:tcPr>
            <w:tcW w:w="1100" w:type="pct"/>
            <w:tcMar>
              <w:left w:w="28" w:type="dxa"/>
              <w:right w:w="28" w:type="dxa"/>
            </w:tcMar>
          </w:tcPr>
          <w:p w:rsidR="009E1F17" w:rsidRPr="00EE7B26" w:rsidRDefault="009E1F17" w:rsidP="00100A7A">
            <w:pPr>
              <w:keepNext/>
              <w:keepLines/>
              <w:widowControl/>
              <w:jc w:val="center"/>
              <w:rPr>
                <w:rFonts w:ascii="Arial Narrow" w:hAnsi="Arial Narrow" w:cs="Times New Roman"/>
                <w:snapToGrid/>
                <w:sz w:val="20"/>
                <w:szCs w:val="20"/>
                <w:vertAlign w:val="superscript"/>
              </w:rPr>
            </w:pPr>
            <w:r w:rsidRPr="00EE7B26">
              <w:rPr>
                <w:rFonts w:ascii="Arial Narrow" w:hAnsi="Arial Narrow" w:cs="Times New Roman"/>
                <w:snapToGrid/>
                <w:sz w:val="20"/>
                <w:szCs w:val="20"/>
              </w:rPr>
              <w:t>1.64 (0.39, 6.84)</w:t>
            </w:r>
            <w:r w:rsidRPr="00EE7B26">
              <w:rPr>
                <w:rFonts w:ascii="Arial Narrow" w:hAnsi="Arial Narrow" w:cs="Times New Roman"/>
                <w:snapToGrid/>
                <w:sz w:val="20"/>
                <w:szCs w:val="20"/>
                <w:vertAlign w:val="superscript"/>
              </w:rPr>
              <w:t>5</w:t>
            </w:r>
          </w:p>
          <w:p w:rsidR="009E1F17" w:rsidRPr="00EE7B26" w:rsidRDefault="009E1F17" w:rsidP="00100A7A">
            <w:pPr>
              <w:keepNext/>
              <w:keepLines/>
              <w:widowControl/>
              <w:jc w:val="center"/>
              <w:rPr>
                <w:rFonts w:ascii="Arial Narrow" w:hAnsi="Arial Narrow" w:cs="Times New Roman"/>
                <w:snapToGrid/>
                <w:sz w:val="20"/>
                <w:szCs w:val="20"/>
                <w:vertAlign w:val="superscript"/>
              </w:rPr>
            </w:pPr>
            <w:r w:rsidRPr="00EE7B26">
              <w:rPr>
                <w:rFonts w:ascii="Arial Narrow" w:hAnsi="Arial Narrow" w:cs="Times New Roman"/>
                <w:snapToGrid/>
                <w:sz w:val="20"/>
                <w:szCs w:val="20"/>
              </w:rPr>
              <w:t>1.67 (0.40, 6.98)</w:t>
            </w:r>
          </w:p>
        </w:tc>
        <w:tc>
          <w:tcPr>
            <w:tcW w:w="1161" w:type="pct"/>
            <w:tcMar>
              <w:left w:w="28" w:type="dxa"/>
              <w:right w:w="28" w:type="dxa"/>
            </w:tcMar>
          </w:tcPr>
          <w:p w:rsidR="009E1F17" w:rsidRPr="00EE7B26" w:rsidRDefault="009E1F17" w:rsidP="00100A7A">
            <w:pPr>
              <w:keepNext/>
              <w:keepLines/>
              <w:widowControl/>
              <w:jc w:val="center"/>
              <w:rPr>
                <w:rFonts w:ascii="Arial Narrow" w:hAnsi="Arial Narrow" w:cs="Times New Roman"/>
                <w:snapToGrid/>
                <w:sz w:val="20"/>
                <w:szCs w:val="20"/>
                <w:vertAlign w:val="superscript"/>
              </w:rPr>
            </w:pPr>
            <w:r w:rsidRPr="00EE7B26">
              <w:rPr>
                <w:rFonts w:ascii="Arial Narrow" w:hAnsi="Arial Narrow" w:cs="Times New Roman"/>
                <w:snapToGrid/>
                <w:sz w:val="20"/>
                <w:szCs w:val="20"/>
              </w:rPr>
              <w:t>1.16 (0.67, 2.03)</w:t>
            </w:r>
            <w:r w:rsidRPr="00EE7B26">
              <w:rPr>
                <w:rFonts w:ascii="Arial Narrow" w:hAnsi="Arial Narrow" w:cs="Times New Roman"/>
                <w:snapToGrid/>
                <w:sz w:val="20"/>
                <w:szCs w:val="20"/>
                <w:vertAlign w:val="superscript"/>
              </w:rPr>
              <w:t>5</w:t>
            </w:r>
          </w:p>
          <w:p w:rsidR="009E1F17" w:rsidRPr="00EE7B26" w:rsidRDefault="009E1F17" w:rsidP="00100A7A">
            <w:pPr>
              <w:keepNext/>
              <w:keepLines/>
              <w:widowControl/>
              <w:jc w:val="center"/>
              <w:rPr>
                <w:rFonts w:ascii="Arial Narrow" w:hAnsi="Arial Narrow" w:cs="Times New Roman"/>
                <w:snapToGrid/>
                <w:sz w:val="20"/>
                <w:szCs w:val="20"/>
                <w:vertAlign w:val="superscript"/>
              </w:rPr>
            </w:pPr>
            <w:r w:rsidRPr="00EE7B26">
              <w:rPr>
                <w:rFonts w:ascii="Arial Narrow" w:hAnsi="Arial Narrow" w:cs="Times New Roman"/>
                <w:snapToGrid/>
                <w:sz w:val="20"/>
                <w:szCs w:val="20"/>
              </w:rPr>
              <w:t>1.18 (0.68, 2.04)</w:t>
            </w:r>
          </w:p>
        </w:tc>
      </w:tr>
      <w:tr w:rsidR="009E1F17" w:rsidRPr="009E1F17" w:rsidTr="000840CF">
        <w:tc>
          <w:tcPr>
            <w:tcW w:w="784" w:type="pct"/>
            <w:vMerge/>
            <w:tcMar>
              <w:left w:w="28" w:type="dxa"/>
              <w:right w:w="28" w:type="dxa"/>
            </w:tcMar>
          </w:tcPr>
          <w:p w:rsidR="009E1F17" w:rsidRPr="009E1F17" w:rsidRDefault="009E1F17" w:rsidP="00100A7A">
            <w:pPr>
              <w:keepNext/>
              <w:keepLines/>
              <w:widowControl/>
              <w:jc w:val="left"/>
              <w:rPr>
                <w:rFonts w:ascii="Arial Narrow" w:hAnsi="Arial Narrow" w:cs="Times New Roman"/>
                <w:snapToGrid/>
                <w:sz w:val="20"/>
                <w:szCs w:val="20"/>
              </w:rPr>
            </w:pPr>
          </w:p>
        </w:tc>
        <w:tc>
          <w:tcPr>
            <w:tcW w:w="780" w:type="pct"/>
            <w:gridSpan w:val="2"/>
            <w:tcMar>
              <w:left w:w="28" w:type="dxa"/>
              <w:right w:w="28" w:type="dxa"/>
            </w:tcMar>
          </w:tcPr>
          <w:p w:rsidR="009E1F17" w:rsidRPr="009E1F17" w:rsidRDefault="009E1F17" w:rsidP="00100A7A">
            <w:pPr>
              <w:keepNext/>
              <w:keepLines/>
              <w:widowControl/>
              <w:jc w:val="left"/>
              <w:rPr>
                <w:rFonts w:ascii="Arial Narrow" w:hAnsi="Arial Narrow" w:cs="Times New Roman"/>
                <w:snapToGrid/>
                <w:sz w:val="20"/>
                <w:szCs w:val="20"/>
              </w:rPr>
            </w:pPr>
            <w:r w:rsidRPr="009E1F17">
              <w:rPr>
                <w:rFonts w:ascii="Arial Narrow" w:hAnsi="Arial Narrow" w:cs="Times New Roman"/>
                <w:snapToGrid/>
                <w:sz w:val="20"/>
                <w:szCs w:val="20"/>
              </w:rPr>
              <w:t>R10 vs. R20</w:t>
            </w:r>
          </w:p>
        </w:tc>
        <w:tc>
          <w:tcPr>
            <w:tcW w:w="1175" w:type="pct"/>
            <w:tcMar>
              <w:left w:w="28" w:type="dxa"/>
              <w:right w:w="28" w:type="dxa"/>
            </w:tcMar>
          </w:tcPr>
          <w:p w:rsidR="009E1F17" w:rsidRPr="00EE7B26" w:rsidRDefault="009E1F17" w:rsidP="00100A7A">
            <w:pPr>
              <w:keepNext/>
              <w:keepLines/>
              <w:widowControl/>
              <w:jc w:val="center"/>
              <w:rPr>
                <w:rFonts w:ascii="Arial Narrow" w:hAnsi="Arial Narrow" w:cs="Times New Roman"/>
                <w:snapToGrid/>
                <w:sz w:val="20"/>
                <w:szCs w:val="20"/>
                <w:vertAlign w:val="superscript"/>
              </w:rPr>
            </w:pPr>
            <w:r w:rsidRPr="00EE7B26">
              <w:rPr>
                <w:rFonts w:ascii="Arial Narrow" w:hAnsi="Arial Narrow" w:cs="Times New Roman"/>
                <w:snapToGrid/>
                <w:sz w:val="20"/>
                <w:szCs w:val="20"/>
              </w:rPr>
              <w:t>0.75 (0.36, 1.54)</w:t>
            </w:r>
            <w:r w:rsidRPr="00EE7B26">
              <w:rPr>
                <w:rFonts w:ascii="Arial Narrow" w:hAnsi="Arial Narrow" w:cs="Times New Roman"/>
                <w:snapToGrid/>
                <w:sz w:val="20"/>
                <w:szCs w:val="20"/>
                <w:vertAlign w:val="superscript"/>
              </w:rPr>
              <w:t>5</w:t>
            </w:r>
          </w:p>
          <w:p w:rsidR="009E1F17" w:rsidRPr="00EE7B26" w:rsidRDefault="009E1F17" w:rsidP="00100A7A">
            <w:pPr>
              <w:keepNext/>
              <w:keepLines/>
              <w:widowControl/>
              <w:jc w:val="center"/>
              <w:rPr>
                <w:rFonts w:ascii="Arial Narrow" w:hAnsi="Arial Narrow" w:cs="Times New Roman"/>
                <w:snapToGrid/>
                <w:sz w:val="20"/>
                <w:szCs w:val="20"/>
              </w:rPr>
            </w:pPr>
            <w:r w:rsidRPr="00EE7B26">
              <w:rPr>
                <w:rFonts w:ascii="Arial Narrow" w:hAnsi="Arial Narrow" w:cs="Times New Roman"/>
                <w:snapToGrid/>
                <w:sz w:val="20"/>
                <w:szCs w:val="20"/>
              </w:rPr>
              <w:t>0.75 (0.37, 1.54)</w:t>
            </w:r>
          </w:p>
        </w:tc>
        <w:tc>
          <w:tcPr>
            <w:tcW w:w="1100" w:type="pct"/>
            <w:tcMar>
              <w:left w:w="28" w:type="dxa"/>
              <w:right w:w="28" w:type="dxa"/>
            </w:tcMar>
          </w:tcPr>
          <w:p w:rsidR="009E1F17" w:rsidRPr="00EE7B26" w:rsidRDefault="009E1F17" w:rsidP="00100A7A">
            <w:pPr>
              <w:keepNext/>
              <w:keepLines/>
              <w:widowControl/>
              <w:jc w:val="center"/>
              <w:rPr>
                <w:rFonts w:ascii="Arial Narrow" w:hAnsi="Arial Narrow" w:cs="Times New Roman"/>
                <w:snapToGrid/>
                <w:sz w:val="20"/>
                <w:szCs w:val="20"/>
                <w:vertAlign w:val="superscript"/>
              </w:rPr>
            </w:pPr>
            <w:r w:rsidRPr="00EE7B26">
              <w:rPr>
                <w:rFonts w:ascii="Arial Narrow" w:hAnsi="Arial Narrow" w:cs="Times New Roman"/>
                <w:snapToGrid/>
                <w:sz w:val="20"/>
                <w:szCs w:val="20"/>
              </w:rPr>
              <w:t>0.81 (0.25, 2.70)</w:t>
            </w:r>
            <w:r w:rsidRPr="00EE7B26">
              <w:rPr>
                <w:rFonts w:ascii="Arial Narrow" w:hAnsi="Arial Narrow" w:cs="Times New Roman"/>
                <w:snapToGrid/>
                <w:sz w:val="20"/>
                <w:szCs w:val="20"/>
                <w:vertAlign w:val="superscript"/>
              </w:rPr>
              <w:t>5</w:t>
            </w:r>
          </w:p>
          <w:p w:rsidR="009E1F17" w:rsidRPr="00EE7B26" w:rsidRDefault="009E1F17" w:rsidP="00100A7A">
            <w:pPr>
              <w:keepNext/>
              <w:keepLines/>
              <w:widowControl/>
              <w:jc w:val="center"/>
              <w:rPr>
                <w:rFonts w:ascii="Arial Narrow" w:hAnsi="Arial Narrow" w:cs="Times New Roman"/>
                <w:snapToGrid/>
                <w:sz w:val="20"/>
                <w:szCs w:val="20"/>
                <w:vertAlign w:val="superscript"/>
              </w:rPr>
            </w:pPr>
            <w:r w:rsidRPr="00EE7B26">
              <w:rPr>
                <w:rFonts w:ascii="Arial Narrow" w:hAnsi="Arial Narrow" w:cs="Times New Roman"/>
                <w:snapToGrid/>
                <w:sz w:val="20"/>
                <w:szCs w:val="20"/>
              </w:rPr>
              <w:t>0.82 (0.25, 2.67)</w:t>
            </w:r>
          </w:p>
        </w:tc>
        <w:tc>
          <w:tcPr>
            <w:tcW w:w="1161" w:type="pct"/>
            <w:tcMar>
              <w:left w:w="28" w:type="dxa"/>
              <w:right w:w="28" w:type="dxa"/>
            </w:tcMar>
          </w:tcPr>
          <w:p w:rsidR="009E1F17" w:rsidRPr="00EE7B26" w:rsidRDefault="009E1F17" w:rsidP="00100A7A">
            <w:pPr>
              <w:keepNext/>
              <w:keepLines/>
              <w:widowControl/>
              <w:jc w:val="center"/>
              <w:rPr>
                <w:rFonts w:ascii="Arial Narrow" w:hAnsi="Arial Narrow" w:cs="Times New Roman"/>
                <w:snapToGrid/>
                <w:sz w:val="20"/>
                <w:szCs w:val="20"/>
                <w:vertAlign w:val="superscript"/>
              </w:rPr>
            </w:pPr>
            <w:r w:rsidRPr="00EE7B26">
              <w:rPr>
                <w:rFonts w:ascii="Arial Narrow" w:hAnsi="Arial Narrow" w:cs="Times New Roman"/>
                <w:snapToGrid/>
                <w:sz w:val="20"/>
                <w:szCs w:val="20"/>
              </w:rPr>
              <w:t>0.73 (0.44, 1.20)</w:t>
            </w:r>
            <w:r w:rsidRPr="00EE7B26">
              <w:rPr>
                <w:rFonts w:ascii="Arial Narrow" w:hAnsi="Arial Narrow" w:cs="Times New Roman"/>
                <w:snapToGrid/>
                <w:sz w:val="20"/>
                <w:szCs w:val="20"/>
                <w:vertAlign w:val="superscript"/>
              </w:rPr>
              <w:t>5</w:t>
            </w:r>
          </w:p>
          <w:p w:rsidR="009E1F17" w:rsidRPr="00EE7B26" w:rsidRDefault="009E1F17" w:rsidP="00100A7A">
            <w:pPr>
              <w:keepNext/>
              <w:keepLines/>
              <w:widowControl/>
              <w:jc w:val="center"/>
              <w:rPr>
                <w:rFonts w:ascii="Arial Narrow" w:hAnsi="Arial Narrow" w:cs="Times New Roman"/>
                <w:snapToGrid/>
                <w:sz w:val="20"/>
                <w:szCs w:val="20"/>
                <w:vertAlign w:val="superscript"/>
              </w:rPr>
            </w:pPr>
            <w:r w:rsidRPr="00EE7B26">
              <w:rPr>
                <w:rFonts w:ascii="Arial Narrow" w:hAnsi="Arial Narrow" w:cs="Times New Roman"/>
                <w:snapToGrid/>
                <w:sz w:val="20"/>
                <w:szCs w:val="20"/>
              </w:rPr>
              <w:t>0.74 (0.45, 1.21)</w:t>
            </w:r>
          </w:p>
        </w:tc>
      </w:tr>
      <w:tr w:rsidR="009E1F17" w:rsidRPr="009E1F17" w:rsidTr="000840CF">
        <w:tc>
          <w:tcPr>
            <w:tcW w:w="784" w:type="pct"/>
            <w:tcMar>
              <w:left w:w="28" w:type="dxa"/>
              <w:right w:w="28" w:type="dxa"/>
            </w:tcMar>
          </w:tcPr>
          <w:p w:rsidR="009E1F17" w:rsidRPr="009E1F17" w:rsidRDefault="009E1F17" w:rsidP="00100A7A">
            <w:pPr>
              <w:keepNext/>
              <w:keepLines/>
              <w:widowControl/>
              <w:jc w:val="left"/>
              <w:rPr>
                <w:rFonts w:ascii="Arial Narrow" w:hAnsi="Arial Narrow" w:cs="Times New Roman"/>
                <w:snapToGrid/>
                <w:sz w:val="20"/>
                <w:szCs w:val="20"/>
              </w:rPr>
            </w:pPr>
            <w:r w:rsidRPr="009E1F17">
              <w:rPr>
                <w:rFonts w:ascii="Arial Narrow" w:hAnsi="Arial Narrow" w:cs="Times New Roman"/>
                <w:snapToGrid/>
                <w:sz w:val="20"/>
                <w:szCs w:val="20"/>
              </w:rPr>
              <w:t>Amplify EXT</w:t>
            </w:r>
          </w:p>
        </w:tc>
        <w:tc>
          <w:tcPr>
            <w:tcW w:w="780" w:type="pct"/>
            <w:gridSpan w:val="2"/>
            <w:tcMar>
              <w:left w:w="28" w:type="dxa"/>
              <w:right w:w="28" w:type="dxa"/>
            </w:tcMar>
          </w:tcPr>
          <w:p w:rsidR="009E1F17" w:rsidRPr="009E1F17" w:rsidRDefault="009E1F17" w:rsidP="00100A7A">
            <w:pPr>
              <w:keepNext/>
              <w:keepLines/>
              <w:widowControl/>
              <w:jc w:val="left"/>
              <w:rPr>
                <w:rFonts w:ascii="Arial Narrow" w:hAnsi="Arial Narrow" w:cs="Times New Roman"/>
                <w:snapToGrid/>
                <w:sz w:val="20"/>
                <w:szCs w:val="20"/>
              </w:rPr>
            </w:pPr>
            <w:r w:rsidRPr="009E1F17">
              <w:rPr>
                <w:rFonts w:ascii="Arial Narrow" w:hAnsi="Arial Narrow" w:cs="Times New Roman"/>
                <w:snapToGrid/>
                <w:sz w:val="20"/>
                <w:szCs w:val="20"/>
              </w:rPr>
              <w:t>A2.5 vs PBO</w:t>
            </w:r>
          </w:p>
        </w:tc>
        <w:tc>
          <w:tcPr>
            <w:tcW w:w="1175" w:type="pct"/>
            <w:tcMar>
              <w:left w:w="28" w:type="dxa"/>
              <w:right w:w="28" w:type="dxa"/>
            </w:tcMar>
          </w:tcPr>
          <w:p w:rsidR="009E1F17" w:rsidRPr="00EE7B26" w:rsidRDefault="009E1F17" w:rsidP="00100A7A">
            <w:pPr>
              <w:keepNext/>
              <w:keepLines/>
              <w:widowControl/>
              <w:jc w:val="center"/>
              <w:rPr>
                <w:rFonts w:ascii="Arial Narrow" w:hAnsi="Arial Narrow" w:cs="Times New Roman"/>
                <w:b/>
                <w:snapToGrid/>
                <w:sz w:val="20"/>
                <w:szCs w:val="20"/>
                <w:vertAlign w:val="superscript"/>
              </w:rPr>
            </w:pPr>
            <w:r w:rsidRPr="00EE7B26">
              <w:rPr>
                <w:rFonts w:ascii="Arial Narrow" w:hAnsi="Arial Narrow" w:cs="Times New Roman"/>
                <w:b/>
                <w:snapToGrid/>
                <w:sz w:val="20"/>
                <w:szCs w:val="20"/>
              </w:rPr>
              <w:t>0.19 (0.11, 0.33)</w:t>
            </w:r>
            <w:r w:rsidRPr="00EE7B26">
              <w:rPr>
                <w:rFonts w:ascii="Arial Narrow" w:hAnsi="Arial Narrow" w:cs="Times New Roman"/>
                <w:b/>
                <w:snapToGrid/>
                <w:sz w:val="20"/>
                <w:szCs w:val="20"/>
                <w:vertAlign w:val="superscript"/>
              </w:rPr>
              <w:t>5</w:t>
            </w:r>
          </w:p>
          <w:p w:rsidR="009E1F17" w:rsidRPr="00EE7B26" w:rsidRDefault="009E1F17" w:rsidP="00100A7A">
            <w:pPr>
              <w:keepNext/>
              <w:keepLines/>
              <w:widowControl/>
              <w:jc w:val="center"/>
              <w:rPr>
                <w:rFonts w:ascii="Arial Narrow" w:hAnsi="Arial Narrow" w:cs="Times New Roman"/>
                <w:b/>
                <w:snapToGrid/>
                <w:sz w:val="20"/>
                <w:szCs w:val="20"/>
              </w:rPr>
            </w:pPr>
            <w:r w:rsidRPr="00EE7B26">
              <w:rPr>
                <w:rFonts w:ascii="Arial Narrow" w:hAnsi="Arial Narrow" w:cs="Times New Roman"/>
                <w:b/>
                <w:snapToGrid/>
                <w:sz w:val="20"/>
                <w:szCs w:val="20"/>
              </w:rPr>
              <w:t>0.19 (0.11, 0.33)</w:t>
            </w:r>
          </w:p>
        </w:tc>
        <w:tc>
          <w:tcPr>
            <w:tcW w:w="1100" w:type="pct"/>
            <w:tcMar>
              <w:left w:w="28" w:type="dxa"/>
              <w:right w:w="28" w:type="dxa"/>
            </w:tcMar>
          </w:tcPr>
          <w:p w:rsidR="009E1F17" w:rsidRPr="00EE7B26" w:rsidRDefault="009E1F17" w:rsidP="00100A7A">
            <w:pPr>
              <w:keepNext/>
              <w:keepLines/>
              <w:widowControl/>
              <w:jc w:val="center"/>
              <w:rPr>
                <w:rFonts w:ascii="Arial Narrow" w:hAnsi="Arial Narrow" w:cs="Times New Roman"/>
                <w:snapToGrid/>
                <w:sz w:val="20"/>
                <w:szCs w:val="20"/>
                <w:vertAlign w:val="superscript"/>
              </w:rPr>
            </w:pPr>
            <w:r w:rsidRPr="00EE7B26">
              <w:rPr>
                <w:rFonts w:ascii="Arial Narrow" w:hAnsi="Arial Narrow" w:cs="Times New Roman"/>
                <w:snapToGrid/>
                <w:sz w:val="20"/>
                <w:szCs w:val="20"/>
              </w:rPr>
              <w:t>0.49 (0.09, 2.64)</w:t>
            </w:r>
            <w:r w:rsidRPr="00EE7B26">
              <w:rPr>
                <w:rFonts w:ascii="Arial Narrow" w:hAnsi="Arial Narrow" w:cs="Times New Roman"/>
                <w:snapToGrid/>
                <w:sz w:val="20"/>
                <w:szCs w:val="20"/>
                <w:vertAlign w:val="superscript"/>
              </w:rPr>
              <w:t>5</w:t>
            </w:r>
          </w:p>
          <w:p w:rsidR="009E1F17" w:rsidRPr="00EE7B26" w:rsidRDefault="009E1F17" w:rsidP="00100A7A">
            <w:pPr>
              <w:keepNext/>
              <w:keepLines/>
              <w:widowControl/>
              <w:jc w:val="center"/>
              <w:rPr>
                <w:rFonts w:ascii="Arial Narrow" w:hAnsi="Arial Narrow" w:cs="Times New Roman"/>
                <w:snapToGrid/>
                <w:sz w:val="20"/>
                <w:szCs w:val="20"/>
                <w:vertAlign w:val="superscript"/>
              </w:rPr>
            </w:pPr>
            <w:r w:rsidRPr="00EE7B26">
              <w:rPr>
                <w:rFonts w:ascii="Arial Narrow" w:hAnsi="Arial Narrow" w:cs="Times New Roman"/>
                <w:snapToGrid/>
                <w:sz w:val="20"/>
                <w:szCs w:val="20"/>
              </w:rPr>
              <w:t>0.49 (0.09, 2.69)</w:t>
            </w:r>
          </w:p>
        </w:tc>
        <w:tc>
          <w:tcPr>
            <w:tcW w:w="1161" w:type="pct"/>
            <w:tcMar>
              <w:left w:w="28" w:type="dxa"/>
              <w:right w:w="28" w:type="dxa"/>
            </w:tcMar>
          </w:tcPr>
          <w:p w:rsidR="009E1F17" w:rsidRPr="00EE7B26" w:rsidRDefault="009E1F17" w:rsidP="00100A7A">
            <w:pPr>
              <w:keepNext/>
              <w:keepLines/>
              <w:widowControl/>
              <w:jc w:val="center"/>
              <w:rPr>
                <w:rFonts w:ascii="Arial Narrow" w:hAnsi="Arial Narrow" w:cs="Times New Roman"/>
                <w:snapToGrid/>
                <w:sz w:val="20"/>
                <w:szCs w:val="20"/>
                <w:vertAlign w:val="superscript"/>
              </w:rPr>
            </w:pPr>
            <w:r w:rsidRPr="00EE7B26">
              <w:rPr>
                <w:rFonts w:ascii="Arial Narrow" w:hAnsi="Arial Narrow" w:cs="Times New Roman"/>
                <w:snapToGrid/>
                <w:sz w:val="20"/>
                <w:szCs w:val="20"/>
              </w:rPr>
              <w:t>1.2 (0.69, 2.1)</w:t>
            </w:r>
            <w:r w:rsidRPr="00EE7B26">
              <w:rPr>
                <w:rFonts w:ascii="Arial Narrow" w:hAnsi="Arial Narrow" w:cs="Times New Roman"/>
                <w:snapToGrid/>
                <w:sz w:val="20"/>
                <w:szCs w:val="20"/>
                <w:vertAlign w:val="superscript"/>
              </w:rPr>
              <w:t>5</w:t>
            </w:r>
          </w:p>
          <w:p w:rsidR="009E1F17" w:rsidRPr="00EE7B26" w:rsidRDefault="009E1F17" w:rsidP="00100A7A">
            <w:pPr>
              <w:keepNext/>
              <w:keepLines/>
              <w:widowControl/>
              <w:jc w:val="center"/>
              <w:rPr>
                <w:rFonts w:ascii="Arial Narrow" w:hAnsi="Arial Narrow" w:cs="Times New Roman"/>
                <w:snapToGrid/>
                <w:sz w:val="20"/>
                <w:szCs w:val="20"/>
                <w:vertAlign w:val="superscript"/>
              </w:rPr>
            </w:pPr>
            <w:r w:rsidRPr="00EE7B26">
              <w:rPr>
                <w:rFonts w:ascii="Arial Narrow" w:hAnsi="Arial Narrow" w:cs="Times New Roman"/>
                <w:snapToGrid/>
                <w:sz w:val="20"/>
                <w:szCs w:val="20"/>
              </w:rPr>
              <w:t>1.21 (0.70, 2.11)</w:t>
            </w:r>
          </w:p>
        </w:tc>
      </w:tr>
      <w:tr w:rsidR="009E1F17" w:rsidRPr="009E1F17" w:rsidTr="000840CF">
        <w:tc>
          <w:tcPr>
            <w:tcW w:w="784" w:type="pct"/>
            <w:tcMar>
              <w:left w:w="28" w:type="dxa"/>
              <w:right w:w="28" w:type="dxa"/>
            </w:tcMar>
          </w:tcPr>
          <w:p w:rsidR="009E1F17" w:rsidRPr="009E1F17" w:rsidRDefault="009E1F17" w:rsidP="00100A7A">
            <w:pPr>
              <w:keepNext/>
              <w:keepLines/>
              <w:widowControl/>
              <w:jc w:val="left"/>
              <w:rPr>
                <w:rFonts w:ascii="Arial Narrow" w:hAnsi="Arial Narrow" w:cs="Times New Roman"/>
                <w:snapToGrid/>
                <w:sz w:val="20"/>
                <w:szCs w:val="20"/>
              </w:rPr>
            </w:pPr>
            <w:r w:rsidRPr="009E1F17">
              <w:rPr>
                <w:rFonts w:ascii="Arial Narrow" w:hAnsi="Arial Narrow" w:cs="Times New Roman"/>
                <w:snapToGrid/>
                <w:sz w:val="20"/>
                <w:szCs w:val="20"/>
              </w:rPr>
              <w:t>Einstein EXT</w:t>
            </w:r>
          </w:p>
        </w:tc>
        <w:tc>
          <w:tcPr>
            <w:tcW w:w="780" w:type="pct"/>
            <w:gridSpan w:val="2"/>
            <w:tcMar>
              <w:left w:w="28" w:type="dxa"/>
              <w:right w:w="28" w:type="dxa"/>
            </w:tcMar>
          </w:tcPr>
          <w:p w:rsidR="009E1F17" w:rsidRPr="009E1F17" w:rsidRDefault="009E1F17" w:rsidP="00100A7A">
            <w:pPr>
              <w:keepNext/>
              <w:keepLines/>
              <w:widowControl/>
              <w:jc w:val="left"/>
              <w:rPr>
                <w:rFonts w:ascii="Arial Narrow" w:hAnsi="Arial Narrow" w:cs="Times New Roman"/>
                <w:snapToGrid/>
                <w:sz w:val="20"/>
                <w:szCs w:val="20"/>
              </w:rPr>
            </w:pPr>
            <w:r w:rsidRPr="009E1F17">
              <w:rPr>
                <w:rFonts w:ascii="Arial Narrow" w:hAnsi="Arial Narrow" w:cs="Times New Roman"/>
                <w:snapToGrid/>
                <w:sz w:val="20"/>
                <w:szCs w:val="20"/>
              </w:rPr>
              <w:t>R20 vs. PBO</w:t>
            </w:r>
          </w:p>
        </w:tc>
        <w:tc>
          <w:tcPr>
            <w:tcW w:w="1175" w:type="pct"/>
            <w:tcMar>
              <w:left w:w="28" w:type="dxa"/>
              <w:right w:w="28" w:type="dxa"/>
            </w:tcMar>
          </w:tcPr>
          <w:p w:rsidR="009E1F17" w:rsidRPr="00EE7B26" w:rsidRDefault="009E1F17" w:rsidP="00100A7A">
            <w:pPr>
              <w:keepNext/>
              <w:keepLines/>
              <w:widowControl/>
              <w:jc w:val="center"/>
              <w:rPr>
                <w:rFonts w:ascii="Arial Narrow" w:hAnsi="Arial Narrow" w:cs="Times New Roman"/>
                <w:b/>
                <w:snapToGrid/>
                <w:sz w:val="20"/>
                <w:szCs w:val="20"/>
                <w:vertAlign w:val="superscript"/>
              </w:rPr>
            </w:pPr>
            <w:r w:rsidRPr="00EE7B26">
              <w:rPr>
                <w:rFonts w:ascii="Arial Narrow" w:hAnsi="Arial Narrow" w:cs="Times New Roman"/>
                <w:b/>
                <w:snapToGrid/>
                <w:sz w:val="20"/>
                <w:szCs w:val="20"/>
              </w:rPr>
              <w:t>0.18 (0.09, 0.39)</w:t>
            </w:r>
            <w:r w:rsidRPr="00EE7B26">
              <w:rPr>
                <w:rFonts w:ascii="Arial Narrow" w:hAnsi="Arial Narrow" w:cs="Times New Roman"/>
                <w:b/>
                <w:snapToGrid/>
                <w:sz w:val="20"/>
                <w:szCs w:val="20"/>
                <w:vertAlign w:val="superscript"/>
              </w:rPr>
              <w:t>5</w:t>
            </w:r>
          </w:p>
          <w:p w:rsidR="009E1F17" w:rsidRPr="00EE7B26" w:rsidRDefault="009E1F17" w:rsidP="00100A7A">
            <w:pPr>
              <w:keepNext/>
              <w:keepLines/>
              <w:widowControl/>
              <w:jc w:val="center"/>
              <w:rPr>
                <w:rFonts w:ascii="Arial Narrow" w:hAnsi="Arial Narrow" w:cs="Times New Roman"/>
                <w:b/>
                <w:snapToGrid/>
                <w:sz w:val="20"/>
                <w:szCs w:val="20"/>
              </w:rPr>
            </w:pPr>
            <w:r w:rsidRPr="00EE7B26">
              <w:rPr>
                <w:rFonts w:ascii="Arial Narrow" w:hAnsi="Arial Narrow" w:cs="Times New Roman"/>
                <w:b/>
                <w:snapToGrid/>
                <w:sz w:val="20"/>
                <w:szCs w:val="20"/>
              </w:rPr>
              <w:t>0.19 (0.09, 0.40)</w:t>
            </w:r>
          </w:p>
        </w:tc>
        <w:tc>
          <w:tcPr>
            <w:tcW w:w="1100" w:type="pct"/>
            <w:tcMar>
              <w:left w:w="28" w:type="dxa"/>
              <w:right w:w="28" w:type="dxa"/>
            </w:tcMar>
          </w:tcPr>
          <w:p w:rsidR="009E1F17" w:rsidRPr="00EE7B26" w:rsidRDefault="009E1F17" w:rsidP="00100A7A">
            <w:pPr>
              <w:keepNext/>
              <w:keepLines/>
              <w:widowControl/>
              <w:jc w:val="center"/>
              <w:rPr>
                <w:rFonts w:ascii="Arial Narrow" w:hAnsi="Arial Narrow" w:cs="Times New Roman"/>
                <w:snapToGrid/>
                <w:sz w:val="20"/>
                <w:szCs w:val="20"/>
              </w:rPr>
            </w:pPr>
            <w:r w:rsidRPr="00EE7B26">
              <w:rPr>
                <w:rFonts w:ascii="Arial Narrow" w:hAnsi="Arial Narrow" w:cs="Times New Roman"/>
                <w:snapToGrid/>
                <w:sz w:val="20"/>
                <w:szCs w:val="20"/>
              </w:rPr>
              <w:t>NA</w:t>
            </w:r>
          </w:p>
        </w:tc>
        <w:tc>
          <w:tcPr>
            <w:tcW w:w="1161" w:type="pct"/>
            <w:tcMar>
              <w:left w:w="28" w:type="dxa"/>
              <w:right w:w="28" w:type="dxa"/>
            </w:tcMar>
          </w:tcPr>
          <w:p w:rsidR="009E1F17" w:rsidRPr="00EE7B26" w:rsidRDefault="009E1F17" w:rsidP="00100A7A">
            <w:pPr>
              <w:keepNext/>
              <w:keepLines/>
              <w:widowControl/>
              <w:jc w:val="center"/>
              <w:rPr>
                <w:rFonts w:ascii="Arial Narrow" w:hAnsi="Arial Narrow" w:cs="Times New Roman"/>
                <w:b/>
                <w:snapToGrid/>
                <w:sz w:val="20"/>
                <w:szCs w:val="20"/>
                <w:vertAlign w:val="superscript"/>
              </w:rPr>
            </w:pPr>
            <w:r w:rsidRPr="00EE7B26">
              <w:rPr>
                <w:rFonts w:ascii="Arial Narrow" w:hAnsi="Arial Narrow" w:cs="Times New Roman"/>
                <w:b/>
                <w:snapToGrid/>
                <w:sz w:val="20"/>
                <w:szCs w:val="20"/>
              </w:rPr>
              <w:t>5.19 (2.3, 11.7)</w:t>
            </w:r>
            <w:r w:rsidRPr="00EE7B26">
              <w:rPr>
                <w:rFonts w:ascii="Arial Narrow" w:hAnsi="Arial Narrow" w:cs="Times New Roman"/>
                <w:b/>
                <w:snapToGrid/>
                <w:sz w:val="20"/>
                <w:szCs w:val="20"/>
                <w:vertAlign w:val="superscript"/>
              </w:rPr>
              <w:t>5</w:t>
            </w:r>
          </w:p>
          <w:p w:rsidR="009E1F17" w:rsidRPr="00EE7B26" w:rsidRDefault="009E1F17" w:rsidP="00100A7A">
            <w:pPr>
              <w:keepNext/>
              <w:keepLines/>
              <w:widowControl/>
              <w:jc w:val="center"/>
              <w:rPr>
                <w:rFonts w:ascii="Arial Narrow" w:hAnsi="Arial Narrow" w:cs="Times New Roman"/>
                <w:b/>
                <w:snapToGrid/>
                <w:sz w:val="20"/>
                <w:szCs w:val="20"/>
                <w:vertAlign w:val="superscript"/>
              </w:rPr>
            </w:pPr>
            <w:r w:rsidRPr="00EE7B26">
              <w:rPr>
                <w:rFonts w:ascii="Arial Narrow" w:hAnsi="Arial Narrow" w:cs="Times New Roman"/>
                <w:b/>
                <w:snapToGrid/>
                <w:sz w:val="20"/>
                <w:szCs w:val="20"/>
              </w:rPr>
              <w:t>4.51 (2.01, 10.14)</w:t>
            </w:r>
          </w:p>
        </w:tc>
      </w:tr>
      <w:tr w:rsidR="009E1F17" w:rsidRPr="009E1F17" w:rsidTr="000840CF">
        <w:tc>
          <w:tcPr>
            <w:tcW w:w="784" w:type="pct"/>
            <w:tcMar>
              <w:left w:w="28" w:type="dxa"/>
              <w:right w:w="28" w:type="dxa"/>
            </w:tcMar>
          </w:tcPr>
          <w:p w:rsidR="009E1F17" w:rsidRPr="009E1F17" w:rsidRDefault="009E1F17" w:rsidP="00100A7A">
            <w:pPr>
              <w:keepNext/>
              <w:keepLines/>
              <w:widowControl/>
              <w:jc w:val="left"/>
              <w:rPr>
                <w:rFonts w:ascii="Arial Narrow" w:hAnsi="Arial Narrow" w:cs="Times New Roman"/>
                <w:snapToGrid/>
                <w:sz w:val="20"/>
                <w:szCs w:val="20"/>
              </w:rPr>
            </w:pPr>
            <w:r w:rsidRPr="009E1F17">
              <w:rPr>
                <w:rFonts w:ascii="Arial Narrow" w:hAnsi="Arial Narrow" w:cs="Times New Roman"/>
                <w:snapToGrid/>
                <w:sz w:val="20"/>
                <w:szCs w:val="20"/>
              </w:rPr>
              <w:t>Robertson 2017</w:t>
            </w:r>
          </w:p>
        </w:tc>
        <w:tc>
          <w:tcPr>
            <w:tcW w:w="780" w:type="pct"/>
            <w:gridSpan w:val="2"/>
            <w:tcMar>
              <w:left w:w="28" w:type="dxa"/>
              <w:right w:w="28" w:type="dxa"/>
            </w:tcMar>
          </w:tcPr>
          <w:p w:rsidR="009E1F17" w:rsidRPr="009E1F17" w:rsidRDefault="009E1F17" w:rsidP="00100A7A">
            <w:pPr>
              <w:keepNext/>
              <w:keepLines/>
              <w:widowControl/>
              <w:jc w:val="left"/>
              <w:rPr>
                <w:rFonts w:ascii="Arial Narrow" w:hAnsi="Arial Narrow" w:cs="Times New Roman"/>
                <w:snapToGrid/>
                <w:sz w:val="20"/>
                <w:szCs w:val="20"/>
              </w:rPr>
            </w:pPr>
            <w:r w:rsidRPr="009E1F17">
              <w:rPr>
                <w:rFonts w:ascii="Arial Narrow" w:hAnsi="Arial Narrow" w:cs="Times New Roman"/>
                <w:snapToGrid/>
                <w:sz w:val="20"/>
                <w:szCs w:val="20"/>
              </w:rPr>
              <w:t>ASA vs. PBO</w:t>
            </w:r>
          </w:p>
        </w:tc>
        <w:tc>
          <w:tcPr>
            <w:tcW w:w="1175" w:type="pct"/>
            <w:tcMar>
              <w:left w:w="28" w:type="dxa"/>
              <w:right w:w="28" w:type="dxa"/>
            </w:tcMar>
          </w:tcPr>
          <w:p w:rsidR="009E1F17" w:rsidRPr="00EE7B26" w:rsidRDefault="009E1F17" w:rsidP="00100A7A">
            <w:pPr>
              <w:keepNext/>
              <w:keepLines/>
              <w:widowControl/>
              <w:jc w:val="center"/>
              <w:rPr>
                <w:rFonts w:ascii="Arial Narrow" w:hAnsi="Arial Narrow" w:cs="Times New Roman"/>
                <w:b/>
                <w:snapToGrid/>
                <w:sz w:val="20"/>
                <w:szCs w:val="20"/>
                <w:vertAlign w:val="superscript"/>
              </w:rPr>
            </w:pPr>
            <w:r w:rsidRPr="00EE7B26">
              <w:rPr>
                <w:rFonts w:ascii="Arial Narrow" w:hAnsi="Arial Narrow" w:cs="Times New Roman"/>
                <w:b/>
                <w:snapToGrid/>
                <w:sz w:val="20"/>
                <w:szCs w:val="20"/>
              </w:rPr>
              <w:t>0.68 (05, 0.92)</w:t>
            </w:r>
            <w:r w:rsidRPr="00EE7B26">
              <w:rPr>
                <w:rFonts w:ascii="Arial Narrow" w:hAnsi="Arial Narrow" w:cs="Times New Roman"/>
                <w:b/>
                <w:snapToGrid/>
                <w:sz w:val="20"/>
                <w:szCs w:val="20"/>
                <w:vertAlign w:val="superscript"/>
              </w:rPr>
              <w:t>5</w:t>
            </w:r>
          </w:p>
          <w:p w:rsidR="009E1F17" w:rsidRPr="00EE7B26" w:rsidRDefault="009E1F17" w:rsidP="00100A7A">
            <w:pPr>
              <w:keepNext/>
              <w:keepLines/>
              <w:widowControl/>
              <w:jc w:val="center"/>
              <w:rPr>
                <w:rFonts w:ascii="Arial Narrow" w:hAnsi="Arial Narrow" w:cs="Times New Roman"/>
                <w:b/>
                <w:snapToGrid/>
                <w:sz w:val="20"/>
                <w:szCs w:val="20"/>
              </w:rPr>
            </w:pPr>
            <w:r w:rsidRPr="00EE7B26">
              <w:rPr>
                <w:rFonts w:ascii="Arial Narrow" w:hAnsi="Arial Narrow" w:cs="Times New Roman"/>
                <w:b/>
                <w:snapToGrid/>
                <w:sz w:val="20"/>
                <w:szCs w:val="20"/>
              </w:rPr>
              <w:t>0.72 (0.56, 0.93)</w:t>
            </w:r>
          </w:p>
        </w:tc>
        <w:tc>
          <w:tcPr>
            <w:tcW w:w="1100" w:type="pct"/>
            <w:tcMar>
              <w:left w:w="28" w:type="dxa"/>
              <w:right w:w="28" w:type="dxa"/>
            </w:tcMar>
          </w:tcPr>
          <w:p w:rsidR="009E1F17" w:rsidRPr="00EE7B26" w:rsidRDefault="009E1F17" w:rsidP="00100A7A">
            <w:pPr>
              <w:keepNext/>
              <w:keepLines/>
              <w:widowControl/>
              <w:jc w:val="center"/>
              <w:rPr>
                <w:rFonts w:ascii="Arial Narrow" w:hAnsi="Arial Narrow" w:cs="Times New Roman"/>
                <w:snapToGrid/>
                <w:sz w:val="20"/>
                <w:szCs w:val="20"/>
                <w:vertAlign w:val="superscript"/>
              </w:rPr>
            </w:pPr>
            <w:r w:rsidRPr="00EE7B26">
              <w:rPr>
                <w:rFonts w:ascii="Arial Narrow" w:hAnsi="Arial Narrow" w:cs="Times New Roman"/>
                <w:snapToGrid/>
                <w:sz w:val="20"/>
                <w:szCs w:val="20"/>
              </w:rPr>
              <w:t>1.28 (0.47, 3.47)</w:t>
            </w:r>
            <w:r w:rsidRPr="00EE7B26">
              <w:rPr>
                <w:rFonts w:ascii="Arial Narrow" w:hAnsi="Arial Narrow" w:cs="Times New Roman"/>
                <w:snapToGrid/>
                <w:sz w:val="20"/>
                <w:szCs w:val="20"/>
                <w:vertAlign w:val="superscript"/>
              </w:rPr>
              <w:t>5</w:t>
            </w:r>
          </w:p>
          <w:p w:rsidR="009E1F17" w:rsidRPr="00EE7B26" w:rsidRDefault="009E1F17" w:rsidP="00100A7A">
            <w:pPr>
              <w:keepNext/>
              <w:keepLines/>
              <w:widowControl/>
              <w:jc w:val="center"/>
              <w:rPr>
                <w:rFonts w:ascii="Arial Narrow" w:hAnsi="Arial Narrow" w:cs="Times New Roman"/>
                <w:snapToGrid/>
                <w:sz w:val="20"/>
                <w:szCs w:val="20"/>
                <w:vertAlign w:val="superscript"/>
              </w:rPr>
            </w:pPr>
            <w:r w:rsidRPr="00EE7B26">
              <w:rPr>
                <w:rFonts w:ascii="Arial Narrow" w:hAnsi="Arial Narrow" w:cs="Times New Roman"/>
                <w:snapToGrid/>
                <w:sz w:val="20"/>
                <w:szCs w:val="20"/>
              </w:rPr>
              <w:t>1.27 (0.48, 3.39)</w:t>
            </w:r>
          </w:p>
        </w:tc>
        <w:tc>
          <w:tcPr>
            <w:tcW w:w="1161" w:type="pct"/>
            <w:tcMar>
              <w:left w:w="28" w:type="dxa"/>
              <w:right w:w="28" w:type="dxa"/>
            </w:tcMar>
          </w:tcPr>
          <w:p w:rsidR="009E1F17" w:rsidRPr="00EE7B26" w:rsidRDefault="009E1F17" w:rsidP="00100A7A">
            <w:pPr>
              <w:keepNext/>
              <w:keepLines/>
              <w:widowControl/>
              <w:jc w:val="center"/>
              <w:rPr>
                <w:rFonts w:ascii="Arial Narrow" w:hAnsi="Arial Narrow" w:cs="Times New Roman"/>
                <w:snapToGrid/>
                <w:sz w:val="20"/>
                <w:szCs w:val="20"/>
                <w:vertAlign w:val="superscript"/>
              </w:rPr>
            </w:pPr>
            <w:r w:rsidRPr="00EE7B26">
              <w:rPr>
                <w:rFonts w:ascii="Arial Narrow" w:hAnsi="Arial Narrow" w:cs="Times New Roman"/>
                <w:snapToGrid/>
                <w:sz w:val="20"/>
                <w:szCs w:val="20"/>
              </w:rPr>
              <w:t>1.48 (0.71, 3.06)</w:t>
            </w:r>
            <w:r w:rsidRPr="00EE7B26">
              <w:rPr>
                <w:rFonts w:ascii="Arial Narrow" w:hAnsi="Arial Narrow" w:cs="Times New Roman"/>
                <w:snapToGrid/>
                <w:sz w:val="20"/>
                <w:szCs w:val="20"/>
                <w:vertAlign w:val="superscript"/>
              </w:rPr>
              <w:t>5</w:t>
            </w:r>
          </w:p>
          <w:p w:rsidR="009E1F17" w:rsidRPr="00EE7B26" w:rsidRDefault="009E1F17" w:rsidP="00100A7A">
            <w:pPr>
              <w:keepNext/>
              <w:keepLines/>
              <w:widowControl/>
              <w:jc w:val="center"/>
              <w:rPr>
                <w:rFonts w:ascii="Arial Narrow" w:hAnsi="Arial Narrow" w:cs="Times New Roman"/>
                <w:snapToGrid/>
                <w:sz w:val="20"/>
                <w:szCs w:val="20"/>
                <w:vertAlign w:val="superscript"/>
              </w:rPr>
            </w:pPr>
            <w:r w:rsidRPr="00EE7B26">
              <w:rPr>
                <w:rFonts w:ascii="Arial Narrow" w:hAnsi="Arial Narrow" w:cs="Times New Roman"/>
                <w:snapToGrid/>
                <w:sz w:val="20"/>
                <w:szCs w:val="20"/>
              </w:rPr>
              <w:t>1.78 (0.60, 5.27)</w:t>
            </w:r>
          </w:p>
        </w:tc>
      </w:tr>
      <w:tr w:rsidR="009E1F17" w:rsidRPr="009E1F17" w:rsidTr="00CC2AC6">
        <w:tc>
          <w:tcPr>
            <w:tcW w:w="784" w:type="pct"/>
            <w:vMerge w:val="restart"/>
            <w:tcMar>
              <w:left w:w="28" w:type="dxa"/>
              <w:right w:w="28" w:type="dxa"/>
            </w:tcMar>
          </w:tcPr>
          <w:p w:rsidR="009E1F17" w:rsidRPr="009E1F17" w:rsidRDefault="009E1F17" w:rsidP="00100A7A">
            <w:pPr>
              <w:keepNext/>
              <w:keepLines/>
              <w:widowControl/>
              <w:jc w:val="left"/>
              <w:rPr>
                <w:rFonts w:ascii="Arial Narrow" w:hAnsi="Arial Narrow" w:cs="Times New Roman"/>
                <w:snapToGrid/>
                <w:sz w:val="20"/>
                <w:szCs w:val="20"/>
              </w:rPr>
            </w:pPr>
            <w:r w:rsidRPr="009E1F17">
              <w:rPr>
                <w:rFonts w:ascii="Arial Narrow" w:hAnsi="Arial Narrow" w:cs="Times New Roman"/>
                <w:snapToGrid/>
                <w:sz w:val="20"/>
                <w:szCs w:val="20"/>
              </w:rPr>
              <w:t>Intermediate indirect estimate of effect</w:t>
            </w:r>
          </w:p>
        </w:tc>
        <w:tc>
          <w:tcPr>
            <w:tcW w:w="780" w:type="pct"/>
            <w:gridSpan w:val="2"/>
            <w:tcMar>
              <w:left w:w="28" w:type="dxa"/>
              <w:right w:w="28" w:type="dxa"/>
            </w:tcMar>
          </w:tcPr>
          <w:p w:rsidR="009E1F17" w:rsidRPr="009E1F17" w:rsidRDefault="009E1F17" w:rsidP="00100A7A">
            <w:pPr>
              <w:keepNext/>
              <w:keepLines/>
              <w:widowControl/>
              <w:jc w:val="left"/>
              <w:rPr>
                <w:rFonts w:ascii="Arial Narrow" w:hAnsi="Arial Narrow" w:cs="Times New Roman"/>
                <w:snapToGrid/>
                <w:sz w:val="20"/>
                <w:szCs w:val="20"/>
                <w:lang w:val="nn-NO"/>
              </w:rPr>
            </w:pPr>
            <w:r w:rsidRPr="009E1F17">
              <w:rPr>
                <w:rFonts w:ascii="Arial Narrow" w:hAnsi="Arial Narrow" w:cs="Times New Roman"/>
                <w:snapToGrid/>
                <w:sz w:val="20"/>
                <w:szCs w:val="20"/>
                <w:lang w:val="nn-NO"/>
              </w:rPr>
              <w:t>R10 vs. PBO via ASA</w:t>
            </w:r>
          </w:p>
        </w:tc>
        <w:tc>
          <w:tcPr>
            <w:tcW w:w="1175" w:type="pct"/>
            <w:shd w:val="clear" w:color="auto" w:fill="auto"/>
            <w:tcMar>
              <w:left w:w="28" w:type="dxa"/>
              <w:right w:w="28" w:type="dxa"/>
            </w:tcMar>
          </w:tcPr>
          <w:p w:rsidR="009E1F17" w:rsidRPr="00CC2AC6" w:rsidRDefault="009E1F17" w:rsidP="00100A7A">
            <w:pPr>
              <w:keepNext/>
              <w:keepLines/>
              <w:widowControl/>
              <w:jc w:val="center"/>
              <w:rPr>
                <w:rFonts w:ascii="Arial Narrow" w:hAnsi="Arial Narrow" w:cs="Times New Roman"/>
                <w:b/>
                <w:snapToGrid/>
                <w:sz w:val="20"/>
                <w:szCs w:val="20"/>
                <w:vertAlign w:val="superscript"/>
              </w:rPr>
            </w:pPr>
            <w:r w:rsidRPr="00CC2AC6">
              <w:rPr>
                <w:rFonts w:ascii="Arial Narrow" w:hAnsi="Arial Narrow" w:cs="Times New Roman"/>
                <w:b/>
                <w:snapToGrid/>
                <w:sz w:val="20"/>
                <w:szCs w:val="20"/>
              </w:rPr>
              <w:t>0.18 (0.09, 0.35)</w:t>
            </w:r>
            <w:r w:rsidRPr="00CC2AC6">
              <w:rPr>
                <w:rFonts w:ascii="Arial Narrow" w:hAnsi="Arial Narrow" w:cs="Times New Roman"/>
                <w:b/>
                <w:snapToGrid/>
                <w:sz w:val="20"/>
                <w:szCs w:val="20"/>
                <w:vertAlign w:val="superscript"/>
              </w:rPr>
              <w:t>5</w:t>
            </w:r>
          </w:p>
          <w:p w:rsidR="009E1F17" w:rsidRPr="00CC2AC6" w:rsidRDefault="009E1F17" w:rsidP="00100A7A">
            <w:pPr>
              <w:keepNext/>
              <w:keepLines/>
              <w:widowControl/>
              <w:jc w:val="center"/>
              <w:rPr>
                <w:rFonts w:ascii="Arial Narrow" w:hAnsi="Arial Narrow" w:cs="Times New Roman"/>
                <w:b/>
                <w:snapToGrid/>
                <w:sz w:val="20"/>
                <w:szCs w:val="20"/>
              </w:rPr>
            </w:pPr>
            <w:r w:rsidRPr="00CC2AC6">
              <w:rPr>
                <w:rFonts w:ascii="Arial Narrow" w:hAnsi="Arial Narrow" w:cs="Times New Roman"/>
                <w:b/>
                <w:snapToGrid/>
                <w:sz w:val="20"/>
                <w:szCs w:val="20"/>
              </w:rPr>
              <w:t>0.19 (0.10, 0.35)</w:t>
            </w:r>
          </w:p>
        </w:tc>
        <w:tc>
          <w:tcPr>
            <w:tcW w:w="1100" w:type="pct"/>
            <w:shd w:val="clear" w:color="auto" w:fill="auto"/>
            <w:tcMar>
              <w:left w:w="28" w:type="dxa"/>
              <w:right w:w="28" w:type="dxa"/>
            </w:tcMar>
          </w:tcPr>
          <w:p w:rsidR="009E1F17" w:rsidRPr="00CC2AC6" w:rsidRDefault="009E1F17" w:rsidP="00100A7A">
            <w:pPr>
              <w:keepNext/>
              <w:keepLines/>
              <w:widowControl/>
              <w:jc w:val="center"/>
              <w:rPr>
                <w:rFonts w:ascii="Arial Narrow" w:hAnsi="Arial Narrow" w:cs="Times New Roman"/>
                <w:snapToGrid/>
                <w:sz w:val="20"/>
                <w:szCs w:val="20"/>
                <w:vertAlign w:val="superscript"/>
                <w:lang w:val="nn-NO"/>
              </w:rPr>
            </w:pPr>
            <w:r w:rsidRPr="00CC2AC6">
              <w:rPr>
                <w:rFonts w:ascii="Arial Narrow" w:hAnsi="Arial Narrow" w:cs="Times New Roman"/>
                <w:snapToGrid/>
                <w:sz w:val="20"/>
                <w:szCs w:val="20"/>
                <w:lang w:val="nn-NO"/>
              </w:rPr>
              <w:t>2.10 (0.37, 12.04)</w:t>
            </w:r>
            <w:r w:rsidRPr="00CC2AC6">
              <w:rPr>
                <w:rFonts w:ascii="Arial Narrow" w:hAnsi="Arial Narrow" w:cs="Times New Roman"/>
                <w:snapToGrid/>
                <w:sz w:val="20"/>
                <w:szCs w:val="20"/>
                <w:vertAlign w:val="superscript"/>
                <w:lang w:val="nn-NO"/>
              </w:rPr>
              <w:t>5</w:t>
            </w:r>
          </w:p>
          <w:p w:rsidR="009E1F17" w:rsidRPr="00CC2AC6" w:rsidRDefault="009E1F17" w:rsidP="00100A7A">
            <w:pPr>
              <w:keepNext/>
              <w:keepLines/>
              <w:widowControl/>
              <w:jc w:val="center"/>
              <w:rPr>
                <w:rFonts w:ascii="Arial Narrow" w:hAnsi="Arial Narrow" w:cs="Times New Roman"/>
                <w:snapToGrid/>
                <w:sz w:val="20"/>
                <w:szCs w:val="20"/>
                <w:vertAlign w:val="superscript"/>
              </w:rPr>
            </w:pPr>
            <w:r w:rsidRPr="00CC2AC6">
              <w:rPr>
                <w:rFonts w:ascii="Arial Narrow" w:hAnsi="Arial Narrow" w:cs="Times New Roman"/>
                <w:snapToGrid/>
                <w:sz w:val="20"/>
                <w:szCs w:val="20"/>
                <w:lang w:val="nn-NO"/>
              </w:rPr>
              <w:t>2.08 (0.37, 11.79)</w:t>
            </w:r>
          </w:p>
        </w:tc>
        <w:tc>
          <w:tcPr>
            <w:tcW w:w="1161" w:type="pct"/>
            <w:shd w:val="clear" w:color="auto" w:fill="auto"/>
            <w:tcMar>
              <w:left w:w="28" w:type="dxa"/>
              <w:right w:w="28" w:type="dxa"/>
            </w:tcMar>
          </w:tcPr>
          <w:p w:rsidR="009E1F17" w:rsidRPr="00CC2AC6" w:rsidRDefault="009E1F17" w:rsidP="00100A7A">
            <w:pPr>
              <w:keepNext/>
              <w:keepLines/>
              <w:widowControl/>
              <w:jc w:val="center"/>
              <w:rPr>
                <w:rFonts w:ascii="Arial Narrow" w:hAnsi="Arial Narrow" w:cs="Times New Roman"/>
                <w:snapToGrid/>
                <w:sz w:val="20"/>
                <w:szCs w:val="20"/>
                <w:vertAlign w:val="superscript"/>
              </w:rPr>
            </w:pPr>
            <w:r w:rsidRPr="00CC2AC6">
              <w:rPr>
                <w:rFonts w:ascii="Arial Narrow" w:hAnsi="Arial Narrow" w:cs="Times New Roman"/>
                <w:snapToGrid/>
                <w:sz w:val="20"/>
                <w:szCs w:val="20"/>
              </w:rPr>
              <w:t>1.72 (0.69, 4.29)</w:t>
            </w:r>
            <w:r w:rsidRPr="00CC2AC6">
              <w:rPr>
                <w:rFonts w:ascii="Arial Narrow" w:hAnsi="Arial Narrow" w:cs="Times New Roman"/>
                <w:snapToGrid/>
                <w:sz w:val="20"/>
                <w:szCs w:val="20"/>
                <w:vertAlign w:val="superscript"/>
              </w:rPr>
              <w:t>5</w:t>
            </w:r>
          </w:p>
          <w:p w:rsidR="009E1F17" w:rsidRPr="00CC2AC6" w:rsidRDefault="009E1F17" w:rsidP="00100A7A">
            <w:pPr>
              <w:keepNext/>
              <w:keepLines/>
              <w:widowControl/>
              <w:jc w:val="center"/>
              <w:rPr>
                <w:rFonts w:ascii="Arial Narrow" w:hAnsi="Arial Narrow" w:cs="Times New Roman"/>
                <w:snapToGrid/>
                <w:sz w:val="20"/>
                <w:szCs w:val="20"/>
                <w:vertAlign w:val="superscript"/>
              </w:rPr>
            </w:pPr>
            <w:r w:rsidRPr="00CC2AC6">
              <w:rPr>
                <w:rFonts w:ascii="Arial Narrow" w:hAnsi="Arial Narrow" w:cs="Times New Roman"/>
                <w:snapToGrid/>
                <w:sz w:val="20"/>
                <w:szCs w:val="20"/>
              </w:rPr>
              <w:t>2.06 (0.61, 6.99)</w:t>
            </w:r>
          </w:p>
        </w:tc>
      </w:tr>
      <w:tr w:rsidR="009E1F17" w:rsidRPr="009E1F17" w:rsidTr="00CC2AC6">
        <w:tc>
          <w:tcPr>
            <w:tcW w:w="784" w:type="pct"/>
            <w:vMerge/>
            <w:tcMar>
              <w:left w:w="28" w:type="dxa"/>
              <w:right w:w="28" w:type="dxa"/>
            </w:tcMar>
          </w:tcPr>
          <w:p w:rsidR="009E1F17" w:rsidRPr="009E1F17" w:rsidRDefault="009E1F17" w:rsidP="00100A7A">
            <w:pPr>
              <w:keepNext/>
              <w:keepLines/>
              <w:widowControl/>
              <w:jc w:val="left"/>
              <w:rPr>
                <w:rFonts w:ascii="Arial Narrow" w:hAnsi="Arial Narrow" w:cs="Times New Roman"/>
                <w:snapToGrid/>
                <w:sz w:val="20"/>
                <w:szCs w:val="20"/>
              </w:rPr>
            </w:pPr>
          </w:p>
        </w:tc>
        <w:tc>
          <w:tcPr>
            <w:tcW w:w="780" w:type="pct"/>
            <w:gridSpan w:val="2"/>
            <w:tcMar>
              <w:left w:w="28" w:type="dxa"/>
              <w:right w:w="28" w:type="dxa"/>
            </w:tcMar>
          </w:tcPr>
          <w:p w:rsidR="009E1F17" w:rsidRPr="009E1F17" w:rsidRDefault="009E1F17" w:rsidP="00100A7A">
            <w:pPr>
              <w:keepNext/>
              <w:keepLines/>
              <w:widowControl/>
              <w:jc w:val="left"/>
              <w:rPr>
                <w:rFonts w:ascii="Arial Narrow" w:hAnsi="Arial Narrow" w:cs="Times New Roman"/>
                <w:snapToGrid/>
                <w:sz w:val="20"/>
                <w:szCs w:val="20"/>
                <w:lang w:val="nn-NO"/>
              </w:rPr>
            </w:pPr>
            <w:r w:rsidRPr="009E1F17">
              <w:rPr>
                <w:rFonts w:ascii="Arial Narrow" w:hAnsi="Arial Narrow" w:cs="Times New Roman"/>
                <w:snapToGrid/>
                <w:sz w:val="20"/>
                <w:szCs w:val="20"/>
                <w:lang w:val="nn-NO"/>
              </w:rPr>
              <w:t>A2.5 vs. ASA via PBO</w:t>
            </w:r>
          </w:p>
        </w:tc>
        <w:tc>
          <w:tcPr>
            <w:tcW w:w="1175" w:type="pct"/>
            <w:shd w:val="clear" w:color="auto" w:fill="auto"/>
            <w:tcMar>
              <w:left w:w="28" w:type="dxa"/>
              <w:right w:w="28" w:type="dxa"/>
            </w:tcMar>
          </w:tcPr>
          <w:p w:rsidR="009E1F17" w:rsidRPr="00CC2AC6" w:rsidRDefault="009E1F17" w:rsidP="00100A7A">
            <w:pPr>
              <w:keepNext/>
              <w:keepLines/>
              <w:widowControl/>
              <w:jc w:val="center"/>
              <w:rPr>
                <w:rFonts w:ascii="Arial Narrow" w:hAnsi="Arial Narrow" w:cs="Times New Roman"/>
                <w:b/>
                <w:snapToGrid/>
                <w:sz w:val="20"/>
                <w:szCs w:val="20"/>
                <w:vertAlign w:val="superscript"/>
              </w:rPr>
            </w:pPr>
            <w:r w:rsidRPr="00CC2AC6">
              <w:rPr>
                <w:rFonts w:ascii="Arial Narrow" w:hAnsi="Arial Narrow" w:cs="Times New Roman"/>
                <w:b/>
                <w:snapToGrid/>
                <w:sz w:val="20"/>
                <w:szCs w:val="20"/>
              </w:rPr>
              <w:t>0.28 (0.15, 0.52)</w:t>
            </w:r>
            <w:r w:rsidRPr="00CC2AC6">
              <w:rPr>
                <w:rFonts w:ascii="Arial Narrow" w:hAnsi="Arial Narrow" w:cs="Times New Roman"/>
                <w:b/>
                <w:snapToGrid/>
                <w:sz w:val="20"/>
                <w:szCs w:val="20"/>
                <w:vertAlign w:val="superscript"/>
              </w:rPr>
              <w:t>5</w:t>
            </w:r>
          </w:p>
          <w:p w:rsidR="009E1F17" w:rsidRPr="00CC2AC6" w:rsidRDefault="009E1F17" w:rsidP="00100A7A">
            <w:pPr>
              <w:keepNext/>
              <w:keepLines/>
              <w:widowControl/>
              <w:jc w:val="center"/>
              <w:rPr>
                <w:rFonts w:ascii="Arial Narrow" w:hAnsi="Arial Narrow" w:cs="Times New Roman"/>
                <w:b/>
                <w:snapToGrid/>
                <w:sz w:val="20"/>
                <w:szCs w:val="20"/>
              </w:rPr>
            </w:pPr>
            <w:r w:rsidRPr="00CC2AC6">
              <w:rPr>
                <w:rFonts w:ascii="Arial Narrow" w:hAnsi="Arial Narrow" w:cs="Times New Roman"/>
                <w:b/>
                <w:snapToGrid/>
                <w:sz w:val="20"/>
                <w:szCs w:val="20"/>
              </w:rPr>
              <w:t>0.26 (0.15, 0.47)</w:t>
            </w:r>
          </w:p>
        </w:tc>
        <w:tc>
          <w:tcPr>
            <w:tcW w:w="1100" w:type="pct"/>
            <w:shd w:val="clear" w:color="auto" w:fill="auto"/>
            <w:tcMar>
              <w:left w:w="28" w:type="dxa"/>
              <w:right w:w="28" w:type="dxa"/>
            </w:tcMar>
          </w:tcPr>
          <w:p w:rsidR="009E1F17" w:rsidRPr="00CC2AC6" w:rsidRDefault="009E1F17" w:rsidP="00100A7A">
            <w:pPr>
              <w:keepNext/>
              <w:keepLines/>
              <w:widowControl/>
              <w:jc w:val="center"/>
              <w:rPr>
                <w:rFonts w:ascii="Arial Narrow" w:hAnsi="Arial Narrow" w:cs="Times New Roman"/>
                <w:snapToGrid/>
                <w:sz w:val="20"/>
                <w:szCs w:val="20"/>
                <w:vertAlign w:val="superscript"/>
              </w:rPr>
            </w:pPr>
            <w:r w:rsidRPr="00CC2AC6">
              <w:rPr>
                <w:rFonts w:ascii="Arial Narrow" w:hAnsi="Arial Narrow" w:cs="Times New Roman"/>
                <w:snapToGrid/>
                <w:sz w:val="20"/>
                <w:szCs w:val="20"/>
              </w:rPr>
              <w:t>0.38 (0.05, 2.73)</w:t>
            </w:r>
            <w:r w:rsidRPr="00CC2AC6">
              <w:rPr>
                <w:rFonts w:ascii="Arial Narrow" w:hAnsi="Arial Narrow" w:cs="Times New Roman"/>
                <w:snapToGrid/>
                <w:sz w:val="20"/>
                <w:szCs w:val="20"/>
                <w:vertAlign w:val="superscript"/>
              </w:rPr>
              <w:t>5</w:t>
            </w:r>
          </w:p>
          <w:p w:rsidR="009E1F17" w:rsidRPr="00CC2AC6" w:rsidRDefault="009E1F17" w:rsidP="00100A7A">
            <w:pPr>
              <w:keepNext/>
              <w:keepLines/>
              <w:widowControl/>
              <w:jc w:val="center"/>
              <w:rPr>
                <w:rFonts w:ascii="Arial Narrow" w:hAnsi="Arial Narrow" w:cs="Times New Roman"/>
                <w:snapToGrid/>
                <w:sz w:val="20"/>
                <w:szCs w:val="20"/>
                <w:vertAlign w:val="superscript"/>
              </w:rPr>
            </w:pPr>
            <w:r w:rsidRPr="00CC2AC6">
              <w:rPr>
                <w:rFonts w:ascii="Arial Narrow" w:hAnsi="Arial Narrow" w:cs="Times New Roman"/>
                <w:snapToGrid/>
                <w:sz w:val="20"/>
                <w:szCs w:val="20"/>
              </w:rPr>
              <w:t>0.39 (0.05, 2.72)</w:t>
            </w:r>
          </w:p>
        </w:tc>
        <w:tc>
          <w:tcPr>
            <w:tcW w:w="1161" w:type="pct"/>
            <w:shd w:val="clear" w:color="auto" w:fill="auto"/>
            <w:tcMar>
              <w:left w:w="28" w:type="dxa"/>
              <w:right w:w="28" w:type="dxa"/>
            </w:tcMar>
          </w:tcPr>
          <w:p w:rsidR="009E1F17" w:rsidRPr="00CC2AC6" w:rsidRDefault="009E1F17" w:rsidP="00100A7A">
            <w:pPr>
              <w:keepNext/>
              <w:keepLines/>
              <w:widowControl/>
              <w:jc w:val="center"/>
              <w:rPr>
                <w:rFonts w:ascii="Arial Narrow" w:hAnsi="Arial Narrow" w:cs="Times New Roman"/>
                <w:snapToGrid/>
                <w:sz w:val="20"/>
                <w:szCs w:val="20"/>
                <w:vertAlign w:val="superscript"/>
              </w:rPr>
            </w:pPr>
            <w:r w:rsidRPr="00CC2AC6">
              <w:rPr>
                <w:rFonts w:ascii="Arial Narrow" w:hAnsi="Arial Narrow" w:cs="Times New Roman"/>
                <w:snapToGrid/>
                <w:sz w:val="20"/>
                <w:szCs w:val="20"/>
              </w:rPr>
              <w:t>0.81 (0.32, 2.03)</w:t>
            </w:r>
            <w:r w:rsidRPr="00CC2AC6">
              <w:rPr>
                <w:rFonts w:ascii="Arial Narrow" w:hAnsi="Arial Narrow" w:cs="Times New Roman"/>
                <w:snapToGrid/>
                <w:sz w:val="20"/>
                <w:szCs w:val="20"/>
                <w:vertAlign w:val="superscript"/>
              </w:rPr>
              <w:t>5</w:t>
            </w:r>
          </w:p>
          <w:p w:rsidR="009E1F17" w:rsidRPr="00CC2AC6" w:rsidRDefault="009E1F17" w:rsidP="00100A7A">
            <w:pPr>
              <w:keepNext/>
              <w:keepLines/>
              <w:widowControl/>
              <w:jc w:val="center"/>
              <w:rPr>
                <w:rFonts w:ascii="Arial Narrow" w:hAnsi="Arial Narrow" w:cs="Times New Roman"/>
                <w:snapToGrid/>
                <w:sz w:val="20"/>
                <w:szCs w:val="20"/>
                <w:vertAlign w:val="superscript"/>
              </w:rPr>
            </w:pPr>
            <w:r w:rsidRPr="00CC2AC6">
              <w:rPr>
                <w:rFonts w:ascii="Arial Narrow" w:hAnsi="Arial Narrow" w:cs="Times New Roman"/>
                <w:snapToGrid/>
                <w:sz w:val="20"/>
                <w:szCs w:val="20"/>
              </w:rPr>
              <w:t>0.67 (0.20, 2.29)</w:t>
            </w:r>
          </w:p>
        </w:tc>
      </w:tr>
      <w:tr w:rsidR="009E1F17" w:rsidRPr="009E1F17" w:rsidTr="00CC2AC6">
        <w:tc>
          <w:tcPr>
            <w:tcW w:w="784" w:type="pct"/>
            <w:vMerge/>
            <w:tcMar>
              <w:left w:w="28" w:type="dxa"/>
              <w:right w:w="28" w:type="dxa"/>
            </w:tcMar>
          </w:tcPr>
          <w:p w:rsidR="009E1F17" w:rsidRPr="009E1F17" w:rsidRDefault="009E1F17" w:rsidP="00100A7A">
            <w:pPr>
              <w:keepNext/>
              <w:keepLines/>
              <w:widowControl/>
              <w:jc w:val="left"/>
              <w:rPr>
                <w:rFonts w:ascii="Arial Narrow" w:hAnsi="Arial Narrow" w:cs="Times New Roman"/>
                <w:snapToGrid/>
                <w:sz w:val="20"/>
                <w:szCs w:val="20"/>
              </w:rPr>
            </w:pPr>
          </w:p>
        </w:tc>
        <w:tc>
          <w:tcPr>
            <w:tcW w:w="780" w:type="pct"/>
            <w:gridSpan w:val="2"/>
            <w:tcMar>
              <w:left w:w="28" w:type="dxa"/>
              <w:right w:w="28" w:type="dxa"/>
            </w:tcMar>
          </w:tcPr>
          <w:p w:rsidR="009E1F17" w:rsidRPr="009E1F17" w:rsidRDefault="009E1F17" w:rsidP="00100A7A">
            <w:pPr>
              <w:keepNext/>
              <w:keepLines/>
              <w:widowControl/>
              <w:jc w:val="left"/>
              <w:rPr>
                <w:rFonts w:ascii="Arial Narrow" w:hAnsi="Arial Narrow" w:cs="Times New Roman"/>
                <w:snapToGrid/>
                <w:sz w:val="20"/>
                <w:szCs w:val="20"/>
                <w:lang w:val="nn-NO"/>
              </w:rPr>
            </w:pPr>
            <w:r w:rsidRPr="009E1F17">
              <w:rPr>
                <w:rFonts w:ascii="Arial Narrow" w:hAnsi="Arial Narrow" w:cs="Times New Roman"/>
                <w:snapToGrid/>
                <w:sz w:val="20"/>
                <w:szCs w:val="20"/>
                <w:lang w:val="nn-NO"/>
              </w:rPr>
              <w:t>A2.5 vs. R20 via PBO</w:t>
            </w:r>
          </w:p>
        </w:tc>
        <w:tc>
          <w:tcPr>
            <w:tcW w:w="1175" w:type="pct"/>
            <w:shd w:val="clear" w:color="auto" w:fill="auto"/>
            <w:tcMar>
              <w:left w:w="28" w:type="dxa"/>
              <w:right w:w="28" w:type="dxa"/>
            </w:tcMar>
          </w:tcPr>
          <w:p w:rsidR="009E1F17" w:rsidRPr="00CC2AC6" w:rsidRDefault="009E1F17" w:rsidP="00100A7A">
            <w:pPr>
              <w:keepNext/>
              <w:keepLines/>
              <w:widowControl/>
              <w:jc w:val="center"/>
              <w:rPr>
                <w:rFonts w:ascii="Arial Narrow" w:hAnsi="Arial Narrow" w:cs="Times New Roman"/>
                <w:b/>
                <w:snapToGrid/>
                <w:sz w:val="20"/>
                <w:szCs w:val="20"/>
                <w:vertAlign w:val="superscript"/>
              </w:rPr>
            </w:pPr>
            <w:r w:rsidRPr="00CC2AC6">
              <w:rPr>
                <w:rFonts w:ascii="Arial Narrow" w:hAnsi="Arial Narrow" w:cs="Times New Roman"/>
                <w:b/>
                <w:snapToGrid/>
                <w:sz w:val="20"/>
                <w:szCs w:val="20"/>
              </w:rPr>
              <w:t>1.06 (0.42, 2.64)</w:t>
            </w:r>
            <w:r w:rsidRPr="00CC2AC6">
              <w:rPr>
                <w:rFonts w:ascii="Arial Narrow" w:hAnsi="Arial Narrow" w:cs="Times New Roman"/>
                <w:b/>
                <w:snapToGrid/>
                <w:sz w:val="20"/>
                <w:szCs w:val="20"/>
                <w:vertAlign w:val="superscript"/>
              </w:rPr>
              <w:t>5</w:t>
            </w:r>
          </w:p>
          <w:p w:rsidR="009E1F17" w:rsidRPr="00CC2AC6" w:rsidRDefault="009E1F17" w:rsidP="00100A7A">
            <w:pPr>
              <w:keepNext/>
              <w:keepLines/>
              <w:widowControl/>
              <w:jc w:val="center"/>
              <w:rPr>
                <w:rFonts w:ascii="Arial Narrow" w:hAnsi="Arial Narrow" w:cs="Times New Roman"/>
                <w:b/>
                <w:snapToGrid/>
                <w:sz w:val="20"/>
                <w:szCs w:val="20"/>
              </w:rPr>
            </w:pPr>
            <w:r w:rsidRPr="00CC2AC6">
              <w:rPr>
                <w:rFonts w:ascii="Arial Narrow" w:hAnsi="Arial Narrow" w:cs="Times New Roman"/>
                <w:b/>
                <w:snapToGrid/>
                <w:sz w:val="20"/>
                <w:szCs w:val="20"/>
              </w:rPr>
              <w:t>1.06 (0.42, 2.64)</w:t>
            </w:r>
          </w:p>
        </w:tc>
        <w:tc>
          <w:tcPr>
            <w:tcW w:w="1100" w:type="pct"/>
            <w:shd w:val="clear" w:color="auto" w:fill="auto"/>
            <w:tcMar>
              <w:left w:w="28" w:type="dxa"/>
              <w:right w:w="28" w:type="dxa"/>
            </w:tcMar>
          </w:tcPr>
          <w:p w:rsidR="009E1F17" w:rsidRPr="00CC2AC6" w:rsidRDefault="009E1F17" w:rsidP="00100A7A">
            <w:pPr>
              <w:keepNext/>
              <w:keepLines/>
              <w:widowControl/>
              <w:jc w:val="center"/>
              <w:rPr>
                <w:rFonts w:ascii="Arial Narrow" w:hAnsi="Arial Narrow" w:cs="Times New Roman"/>
                <w:snapToGrid/>
                <w:sz w:val="20"/>
                <w:szCs w:val="20"/>
              </w:rPr>
            </w:pPr>
          </w:p>
        </w:tc>
        <w:tc>
          <w:tcPr>
            <w:tcW w:w="1161" w:type="pct"/>
            <w:shd w:val="clear" w:color="auto" w:fill="auto"/>
            <w:tcMar>
              <w:left w:w="28" w:type="dxa"/>
              <w:right w:w="28" w:type="dxa"/>
            </w:tcMar>
          </w:tcPr>
          <w:p w:rsidR="009E1F17" w:rsidRPr="00CC2AC6" w:rsidRDefault="009E1F17" w:rsidP="00100A7A">
            <w:pPr>
              <w:keepNext/>
              <w:keepLines/>
              <w:widowControl/>
              <w:jc w:val="center"/>
              <w:rPr>
                <w:rFonts w:ascii="Arial Narrow" w:hAnsi="Arial Narrow" w:cs="Times New Roman"/>
                <w:b/>
                <w:snapToGrid/>
                <w:sz w:val="20"/>
                <w:szCs w:val="20"/>
                <w:vertAlign w:val="superscript"/>
              </w:rPr>
            </w:pPr>
            <w:r w:rsidRPr="00CC2AC6">
              <w:rPr>
                <w:rFonts w:ascii="Arial Narrow" w:hAnsi="Arial Narrow" w:cs="Times New Roman"/>
                <w:b/>
                <w:snapToGrid/>
                <w:sz w:val="20"/>
                <w:szCs w:val="20"/>
              </w:rPr>
              <w:t>0.23 (0.09, 0.62)</w:t>
            </w:r>
            <w:r w:rsidRPr="00CC2AC6">
              <w:rPr>
                <w:rFonts w:ascii="Arial Narrow" w:hAnsi="Arial Narrow" w:cs="Times New Roman"/>
                <w:b/>
                <w:snapToGrid/>
                <w:sz w:val="20"/>
                <w:szCs w:val="20"/>
                <w:vertAlign w:val="superscript"/>
              </w:rPr>
              <w:t>5</w:t>
            </w:r>
          </w:p>
          <w:p w:rsidR="009E1F17" w:rsidRPr="00CC2AC6" w:rsidRDefault="009E1F17" w:rsidP="00100A7A">
            <w:pPr>
              <w:keepNext/>
              <w:keepLines/>
              <w:widowControl/>
              <w:jc w:val="center"/>
              <w:rPr>
                <w:rFonts w:ascii="Arial Narrow" w:hAnsi="Arial Narrow" w:cs="Times New Roman"/>
                <w:b/>
                <w:snapToGrid/>
                <w:sz w:val="20"/>
                <w:szCs w:val="20"/>
                <w:vertAlign w:val="superscript"/>
              </w:rPr>
            </w:pPr>
            <w:r w:rsidRPr="00CC2AC6">
              <w:rPr>
                <w:rFonts w:ascii="Arial Narrow" w:hAnsi="Arial Narrow" w:cs="Times New Roman"/>
                <w:b/>
                <w:snapToGrid/>
                <w:sz w:val="20"/>
                <w:szCs w:val="20"/>
              </w:rPr>
              <w:t>0.23 (0.09, 0.62)</w:t>
            </w:r>
          </w:p>
        </w:tc>
      </w:tr>
      <w:tr w:rsidR="009E1F17" w:rsidRPr="009E1F17" w:rsidTr="00CC2AC6">
        <w:tc>
          <w:tcPr>
            <w:tcW w:w="784" w:type="pct"/>
            <w:vMerge/>
            <w:tcMar>
              <w:left w:w="28" w:type="dxa"/>
              <w:right w:w="28" w:type="dxa"/>
            </w:tcMar>
          </w:tcPr>
          <w:p w:rsidR="009E1F17" w:rsidRPr="009E1F17" w:rsidRDefault="009E1F17" w:rsidP="00100A7A">
            <w:pPr>
              <w:keepNext/>
              <w:keepLines/>
              <w:widowControl/>
              <w:jc w:val="left"/>
              <w:rPr>
                <w:rFonts w:ascii="Arial Narrow" w:hAnsi="Arial Narrow" w:cs="Times New Roman"/>
                <w:snapToGrid/>
                <w:sz w:val="20"/>
                <w:szCs w:val="20"/>
              </w:rPr>
            </w:pPr>
          </w:p>
        </w:tc>
        <w:tc>
          <w:tcPr>
            <w:tcW w:w="780" w:type="pct"/>
            <w:gridSpan w:val="2"/>
            <w:tcMar>
              <w:left w:w="28" w:type="dxa"/>
              <w:right w:w="28" w:type="dxa"/>
            </w:tcMar>
          </w:tcPr>
          <w:p w:rsidR="009E1F17" w:rsidRPr="009E1F17" w:rsidRDefault="009E1F17" w:rsidP="00100A7A">
            <w:pPr>
              <w:keepNext/>
              <w:keepLines/>
              <w:widowControl/>
              <w:jc w:val="left"/>
              <w:rPr>
                <w:rFonts w:ascii="Arial Narrow" w:hAnsi="Arial Narrow" w:cs="Times New Roman"/>
                <w:snapToGrid/>
                <w:sz w:val="20"/>
                <w:szCs w:val="20"/>
                <w:lang w:val="nn-NO"/>
              </w:rPr>
            </w:pPr>
            <w:r w:rsidRPr="009E1F17">
              <w:rPr>
                <w:rFonts w:ascii="Arial Narrow" w:hAnsi="Arial Narrow" w:cs="Times New Roman"/>
                <w:snapToGrid/>
                <w:sz w:val="20"/>
                <w:szCs w:val="20"/>
                <w:lang w:val="nn-NO"/>
              </w:rPr>
              <w:t>R10 vs. PBO via R20</w:t>
            </w:r>
          </w:p>
        </w:tc>
        <w:tc>
          <w:tcPr>
            <w:tcW w:w="1175" w:type="pct"/>
            <w:shd w:val="clear" w:color="auto" w:fill="auto"/>
            <w:tcMar>
              <w:left w:w="28" w:type="dxa"/>
              <w:right w:w="28" w:type="dxa"/>
            </w:tcMar>
          </w:tcPr>
          <w:p w:rsidR="009E1F17" w:rsidRPr="00CC2AC6" w:rsidRDefault="009E1F17" w:rsidP="00100A7A">
            <w:pPr>
              <w:keepNext/>
              <w:keepLines/>
              <w:widowControl/>
              <w:jc w:val="center"/>
              <w:rPr>
                <w:rFonts w:ascii="Arial Narrow" w:hAnsi="Arial Narrow" w:cs="Times New Roman"/>
                <w:b/>
                <w:snapToGrid/>
                <w:sz w:val="20"/>
                <w:szCs w:val="20"/>
                <w:vertAlign w:val="superscript"/>
              </w:rPr>
            </w:pPr>
            <w:r w:rsidRPr="00CC2AC6">
              <w:rPr>
                <w:rFonts w:ascii="Arial Narrow" w:hAnsi="Arial Narrow" w:cs="Times New Roman"/>
                <w:b/>
                <w:snapToGrid/>
                <w:sz w:val="20"/>
                <w:szCs w:val="20"/>
              </w:rPr>
              <w:t>0.13 (0.38, 0.05)</w:t>
            </w:r>
            <w:r w:rsidRPr="00CC2AC6">
              <w:rPr>
                <w:rFonts w:ascii="Arial Narrow" w:hAnsi="Arial Narrow" w:cs="Times New Roman"/>
                <w:b/>
                <w:snapToGrid/>
                <w:sz w:val="20"/>
                <w:szCs w:val="20"/>
                <w:vertAlign w:val="superscript"/>
              </w:rPr>
              <w:t>5</w:t>
            </w:r>
          </w:p>
          <w:p w:rsidR="009E1F17" w:rsidRPr="00CC2AC6" w:rsidRDefault="009E1F17" w:rsidP="00100A7A">
            <w:pPr>
              <w:keepNext/>
              <w:keepLines/>
              <w:widowControl/>
              <w:jc w:val="center"/>
              <w:rPr>
                <w:rFonts w:ascii="Arial Narrow" w:hAnsi="Arial Narrow" w:cs="Times New Roman"/>
                <w:b/>
                <w:snapToGrid/>
                <w:sz w:val="20"/>
                <w:szCs w:val="20"/>
              </w:rPr>
            </w:pPr>
            <w:r w:rsidRPr="00CC2AC6">
              <w:rPr>
                <w:rFonts w:ascii="Arial Narrow" w:hAnsi="Arial Narrow" w:cs="Times New Roman"/>
                <w:b/>
                <w:snapToGrid/>
                <w:sz w:val="20"/>
                <w:szCs w:val="20"/>
              </w:rPr>
              <w:t>0.13 (0.05, 0.38)</w:t>
            </w:r>
          </w:p>
        </w:tc>
        <w:tc>
          <w:tcPr>
            <w:tcW w:w="1100" w:type="pct"/>
            <w:shd w:val="clear" w:color="auto" w:fill="auto"/>
            <w:tcMar>
              <w:left w:w="28" w:type="dxa"/>
              <w:right w:w="28" w:type="dxa"/>
            </w:tcMar>
          </w:tcPr>
          <w:p w:rsidR="009E1F17" w:rsidRPr="00CC2AC6" w:rsidRDefault="009E1F17" w:rsidP="00100A7A">
            <w:pPr>
              <w:keepNext/>
              <w:keepLines/>
              <w:widowControl/>
              <w:jc w:val="center"/>
              <w:rPr>
                <w:rFonts w:ascii="Arial Narrow" w:hAnsi="Arial Narrow" w:cs="Times New Roman"/>
                <w:snapToGrid/>
                <w:sz w:val="20"/>
                <w:szCs w:val="20"/>
              </w:rPr>
            </w:pPr>
          </w:p>
        </w:tc>
        <w:tc>
          <w:tcPr>
            <w:tcW w:w="1161" w:type="pct"/>
            <w:shd w:val="clear" w:color="auto" w:fill="auto"/>
            <w:tcMar>
              <w:left w:w="28" w:type="dxa"/>
              <w:right w:w="28" w:type="dxa"/>
            </w:tcMar>
          </w:tcPr>
          <w:p w:rsidR="009E1F17" w:rsidRPr="00CC2AC6" w:rsidRDefault="009E1F17" w:rsidP="00100A7A">
            <w:pPr>
              <w:keepNext/>
              <w:keepLines/>
              <w:widowControl/>
              <w:jc w:val="center"/>
              <w:rPr>
                <w:rFonts w:ascii="Arial Narrow" w:hAnsi="Arial Narrow" w:cs="Times New Roman"/>
                <w:b/>
                <w:snapToGrid/>
                <w:sz w:val="20"/>
                <w:szCs w:val="20"/>
                <w:vertAlign w:val="superscript"/>
              </w:rPr>
            </w:pPr>
            <w:r w:rsidRPr="00CC2AC6">
              <w:rPr>
                <w:rFonts w:ascii="Arial Narrow" w:hAnsi="Arial Narrow" w:cs="Times New Roman"/>
                <w:b/>
                <w:snapToGrid/>
                <w:sz w:val="20"/>
                <w:szCs w:val="20"/>
              </w:rPr>
              <w:t>3.79 (1.46, 9.85)</w:t>
            </w:r>
            <w:r w:rsidRPr="00CC2AC6">
              <w:rPr>
                <w:rFonts w:ascii="Arial Narrow" w:hAnsi="Arial Narrow" w:cs="Times New Roman"/>
                <w:b/>
                <w:snapToGrid/>
                <w:sz w:val="20"/>
                <w:szCs w:val="20"/>
                <w:vertAlign w:val="superscript"/>
              </w:rPr>
              <w:t>5</w:t>
            </w:r>
          </w:p>
          <w:p w:rsidR="009E1F17" w:rsidRPr="00CC2AC6" w:rsidRDefault="009E1F17" w:rsidP="00100A7A">
            <w:pPr>
              <w:keepNext/>
              <w:keepLines/>
              <w:widowControl/>
              <w:jc w:val="center"/>
              <w:rPr>
                <w:rFonts w:ascii="Arial Narrow" w:hAnsi="Arial Narrow" w:cs="Times New Roman"/>
                <w:b/>
                <w:snapToGrid/>
                <w:sz w:val="20"/>
                <w:szCs w:val="20"/>
                <w:vertAlign w:val="superscript"/>
              </w:rPr>
            </w:pPr>
            <w:r w:rsidRPr="00CC2AC6">
              <w:rPr>
                <w:rFonts w:ascii="Arial Narrow" w:hAnsi="Arial Narrow" w:cs="Times New Roman"/>
                <w:b/>
                <w:snapToGrid/>
                <w:sz w:val="20"/>
                <w:szCs w:val="20"/>
              </w:rPr>
              <w:t>3.79 (1.46, 9.85)</w:t>
            </w:r>
          </w:p>
        </w:tc>
      </w:tr>
      <w:tr w:rsidR="000840CF" w:rsidRPr="009E1F17" w:rsidTr="00CC2AC6">
        <w:tc>
          <w:tcPr>
            <w:tcW w:w="784" w:type="pct"/>
            <w:vMerge w:val="restart"/>
            <w:tcMar>
              <w:left w:w="28" w:type="dxa"/>
              <w:right w:w="28" w:type="dxa"/>
            </w:tcMar>
          </w:tcPr>
          <w:p w:rsidR="009E1F17" w:rsidRPr="009E1F17" w:rsidRDefault="009E1F17" w:rsidP="00100A7A">
            <w:pPr>
              <w:keepNext/>
              <w:keepLines/>
              <w:widowControl/>
              <w:jc w:val="left"/>
              <w:rPr>
                <w:rFonts w:ascii="Arial Narrow" w:hAnsi="Arial Narrow" w:cs="Times New Roman"/>
                <w:b/>
                <w:snapToGrid/>
                <w:sz w:val="20"/>
                <w:szCs w:val="20"/>
              </w:rPr>
            </w:pPr>
            <w:r w:rsidRPr="009E1F17">
              <w:rPr>
                <w:rFonts w:ascii="Arial Narrow" w:hAnsi="Arial Narrow" w:cs="Times New Roman"/>
                <w:b/>
                <w:snapToGrid/>
                <w:sz w:val="20"/>
                <w:szCs w:val="20"/>
              </w:rPr>
              <w:t xml:space="preserve">Indirect estimate of effect </w:t>
            </w:r>
          </w:p>
        </w:tc>
        <w:tc>
          <w:tcPr>
            <w:tcW w:w="390" w:type="pct"/>
            <w:vMerge w:val="restart"/>
            <w:tcMar>
              <w:left w:w="28" w:type="dxa"/>
              <w:right w:w="28" w:type="dxa"/>
            </w:tcMar>
          </w:tcPr>
          <w:p w:rsidR="009E1F17" w:rsidRPr="009E1F17" w:rsidRDefault="009E1F17" w:rsidP="00100A7A">
            <w:pPr>
              <w:keepNext/>
              <w:keepLines/>
              <w:widowControl/>
              <w:jc w:val="left"/>
              <w:rPr>
                <w:rFonts w:ascii="Arial Narrow" w:hAnsi="Arial Narrow" w:cs="Times New Roman"/>
                <w:b/>
                <w:snapToGrid/>
                <w:sz w:val="20"/>
                <w:szCs w:val="20"/>
              </w:rPr>
            </w:pPr>
            <w:r w:rsidRPr="009E1F17">
              <w:rPr>
                <w:rFonts w:ascii="Arial Narrow" w:hAnsi="Arial Narrow" w:cs="Times New Roman"/>
                <w:b/>
                <w:snapToGrid/>
                <w:sz w:val="20"/>
                <w:szCs w:val="20"/>
              </w:rPr>
              <w:t>R10 vs. A2.5</w:t>
            </w:r>
          </w:p>
        </w:tc>
        <w:tc>
          <w:tcPr>
            <w:tcW w:w="390" w:type="pct"/>
            <w:tcMar>
              <w:left w:w="28" w:type="dxa"/>
              <w:right w:w="28" w:type="dxa"/>
            </w:tcMar>
          </w:tcPr>
          <w:p w:rsidR="009E1F17" w:rsidRPr="009E1F17" w:rsidRDefault="009E1F17" w:rsidP="00100A7A">
            <w:pPr>
              <w:keepNext/>
              <w:keepLines/>
              <w:widowControl/>
              <w:jc w:val="left"/>
              <w:rPr>
                <w:rFonts w:ascii="Arial Narrow" w:hAnsi="Arial Narrow" w:cs="Times New Roman"/>
                <w:b/>
                <w:snapToGrid/>
                <w:sz w:val="20"/>
                <w:szCs w:val="20"/>
              </w:rPr>
            </w:pPr>
            <w:r w:rsidRPr="009E1F17">
              <w:rPr>
                <w:rFonts w:ascii="Arial Narrow" w:hAnsi="Arial Narrow" w:cs="Times New Roman"/>
                <w:b/>
                <w:snapToGrid/>
                <w:sz w:val="20"/>
                <w:szCs w:val="20"/>
              </w:rPr>
              <w:t>Method 1A</w:t>
            </w:r>
            <w:r w:rsidRPr="009E1F17">
              <w:rPr>
                <w:rFonts w:ascii="Arial Narrow" w:hAnsi="Arial Narrow" w:cs="Times New Roman"/>
                <w:b/>
                <w:snapToGrid/>
                <w:sz w:val="20"/>
                <w:szCs w:val="20"/>
                <w:vertAlign w:val="superscript"/>
              </w:rPr>
              <w:t>1</w:t>
            </w:r>
          </w:p>
        </w:tc>
        <w:tc>
          <w:tcPr>
            <w:tcW w:w="1175" w:type="pct"/>
            <w:shd w:val="clear" w:color="auto" w:fill="auto"/>
            <w:tcMar>
              <w:left w:w="28" w:type="dxa"/>
              <w:right w:w="28" w:type="dxa"/>
            </w:tcMar>
          </w:tcPr>
          <w:p w:rsidR="009E1F17" w:rsidRPr="00CC2AC6" w:rsidRDefault="009E1F17" w:rsidP="00100A7A">
            <w:pPr>
              <w:keepNext/>
              <w:keepLines/>
              <w:widowControl/>
              <w:jc w:val="center"/>
              <w:rPr>
                <w:rFonts w:ascii="Arial Narrow" w:hAnsi="Arial Narrow" w:cs="Times New Roman"/>
                <w:snapToGrid/>
                <w:sz w:val="20"/>
                <w:szCs w:val="20"/>
                <w:vertAlign w:val="superscript"/>
              </w:rPr>
            </w:pPr>
            <w:r w:rsidRPr="00CC2AC6">
              <w:rPr>
                <w:rFonts w:ascii="Arial Narrow" w:hAnsi="Arial Narrow" w:cs="Times New Roman"/>
                <w:snapToGrid/>
                <w:sz w:val="20"/>
                <w:szCs w:val="20"/>
              </w:rPr>
              <w:t>0.93 (0.39, 2.23) p=0.87</w:t>
            </w:r>
            <w:r w:rsidRPr="00CC2AC6">
              <w:rPr>
                <w:rFonts w:ascii="Arial Narrow" w:hAnsi="Arial Narrow" w:cs="Times New Roman"/>
                <w:snapToGrid/>
                <w:sz w:val="20"/>
                <w:szCs w:val="20"/>
                <w:vertAlign w:val="superscript"/>
              </w:rPr>
              <w:t>5</w:t>
            </w:r>
          </w:p>
          <w:p w:rsidR="009E1F17" w:rsidRPr="00CC2AC6" w:rsidRDefault="009E1F17" w:rsidP="00100A7A">
            <w:pPr>
              <w:keepNext/>
              <w:keepLines/>
              <w:widowControl/>
              <w:jc w:val="center"/>
              <w:rPr>
                <w:rFonts w:ascii="Arial Narrow" w:hAnsi="Arial Narrow" w:cs="Times New Roman"/>
                <w:snapToGrid/>
                <w:sz w:val="20"/>
                <w:szCs w:val="20"/>
              </w:rPr>
            </w:pPr>
            <w:r w:rsidRPr="00CC2AC6">
              <w:rPr>
                <w:rFonts w:ascii="Arial Narrow" w:hAnsi="Arial Narrow" w:cs="Times New Roman"/>
                <w:snapToGrid/>
                <w:sz w:val="20"/>
                <w:szCs w:val="20"/>
              </w:rPr>
              <w:t>0.99 (0.43, 2.28) p=0.97</w:t>
            </w:r>
          </w:p>
        </w:tc>
        <w:tc>
          <w:tcPr>
            <w:tcW w:w="1100" w:type="pct"/>
            <w:shd w:val="clear" w:color="auto" w:fill="auto"/>
            <w:tcMar>
              <w:left w:w="28" w:type="dxa"/>
              <w:right w:w="28" w:type="dxa"/>
            </w:tcMar>
          </w:tcPr>
          <w:p w:rsidR="009E1F17" w:rsidRPr="00CC2AC6" w:rsidRDefault="009E1F17" w:rsidP="00100A7A">
            <w:pPr>
              <w:keepNext/>
              <w:keepLines/>
              <w:widowControl/>
              <w:jc w:val="center"/>
              <w:rPr>
                <w:rFonts w:ascii="Arial Narrow" w:hAnsi="Arial Narrow" w:cs="Times New Roman"/>
                <w:snapToGrid/>
                <w:sz w:val="20"/>
                <w:szCs w:val="20"/>
                <w:vertAlign w:val="superscript"/>
              </w:rPr>
            </w:pPr>
            <w:r w:rsidRPr="00CC2AC6">
              <w:rPr>
                <w:rFonts w:ascii="Arial Narrow" w:hAnsi="Arial Narrow" w:cs="Times New Roman"/>
                <w:snapToGrid/>
                <w:sz w:val="20"/>
                <w:szCs w:val="20"/>
              </w:rPr>
              <w:t>4.28 (0.38, 48.66) p=0.24</w:t>
            </w:r>
            <w:r w:rsidRPr="00CC2AC6">
              <w:rPr>
                <w:rFonts w:ascii="Arial Narrow" w:hAnsi="Arial Narrow" w:cs="Times New Roman"/>
                <w:snapToGrid/>
                <w:sz w:val="20"/>
                <w:szCs w:val="20"/>
                <w:vertAlign w:val="superscript"/>
              </w:rPr>
              <w:t>5</w:t>
            </w:r>
          </w:p>
          <w:p w:rsidR="009E1F17" w:rsidRPr="00CC2AC6" w:rsidRDefault="009E1F17" w:rsidP="00100A7A">
            <w:pPr>
              <w:keepNext/>
              <w:keepLines/>
              <w:widowControl/>
              <w:jc w:val="center"/>
              <w:rPr>
                <w:rFonts w:ascii="Arial Narrow" w:hAnsi="Arial Narrow" w:cs="Times New Roman"/>
                <w:snapToGrid/>
                <w:sz w:val="20"/>
                <w:szCs w:val="20"/>
                <w:vertAlign w:val="superscript"/>
              </w:rPr>
            </w:pPr>
            <w:r w:rsidRPr="00CC2AC6">
              <w:rPr>
                <w:rFonts w:ascii="Arial Narrow" w:hAnsi="Arial Narrow" w:cs="Times New Roman"/>
                <w:snapToGrid/>
                <w:sz w:val="20"/>
                <w:szCs w:val="20"/>
              </w:rPr>
              <w:t>4.25 (0.38, 47.84) p=0.24</w:t>
            </w:r>
          </w:p>
        </w:tc>
        <w:tc>
          <w:tcPr>
            <w:tcW w:w="1161" w:type="pct"/>
            <w:shd w:val="clear" w:color="auto" w:fill="auto"/>
            <w:tcMar>
              <w:left w:w="28" w:type="dxa"/>
              <w:right w:w="28" w:type="dxa"/>
            </w:tcMar>
          </w:tcPr>
          <w:p w:rsidR="009E1F17" w:rsidRPr="00CC2AC6" w:rsidRDefault="009E1F17" w:rsidP="00100A7A">
            <w:pPr>
              <w:keepNext/>
              <w:keepLines/>
              <w:widowControl/>
              <w:jc w:val="center"/>
              <w:rPr>
                <w:rFonts w:ascii="Arial Narrow" w:hAnsi="Arial Narrow" w:cs="Times New Roman"/>
                <w:snapToGrid/>
                <w:sz w:val="20"/>
                <w:szCs w:val="20"/>
                <w:vertAlign w:val="superscript"/>
              </w:rPr>
            </w:pPr>
            <w:r w:rsidRPr="00CC2AC6">
              <w:rPr>
                <w:rFonts w:ascii="Arial Narrow" w:hAnsi="Arial Narrow" w:cs="Times New Roman"/>
                <w:snapToGrid/>
                <w:sz w:val="20"/>
                <w:szCs w:val="20"/>
              </w:rPr>
              <w:t>1.43 (0.49, 4.18) p=0.51</w:t>
            </w:r>
            <w:r w:rsidRPr="00CC2AC6">
              <w:rPr>
                <w:rFonts w:ascii="Arial Narrow" w:hAnsi="Arial Narrow" w:cs="Times New Roman"/>
                <w:snapToGrid/>
                <w:sz w:val="20"/>
                <w:szCs w:val="20"/>
                <w:vertAlign w:val="superscript"/>
              </w:rPr>
              <w:t>5</w:t>
            </w:r>
          </w:p>
          <w:p w:rsidR="009E1F17" w:rsidRPr="00CC2AC6" w:rsidRDefault="009E1F17" w:rsidP="00100A7A">
            <w:pPr>
              <w:keepNext/>
              <w:keepLines/>
              <w:widowControl/>
              <w:jc w:val="center"/>
              <w:rPr>
                <w:rFonts w:ascii="Arial Narrow" w:hAnsi="Arial Narrow" w:cs="Times New Roman"/>
                <w:snapToGrid/>
                <w:sz w:val="20"/>
                <w:szCs w:val="20"/>
                <w:vertAlign w:val="superscript"/>
              </w:rPr>
            </w:pPr>
            <w:r w:rsidRPr="00CC2AC6">
              <w:rPr>
                <w:rFonts w:ascii="Arial Narrow" w:hAnsi="Arial Narrow" w:cs="Times New Roman"/>
                <w:snapToGrid/>
                <w:sz w:val="20"/>
                <w:szCs w:val="20"/>
              </w:rPr>
              <w:t>1.72 (0.45, 6.58) p=0.43</w:t>
            </w:r>
          </w:p>
        </w:tc>
      </w:tr>
      <w:tr w:rsidR="000840CF" w:rsidRPr="009E1F17" w:rsidTr="00CC2AC6">
        <w:tc>
          <w:tcPr>
            <w:tcW w:w="784" w:type="pct"/>
            <w:vMerge/>
            <w:tcMar>
              <w:left w:w="28" w:type="dxa"/>
              <w:right w:w="28" w:type="dxa"/>
            </w:tcMar>
          </w:tcPr>
          <w:p w:rsidR="009E1F17" w:rsidRPr="009E1F17" w:rsidRDefault="009E1F17" w:rsidP="00100A7A">
            <w:pPr>
              <w:keepNext/>
              <w:keepLines/>
              <w:widowControl/>
              <w:rPr>
                <w:rFonts w:ascii="Arial Narrow" w:hAnsi="Arial Narrow" w:cs="Times New Roman"/>
                <w:b/>
                <w:snapToGrid/>
                <w:sz w:val="20"/>
                <w:szCs w:val="20"/>
              </w:rPr>
            </w:pPr>
          </w:p>
        </w:tc>
        <w:tc>
          <w:tcPr>
            <w:tcW w:w="390" w:type="pct"/>
            <w:vMerge/>
            <w:tcMar>
              <w:left w:w="28" w:type="dxa"/>
              <w:right w:w="28" w:type="dxa"/>
            </w:tcMar>
          </w:tcPr>
          <w:p w:rsidR="009E1F17" w:rsidRPr="009E1F17" w:rsidRDefault="009E1F17" w:rsidP="00100A7A">
            <w:pPr>
              <w:keepNext/>
              <w:keepLines/>
              <w:widowControl/>
              <w:jc w:val="left"/>
              <w:rPr>
                <w:rFonts w:ascii="Arial Narrow" w:hAnsi="Arial Narrow" w:cs="Times New Roman"/>
                <w:b/>
                <w:snapToGrid/>
                <w:sz w:val="20"/>
                <w:szCs w:val="20"/>
              </w:rPr>
            </w:pPr>
          </w:p>
        </w:tc>
        <w:tc>
          <w:tcPr>
            <w:tcW w:w="390" w:type="pct"/>
            <w:tcMar>
              <w:left w:w="28" w:type="dxa"/>
              <w:right w:w="28" w:type="dxa"/>
            </w:tcMar>
          </w:tcPr>
          <w:p w:rsidR="009E1F17" w:rsidRPr="009E1F17" w:rsidRDefault="009E1F17" w:rsidP="00100A7A">
            <w:pPr>
              <w:keepNext/>
              <w:keepLines/>
              <w:widowControl/>
              <w:jc w:val="left"/>
              <w:rPr>
                <w:rFonts w:ascii="Arial Narrow" w:hAnsi="Arial Narrow" w:cs="Times New Roman"/>
                <w:b/>
                <w:snapToGrid/>
                <w:sz w:val="20"/>
                <w:szCs w:val="20"/>
              </w:rPr>
            </w:pPr>
            <w:r w:rsidRPr="009E1F17">
              <w:rPr>
                <w:rFonts w:ascii="Arial Narrow" w:hAnsi="Arial Narrow" w:cs="Times New Roman"/>
                <w:b/>
                <w:snapToGrid/>
                <w:sz w:val="20"/>
                <w:szCs w:val="20"/>
              </w:rPr>
              <w:t>Method 1B</w:t>
            </w:r>
            <w:r w:rsidRPr="009E1F17">
              <w:rPr>
                <w:rFonts w:ascii="Arial Narrow" w:hAnsi="Arial Narrow" w:cs="Times New Roman"/>
                <w:b/>
                <w:snapToGrid/>
                <w:sz w:val="20"/>
                <w:szCs w:val="20"/>
                <w:vertAlign w:val="superscript"/>
              </w:rPr>
              <w:t>2</w:t>
            </w:r>
          </w:p>
        </w:tc>
        <w:tc>
          <w:tcPr>
            <w:tcW w:w="1175" w:type="pct"/>
            <w:shd w:val="clear" w:color="auto" w:fill="auto"/>
            <w:tcMar>
              <w:left w:w="28" w:type="dxa"/>
              <w:right w:w="28" w:type="dxa"/>
            </w:tcMar>
          </w:tcPr>
          <w:p w:rsidR="009E1F17" w:rsidRPr="00CC2AC6" w:rsidRDefault="009E1F17" w:rsidP="00100A7A">
            <w:pPr>
              <w:keepNext/>
              <w:keepLines/>
              <w:widowControl/>
              <w:jc w:val="center"/>
              <w:rPr>
                <w:rFonts w:ascii="Arial Narrow" w:hAnsi="Arial Narrow" w:cs="Times New Roman"/>
                <w:snapToGrid/>
                <w:sz w:val="20"/>
                <w:szCs w:val="20"/>
                <w:vertAlign w:val="superscript"/>
              </w:rPr>
            </w:pPr>
            <w:r w:rsidRPr="00CC2AC6">
              <w:rPr>
                <w:rFonts w:ascii="Arial Narrow" w:hAnsi="Arial Narrow" w:cs="Times New Roman"/>
                <w:snapToGrid/>
                <w:sz w:val="20"/>
                <w:szCs w:val="20"/>
              </w:rPr>
              <w:t>0.93 (0.39, 2.23) p=0.87</w:t>
            </w:r>
            <w:r w:rsidRPr="00CC2AC6">
              <w:rPr>
                <w:rFonts w:ascii="Arial Narrow" w:hAnsi="Arial Narrow" w:cs="Times New Roman"/>
                <w:snapToGrid/>
                <w:sz w:val="20"/>
                <w:szCs w:val="20"/>
                <w:vertAlign w:val="superscript"/>
              </w:rPr>
              <w:t>5</w:t>
            </w:r>
          </w:p>
          <w:p w:rsidR="009E1F17" w:rsidRPr="00CC2AC6" w:rsidRDefault="009E1F17" w:rsidP="00100A7A">
            <w:pPr>
              <w:keepNext/>
              <w:keepLines/>
              <w:widowControl/>
              <w:jc w:val="center"/>
              <w:rPr>
                <w:rFonts w:ascii="Arial Narrow" w:hAnsi="Arial Narrow" w:cs="Times New Roman"/>
                <w:snapToGrid/>
                <w:sz w:val="20"/>
                <w:szCs w:val="20"/>
              </w:rPr>
            </w:pPr>
            <w:r w:rsidRPr="00CC2AC6">
              <w:rPr>
                <w:rFonts w:ascii="Arial Narrow" w:hAnsi="Arial Narrow" w:cs="Times New Roman"/>
                <w:snapToGrid/>
                <w:sz w:val="20"/>
                <w:szCs w:val="20"/>
              </w:rPr>
              <w:t>0.99 (0.43, 2.28) p=0.97</w:t>
            </w:r>
          </w:p>
        </w:tc>
        <w:tc>
          <w:tcPr>
            <w:tcW w:w="1100" w:type="pct"/>
            <w:shd w:val="clear" w:color="auto" w:fill="auto"/>
            <w:tcMar>
              <w:left w:w="28" w:type="dxa"/>
              <w:right w:w="28" w:type="dxa"/>
            </w:tcMar>
          </w:tcPr>
          <w:p w:rsidR="009E1F17" w:rsidRPr="00CC2AC6" w:rsidRDefault="009E1F17" w:rsidP="00100A7A">
            <w:pPr>
              <w:keepNext/>
              <w:keepLines/>
              <w:widowControl/>
              <w:jc w:val="center"/>
              <w:rPr>
                <w:rFonts w:ascii="Arial Narrow" w:hAnsi="Arial Narrow" w:cs="Times New Roman"/>
                <w:snapToGrid/>
                <w:sz w:val="20"/>
                <w:szCs w:val="20"/>
                <w:vertAlign w:val="superscript"/>
              </w:rPr>
            </w:pPr>
            <w:r w:rsidRPr="00CC2AC6">
              <w:rPr>
                <w:rFonts w:ascii="Arial Narrow" w:hAnsi="Arial Narrow" w:cs="Times New Roman"/>
                <w:snapToGrid/>
                <w:sz w:val="20"/>
                <w:szCs w:val="20"/>
              </w:rPr>
              <w:t>4.28 (0.38, 48.66) p=0.24</w:t>
            </w:r>
            <w:r w:rsidRPr="00CC2AC6">
              <w:rPr>
                <w:rFonts w:ascii="Arial Narrow" w:hAnsi="Arial Narrow" w:cs="Times New Roman"/>
                <w:snapToGrid/>
                <w:sz w:val="20"/>
                <w:szCs w:val="20"/>
                <w:vertAlign w:val="superscript"/>
              </w:rPr>
              <w:t>5</w:t>
            </w:r>
          </w:p>
          <w:p w:rsidR="009E1F17" w:rsidRPr="00CC2AC6" w:rsidRDefault="009E1F17" w:rsidP="00100A7A">
            <w:pPr>
              <w:keepNext/>
              <w:keepLines/>
              <w:widowControl/>
              <w:jc w:val="center"/>
              <w:rPr>
                <w:rFonts w:ascii="Arial Narrow" w:hAnsi="Arial Narrow" w:cs="Times New Roman"/>
                <w:snapToGrid/>
                <w:sz w:val="20"/>
                <w:szCs w:val="20"/>
                <w:vertAlign w:val="superscript"/>
              </w:rPr>
            </w:pPr>
            <w:r w:rsidRPr="00CC2AC6">
              <w:rPr>
                <w:rFonts w:ascii="Arial Narrow" w:hAnsi="Arial Narrow" w:cs="Times New Roman"/>
                <w:snapToGrid/>
                <w:sz w:val="20"/>
                <w:szCs w:val="20"/>
              </w:rPr>
              <w:t>4.25 (0.38, 47.84) p=0.24</w:t>
            </w:r>
          </w:p>
        </w:tc>
        <w:tc>
          <w:tcPr>
            <w:tcW w:w="1161" w:type="pct"/>
            <w:shd w:val="clear" w:color="auto" w:fill="auto"/>
            <w:tcMar>
              <w:left w:w="28" w:type="dxa"/>
              <w:right w:w="28" w:type="dxa"/>
            </w:tcMar>
          </w:tcPr>
          <w:p w:rsidR="009E1F17" w:rsidRPr="00CC2AC6" w:rsidRDefault="000840CF" w:rsidP="00100A7A">
            <w:pPr>
              <w:keepNext/>
              <w:keepLines/>
              <w:widowControl/>
              <w:jc w:val="center"/>
              <w:rPr>
                <w:rFonts w:ascii="Arial Narrow" w:hAnsi="Arial Narrow" w:cs="Times New Roman"/>
                <w:snapToGrid/>
                <w:sz w:val="20"/>
                <w:szCs w:val="20"/>
                <w:vertAlign w:val="superscript"/>
              </w:rPr>
            </w:pPr>
            <w:r w:rsidRPr="00CC2AC6">
              <w:rPr>
                <w:rFonts w:ascii="Arial Narrow" w:hAnsi="Arial Narrow" w:cs="Times New Roman"/>
                <w:snapToGrid/>
                <w:sz w:val="20"/>
                <w:szCs w:val="20"/>
              </w:rPr>
              <w:t>1.43 (0.49, 1.48) p</w:t>
            </w:r>
            <w:r w:rsidR="009E1F17" w:rsidRPr="00CC2AC6">
              <w:rPr>
                <w:rFonts w:ascii="Arial Narrow" w:hAnsi="Arial Narrow" w:cs="Times New Roman"/>
                <w:snapToGrid/>
                <w:sz w:val="20"/>
                <w:szCs w:val="20"/>
              </w:rPr>
              <w:t>=0.51</w:t>
            </w:r>
            <w:r w:rsidR="009E1F17" w:rsidRPr="00CC2AC6">
              <w:rPr>
                <w:rFonts w:ascii="Arial Narrow" w:hAnsi="Arial Narrow" w:cs="Times New Roman"/>
                <w:snapToGrid/>
                <w:sz w:val="20"/>
                <w:szCs w:val="20"/>
                <w:vertAlign w:val="superscript"/>
              </w:rPr>
              <w:t>5</w:t>
            </w:r>
          </w:p>
          <w:p w:rsidR="009E1F17" w:rsidRPr="00CC2AC6" w:rsidRDefault="009E1F17" w:rsidP="00100A7A">
            <w:pPr>
              <w:keepNext/>
              <w:keepLines/>
              <w:widowControl/>
              <w:jc w:val="center"/>
              <w:rPr>
                <w:rFonts w:ascii="Arial Narrow" w:hAnsi="Arial Narrow" w:cs="Times New Roman"/>
                <w:snapToGrid/>
                <w:sz w:val="20"/>
                <w:szCs w:val="20"/>
                <w:vertAlign w:val="superscript"/>
              </w:rPr>
            </w:pPr>
            <w:r w:rsidRPr="00CC2AC6">
              <w:rPr>
                <w:rFonts w:ascii="Arial Narrow" w:hAnsi="Arial Narrow" w:cs="Times New Roman"/>
                <w:snapToGrid/>
                <w:sz w:val="20"/>
                <w:szCs w:val="20"/>
              </w:rPr>
              <w:t>1.72 (0.45, 6.58) p=0.43</w:t>
            </w:r>
          </w:p>
        </w:tc>
      </w:tr>
      <w:tr w:rsidR="000840CF" w:rsidRPr="009E1F17" w:rsidTr="00CC2AC6">
        <w:tc>
          <w:tcPr>
            <w:tcW w:w="784" w:type="pct"/>
            <w:vMerge/>
            <w:tcMar>
              <w:left w:w="28" w:type="dxa"/>
              <w:right w:w="28" w:type="dxa"/>
            </w:tcMar>
          </w:tcPr>
          <w:p w:rsidR="009E1F17" w:rsidRPr="009E1F17" w:rsidRDefault="009E1F17" w:rsidP="00100A7A">
            <w:pPr>
              <w:keepNext/>
              <w:keepLines/>
              <w:widowControl/>
              <w:rPr>
                <w:rFonts w:ascii="Arial Narrow" w:hAnsi="Arial Narrow" w:cs="Times New Roman"/>
                <w:b/>
                <w:snapToGrid/>
                <w:sz w:val="20"/>
                <w:szCs w:val="20"/>
              </w:rPr>
            </w:pPr>
          </w:p>
        </w:tc>
        <w:tc>
          <w:tcPr>
            <w:tcW w:w="390" w:type="pct"/>
            <w:vMerge/>
            <w:tcMar>
              <w:left w:w="28" w:type="dxa"/>
              <w:right w:w="28" w:type="dxa"/>
            </w:tcMar>
          </w:tcPr>
          <w:p w:rsidR="009E1F17" w:rsidRPr="009E1F17" w:rsidRDefault="009E1F17" w:rsidP="00100A7A">
            <w:pPr>
              <w:keepNext/>
              <w:keepLines/>
              <w:widowControl/>
              <w:jc w:val="left"/>
              <w:rPr>
                <w:rFonts w:ascii="Arial Narrow" w:hAnsi="Arial Narrow" w:cs="Times New Roman"/>
                <w:b/>
                <w:snapToGrid/>
                <w:sz w:val="20"/>
                <w:szCs w:val="20"/>
              </w:rPr>
            </w:pPr>
          </w:p>
        </w:tc>
        <w:tc>
          <w:tcPr>
            <w:tcW w:w="390" w:type="pct"/>
            <w:tcMar>
              <w:left w:w="28" w:type="dxa"/>
              <w:right w:w="28" w:type="dxa"/>
            </w:tcMar>
          </w:tcPr>
          <w:p w:rsidR="009E1F17" w:rsidRPr="009E1F17" w:rsidRDefault="009E1F17" w:rsidP="00100A7A">
            <w:pPr>
              <w:keepNext/>
              <w:keepLines/>
              <w:widowControl/>
              <w:jc w:val="left"/>
              <w:rPr>
                <w:rFonts w:ascii="Arial Narrow" w:hAnsi="Arial Narrow" w:cs="Times New Roman"/>
                <w:b/>
                <w:snapToGrid/>
                <w:sz w:val="20"/>
                <w:szCs w:val="20"/>
              </w:rPr>
            </w:pPr>
            <w:r w:rsidRPr="009E1F17">
              <w:rPr>
                <w:rFonts w:ascii="Arial Narrow" w:hAnsi="Arial Narrow" w:cs="Times New Roman"/>
                <w:b/>
                <w:snapToGrid/>
                <w:sz w:val="20"/>
                <w:szCs w:val="20"/>
              </w:rPr>
              <w:t>Method 2A</w:t>
            </w:r>
            <w:r w:rsidRPr="009E1F17">
              <w:rPr>
                <w:rFonts w:ascii="Arial Narrow" w:hAnsi="Arial Narrow" w:cs="Times New Roman"/>
                <w:b/>
                <w:snapToGrid/>
                <w:sz w:val="20"/>
                <w:szCs w:val="20"/>
                <w:vertAlign w:val="superscript"/>
              </w:rPr>
              <w:t>3</w:t>
            </w:r>
          </w:p>
        </w:tc>
        <w:tc>
          <w:tcPr>
            <w:tcW w:w="1175" w:type="pct"/>
            <w:shd w:val="clear" w:color="auto" w:fill="auto"/>
            <w:tcMar>
              <w:left w:w="28" w:type="dxa"/>
              <w:right w:w="28" w:type="dxa"/>
            </w:tcMar>
          </w:tcPr>
          <w:p w:rsidR="009E1F17" w:rsidRPr="00CC2AC6" w:rsidRDefault="009E1F17" w:rsidP="00100A7A">
            <w:pPr>
              <w:keepNext/>
              <w:keepLines/>
              <w:widowControl/>
              <w:jc w:val="center"/>
              <w:rPr>
                <w:rFonts w:ascii="Arial Narrow" w:hAnsi="Arial Narrow" w:cs="Times New Roman"/>
                <w:snapToGrid/>
                <w:sz w:val="20"/>
                <w:szCs w:val="20"/>
                <w:vertAlign w:val="superscript"/>
              </w:rPr>
            </w:pPr>
            <w:r w:rsidRPr="00CC2AC6">
              <w:rPr>
                <w:rFonts w:ascii="Arial Narrow" w:hAnsi="Arial Narrow" w:cs="Times New Roman"/>
                <w:snapToGrid/>
                <w:sz w:val="20"/>
                <w:szCs w:val="20"/>
              </w:rPr>
              <w:t>0.71 (0.22, 2.27) p=0.56</w:t>
            </w:r>
            <w:r w:rsidRPr="00CC2AC6">
              <w:rPr>
                <w:rFonts w:ascii="Arial Narrow" w:hAnsi="Arial Narrow" w:cs="Times New Roman"/>
                <w:snapToGrid/>
                <w:sz w:val="20"/>
                <w:szCs w:val="20"/>
                <w:vertAlign w:val="superscript"/>
              </w:rPr>
              <w:t>5</w:t>
            </w:r>
          </w:p>
          <w:p w:rsidR="009E1F17" w:rsidRPr="00CC2AC6" w:rsidRDefault="009E1F17" w:rsidP="00100A7A">
            <w:pPr>
              <w:keepNext/>
              <w:keepLines/>
              <w:widowControl/>
              <w:jc w:val="center"/>
              <w:rPr>
                <w:rFonts w:ascii="Arial Narrow" w:hAnsi="Arial Narrow" w:cs="Times New Roman"/>
                <w:snapToGrid/>
                <w:sz w:val="20"/>
                <w:szCs w:val="20"/>
              </w:rPr>
            </w:pPr>
            <w:r w:rsidRPr="00CC2AC6">
              <w:rPr>
                <w:rFonts w:ascii="Arial Narrow" w:hAnsi="Arial Narrow" w:cs="Times New Roman"/>
                <w:snapToGrid/>
                <w:sz w:val="20"/>
                <w:szCs w:val="20"/>
              </w:rPr>
              <w:t>0.71 (0.22, 2.27) p=0.56</w:t>
            </w:r>
          </w:p>
        </w:tc>
        <w:tc>
          <w:tcPr>
            <w:tcW w:w="1100" w:type="pct"/>
            <w:shd w:val="clear" w:color="auto" w:fill="auto"/>
            <w:tcMar>
              <w:left w:w="28" w:type="dxa"/>
              <w:right w:w="28" w:type="dxa"/>
            </w:tcMar>
          </w:tcPr>
          <w:p w:rsidR="009E1F17" w:rsidRPr="00CC2AC6" w:rsidRDefault="009E1F17" w:rsidP="00100A7A">
            <w:pPr>
              <w:keepNext/>
              <w:keepLines/>
              <w:widowControl/>
              <w:jc w:val="center"/>
              <w:rPr>
                <w:rFonts w:ascii="Arial Narrow" w:hAnsi="Arial Narrow" w:cs="Times New Roman"/>
                <w:b/>
                <w:snapToGrid/>
                <w:sz w:val="20"/>
                <w:szCs w:val="20"/>
              </w:rPr>
            </w:pPr>
            <w:r w:rsidRPr="00CC2AC6">
              <w:rPr>
                <w:rFonts w:ascii="Arial Narrow" w:hAnsi="Arial Narrow" w:cs="Times New Roman"/>
                <w:b/>
                <w:snapToGrid/>
                <w:sz w:val="20"/>
                <w:szCs w:val="20"/>
              </w:rPr>
              <w:t>-</w:t>
            </w:r>
          </w:p>
        </w:tc>
        <w:tc>
          <w:tcPr>
            <w:tcW w:w="1161" w:type="pct"/>
            <w:shd w:val="clear" w:color="auto" w:fill="auto"/>
            <w:tcMar>
              <w:left w:w="28" w:type="dxa"/>
              <w:right w:w="28" w:type="dxa"/>
            </w:tcMar>
          </w:tcPr>
          <w:p w:rsidR="009E1F17" w:rsidRPr="00CC2AC6" w:rsidRDefault="009E1F17" w:rsidP="00100A7A">
            <w:pPr>
              <w:keepNext/>
              <w:keepLines/>
              <w:widowControl/>
              <w:jc w:val="center"/>
              <w:rPr>
                <w:rFonts w:ascii="Arial Narrow" w:hAnsi="Arial Narrow" w:cs="Times New Roman"/>
                <w:b/>
                <w:snapToGrid/>
                <w:sz w:val="20"/>
                <w:szCs w:val="20"/>
                <w:vertAlign w:val="superscript"/>
              </w:rPr>
            </w:pPr>
            <w:r w:rsidRPr="00CC2AC6">
              <w:rPr>
                <w:rFonts w:ascii="Arial Narrow" w:hAnsi="Arial Narrow" w:cs="Times New Roman"/>
                <w:b/>
                <w:snapToGrid/>
                <w:sz w:val="20"/>
                <w:szCs w:val="20"/>
              </w:rPr>
              <w:t>3.16 (1.05, 9.54) p=0.042</w:t>
            </w:r>
            <w:r w:rsidRPr="00CC2AC6">
              <w:rPr>
                <w:rFonts w:ascii="Arial Narrow" w:hAnsi="Arial Narrow" w:cs="Times New Roman"/>
                <w:b/>
                <w:snapToGrid/>
                <w:sz w:val="20"/>
                <w:szCs w:val="20"/>
                <w:vertAlign w:val="superscript"/>
              </w:rPr>
              <w:t>5</w:t>
            </w:r>
          </w:p>
          <w:p w:rsidR="009E1F17" w:rsidRPr="00CC2AC6" w:rsidRDefault="009E1F17" w:rsidP="00100A7A">
            <w:pPr>
              <w:keepNext/>
              <w:keepLines/>
              <w:widowControl/>
              <w:jc w:val="center"/>
              <w:rPr>
                <w:rFonts w:ascii="Arial Narrow" w:hAnsi="Arial Narrow" w:cs="Times New Roman"/>
                <w:b/>
                <w:snapToGrid/>
                <w:sz w:val="20"/>
                <w:szCs w:val="20"/>
                <w:vertAlign w:val="superscript"/>
              </w:rPr>
            </w:pPr>
            <w:r w:rsidRPr="00CC2AC6">
              <w:rPr>
                <w:rFonts w:ascii="Arial Narrow" w:hAnsi="Arial Narrow" w:cs="Times New Roman"/>
                <w:b/>
                <w:snapToGrid/>
                <w:sz w:val="20"/>
                <w:szCs w:val="20"/>
              </w:rPr>
              <w:t>3.16 (1.05, 9.54) p=0.04</w:t>
            </w:r>
          </w:p>
        </w:tc>
      </w:tr>
      <w:tr w:rsidR="000840CF" w:rsidRPr="009E1F17" w:rsidTr="00CC2AC6">
        <w:tc>
          <w:tcPr>
            <w:tcW w:w="784" w:type="pct"/>
            <w:vMerge/>
            <w:tcMar>
              <w:left w:w="28" w:type="dxa"/>
              <w:right w:w="28" w:type="dxa"/>
            </w:tcMar>
          </w:tcPr>
          <w:p w:rsidR="009E1F17" w:rsidRPr="009E1F17" w:rsidRDefault="009E1F17" w:rsidP="00100A7A">
            <w:pPr>
              <w:keepNext/>
              <w:keepLines/>
              <w:widowControl/>
              <w:rPr>
                <w:rFonts w:ascii="Arial Narrow" w:hAnsi="Arial Narrow" w:cs="Times New Roman"/>
                <w:b/>
                <w:snapToGrid/>
                <w:sz w:val="20"/>
                <w:szCs w:val="20"/>
              </w:rPr>
            </w:pPr>
          </w:p>
        </w:tc>
        <w:tc>
          <w:tcPr>
            <w:tcW w:w="390" w:type="pct"/>
            <w:vMerge/>
            <w:tcMar>
              <w:left w:w="28" w:type="dxa"/>
              <w:right w:w="28" w:type="dxa"/>
            </w:tcMar>
          </w:tcPr>
          <w:p w:rsidR="009E1F17" w:rsidRPr="009E1F17" w:rsidRDefault="009E1F17" w:rsidP="00100A7A">
            <w:pPr>
              <w:keepNext/>
              <w:keepLines/>
              <w:widowControl/>
              <w:jc w:val="left"/>
              <w:rPr>
                <w:rFonts w:ascii="Arial Narrow" w:hAnsi="Arial Narrow" w:cs="Times New Roman"/>
                <w:b/>
                <w:snapToGrid/>
                <w:sz w:val="20"/>
                <w:szCs w:val="20"/>
              </w:rPr>
            </w:pPr>
          </w:p>
        </w:tc>
        <w:tc>
          <w:tcPr>
            <w:tcW w:w="390" w:type="pct"/>
            <w:tcMar>
              <w:left w:w="28" w:type="dxa"/>
              <w:right w:w="28" w:type="dxa"/>
            </w:tcMar>
          </w:tcPr>
          <w:p w:rsidR="009E1F17" w:rsidRPr="009E1F17" w:rsidRDefault="009E1F17" w:rsidP="00100A7A">
            <w:pPr>
              <w:keepNext/>
              <w:keepLines/>
              <w:widowControl/>
              <w:jc w:val="left"/>
              <w:rPr>
                <w:rFonts w:ascii="Arial Narrow" w:hAnsi="Arial Narrow" w:cs="Times New Roman"/>
                <w:b/>
                <w:snapToGrid/>
                <w:sz w:val="20"/>
                <w:szCs w:val="20"/>
              </w:rPr>
            </w:pPr>
            <w:r w:rsidRPr="009E1F17">
              <w:rPr>
                <w:rFonts w:ascii="Arial Narrow" w:hAnsi="Arial Narrow" w:cs="Times New Roman"/>
                <w:b/>
                <w:snapToGrid/>
                <w:sz w:val="20"/>
                <w:szCs w:val="20"/>
              </w:rPr>
              <w:t>Method 2B</w:t>
            </w:r>
            <w:r w:rsidRPr="009E1F17">
              <w:rPr>
                <w:rFonts w:ascii="Arial Narrow" w:hAnsi="Arial Narrow" w:cs="Times New Roman"/>
                <w:b/>
                <w:snapToGrid/>
                <w:sz w:val="20"/>
                <w:szCs w:val="20"/>
                <w:vertAlign w:val="superscript"/>
              </w:rPr>
              <w:t>4</w:t>
            </w:r>
          </w:p>
        </w:tc>
        <w:tc>
          <w:tcPr>
            <w:tcW w:w="1175" w:type="pct"/>
            <w:shd w:val="clear" w:color="auto" w:fill="auto"/>
            <w:tcMar>
              <w:left w:w="28" w:type="dxa"/>
              <w:right w:w="28" w:type="dxa"/>
            </w:tcMar>
          </w:tcPr>
          <w:p w:rsidR="009E1F17" w:rsidRPr="00CC2AC6" w:rsidRDefault="009E1F17" w:rsidP="00100A7A">
            <w:pPr>
              <w:keepNext/>
              <w:keepLines/>
              <w:widowControl/>
              <w:jc w:val="center"/>
              <w:rPr>
                <w:rFonts w:ascii="Arial Narrow" w:hAnsi="Arial Narrow" w:cs="Times New Roman"/>
                <w:snapToGrid/>
                <w:sz w:val="20"/>
                <w:szCs w:val="20"/>
                <w:vertAlign w:val="superscript"/>
              </w:rPr>
            </w:pPr>
            <w:r w:rsidRPr="00CC2AC6">
              <w:rPr>
                <w:rFonts w:ascii="Arial Narrow" w:hAnsi="Arial Narrow" w:cs="Times New Roman"/>
                <w:snapToGrid/>
                <w:sz w:val="20"/>
                <w:szCs w:val="20"/>
              </w:rPr>
              <w:t>0.71 (0.22, 2.27) p=0.56</w:t>
            </w:r>
            <w:r w:rsidRPr="00CC2AC6">
              <w:rPr>
                <w:rFonts w:ascii="Arial Narrow" w:hAnsi="Arial Narrow" w:cs="Times New Roman"/>
                <w:snapToGrid/>
                <w:sz w:val="20"/>
                <w:szCs w:val="20"/>
                <w:vertAlign w:val="superscript"/>
              </w:rPr>
              <w:t>5</w:t>
            </w:r>
          </w:p>
          <w:p w:rsidR="009E1F17" w:rsidRPr="00CC2AC6" w:rsidRDefault="009E1F17" w:rsidP="00100A7A">
            <w:pPr>
              <w:keepNext/>
              <w:keepLines/>
              <w:widowControl/>
              <w:jc w:val="center"/>
              <w:rPr>
                <w:rFonts w:ascii="Arial Narrow" w:hAnsi="Arial Narrow" w:cs="Times New Roman"/>
                <w:b/>
                <w:snapToGrid/>
                <w:sz w:val="20"/>
                <w:szCs w:val="20"/>
                <w:vertAlign w:val="superscript"/>
              </w:rPr>
            </w:pPr>
            <w:r w:rsidRPr="00CC2AC6">
              <w:rPr>
                <w:rFonts w:ascii="Arial Narrow" w:hAnsi="Arial Narrow" w:cs="Times New Roman"/>
                <w:snapToGrid/>
                <w:sz w:val="20"/>
                <w:szCs w:val="20"/>
              </w:rPr>
              <w:t>0.71 (0.22, 2.27) p=0.56</w:t>
            </w:r>
          </w:p>
        </w:tc>
        <w:tc>
          <w:tcPr>
            <w:tcW w:w="1100" w:type="pct"/>
            <w:shd w:val="clear" w:color="auto" w:fill="auto"/>
            <w:tcMar>
              <w:left w:w="28" w:type="dxa"/>
              <w:right w:w="28" w:type="dxa"/>
            </w:tcMar>
          </w:tcPr>
          <w:p w:rsidR="009E1F17" w:rsidRPr="00CC2AC6" w:rsidRDefault="009E1F17" w:rsidP="00100A7A">
            <w:pPr>
              <w:keepNext/>
              <w:keepLines/>
              <w:widowControl/>
              <w:jc w:val="center"/>
              <w:rPr>
                <w:rFonts w:ascii="Arial Narrow" w:hAnsi="Arial Narrow" w:cs="Times New Roman"/>
                <w:b/>
                <w:snapToGrid/>
                <w:sz w:val="20"/>
                <w:szCs w:val="20"/>
              </w:rPr>
            </w:pPr>
            <w:r w:rsidRPr="00CC2AC6">
              <w:rPr>
                <w:rFonts w:ascii="Arial Narrow" w:hAnsi="Arial Narrow" w:cs="Times New Roman"/>
                <w:b/>
                <w:snapToGrid/>
                <w:sz w:val="20"/>
                <w:szCs w:val="20"/>
              </w:rPr>
              <w:t>-</w:t>
            </w:r>
          </w:p>
        </w:tc>
        <w:tc>
          <w:tcPr>
            <w:tcW w:w="1161" w:type="pct"/>
            <w:shd w:val="clear" w:color="auto" w:fill="auto"/>
            <w:tcMar>
              <w:left w:w="28" w:type="dxa"/>
              <w:right w:w="28" w:type="dxa"/>
            </w:tcMar>
          </w:tcPr>
          <w:p w:rsidR="009E1F17" w:rsidRPr="00CC2AC6" w:rsidRDefault="009E1F17" w:rsidP="00100A7A">
            <w:pPr>
              <w:keepNext/>
              <w:keepLines/>
              <w:widowControl/>
              <w:jc w:val="center"/>
              <w:rPr>
                <w:rFonts w:ascii="Arial Narrow" w:hAnsi="Arial Narrow" w:cs="Times New Roman"/>
                <w:b/>
                <w:snapToGrid/>
                <w:sz w:val="20"/>
                <w:szCs w:val="20"/>
                <w:vertAlign w:val="superscript"/>
              </w:rPr>
            </w:pPr>
            <w:r w:rsidRPr="00CC2AC6">
              <w:rPr>
                <w:rFonts w:ascii="Arial Narrow" w:hAnsi="Arial Narrow" w:cs="Times New Roman"/>
                <w:b/>
                <w:snapToGrid/>
                <w:sz w:val="20"/>
                <w:szCs w:val="20"/>
              </w:rPr>
              <w:t>3.16 (1.05, 9.54) p=0.042</w:t>
            </w:r>
            <w:r w:rsidRPr="00CC2AC6">
              <w:rPr>
                <w:rFonts w:ascii="Arial Narrow" w:hAnsi="Arial Narrow" w:cs="Times New Roman"/>
                <w:b/>
                <w:snapToGrid/>
                <w:sz w:val="20"/>
                <w:szCs w:val="20"/>
                <w:vertAlign w:val="superscript"/>
              </w:rPr>
              <w:t>5</w:t>
            </w:r>
          </w:p>
          <w:p w:rsidR="009E1F17" w:rsidRPr="00CC2AC6" w:rsidRDefault="009E1F17" w:rsidP="00100A7A">
            <w:pPr>
              <w:keepNext/>
              <w:keepLines/>
              <w:widowControl/>
              <w:jc w:val="center"/>
              <w:rPr>
                <w:rFonts w:ascii="Arial Narrow" w:hAnsi="Arial Narrow" w:cs="Times New Roman"/>
                <w:b/>
                <w:snapToGrid/>
                <w:sz w:val="20"/>
                <w:szCs w:val="20"/>
                <w:vertAlign w:val="superscript"/>
              </w:rPr>
            </w:pPr>
            <w:r w:rsidRPr="00CC2AC6">
              <w:rPr>
                <w:rFonts w:ascii="Arial Narrow" w:hAnsi="Arial Narrow" w:cs="Times New Roman"/>
                <w:b/>
                <w:snapToGrid/>
                <w:sz w:val="20"/>
                <w:szCs w:val="20"/>
              </w:rPr>
              <w:t>3.16 (1.05, 9.54) p=0.04</w:t>
            </w:r>
          </w:p>
        </w:tc>
      </w:tr>
    </w:tbl>
    <w:p w:rsidR="009E1F17" w:rsidRPr="009E1F17" w:rsidRDefault="009E1F17" w:rsidP="009E1F17">
      <w:pPr>
        <w:rPr>
          <w:rFonts w:ascii="Arial Narrow" w:hAnsi="Arial Narrow"/>
          <w:sz w:val="18"/>
          <w:szCs w:val="18"/>
        </w:rPr>
      </w:pPr>
      <w:r w:rsidRPr="009E1F17">
        <w:rPr>
          <w:rFonts w:ascii="Arial Narrow" w:hAnsi="Arial Narrow"/>
          <w:sz w:val="18"/>
          <w:szCs w:val="18"/>
        </w:rPr>
        <w:t xml:space="preserve">Source: Table 2.23, p61 of the submission; Table 2, p1216, </w:t>
      </w:r>
      <w:proofErr w:type="spellStart"/>
      <w:r w:rsidRPr="009E1F17">
        <w:rPr>
          <w:rFonts w:ascii="Arial Narrow" w:hAnsi="Arial Narrow"/>
          <w:sz w:val="18"/>
          <w:szCs w:val="18"/>
        </w:rPr>
        <w:t>Weitz</w:t>
      </w:r>
      <w:proofErr w:type="spellEnd"/>
      <w:r w:rsidRPr="009E1F17">
        <w:rPr>
          <w:rFonts w:ascii="Arial Narrow" w:hAnsi="Arial Narrow"/>
          <w:sz w:val="18"/>
          <w:szCs w:val="18"/>
        </w:rPr>
        <w:t xml:space="preserve"> 2017 Table 2 pg. 1216;, Table 2 p704, </w:t>
      </w:r>
      <w:proofErr w:type="spellStart"/>
      <w:r w:rsidRPr="009E1F17">
        <w:rPr>
          <w:rFonts w:ascii="Arial Narrow" w:hAnsi="Arial Narrow"/>
          <w:sz w:val="18"/>
          <w:szCs w:val="18"/>
        </w:rPr>
        <w:t>Agnelli</w:t>
      </w:r>
      <w:proofErr w:type="spellEnd"/>
      <w:r w:rsidRPr="009E1F17">
        <w:rPr>
          <w:rFonts w:ascii="Arial Narrow" w:hAnsi="Arial Narrow"/>
          <w:sz w:val="18"/>
          <w:szCs w:val="18"/>
        </w:rPr>
        <w:t xml:space="preserve"> 2013a Table 2 pg. 704, Table 4 p2509, </w:t>
      </w:r>
      <w:proofErr w:type="spellStart"/>
      <w:r w:rsidRPr="009E1F17">
        <w:rPr>
          <w:rFonts w:ascii="Arial Narrow" w:hAnsi="Arial Narrow"/>
          <w:sz w:val="18"/>
          <w:szCs w:val="18"/>
        </w:rPr>
        <w:t>Bauersachs</w:t>
      </w:r>
      <w:proofErr w:type="spellEnd"/>
      <w:r w:rsidRPr="009E1F17">
        <w:rPr>
          <w:rFonts w:ascii="Arial Narrow" w:hAnsi="Arial Narrow"/>
          <w:sz w:val="18"/>
          <w:szCs w:val="18"/>
        </w:rPr>
        <w:t xml:space="preserve"> 2010, Table 2, p 1985 Brighton 2012, Table 2, p 1965 </w:t>
      </w:r>
      <w:proofErr w:type="spellStart"/>
      <w:r w:rsidRPr="009E1F17">
        <w:rPr>
          <w:rFonts w:ascii="Arial Narrow" w:hAnsi="Arial Narrow"/>
          <w:sz w:val="18"/>
          <w:szCs w:val="18"/>
        </w:rPr>
        <w:t>Becattini</w:t>
      </w:r>
      <w:proofErr w:type="spellEnd"/>
      <w:r w:rsidRPr="009E1F17">
        <w:rPr>
          <w:rFonts w:ascii="Arial Narrow" w:hAnsi="Arial Narrow"/>
          <w:sz w:val="18"/>
          <w:szCs w:val="18"/>
        </w:rPr>
        <w:t xml:space="preserve"> 2012, Robertson 2017</w:t>
      </w:r>
    </w:p>
    <w:p w:rsidR="009E1F17" w:rsidRPr="009E1F17" w:rsidRDefault="009E1F17" w:rsidP="009E1F17">
      <w:pPr>
        <w:rPr>
          <w:rFonts w:ascii="Arial Narrow" w:hAnsi="Arial Narrow"/>
          <w:sz w:val="18"/>
          <w:szCs w:val="18"/>
        </w:rPr>
      </w:pPr>
      <w:r w:rsidRPr="009E1F17">
        <w:rPr>
          <w:rFonts w:ascii="Arial Narrow" w:hAnsi="Arial Narrow"/>
          <w:sz w:val="18"/>
          <w:szCs w:val="18"/>
        </w:rPr>
        <w:t>Abbreviations: A2.5=</w:t>
      </w:r>
      <w:proofErr w:type="spellStart"/>
      <w:r w:rsidRPr="009E1F17">
        <w:rPr>
          <w:rFonts w:ascii="Arial Narrow" w:hAnsi="Arial Narrow"/>
          <w:sz w:val="18"/>
          <w:szCs w:val="18"/>
        </w:rPr>
        <w:t>apixaban</w:t>
      </w:r>
      <w:proofErr w:type="spellEnd"/>
      <w:r w:rsidRPr="009E1F17">
        <w:rPr>
          <w:rFonts w:ascii="Arial Narrow" w:hAnsi="Arial Narrow"/>
          <w:sz w:val="18"/>
          <w:szCs w:val="18"/>
        </w:rPr>
        <w:t xml:space="preserve"> 2.5 mg; ASA=aspirin; CI=Confidence Interval; PBO=placebo; RR=Risk Ratio; R10=rivaroxaban 10 mg; R20=rivaroxaban 20 mg</w:t>
      </w:r>
    </w:p>
    <w:p w:rsidR="009E1F17" w:rsidRPr="009E1F17" w:rsidRDefault="009E1F17" w:rsidP="009E1F17">
      <w:pPr>
        <w:rPr>
          <w:rFonts w:ascii="Arial Narrow" w:hAnsi="Arial Narrow"/>
          <w:sz w:val="18"/>
          <w:szCs w:val="18"/>
        </w:rPr>
      </w:pPr>
      <w:r w:rsidRPr="009E1F17">
        <w:rPr>
          <w:rFonts w:ascii="Arial Narrow" w:hAnsi="Arial Narrow"/>
          <w:sz w:val="18"/>
          <w:szCs w:val="18"/>
        </w:rPr>
        <w:t xml:space="preserve">Notes: </w:t>
      </w:r>
      <w:r w:rsidRPr="009E1F17">
        <w:rPr>
          <w:rFonts w:ascii="Arial Narrow" w:hAnsi="Arial Narrow"/>
          <w:sz w:val="18"/>
          <w:szCs w:val="18"/>
          <w:vertAlign w:val="superscript"/>
        </w:rPr>
        <w:t>1</w:t>
      </w:r>
      <w:r w:rsidRPr="009E1F17">
        <w:rPr>
          <w:rFonts w:ascii="Arial Narrow" w:hAnsi="Arial Narrow"/>
          <w:sz w:val="18"/>
          <w:szCs w:val="18"/>
        </w:rPr>
        <w:t>. Two-step indirect of A2.5 vs. aspirin via placebo (Step 1) and then R10 vs. A2.5 via a</w:t>
      </w:r>
      <w:r w:rsidR="007201EB">
        <w:rPr>
          <w:rFonts w:ascii="Arial Narrow" w:hAnsi="Arial Narrow"/>
          <w:sz w:val="18"/>
          <w:szCs w:val="18"/>
        </w:rPr>
        <w:softHyphen/>
      </w:r>
      <w:r w:rsidR="007201EB">
        <w:rPr>
          <w:rFonts w:ascii="Arial Narrow" w:hAnsi="Arial Narrow"/>
          <w:sz w:val="18"/>
          <w:szCs w:val="18"/>
        </w:rPr>
        <w:noBreakHyphen/>
      </w:r>
      <w:proofErr w:type="spellStart"/>
      <w:r w:rsidRPr="009E1F17">
        <w:rPr>
          <w:rFonts w:ascii="Arial Narrow" w:hAnsi="Arial Narrow"/>
          <w:sz w:val="18"/>
          <w:szCs w:val="18"/>
        </w:rPr>
        <w:t>spirin</w:t>
      </w:r>
      <w:proofErr w:type="spellEnd"/>
      <w:r w:rsidRPr="009E1F17">
        <w:rPr>
          <w:rFonts w:ascii="Arial Narrow" w:hAnsi="Arial Narrow"/>
          <w:sz w:val="18"/>
          <w:szCs w:val="18"/>
        </w:rPr>
        <w:t xml:space="preserve"> (Step 2); </w:t>
      </w:r>
      <w:r w:rsidRPr="009E1F17">
        <w:rPr>
          <w:rFonts w:ascii="Arial Narrow" w:hAnsi="Arial Narrow"/>
          <w:sz w:val="18"/>
          <w:szCs w:val="18"/>
          <w:vertAlign w:val="superscript"/>
        </w:rPr>
        <w:t>2.</w:t>
      </w:r>
      <w:r w:rsidRPr="009E1F17">
        <w:rPr>
          <w:rFonts w:ascii="Arial Narrow" w:hAnsi="Arial Narrow"/>
          <w:sz w:val="18"/>
          <w:szCs w:val="18"/>
        </w:rPr>
        <w:t xml:space="preserve"> Two-step indirect of R10 vs. placebo via aspirin (Step 1) and then R10 vs. A2.5 via placebo (Step 2)</w:t>
      </w:r>
      <w:proofErr w:type="gramStart"/>
      <w:r w:rsidRPr="009E1F17">
        <w:rPr>
          <w:rFonts w:ascii="Arial Narrow" w:hAnsi="Arial Narrow"/>
          <w:sz w:val="18"/>
          <w:szCs w:val="18"/>
        </w:rPr>
        <w:t>;</w:t>
      </w:r>
      <w:r w:rsidRPr="009E1F17">
        <w:rPr>
          <w:rFonts w:ascii="Arial Narrow" w:hAnsi="Arial Narrow"/>
          <w:sz w:val="18"/>
          <w:szCs w:val="18"/>
          <w:vertAlign w:val="superscript"/>
        </w:rPr>
        <w:t>3</w:t>
      </w:r>
      <w:proofErr w:type="gramEnd"/>
      <w:r w:rsidRPr="009E1F17">
        <w:rPr>
          <w:rFonts w:ascii="Arial Narrow" w:hAnsi="Arial Narrow"/>
          <w:sz w:val="18"/>
          <w:szCs w:val="18"/>
          <w:vertAlign w:val="superscript"/>
        </w:rPr>
        <w:t>.</w:t>
      </w:r>
      <w:r w:rsidRPr="009E1F17">
        <w:rPr>
          <w:rFonts w:ascii="Arial Narrow" w:hAnsi="Arial Narrow"/>
          <w:sz w:val="18"/>
          <w:szCs w:val="18"/>
        </w:rPr>
        <w:t xml:space="preserve"> Two-step indirect of A2.5 vs. R20 via placebo (Step 1) and then R10 vs. A2.5 via R20 (Step 2); </w:t>
      </w:r>
      <w:r w:rsidRPr="009E1F17">
        <w:rPr>
          <w:rFonts w:ascii="Arial Narrow" w:hAnsi="Arial Narrow"/>
          <w:sz w:val="18"/>
          <w:szCs w:val="18"/>
          <w:vertAlign w:val="superscript"/>
        </w:rPr>
        <w:t>4.</w:t>
      </w:r>
      <w:r w:rsidRPr="009E1F17">
        <w:rPr>
          <w:rFonts w:ascii="Arial Narrow" w:hAnsi="Arial Narrow"/>
          <w:sz w:val="18"/>
          <w:szCs w:val="18"/>
        </w:rPr>
        <w:t xml:space="preserve"> Two-step indirect of R10 vs. placebo via R20 (Step 1) and then R10 vs. A2.5 via placebo (Step 2); </w:t>
      </w:r>
      <w:r w:rsidRPr="009E1F17">
        <w:rPr>
          <w:rFonts w:ascii="Arial Narrow" w:hAnsi="Arial Narrow"/>
          <w:sz w:val="18"/>
          <w:szCs w:val="18"/>
          <w:vertAlign w:val="superscript"/>
        </w:rPr>
        <w:t>5.</w:t>
      </w:r>
      <w:r w:rsidRPr="009E1F17">
        <w:t xml:space="preserve"> </w:t>
      </w:r>
      <w:r w:rsidRPr="009E1F17">
        <w:rPr>
          <w:rFonts w:ascii="Arial Narrow" w:hAnsi="Arial Narrow"/>
          <w:sz w:val="18"/>
          <w:szCs w:val="18"/>
        </w:rPr>
        <w:t xml:space="preserve">Reported as an HR in the submission; </w:t>
      </w:r>
    </w:p>
    <w:p w:rsidR="00CD0C53" w:rsidRDefault="009E1F17" w:rsidP="009E1F17">
      <w:pPr>
        <w:rPr>
          <w:rFonts w:ascii="Arial Narrow" w:hAnsi="Arial Narrow"/>
          <w:sz w:val="18"/>
        </w:rPr>
      </w:pPr>
      <w:r w:rsidRPr="009E1F17">
        <w:rPr>
          <w:rFonts w:ascii="Arial Narrow" w:hAnsi="Arial Narrow"/>
          <w:sz w:val="18"/>
        </w:rPr>
        <w:t>Bold text indicates a statistically significant difference.</w:t>
      </w:r>
    </w:p>
    <w:p w:rsidR="00CD0C53" w:rsidRDefault="00CD0C53">
      <w:pPr>
        <w:widowControl/>
        <w:jc w:val="left"/>
        <w:rPr>
          <w:rFonts w:ascii="Arial Narrow" w:hAnsi="Arial Narrow"/>
          <w:sz w:val="18"/>
        </w:rPr>
      </w:pPr>
      <w:r>
        <w:rPr>
          <w:rFonts w:ascii="Arial Narrow" w:hAnsi="Arial Narrow"/>
          <w:sz w:val="18"/>
        </w:rPr>
        <w:br w:type="page"/>
      </w:r>
    </w:p>
    <w:p w:rsidR="00082122" w:rsidRPr="009E1F17" w:rsidRDefault="00082122" w:rsidP="00100A7A">
      <w:pPr>
        <w:pStyle w:val="TableFooter"/>
        <w:rPr>
          <w:snapToGrid/>
        </w:rPr>
      </w:pPr>
    </w:p>
    <w:p w:rsidR="009E1F17" w:rsidRPr="009E1F17" w:rsidRDefault="009E1F17" w:rsidP="009E1F17">
      <w:pPr>
        <w:numPr>
          <w:ilvl w:val="1"/>
          <w:numId w:val="3"/>
        </w:numPr>
        <w:spacing w:after="160"/>
        <w:rPr>
          <w:rFonts w:asciiTheme="minorHAnsi" w:hAnsiTheme="minorHAnsi" w:cstheme="minorHAnsi"/>
          <w:i/>
          <w:szCs w:val="24"/>
        </w:rPr>
      </w:pPr>
      <w:r w:rsidRPr="009E1F17">
        <w:rPr>
          <w:rFonts w:asciiTheme="minorHAnsi" w:hAnsiTheme="minorHAnsi" w:cstheme="minorHAnsi"/>
          <w:szCs w:val="24"/>
        </w:rPr>
        <w:t xml:space="preserve">The results for major bleeding favoured </w:t>
      </w:r>
      <w:proofErr w:type="spellStart"/>
      <w:r w:rsidRPr="009E1F17">
        <w:rPr>
          <w:rFonts w:asciiTheme="minorHAnsi" w:hAnsiTheme="minorHAnsi" w:cstheme="minorHAnsi"/>
          <w:szCs w:val="24"/>
        </w:rPr>
        <w:t>apixaban</w:t>
      </w:r>
      <w:proofErr w:type="spellEnd"/>
      <w:r w:rsidRPr="009E1F17">
        <w:rPr>
          <w:rFonts w:asciiTheme="minorHAnsi" w:hAnsiTheme="minorHAnsi" w:cstheme="minorHAnsi"/>
          <w:szCs w:val="24"/>
        </w:rPr>
        <w:t xml:space="preserve"> 2.5 mg, (HR=</w:t>
      </w:r>
      <w:r w:rsidRPr="00CC2AC6">
        <w:rPr>
          <w:rFonts w:asciiTheme="minorHAnsi" w:hAnsiTheme="minorHAnsi" w:cstheme="minorHAnsi"/>
          <w:szCs w:val="24"/>
        </w:rPr>
        <w:t>4.28</w:t>
      </w:r>
      <w:r w:rsidRPr="009E1F17">
        <w:rPr>
          <w:rFonts w:asciiTheme="minorHAnsi" w:hAnsiTheme="minorHAnsi" w:cstheme="minorHAnsi"/>
          <w:szCs w:val="24"/>
        </w:rPr>
        <w:t>; 95%CI: 0.38, 48.66; p=0.24). The submission noted that the very large confidence intervals and non-significant p-value are indicative of a very small sample size and hence a large amount of uncertainty around this estimate</w:t>
      </w:r>
      <w:r w:rsidRPr="00636D45">
        <w:rPr>
          <w:rFonts w:asciiTheme="minorHAnsi" w:hAnsiTheme="minorHAnsi" w:cstheme="minorHAnsi"/>
          <w:szCs w:val="24"/>
        </w:rPr>
        <w:t>. This was appropriate. Results for methods 2A and 2B were not available for this outcome given that a comparison for rivaroxaban 20 mg vs. placebo from Einstein EXT was not calculable due to no patients experiencing the outcome in the placebo group. This was reasonable.</w:t>
      </w:r>
      <w:r w:rsidRPr="009E1F17">
        <w:rPr>
          <w:rFonts w:asciiTheme="minorHAnsi" w:hAnsiTheme="minorHAnsi" w:cstheme="minorHAnsi"/>
          <w:i/>
          <w:szCs w:val="24"/>
        </w:rPr>
        <w:t xml:space="preserve"> </w:t>
      </w:r>
    </w:p>
    <w:p w:rsidR="009E1F17" w:rsidRPr="00636D45" w:rsidRDefault="009E1F17" w:rsidP="009E1F17">
      <w:pPr>
        <w:numPr>
          <w:ilvl w:val="1"/>
          <w:numId w:val="3"/>
        </w:numPr>
        <w:spacing w:after="160"/>
      </w:pPr>
      <w:r w:rsidRPr="00636D45">
        <w:rPr>
          <w:rFonts w:asciiTheme="minorHAnsi" w:hAnsiTheme="minorHAnsi" w:cstheme="minorHAnsi"/>
          <w:szCs w:val="24"/>
        </w:rPr>
        <w:t>The ITC was based on combining what the submission reported as RR from Amplify EXT, HR from Einstein CHOICE and Einstein EXT to the OR from Robertson et al. (2017; for ASPIRE and WARFASA) to create a composite HR metric. The ESC previously advised that such presentation of the results should be interpreted with caution given that HR should not be assumed to equal RR in the analysis and “that the incorrect assumption that HRs are equivalent to RRs undermines the indirect comparison” (</w:t>
      </w:r>
      <w:proofErr w:type="spellStart"/>
      <w:r w:rsidRPr="00636D45">
        <w:rPr>
          <w:rFonts w:asciiTheme="minorHAnsi" w:hAnsiTheme="minorHAnsi" w:cstheme="minorHAnsi"/>
          <w:szCs w:val="24"/>
        </w:rPr>
        <w:t>Apixaban</w:t>
      </w:r>
      <w:proofErr w:type="spellEnd"/>
      <w:r w:rsidRPr="00636D45">
        <w:rPr>
          <w:rFonts w:asciiTheme="minorHAnsi" w:hAnsiTheme="minorHAnsi" w:cstheme="minorHAnsi"/>
          <w:szCs w:val="24"/>
        </w:rPr>
        <w:t xml:space="preserve"> PSD, March 2015). During the evaluation, all the measures of association were re-expressed as RR. This did not alter the submission’s conclusions with respect to the outcomes of the ITC.</w:t>
      </w:r>
    </w:p>
    <w:p w:rsidR="003939A5" w:rsidRPr="00082122" w:rsidRDefault="009E1F17" w:rsidP="00082122">
      <w:pPr>
        <w:spacing w:after="120"/>
        <w:outlineLvl w:val="1"/>
        <w:rPr>
          <w:b/>
          <w:i/>
          <w:sz w:val="28"/>
        </w:rPr>
      </w:pPr>
      <w:r w:rsidRPr="009E1F17">
        <w:rPr>
          <w:b/>
          <w:i/>
          <w:sz w:val="28"/>
        </w:rPr>
        <w:t>Clinical claim</w:t>
      </w:r>
    </w:p>
    <w:p w:rsidR="009E1F17" w:rsidRPr="00636D45" w:rsidRDefault="009E1F17" w:rsidP="009E1F17">
      <w:pPr>
        <w:widowControl/>
        <w:numPr>
          <w:ilvl w:val="1"/>
          <w:numId w:val="3"/>
        </w:numPr>
        <w:spacing w:after="160"/>
      </w:pPr>
      <w:r w:rsidRPr="009E1F17">
        <w:t xml:space="preserve">The submission described rivaroxaban 10 mg once daily in adults with a history of VTE for prevention of recurrent VTE as therapeutically equivalent to rivaroxaban 20 mg once daily in terms of the risk of VTE recurrence and VTE-related death whilst offering a slightly better safety profile in terms of major bleeding and CRNM bleeding. </w:t>
      </w:r>
      <w:r w:rsidRPr="00636D45">
        <w:t>The claim was supported with respect to recurrent VTE or VTE-related death; there were no statistically significant differences in rates of major or CRNM bleeds.</w:t>
      </w:r>
    </w:p>
    <w:p w:rsidR="009E1F17" w:rsidRPr="00C20CCA" w:rsidRDefault="009E1F17" w:rsidP="009E1F17">
      <w:pPr>
        <w:widowControl/>
        <w:numPr>
          <w:ilvl w:val="1"/>
          <w:numId w:val="3"/>
        </w:numPr>
        <w:spacing w:after="160"/>
        <w:rPr>
          <w:i/>
        </w:rPr>
      </w:pPr>
      <w:r w:rsidRPr="009E1F17">
        <w:t xml:space="preserve">The submission described rivaroxaban 10 mg as therapeutically equivalent to </w:t>
      </w:r>
      <w:proofErr w:type="spellStart"/>
      <w:r w:rsidRPr="009E1F17">
        <w:t>apixaban</w:t>
      </w:r>
      <w:proofErr w:type="spellEnd"/>
      <w:r w:rsidRPr="009E1F17">
        <w:t xml:space="preserve"> 2.5 mg twice daily when assessed on the risk of recurrent VTE and VTE-related death, major bleeding and CRNM bleeding. </w:t>
      </w:r>
      <w:r w:rsidRPr="00636D45">
        <w:t xml:space="preserve">The results of the ITC of rivaroxaban 20 mg and </w:t>
      </w:r>
      <w:proofErr w:type="spellStart"/>
      <w:r w:rsidRPr="00636D45">
        <w:t>apixaban</w:t>
      </w:r>
      <w:proofErr w:type="spellEnd"/>
      <w:r w:rsidRPr="00636D45">
        <w:t xml:space="preserve"> 2.5 mg presented by the submission were consistent with the published literature and previous PBAC submission (</w:t>
      </w:r>
      <w:proofErr w:type="spellStart"/>
      <w:r w:rsidRPr="00636D45">
        <w:t>Apixaban</w:t>
      </w:r>
      <w:proofErr w:type="spellEnd"/>
      <w:r w:rsidRPr="00636D45">
        <w:t xml:space="preserve"> P</w:t>
      </w:r>
      <w:r w:rsidR="00DE1314">
        <w:t xml:space="preserve">ublic </w:t>
      </w:r>
      <w:r w:rsidRPr="00636D45">
        <w:t>S</w:t>
      </w:r>
      <w:r w:rsidR="00DE1314">
        <w:t xml:space="preserve">ummary </w:t>
      </w:r>
      <w:r w:rsidRPr="00636D45">
        <w:t>D</w:t>
      </w:r>
      <w:r w:rsidR="00DE1314">
        <w:t>ocument</w:t>
      </w:r>
      <w:r w:rsidRPr="00636D45">
        <w:t xml:space="preserve"> </w:t>
      </w:r>
      <w:r w:rsidR="00DE1314">
        <w:t xml:space="preserve">March </w:t>
      </w:r>
      <w:r w:rsidRPr="00636D45">
        <w:t xml:space="preserve">2015) in which </w:t>
      </w:r>
      <w:proofErr w:type="spellStart"/>
      <w:r w:rsidRPr="00636D45">
        <w:t>apixaban</w:t>
      </w:r>
      <w:proofErr w:type="spellEnd"/>
      <w:r w:rsidRPr="00636D45">
        <w:t xml:space="preserve"> 2.5 mg was considered non-inferior to rivaroxaban 20 mg in terms of efficacy and safety.</w:t>
      </w:r>
    </w:p>
    <w:p w:rsidR="00C20CCA" w:rsidRDefault="00C20CCA" w:rsidP="00C20CCA">
      <w:pPr>
        <w:widowControl/>
        <w:numPr>
          <w:ilvl w:val="1"/>
          <w:numId w:val="3"/>
        </w:numPr>
        <w:spacing w:after="160"/>
      </w:pPr>
      <w:r w:rsidRPr="0019538A">
        <w:t>The ESC noted that the claim of therapeutic equivalence was made on the basis of the direct and indirect treatment comparisons, although the direct comparison was not powered to demonstrate non-inferiority. Nevertheless, the ESC considered that the comparisons suppor</w:t>
      </w:r>
      <w:r w:rsidR="003939A5" w:rsidRPr="0019538A">
        <w:t>ted the claim of therapeutic eq</w:t>
      </w:r>
      <w:r w:rsidRPr="0019538A">
        <w:t xml:space="preserve">uivalence in efficacy and with no additional risk of major or clinically relevant non-major bleeds. </w:t>
      </w:r>
    </w:p>
    <w:p w:rsidR="005547F4" w:rsidRPr="008F1EFE" w:rsidRDefault="005547F4" w:rsidP="005547F4">
      <w:pPr>
        <w:pStyle w:val="ListParagraph"/>
        <w:widowControl/>
        <w:numPr>
          <w:ilvl w:val="1"/>
          <w:numId w:val="3"/>
        </w:numPr>
        <w:spacing w:after="120"/>
        <w:ind w:left="810" w:hanging="810"/>
        <w:rPr>
          <w:rFonts w:asciiTheme="minorHAnsi" w:hAnsiTheme="minorHAnsi"/>
          <w:szCs w:val="20"/>
        </w:rPr>
      </w:pPr>
      <w:r w:rsidRPr="008F1EFE">
        <w:rPr>
          <w:rFonts w:asciiTheme="minorHAnsi" w:hAnsiTheme="minorHAnsi"/>
          <w:szCs w:val="20"/>
        </w:rPr>
        <w:t xml:space="preserve">The PBAC considered that the claim of </w:t>
      </w:r>
      <w:r w:rsidR="00DE1314">
        <w:rPr>
          <w:rFonts w:asciiTheme="minorHAnsi" w:hAnsiTheme="minorHAnsi"/>
          <w:szCs w:val="20"/>
        </w:rPr>
        <w:t>therapeutic equivalence</w:t>
      </w:r>
      <w:r w:rsidR="007A061E">
        <w:rPr>
          <w:rFonts w:asciiTheme="minorHAnsi" w:hAnsiTheme="minorHAnsi"/>
          <w:szCs w:val="20"/>
        </w:rPr>
        <w:t xml:space="preserve"> with respect to </w:t>
      </w:r>
      <w:r w:rsidRPr="008F1EFE">
        <w:rPr>
          <w:rFonts w:asciiTheme="minorHAnsi" w:hAnsiTheme="minorHAnsi"/>
          <w:szCs w:val="20"/>
        </w:rPr>
        <w:t>comparative effectiveness was reasonable.</w:t>
      </w:r>
    </w:p>
    <w:p w:rsidR="005547F4" w:rsidRPr="008F1EFE" w:rsidRDefault="005547F4" w:rsidP="005547F4">
      <w:pPr>
        <w:pStyle w:val="ListParagraph"/>
        <w:widowControl/>
        <w:numPr>
          <w:ilvl w:val="1"/>
          <w:numId w:val="3"/>
        </w:numPr>
        <w:spacing w:after="120"/>
        <w:ind w:left="810" w:hanging="810"/>
        <w:rPr>
          <w:rFonts w:asciiTheme="minorHAnsi" w:hAnsiTheme="minorHAnsi"/>
          <w:szCs w:val="20"/>
        </w:rPr>
      </w:pPr>
      <w:r w:rsidRPr="008F1EFE">
        <w:rPr>
          <w:rFonts w:asciiTheme="minorHAnsi" w:hAnsiTheme="minorHAnsi"/>
          <w:szCs w:val="20"/>
        </w:rPr>
        <w:t xml:space="preserve">The PBAC considered that the claim of </w:t>
      </w:r>
      <w:r w:rsidR="00DE1314">
        <w:rPr>
          <w:rFonts w:asciiTheme="minorHAnsi" w:hAnsiTheme="minorHAnsi"/>
          <w:szCs w:val="20"/>
        </w:rPr>
        <w:t xml:space="preserve">therapeutical equivalence </w:t>
      </w:r>
      <w:r w:rsidR="008F2F75">
        <w:rPr>
          <w:rFonts w:asciiTheme="minorHAnsi" w:hAnsiTheme="minorHAnsi"/>
          <w:szCs w:val="20"/>
        </w:rPr>
        <w:t xml:space="preserve">with respect to </w:t>
      </w:r>
      <w:r w:rsidRPr="008F1EFE">
        <w:rPr>
          <w:rFonts w:asciiTheme="minorHAnsi" w:hAnsiTheme="minorHAnsi"/>
          <w:szCs w:val="20"/>
        </w:rPr>
        <w:t>comparative safety was reasonable.</w:t>
      </w:r>
    </w:p>
    <w:p w:rsidR="009E1F17" w:rsidRDefault="009E1F17" w:rsidP="00082122">
      <w:pPr>
        <w:spacing w:after="120"/>
        <w:outlineLvl w:val="1"/>
        <w:rPr>
          <w:b/>
          <w:i/>
          <w:sz w:val="28"/>
        </w:rPr>
      </w:pPr>
      <w:r w:rsidRPr="009E1F17">
        <w:rPr>
          <w:b/>
          <w:i/>
          <w:sz w:val="28"/>
        </w:rPr>
        <w:lastRenderedPageBreak/>
        <w:t xml:space="preserve">Economic analysis </w:t>
      </w:r>
    </w:p>
    <w:p w:rsidR="009E1F17" w:rsidRPr="009E1F17" w:rsidRDefault="009E1F17" w:rsidP="009E1F17">
      <w:pPr>
        <w:widowControl/>
        <w:numPr>
          <w:ilvl w:val="1"/>
          <w:numId w:val="3"/>
        </w:numPr>
        <w:spacing w:after="160"/>
        <w:rPr>
          <w:rFonts w:ascii="Arial Narrow" w:hAnsi="Arial Narrow"/>
          <w:b/>
          <w:sz w:val="20"/>
          <w:szCs w:val="16"/>
        </w:rPr>
      </w:pPr>
      <w:r w:rsidRPr="009E1F17">
        <w:rPr>
          <w:rFonts w:cs="Calibri"/>
          <w:snapToGrid/>
          <w:szCs w:val="24"/>
          <w:lang w:val="en-US" w:eastAsia="en-AU"/>
        </w:rPr>
        <w:t>The submission presented a cost-</w:t>
      </w:r>
      <w:r w:rsidRPr="009E1F17">
        <w:rPr>
          <w:rFonts w:cs="Calibri"/>
          <w:snapToGrid/>
          <w:szCs w:val="24"/>
          <w:lang w:eastAsia="en-AU"/>
        </w:rPr>
        <w:t>minimisation</w:t>
      </w:r>
      <w:r w:rsidRPr="009E1F17">
        <w:rPr>
          <w:rFonts w:cs="Calibri"/>
          <w:snapToGrid/>
          <w:szCs w:val="24"/>
          <w:lang w:val="en-US" w:eastAsia="en-AU"/>
        </w:rPr>
        <w:t xml:space="preserve"> analysis for rivaroxaban 10 mg compared to rivaroxaban 20 mg and </w:t>
      </w:r>
      <w:proofErr w:type="spellStart"/>
      <w:r w:rsidRPr="009E1F17">
        <w:rPr>
          <w:rFonts w:cs="Calibri"/>
          <w:snapToGrid/>
          <w:szCs w:val="24"/>
          <w:lang w:val="en-US" w:eastAsia="en-AU"/>
        </w:rPr>
        <w:t>apixaban</w:t>
      </w:r>
      <w:proofErr w:type="spellEnd"/>
      <w:r w:rsidRPr="009E1F17">
        <w:rPr>
          <w:rFonts w:cs="Calibri"/>
          <w:snapToGrid/>
          <w:szCs w:val="24"/>
          <w:lang w:val="en-US" w:eastAsia="en-AU"/>
        </w:rPr>
        <w:t xml:space="preserve"> 2.5 mg. The submission assumed there was no difference in resource use between the drugs being compared other than the use of the drugs themselves. </w:t>
      </w:r>
      <w:r w:rsidRPr="00636D45">
        <w:rPr>
          <w:rFonts w:cs="Calibri"/>
          <w:snapToGrid/>
          <w:szCs w:val="24"/>
          <w:lang w:val="en-US" w:eastAsia="en-AU"/>
        </w:rPr>
        <w:t>This was reasonable.</w:t>
      </w:r>
      <w:r w:rsidRPr="009E1F17">
        <w:rPr>
          <w:rFonts w:cs="Calibri"/>
          <w:i/>
          <w:snapToGrid/>
          <w:szCs w:val="24"/>
          <w:lang w:val="en-US" w:eastAsia="en-AU"/>
        </w:rPr>
        <w:t xml:space="preserve"> </w:t>
      </w:r>
      <w:r w:rsidRPr="009E1F17">
        <w:rPr>
          <w:rFonts w:cs="Calibri"/>
          <w:snapToGrid/>
          <w:szCs w:val="24"/>
          <w:lang w:val="en-US" w:eastAsia="en-AU"/>
        </w:rPr>
        <w:t>The equi-effective doses used in the submission to inform the analysis were based on</w:t>
      </w:r>
      <w:r w:rsidRPr="009E1F17">
        <w:t xml:space="preserve"> the dose relativity between rivaroxaban 10 mg once daily and rivaroxaban 20 mg once daily (Einstein CHOICE) and between rivaroxaban 10 mg once daily and </w:t>
      </w:r>
      <w:proofErr w:type="spellStart"/>
      <w:r w:rsidRPr="009E1F17">
        <w:t>apixaban</w:t>
      </w:r>
      <w:proofErr w:type="spellEnd"/>
      <w:r w:rsidRPr="009E1F17">
        <w:t xml:space="preserve"> 2.5 mg twice daily (ITC)</w:t>
      </w:r>
      <w:r w:rsidRPr="009E1F17">
        <w:rPr>
          <w:rFonts w:cs="Calibri"/>
          <w:snapToGrid/>
          <w:szCs w:val="24"/>
          <w:lang w:val="en-US" w:eastAsia="en-AU"/>
        </w:rPr>
        <w:t xml:space="preserve">. </w:t>
      </w:r>
    </w:p>
    <w:p w:rsidR="009E1F17" w:rsidRPr="009E1F17" w:rsidRDefault="009E1F17" w:rsidP="009E1F17">
      <w:pPr>
        <w:widowControl/>
        <w:numPr>
          <w:ilvl w:val="1"/>
          <w:numId w:val="3"/>
        </w:numPr>
        <w:spacing w:after="160"/>
      </w:pPr>
      <w:r w:rsidRPr="009E1F17">
        <w:t>The submission presented a cost-minimising price for rivaroxaban 10 mg derived from the approved ex-manufacturer price (AEMP) and estimated cost per day of treatment for rivaroxaban 20 mg ($92.74). P</w:t>
      </w:r>
      <w:r w:rsidRPr="009E1F17">
        <w:rPr>
          <w:rFonts w:asciiTheme="minorHAnsi" w:hAnsiTheme="minorHAnsi" w:cstheme="minorHAnsi"/>
          <w:bCs/>
          <w:color w:val="000000"/>
        </w:rPr>
        <w:t xml:space="preserve">ricing compared with </w:t>
      </w:r>
      <w:proofErr w:type="spellStart"/>
      <w:r w:rsidRPr="009E1F17">
        <w:rPr>
          <w:rFonts w:asciiTheme="minorHAnsi" w:hAnsiTheme="minorHAnsi" w:cstheme="minorHAnsi"/>
          <w:bCs/>
          <w:color w:val="000000"/>
        </w:rPr>
        <w:t>apixaban</w:t>
      </w:r>
      <w:proofErr w:type="spellEnd"/>
      <w:r w:rsidRPr="009E1F17">
        <w:rPr>
          <w:rFonts w:asciiTheme="minorHAnsi" w:hAnsiTheme="minorHAnsi" w:cstheme="minorHAnsi"/>
          <w:bCs/>
          <w:color w:val="000000"/>
        </w:rPr>
        <w:t xml:space="preserve"> 2.5 mg resulted in a slightly higher DPMQ of $93.06 due to the differences in the pack size</w:t>
      </w:r>
      <w:r w:rsidRPr="009E1F17">
        <w:rPr>
          <w:i/>
        </w:rPr>
        <w:t xml:space="preserve">. </w:t>
      </w:r>
      <w:r w:rsidRPr="00636D45">
        <w:rPr>
          <w:rFonts w:cs="Calibri"/>
          <w:snapToGrid/>
          <w:szCs w:val="24"/>
          <w:lang w:val="en-US" w:eastAsia="en-AU"/>
        </w:rPr>
        <w:t xml:space="preserve">The requested price was based on the relativity between rivaroxaban 10 mg and rivaroxaban 20 mg; a request was not made for the higher price incorporating the relativity with </w:t>
      </w:r>
      <w:proofErr w:type="spellStart"/>
      <w:r w:rsidRPr="00636D45">
        <w:rPr>
          <w:rFonts w:cs="Calibri"/>
          <w:snapToGrid/>
          <w:szCs w:val="24"/>
          <w:lang w:val="en-US" w:eastAsia="en-AU"/>
        </w:rPr>
        <w:t>apixaban</w:t>
      </w:r>
      <w:proofErr w:type="spellEnd"/>
      <w:r w:rsidRPr="00636D45">
        <w:rPr>
          <w:rFonts w:cs="Calibri"/>
          <w:snapToGrid/>
          <w:szCs w:val="24"/>
          <w:lang w:val="en-US" w:eastAsia="en-AU"/>
        </w:rPr>
        <w:t xml:space="preserve"> 2.5 mg. This was appropriate.</w:t>
      </w:r>
    </w:p>
    <w:p w:rsidR="009E1F17" w:rsidRDefault="009E1F17" w:rsidP="009E1F17">
      <w:pPr>
        <w:widowControl/>
        <w:numPr>
          <w:ilvl w:val="1"/>
          <w:numId w:val="3"/>
        </w:numPr>
        <w:spacing w:after="160"/>
      </w:pPr>
      <w:r w:rsidRPr="00636D45">
        <w:t xml:space="preserve">The evaluation re-calculated the cost-minimising price for rivaroxaban 10 mg based on the </w:t>
      </w:r>
      <w:r w:rsidR="00E3044C" w:rsidRPr="00636D45">
        <w:t xml:space="preserve">effective </w:t>
      </w:r>
      <w:r w:rsidRPr="00636D45">
        <w:t>AEMP for rivaroxaban 20 mg provided by the D</w:t>
      </w:r>
      <w:r w:rsidR="004A0820" w:rsidRPr="00636D45">
        <w:t xml:space="preserve">epartment </w:t>
      </w:r>
      <w:r w:rsidRPr="00636D45">
        <w:t>o</w:t>
      </w:r>
      <w:r w:rsidR="004A0820" w:rsidRPr="00636D45">
        <w:t xml:space="preserve">f </w:t>
      </w:r>
      <w:r w:rsidRPr="00636D45">
        <w:t>H</w:t>
      </w:r>
      <w:r w:rsidR="004A0820" w:rsidRPr="00636D45">
        <w:t>ealth (</w:t>
      </w:r>
      <w:proofErr w:type="spellStart"/>
      <w:r w:rsidR="004A0820" w:rsidRPr="00636D45">
        <w:t>DoH</w:t>
      </w:r>
      <w:proofErr w:type="spellEnd"/>
      <w:r w:rsidR="004A0820" w:rsidRPr="00636D45">
        <w:t>)</w:t>
      </w:r>
      <w:r w:rsidRPr="00636D45">
        <w:t xml:space="preserve">. This resulted in an estimated </w:t>
      </w:r>
      <w:r w:rsidR="00E3044C" w:rsidRPr="00636D45">
        <w:t xml:space="preserve">effective </w:t>
      </w:r>
      <w:r w:rsidRPr="00636D45">
        <w:t>DPMQ for rivaroxaban 10 mg of $</w:t>
      </w:r>
      <w:r w:rsidR="00E9538E">
        <w:rPr>
          <w:noProof/>
          <w:color w:val="000000"/>
          <w:highlight w:val="black"/>
        </w:rPr>
        <w:t>''''''''''</w:t>
      </w:r>
      <w:r w:rsidRPr="00636D45">
        <w:t xml:space="preserve">. </w:t>
      </w:r>
    </w:p>
    <w:p w:rsidR="00C20CCA" w:rsidRPr="0019538A" w:rsidRDefault="00F408B2" w:rsidP="009E1F17">
      <w:pPr>
        <w:widowControl/>
        <w:numPr>
          <w:ilvl w:val="1"/>
          <w:numId w:val="3"/>
        </w:numPr>
        <w:spacing w:after="160"/>
        <w:rPr>
          <w:szCs w:val="24"/>
        </w:rPr>
      </w:pPr>
      <w:r w:rsidRPr="0019538A">
        <w:rPr>
          <w:szCs w:val="24"/>
        </w:rPr>
        <w:t>In the PSCR</w:t>
      </w:r>
      <w:r w:rsidR="00C20CCA" w:rsidRPr="0019538A">
        <w:rPr>
          <w:szCs w:val="24"/>
        </w:rPr>
        <w:t xml:space="preserve">, the sponsor noted that they were unable to validate the pricing information provided in the evaluation for the rivaroxaban </w:t>
      </w:r>
      <w:r w:rsidR="00C474F8" w:rsidRPr="0019538A">
        <w:rPr>
          <w:szCs w:val="24"/>
        </w:rPr>
        <w:t>effective ex-man</w:t>
      </w:r>
      <w:r w:rsidR="00E13C23">
        <w:rPr>
          <w:szCs w:val="24"/>
        </w:rPr>
        <w:t>ufacturer</w:t>
      </w:r>
      <w:r w:rsidR="00C474F8" w:rsidRPr="0019538A">
        <w:rPr>
          <w:szCs w:val="24"/>
        </w:rPr>
        <w:t xml:space="preserve"> price</w:t>
      </w:r>
      <w:r w:rsidR="004C5B68" w:rsidRPr="0019538A">
        <w:rPr>
          <w:szCs w:val="24"/>
        </w:rPr>
        <w:t xml:space="preserve"> ([DVT]: 20 mg [28-pack] = $</w:t>
      </w:r>
      <w:r w:rsidR="00E9538E">
        <w:rPr>
          <w:noProof/>
          <w:color w:val="000000"/>
          <w:szCs w:val="24"/>
          <w:highlight w:val="black"/>
        </w:rPr>
        <w:t>'''''''''</w:t>
      </w:r>
      <w:r w:rsidR="004C5B68" w:rsidRPr="0019538A">
        <w:rPr>
          <w:szCs w:val="24"/>
        </w:rPr>
        <w:t>)</w:t>
      </w:r>
      <w:r w:rsidR="00C474F8" w:rsidRPr="0019538A">
        <w:rPr>
          <w:szCs w:val="24"/>
        </w:rPr>
        <w:t>. However, the sponsor also noted that “the effective DPMQ and AEMP for rivaroxaban 10mg will be finalised as part of a deed agreement with the pricing section post-PBAC recommendation.”</w:t>
      </w:r>
      <w:r w:rsidR="00193B53">
        <w:rPr>
          <w:szCs w:val="24"/>
        </w:rPr>
        <w:t xml:space="preserve">  The Pre-PBAC Response clarified that the sponsor was seeking cost parity to the daily cost of rivaroxaban 20 mg [28 pack, DVT, PE, VTE]</w:t>
      </w:r>
      <w:r w:rsidR="00E13C23">
        <w:rPr>
          <w:szCs w:val="24"/>
        </w:rPr>
        <w:t xml:space="preserve">. </w:t>
      </w:r>
      <w:r w:rsidR="00E13C23" w:rsidRPr="0019538A">
        <w:rPr>
          <w:szCs w:val="24"/>
        </w:rPr>
        <w:t xml:space="preserve"> </w:t>
      </w:r>
    </w:p>
    <w:p w:rsidR="009E1F17" w:rsidRDefault="009E1F17" w:rsidP="00100A7A">
      <w:pPr>
        <w:spacing w:after="120"/>
        <w:outlineLvl w:val="1"/>
        <w:rPr>
          <w:b/>
          <w:i/>
          <w:sz w:val="28"/>
        </w:rPr>
      </w:pPr>
      <w:r w:rsidRPr="009E1F17">
        <w:rPr>
          <w:b/>
          <w:i/>
          <w:sz w:val="28"/>
        </w:rPr>
        <w:t>Drug cost/patient/year</w:t>
      </w:r>
    </w:p>
    <w:p w:rsidR="009E1F17" w:rsidRPr="009E1F17" w:rsidRDefault="009E1F17" w:rsidP="00100A7A">
      <w:pPr>
        <w:widowControl/>
        <w:numPr>
          <w:ilvl w:val="1"/>
          <w:numId w:val="3"/>
        </w:numPr>
        <w:snapToGrid w:val="0"/>
        <w:spacing w:after="160"/>
      </w:pPr>
      <w:r w:rsidRPr="009E1F17">
        <w:t>The average cost of rivaroxaban 10 mg per patient per 30-day pack was estimated</w:t>
      </w:r>
      <w:r w:rsidR="00E13C23">
        <w:t xml:space="preserve"> by the submission</w:t>
      </w:r>
      <w:r w:rsidRPr="009E1F17">
        <w:t xml:space="preserve"> to be $</w:t>
      </w:r>
      <w:r w:rsidR="00E9538E">
        <w:rPr>
          <w:noProof/>
          <w:color w:val="000000"/>
          <w:highlight w:val="black"/>
        </w:rPr>
        <w:t>'''''</w:t>
      </w:r>
      <w:r w:rsidRPr="008078A4">
        <w:t xml:space="preserve"> </w:t>
      </w:r>
      <w:r w:rsidRPr="009E1F17">
        <w:t>based on the proposed listing price from the submission. This resulted in average dispensed cost of rivaroxaban per patient per year of $</w:t>
      </w:r>
      <w:r w:rsidR="00E9538E">
        <w:rPr>
          <w:noProof/>
          <w:color w:val="000000"/>
          <w:highlight w:val="black"/>
        </w:rPr>
        <w:t>''''''''</w:t>
      </w:r>
      <w:r w:rsidRPr="008078A4">
        <w:t xml:space="preserve"> </w:t>
      </w:r>
      <w:r w:rsidRPr="009E1F17">
        <w:t>($</w:t>
      </w:r>
      <w:r w:rsidR="00E9538E">
        <w:rPr>
          <w:noProof/>
          <w:color w:val="000000"/>
          <w:highlight w:val="black"/>
        </w:rPr>
        <w:t>'''''</w:t>
      </w:r>
      <w:r w:rsidRPr="009E1F17">
        <w:t xml:space="preserve">*365.25/30). </w:t>
      </w:r>
    </w:p>
    <w:p w:rsidR="00CD0C53" w:rsidRDefault="009E1F17" w:rsidP="00100A7A">
      <w:pPr>
        <w:widowControl/>
        <w:numPr>
          <w:ilvl w:val="1"/>
          <w:numId w:val="3"/>
        </w:numPr>
        <w:snapToGrid w:val="0"/>
        <w:spacing w:after="160"/>
      </w:pPr>
      <w:r w:rsidRPr="00636D45">
        <w:t xml:space="preserve">The average </w:t>
      </w:r>
      <w:r w:rsidR="00144224" w:rsidRPr="00636D45">
        <w:t xml:space="preserve">effective </w:t>
      </w:r>
      <w:r w:rsidRPr="00636D45">
        <w:t xml:space="preserve">cost of rivaroxaban 10 mg per patient per 30-day pack was estimated </w:t>
      </w:r>
      <w:r w:rsidR="00E13C23">
        <w:t xml:space="preserve">in the evaluation </w:t>
      </w:r>
      <w:r w:rsidRPr="00636D45">
        <w:t>to be $</w:t>
      </w:r>
      <w:r w:rsidR="00E9538E">
        <w:rPr>
          <w:noProof/>
          <w:color w:val="000000"/>
          <w:highlight w:val="black"/>
        </w:rPr>
        <w:t>'''''</w:t>
      </w:r>
      <w:r w:rsidRPr="00636D45">
        <w:t>. This resulted in average dispensed cost of rivaroxaban per patient per year of $</w:t>
      </w:r>
      <w:r w:rsidR="00E9538E">
        <w:rPr>
          <w:noProof/>
          <w:color w:val="000000"/>
          <w:highlight w:val="black"/>
        </w:rPr>
        <w:t xml:space="preserve">'''''''' </w:t>
      </w:r>
      <w:r w:rsidRPr="00636D45">
        <w:t>($</w:t>
      </w:r>
      <w:r w:rsidR="00E9538E">
        <w:rPr>
          <w:noProof/>
          <w:color w:val="000000"/>
          <w:highlight w:val="black"/>
        </w:rPr>
        <w:t>'''''</w:t>
      </w:r>
      <w:r w:rsidRPr="00636D45">
        <w:t xml:space="preserve">*365.25/30). </w:t>
      </w:r>
    </w:p>
    <w:p w:rsidR="00CD0C53" w:rsidRDefault="00CD0C53">
      <w:pPr>
        <w:widowControl/>
        <w:jc w:val="left"/>
      </w:pPr>
      <w:r>
        <w:br w:type="page"/>
      </w:r>
    </w:p>
    <w:p w:rsidR="009E1F17" w:rsidRDefault="009E1F17" w:rsidP="00082122">
      <w:pPr>
        <w:spacing w:after="120"/>
        <w:outlineLvl w:val="1"/>
        <w:rPr>
          <w:b/>
          <w:i/>
          <w:sz w:val="28"/>
        </w:rPr>
      </w:pPr>
      <w:r w:rsidRPr="009E1F17">
        <w:rPr>
          <w:b/>
          <w:i/>
          <w:sz w:val="28"/>
        </w:rPr>
        <w:lastRenderedPageBreak/>
        <w:t>Estimated PBS usage &amp; financial implications</w:t>
      </w:r>
    </w:p>
    <w:p w:rsidR="009E1F17" w:rsidRPr="009E1F17" w:rsidRDefault="009E1F17" w:rsidP="009E1F17">
      <w:pPr>
        <w:widowControl/>
        <w:numPr>
          <w:ilvl w:val="1"/>
          <w:numId w:val="3"/>
        </w:numPr>
        <w:snapToGrid w:val="0"/>
        <w:spacing w:after="160"/>
        <w:rPr>
          <w:i/>
        </w:rPr>
      </w:pPr>
      <w:r w:rsidRPr="009E1F17">
        <w:t xml:space="preserve">This submission </w:t>
      </w:r>
      <w:r w:rsidR="004951D7">
        <w:t>was not</w:t>
      </w:r>
      <w:r w:rsidR="004A0820">
        <w:t xml:space="preserve"> </w:t>
      </w:r>
      <w:r w:rsidRPr="009E1F17">
        <w:t xml:space="preserve">considered by DUSC. The submission presented a market share approach based on a 10% historical PBS sample on the use of rivaroxaban 20 mg and </w:t>
      </w:r>
      <w:proofErr w:type="spellStart"/>
      <w:r w:rsidRPr="009E1F17">
        <w:t>apixaban</w:t>
      </w:r>
      <w:proofErr w:type="spellEnd"/>
      <w:r w:rsidRPr="009E1F17">
        <w:t xml:space="preserve"> 2.5 mg. The submission assumed that the proposed listing would benefit the same pool of patients who are currently accessing the PBS-subsidised use of rivaroxaban 20 mg and </w:t>
      </w:r>
      <w:proofErr w:type="spellStart"/>
      <w:r w:rsidRPr="009E1F17">
        <w:t>apixaban</w:t>
      </w:r>
      <w:proofErr w:type="spellEnd"/>
      <w:r w:rsidRPr="009E1F17">
        <w:t xml:space="preserve"> 2.5 mg for the prevention of recurrent VTE without increasing the size of the eligible patient pool. Substitution would therefore occur for those two products in a split of </w:t>
      </w:r>
      <w:r w:rsidR="00E9538E">
        <w:rPr>
          <w:noProof/>
          <w:color w:val="000000"/>
          <w:highlight w:val="black"/>
        </w:rPr>
        <w:t>'''''</w:t>
      </w:r>
      <w:r w:rsidRPr="009E1F17">
        <w:t xml:space="preserve">% for rivaroxaban 20 mg and </w:t>
      </w:r>
      <w:r w:rsidR="00E9538E">
        <w:rPr>
          <w:noProof/>
          <w:color w:val="000000"/>
          <w:highlight w:val="black"/>
        </w:rPr>
        <w:t>'''''</w:t>
      </w:r>
      <w:r w:rsidRPr="009E1F17">
        <w:t xml:space="preserve">% for </w:t>
      </w:r>
      <w:proofErr w:type="spellStart"/>
      <w:r w:rsidRPr="009E1F17">
        <w:t>apixaban</w:t>
      </w:r>
      <w:proofErr w:type="spellEnd"/>
      <w:r w:rsidRPr="009E1F17">
        <w:t xml:space="preserve"> 2.5 mg. The submission also assumed an exponential growth in the treatment market. </w:t>
      </w:r>
      <w:r w:rsidRPr="00636D45">
        <w:t>The use of the 10% PBS sample, market share approach, assumed proportion of substitution and market growth assumptions applied by the submission were reasonable.</w:t>
      </w:r>
      <w:r w:rsidRPr="009E1F17">
        <w:t xml:space="preserve"> </w:t>
      </w:r>
    </w:p>
    <w:p w:rsidR="009E1F17" w:rsidRPr="009E1F17" w:rsidRDefault="009E1F17" w:rsidP="009E1F17">
      <w:pPr>
        <w:widowControl/>
        <w:numPr>
          <w:ilvl w:val="1"/>
          <w:numId w:val="3"/>
        </w:numPr>
        <w:snapToGrid w:val="0"/>
        <w:spacing w:after="160"/>
        <w:rPr>
          <w:i/>
        </w:rPr>
      </w:pPr>
      <w:r w:rsidRPr="009E1F17">
        <w:t xml:space="preserve">The submission estimated that the requested listing resulted in </w:t>
      </w:r>
      <w:r w:rsidR="001B6B23">
        <w:t xml:space="preserve">a </w:t>
      </w:r>
      <w:r w:rsidRPr="009E1F17">
        <w:t>net increase of $</w:t>
      </w:r>
      <w:r w:rsidR="00E9538E">
        <w:rPr>
          <w:noProof/>
          <w:color w:val="000000"/>
          <w:highlight w:val="black"/>
        </w:rPr>
        <w:t>'''''''''''</w:t>
      </w:r>
      <w:r w:rsidR="00A334A4">
        <w:t xml:space="preserve"> </w:t>
      </w:r>
      <w:r w:rsidRPr="009E1F17">
        <w:t>-</w:t>
      </w:r>
      <w:r w:rsidR="00A334A4">
        <w:t xml:space="preserve"> </w:t>
      </w:r>
      <w:r w:rsidRPr="009E1F17">
        <w:t>$</w:t>
      </w:r>
      <w:r w:rsidR="00E9538E">
        <w:rPr>
          <w:noProof/>
          <w:color w:val="000000"/>
          <w:highlight w:val="black"/>
        </w:rPr>
        <w:t>''''''''''''</w:t>
      </w:r>
      <w:r w:rsidRPr="009E1F17">
        <w:t xml:space="preserve"> per year over six years to the PBS (see </w:t>
      </w:r>
      <w:r w:rsidR="00C56905" w:rsidRPr="00C56905">
        <w:rPr>
          <w:rFonts w:asciiTheme="minorHAnsi" w:hAnsiTheme="minorHAnsi" w:cstheme="minorHAnsi"/>
          <w:szCs w:val="24"/>
        </w:rPr>
        <w:t xml:space="preserve">Table </w:t>
      </w:r>
      <w:r w:rsidR="00C56905" w:rsidRPr="00C56905">
        <w:rPr>
          <w:rFonts w:asciiTheme="minorHAnsi" w:hAnsiTheme="minorHAnsi" w:cstheme="minorHAnsi"/>
          <w:noProof/>
          <w:szCs w:val="24"/>
        </w:rPr>
        <w:t>13</w:t>
      </w:r>
      <w:r w:rsidRPr="009E1F17">
        <w:rPr>
          <w:rFonts w:asciiTheme="minorHAnsi" w:hAnsiTheme="minorHAnsi" w:cstheme="minorHAnsi"/>
          <w:szCs w:val="24"/>
        </w:rPr>
        <w:t xml:space="preserve">). </w:t>
      </w:r>
    </w:p>
    <w:p w:rsidR="009E1F17" w:rsidRPr="009E1F17" w:rsidRDefault="009E1F17" w:rsidP="007477ED">
      <w:pPr>
        <w:keepNext/>
        <w:rPr>
          <w:rFonts w:ascii="Arial Narrow" w:eastAsiaTheme="majorEastAsia" w:hAnsi="Arial Narrow"/>
          <w:b/>
          <w:sz w:val="20"/>
          <w:szCs w:val="20"/>
        </w:rPr>
      </w:pPr>
      <w:bookmarkStart w:id="22" w:name="_Ref523400168"/>
      <w:r w:rsidRPr="009E1F17">
        <w:rPr>
          <w:rFonts w:ascii="Arial Narrow" w:hAnsi="Arial Narrow"/>
          <w:b/>
          <w:sz w:val="20"/>
          <w:szCs w:val="20"/>
        </w:rPr>
        <w:t xml:space="preserve">Table </w:t>
      </w:r>
      <w:r w:rsidR="00C56905">
        <w:rPr>
          <w:rFonts w:ascii="Arial Narrow" w:hAnsi="Arial Narrow"/>
          <w:b/>
          <w:noProof/>
          <w:sz w:val="20"/>
          <w:szCs w:val="20"/>
        </w:rPr>
        <w:t>13</w:t>
      </w:r>
      <w:bookmarkEnd w:id="22"/>
      <w:r w:rsidRPr="009E1F17">
        <w:rPr>
          <w:rFonts w:ascii="Arial Narrow" w:hAnsi="Arial Narrow"/>
          <w:b/>
          <w:sz w:val="20"/>
          <w:szCs w:val="20"/>
        </w:rPr>
        <w:t xml:space="preserve">: </w:t>
      </w:r>
      <w:r w:rsidRPr="009E1F17">
        <w:rPr>
          <w:rFonts w:ascii="Arial Narrow" w:eastAsiaTheme="majorEastAsia" w:hAnsi="Arial Narrow"/>
          <w:b/>
          <w:sz w:val="20"/>
          <w:szCs w:val="20"/>
        </w:rPr>
        <w:t>Estimated use and financial implications</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968"/>
        <w:gridCol w:w="968"/>
        <w:gridCol w:w="937"/>
        <w:gridCol w:w="1031"/>
        <w:gridCol w:w="943"/>
        <w:gridCol w:w="1094"/>
      </w:tblGrid>
      <w:tr w:rsidR="00F13935" w:rsidRPr="009E1F17" w:rsidTr="00F13935">
        <w:tc>
          <w:tcPr>
            <w:tcW w:w="1729" w:type="pct"/>
            <w:tcMar>
              <w:left w:w="28" w:type="dxa"/>
              <w:right w:w="28" w:type="dxa"/>
            </w:tcMar>
          </w:tcPr>
          <w:p w:rsidR="009E1F17" w:rsidRPr="009E1F17" w:rsidRDefault="009E1F17" w:rsidP="007477ED">
            <w:pPr>
              <w:keepNext/>
              <w:keepLines/>
              <w:widowControl/>
              <w:rPr>
                <w:rFonts w:ascii="Arial Narrow" w:eastAsiaTheme="minorHAnsi" w:hAnsi="Arial Narrow"/>
                <w:b/>
                <w:snapToGrid/>
                <w:sz w:val="20"/>
                <w:szCs w:val="20"/>
              </w:rPr>
            </w:pPr>
            <w:r w:rsidRPr="009E1F17">
              <w:rPr>
                <w:rFonts w:ascii="Arial Narrow" w:eastAsiaTheme="minorHAnsi" w:hAnsi="Arial Narrow"/>
                <w:b/>
                <w:snapToGrid/>
                <w:sz w:val="20"/>
                <w:szCs w:val="20"/>
              </w:rPr>
              <w:t>Treatment</w:t>
            </w:r>
          </w:p>
        </w:tc>
        <w:tc>
          <w:tcPr>
            <w:tcW w:w="545" w:type="pct"/>
            <w:tcMar>
              <w:left w:w="28" w:type="dxa"/>
              <w:right w:w="28" w:type="dxa"/>
            </w:tcMar>
          </w:tcPr>
          <w:p w:rsidR="009E1F17" w:rsidRPr="009E1F17" w:rsidRDefault="009E1F17" w:rsidP="007477ED">
            <w:pPr>
              <w:keepNext/>
              <w:keepLines/>
              <w:widowControl/>
              <w:jc w:val="center"/>
              <w:rPr>
                <w:rFonts w:ascii="Arial Narrow" w:eastAsiaTheme="minorHAnsi" w:hAnsi="Arial Narrow"/>
                <w:b/>
                <w:snapToGrid/>
                <w:sz w:val="20"/>
                <w:szCs w:val="20"/>
              </w:rPr>
            </w:pPr>
            <w:r w:rsidRPr="009E1F17">
              <w:rPr>
                <w:rFonts w:ascii="Arial Narrow" w:eastAsiaTheme="minorHAnsi" w:hAnsi="Arial Narrow"/>
                <w:b/>
                <w:snapToGrid/>
                <w:sz w:val="20"/>
                <w:szCs w:val="20"/>
              </w:rPr>
              <w:t>Year 1</w:t>
            </w:r>
          </w:p>
        </w:tc>
        <w:tc>
          <w:tcPr>
            <w:tcW w:w="545" w:type="pct"/>
            <w:tcMar>
              <w:left w:w="28" w:type="dxa"/>
              <w:right w:w="28" w:type="dxa"/>
            </w:tcMar>
          </w:tcPr>
          <w:p w:rsidR="009E1F17" w:rsidRPr="009E1F17" w:rsidRDefault="009E1F17" w:rsidP="007477ED">
            <w:pPr>
              <w:keepNext/>
              <w:keepLines/>
              <w:widowControl/>
              <w:jc w:val="center"/>
              <w:rPr>
                <w:rFonts w:ascii="Arial Narrow" w:eastAsiaTheme="minorHAnsi" w:hAnsi="Arial Narrow"/>
                <w:b/>
                <w:snapToGrid/>
                <w:sz w:val="20"/>
                <w:szCs w:val="20"/>
              </w:rPr>
            </w:pPr>
            <w:r w:rsidRPr="009E1F17">
              <w:rPr>
                <w:rFonts w:ascii="Arial Narrow" w:eastAsiaTheme="minorHAnsi" w:hAnsi="Arial Narrow"/>
                <w:b/>
                <w:snapToGrid/>
                <w:sz w:val="20"/>
                <w:szCs w:val="20"/>
              </w:rPr>
              <w:t>Year 2</w:t>
            </w:r>
          </w:p>
        </w:tc>
        <w:tc>
          <w:tcPr>
            <w:tcW w:w="546" w:type="pct"/>
            <w:tcMar>
              <w:left w:w="28" w:type="dxa"/>
              <w:right w:w="28" w:type="dxa"/>
            </w:tcMar>
          </w:tcPr>
          <w:p w:rsidR="009E1F17" w:rsidRPr="009E1F17" w:rsidRDefault="009E1F17" w:rsidP="007477ED">
            <w:pPr>
              <w:keepNext/>
              <w:keepLines/>
              <w:widowControl/>
              <w:jc w:val="center"/>
              <w:rPr>
                <w:rFonts w:ascii="Arial Narrow" w:eastAsiaTheme="minorHAnsi" w:hAnsi="Arial Narrow"/>
                <w:b/>
                <w:snapToGrid/>
                <w:sz w:val="20"/>
                <w:szCs w:val="20"/>
              </w:rPr>
            </w:pPr>
            <w:r w:rsidRPr="009E1F17">
              <w:rPr>
                <w:rFonts w:ascii="Arial Narrow" w:eastAsiaTheme="minorHAnsi" w:hAnsi="Arial Narrow"/>
                <w:b/>
                <w:snapToGrid/>
                <w:sz w:val="20"/>
                <w:szCs w:val="20"/>
              </w:rPr>
              <w:t>Year 3</w:t>
            </w:r>
          </w:p>
        </w:tc>
        <w:tc>
          <w:tcPr>
            <w:tcW w:w="546" w:type="pct"/>
            <w:tcMar>
              <w:left w:w="28" w:type="dxa"/>
              <w:right w:w="28" w:type="dxa"/>
            </w:tcMar>
          </w:tcPr>
          <w:p w:rsidR="009E1F17" w:rsidRPr="009E1F17" w:rsidRDefault="009E1F17" w:rsidP="007477ED">
            <w:pPr>
              <w:keepNext/>
              <w:keepLines/>
              <w:widowControl/>
              <w:jc w:val="center"/>
              <w:rPr>
                <w:rFonts w:ascii="Arial Narrow" w:eastAsiaTheme="minorHAnsi" w:hAnsi="Arial Narrow"/>
                <w:b/>
                <w:snapToGrid/>
                <w:sz w:val="20"/>
                <w:szCs w:val="20"/>
              </w:rPr>
            </w:pPr>
            <w:r w:rsidRPr="009E1F17">
              <w:rPr>
                <w:rFonts w:ascii="Arial Narrow" w:eastAsiaTheme="minorHAnsi" w:hAnsi="Arial Narrow"/>
                <w:b/>
                <w:snapToGrid/>
                <w:sz w:val="20"/>
                <w:szCs w:val="20"/>
              </w:rPr>
              <w:t>Year 4</w:t>
            </w:r>
          </w:p>
        </w:tc>
        <w:tc>
          <w:tcPr>
            <w:tcW w:w="545" w:type="pct"/>
            <w:tcMar>
              <w:left w:w="28" w:type="dxa"/>
              <w:right w:w="28" w:type="dxa"/>
            </w:tcMar>
          </w:tcPr>
          <w:p w:rsidR="009E1F17" w:rsidRPr="009E1F17" w:rsidRDefault="009E1F17" w:rsidP="007477ED">
            <w:pPr>
              <w:keepNext/>
              <w:keepLines/>
              <w:widowControl/>
              <w:jc w:val="center"/>
              <w:rPr>
                <w:rFonts w:ascii="Arial Narrow" w:eastAsiaTheme="minorHAnsi" w:hAnsi="Arial Narrow"/>
                <w:b/>
                <w:snapToGrid/>
                <w:sz w:val="20"/>
                <w:szCs w:val="20"/>
              </w:rPr>
            </w:pPr>
            <w:r w:rsidRPr="009E1F17">
              <w:rPr>
                <w:rFonts w:ascii="Arial Narrow" w:eastAsiaTheme="minorHAnsi" w:hAnsi="Arial Narrow"/>
                <w:b/>
                <w:snapToGrid/>
                <w:sz w:val="20"/>
                <w:szCs w:val="20"/>
              </w:rPr>
              <w:t>Year 5</w:t>
            </w:r>
          </w:p>
        </w:tc>
        <w:tc>
          <w:tcPr>
            <w:tcW w:w="543" w:type="pct"/>
            <w:tcMar>
              <w:left w:w="28" w:type="dxa"/>
              <w:right w:w="28" w:type="dxa"/>
            </w:tcMar>
          </w:tcPr>
          <w:p w:rsidR="009E1F17" w:rsidRPr="009E1F17" w:rsidRDefault="009E1F17" w:rsidP="007477ED">
            <w:pPr>
              <w:keepNext/>
              <w:keepLines/>
              <w:widowControl/>
              <w:jc w:val="center"/>
              <w:rPr>
                <w:rFonts w:ascii="Arial Narrow" w:eastAsiaTheme="minorHAnsi" w:hAnsi="Arial Narrow"/>
                <w:b/>
                <w:snapToGrid/>
                <w:sz w:val="20"/>
                <w:szCs w:val="20"/>
              </w:rPr>
            </w:pPr>
            <w:r w:rsidRPr="009E1F17">
              <w:rPr>
                <w:rFonts w:ascii="Arial Narrow" w:eastAsiaTheme="minorHAnsi" w:hAnsi="Arial Narrow"/>
                <w:b/>
                <w:snapToGrid/>
                <w:sz w:val="20"/>
                <w:szCs w:val="20"/>
              </w:rPr>
              <w:t>Year 6</w:t>
            </w:r>
          </w:p>
        </w:tc>
      </w:tr>
      <w:tr w:rsidR="00F13935" w:rsidRPr="009E1F17" w:rsidTr="00F13935">
        <w:tc>
          <w:tcPr>
            <w:tcW w:w="1729" w:type="pct"/>
            <w:tcMar>
              <w:left w:w="28" w:type="dxa"/>
              <w:right w:w="28" w:type="dxa"/>
            </w:tcMar>
          </w:tcPr>
          <w:p w:rsidR="009E1F17" w:rsidRPr="009E1F17" w:rsidRDefault="009E1F17" w:rsidP="007477ED">
            <w:pPr>
              <w:keepNext/>
              <w:keepLines/>
              <w:widowControl/>
              <w:jc w:val="left"/>
              <w:rPr>
                <w:rFonts w:ascii="Arial Narrow" w:hAnsi="Arial Narrow" w:cs="Times New Roman"/>
                <w:b/>
                <w:snapToGrid/>
                <w:sz w:val="20"/>
                <w:szCs w:val="20"/>
              </w:rPr>
            </w:pPr>
            <w:r w:rsidRPr="009E1F17">
              <w:rPr>
                <w:rFonts w:ascii="Arial Narrow" w:hAnsi="Arial Narrow" w:cs="Times New Roman"/>
                <w:b/>
                <w:snapToGrid/>
                <w:sz w:val="20"/>
                <w:szCs w:val="20"/>
              </w:rPr>
              <w:t xml:space="preserve">Cost of rivaroxaban 10mg </w:t>
            </w:r>
            <w:proofErr w:type="spellStart"/>
            <w:r w:rsidRPr="009E1F17">
              <w:rPr>
                <w:rFonts w:ascii="Arial Narrow" w:hAnsi="Arial Narrow" w:cs="Times New Roman"/>
                <w:b/>
                <w:snapToGrid/>
                <w:sz w:val="20"/>
                <w:szCs w:val="20"/>
              </w:rPr>
              <w:t>qd</w:t>
            </w:r>
            <w:proofErr w:type="spellEnd"/>
            <w:r w:rsidR="001B6B23">
              <w:rPr>
                <w:rFonts w:ascii="Arial Narrow" w:hAnsi="Arial Narrow" w:cs="Times New Roman"/>
                <w:b/>
                <w:snapToGrid/>
                <w:sz w:val="20"/>
                <w:szCs w:val="20"/>
              </w:rPr>
              <w:t xml:space="preserve"> </w:t>
            </w:r>
            <w:r w:rsidR="00DB0838">
              <w:rPr>
                <w:rFonts w:ascii="Arial Narrow" w:hAnsi="Arial Narrow" w:cs="Times New Roman"/>
                <w:b/>
                <w:snapToGrid/>
                <w:sz w:val="20"/>
                <w:szCs w:val="20"/>
              </w:rPr>
              <w:t>($)</w:t>
            </w:r>
          </w:p>
        </w:tc>
        <w:tc>
          <w:tcPr>
            <w:tcW w:w="545" w:type="pct"/>
            <w:tcMar>
              <w:left w:w="28" w:type="dxa"/>
              <w:right w:w="28" w:type="dxa"/>
            </w:tcMar>
          </w:tcPr>
          <w:p w:rsidR="009E1F17" w:rsidRPr="009E1F17" w:rsidRDefault="009E1F17" w:rsidP="007477ED">
            <w:pPr>
              <w:keepNext/>
              <w:keepLines/>
              <w:widowControl/>
              <w:jc w:val="center"/>
              <w:rPr>
                <w:rFonts w:ascii="Arial Narrow" w:hAnsi="Arial Narrow" w:cs="Times New Roman"/>
                <w:snapToGrid/>
                <w:sz w:val="20"/>
                <w:szCs w:val="20"/>
              </w:rPr>
            </w:pPr>
          </w:p>
        </w:tc>
        <w:tc>
          <w:tcPr>
            <w:tcW w:w="545" w:type="pct"/>
            <w:tcMar>
              <w:left w:w="28" w:type="dxa"/>
              <w:right w:w="28" w:type="dxa"/>
            </w:tcMar>
          </w:tcPr>
          <w:p w:rsidR="009E1F17" w:rsidRPr="009E1F17" w:rsidRDefault="009E1F17" w:rsidP="007477ED">
            <w:pPr>
              <w:keepNext/>
              <w:keepLines/>
              <w:widowControl/>
              <w:jc w:val="center"/>
              <w:rPr>
                <w:rFonts w:ascii="Arial Narrow" w:hAnsi="Arial Narrow" w:cs="Times New Roman"/>
                <w:snapToGrid/>
                <w:sz w:val="20"/>
                <w:szCs w:val="20"/>
              </w:rPr>
            </w:pPr>
          </w:p>
        </w:tc>
        <w:tc>
          <w:tcPr>
            <w:tcW w:w="546" w:type="pct"/>
            <w:tcMar>
              <w:left w:w="28" w:type="dxa"/>
              <w:right w:w="28" w:type="dxa"/>
            </w:tcMar>
          </w:tcPr>
          <w:p w:rsidR="009E1F17" w:rsidRPr="009E1F17" w:rsidRDefault="009E1F17" w:rsidP="007477ED">
            <w:pPr>
              <w:keepNext/>
              <w:keepLines/>
              <w:widowControl/>
              <w:jc w:val="center"/>
              <w:rPr>
                <w:rFonts w:ascii="Arial Narrow" w:hAnsi="Arial Narrow" w:cs="Times New Roman"/>
                <w:snapToGrid/>
                <w:sz w:val="20"/>
                <w:szCs w:val="20"/>
              </w:rPr>
            </w:pPr>
          </w:p>
        </w:tc>
        <w:tc>
          <w:tcPr>
            <w:tcW w:w="546" w:type="pct"/>
            <w:tcMar>
              <w:left w:w="28" w:type="dxa"/>
              <w:right w:w="28" w:type="dxa"/>
            </w:tcMar>
          </w:tcPr>
          <w:p w:rsidR="009E1F17" w:rsidRPr="009E1F17" w:rsidRDefault="009E1F17" w:rsidP="007477ED">
            <w:pPr>
              <w:keepNext/>
              <w:keepLines/>
              <w:widowControl/>
              <w:jc w:val="center"/>
              <w:rPr>
                <w:rFonts w:ascii="Arial Narrow" w:hAnsi="Arial Narrow" w:cs="Times New Roman"/>
                <w:snapToGrid/>
                <w:sz w:val="20"/>
                <w:szCs w:val="20"/>
              </w:rPr>
            </w:pPr>
          </w:p>
        </w:tc>
        <w:tc>
          <w:tcPr>
            <w:tcW w:w="545" w:type="pct"/>
            <w:tcMar>
              <w:left w:w="28" w:type="dxa"/>
              <w:right w:w="28" w:type="dxa"/>
            </w:tcMar>
          </w:tcPr>
          <w:p w:rsidR="009E1F17" w:rsidRPr="009E1F17" w:rsidRDefault="009E1F17" w:rsidP="007477ED">
            <w:pPr>
              <w:keepNext/>
              <w:keepLines/>
              <w:widowControl/>
              <w:jc w:val="center"/>
              <w:rPr>
                <w:rFonts w:ascii="Arial Narrow" w:hAnsi="Arial Narrow" w:cs="Times New Roman"/>
                <w:snapToGrid/>
                <w:sz w:val="20"/>
                <w:szCs w:val="20"/>
              </w:rPr>
            </w:pPr>
          </w:p>
        </w:tc>
        <w:tc>
          <w:tcPr>
            <w:tcW w:w="543" w:type="pct"/>
            <w:tcMar>
              <w:left w:w="28" w:type="dxa"/>
              <w:right w:w="28" w:type="dxa"/>
            </w:tcMar>
          </w:tcPr>
          <w:p w:rsidR="009E1F17" w:rsidRPr="009E1F17" w:rsidRDefault="009E1F17" w:rsidP="007477ED">
            <w:pPr>
              <w:keepNext/>
              <w:keepLines/>
              <w:widowControl/>
              <w:jc w:val="center"/>
              <w:rPr>
                <w:rFonts w:ascii="Arial Narrow" w:hAnsi="Arial Narrow" w:cs="Times New Roman"/>
                <w:snapToGrid/>
                <w:sz w:val="20"/>
                <w:szCs w:val="20"/>
              </w:rPr>
            </w:pPr>
          </w:p>
        </w:tc>
      </w:tr>
      <w:tr w:rsidR="00F13935" w:rsidRPr="009E1F17" w:rsidTr="00F13935">
        <w:tc>
          <w:tcPr>
            <w:tcW w:w="1729" w:type="pct"/>
            <w:tcMar>
              <w:left w:w="28" w:type="dxa"/>
              <w:right w:w="28" w:type="dxa"/>
            </w:tcMar>
          </w:tcPr>
          <w:p w:rsidR="009E1F17" w:rsidRPr="009E1F17" w:rsidRDefault="009E1F17" w:rsidP="007477ED">
            <w:pPr>
              <w:keepNext/>
              <w:keepLines/>
              <w:widowControl/>
              <w:ind w:left="142"/>
              <w:jc w:val="left"/>
              <w:rPr>
                <w:rFonts w:ascii="Arial Narrow" w:hAnsi="Arial Narrow" w:cs="Times New Roman"/>
                <w:snapToGrid/>
                <w:sz w:val="20"/>
                <w:szCs w:val="20"/>
              </w:rPr>
            </w:pPr>
            <w:r w:rsidRPr="009E1F17">
              <w:rPr>
                <w:rFonts w:ascii="Arial Narrow" w:hAnsi="Arial Narrow" w:cs="Times New Roman"/>
                <w:snapToGrid/>
                <w:sz w:val="20"/>
                <w:szCs w:val="20"/>
              </w:rPr>
              <w:t xml:space="preserve">without co-pay adjustments </w:t>
            </w:r>
          </w:p>
        </w:tc>
        <w:tc>
          <w:tcPr>
            <w:tcW w:w="545"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5"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6"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6"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5"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3"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r>
      <w:tr w:rsidR="00F13935" w:rsidRPr="009E1F17" w:rsidTr="00F13935">
        <w:tc>
          <w:tcPr>
            <w:tcW w:w="1729" w:type="pct"/>
            <w:tcMar>
              <w:left w:w="28" w:type="dxa"/>
              <w:right w:w="28" w:type="dxa"/>
            </w:tcMar>
          </w:tcPr>
          <w:p w:rsidR="009E1F17" w:rsidRPr="009E1F17" w:rsidRDefault="009E1F17" w:rsidP="007477ED">
            <w:pPr>
              <w:keepNext/>
              <w:keepLines/>
              <w:widowControl/>
              <w:ind w:left="142"/>
              <w:jc w:val="left"/>
              <w:rPr>
                <w:rFonts w:ascii="Arial Narrow" w:hAnsi="Arial Narrow" w:cs="Times New Roman"/>
                <w:snapToGrid/>
                <w:sz w:val="20"/>
                <w:szCs w:val="20"/>
              </w:rPr>
            </w:pPr>
            <w:r w:rsidRPr="009E1F17">
              <w:rPr>
                <w:rFonts w:ascii="Arial Narrow" w:hAnsi="Arial Narrow" w:cs="Times New Roman"/>
                <w:snapToGrid/>
                <w:sz w:val="20"/>
                <w:szCs w:val="20"/>
              </w:rPr>
              <w:t>with co-pay adjustments</w:t>
            </w:r>
          </w:p>
        </w:tc>
        <w:tc>
          <w:tcPr>
            <w:tcW w:w="545"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5"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6"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6"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5"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3"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r>
      <w:tr w:rsidR="00F13935" w:rsidRPr="009E1F17" w:rsidTr="00F13935">
        <w:tc>
          <w:tcPr>
            <w:tcW w:w="1729" w:type="pct"/>
            <w:tcMar>
              <w:left w:w="28" w:type="dxa"/>
              <w:right w:w="28" w:type="dxa"/>
            </w:tcMar>
          </w:tcPr>
          <w:p w:rsidR="009E1F17" w:rsidRPr="009E1F17" w:rsidRDefault="009E1F17" w:rsidP="000840CF">
            <w:pPr>
              <w:keepNext/>
              <w:keepLines/>
              <w:widowControl/>
              <w:ind w:left="142"/>
              <w:jc w:val="left"/>
              <w:rPr>
                <w:rFonts w:ascii="Arial Narrow" w:hAnsi="Arial Narrow" w:cs="Times New Roman"/>
                <w:snapToGrid/>
                <w:sz w:val="20"/>
                <w:szCs w:val="20"/>
              </w:rPr>
            </w:pPr>
            <w:r w:rsidRPr="009E1F17">
              <w:rPr>
                <w:rFonts w:ascii="Arial Narrow" w:hAnsi="Arial Narrow" w:cs="Times New Roman"/>
                <w:snapToGrid/>
                <w:sz w:val="20"/>
                <w:szCs w:val="20"/>
              </w:rPr>
              <w:t>with co-pay</w:t>
            </w:r>
            <w:r w:rsidR="00F13935">
              <w:rPr>
                <w:rFonts w:ascii="Arial Narrow" w:hAnsi="Arial Narrow" w:cs="Times New Roman"/>
                <w:snapToGrid/>
                <w:sz w:val="20"/>
                <w:szCs w:val="20"/>
              </w:rPr>
              <w:t xml:space="preserve"> </w:t>
            </w:r>
            <w:r w:rsidRPr="009E1F17">
              <w:rPr>
                <w:rFonts w:ascii="Arial Narrow" w:hAnsi="Arial Narrow" w:cs="Times New Roman"/>
                <w:snapToGrid/>
                <w:sz w:val="20"/>
                <w:szCs w:val="20"/>
              </w:rPr>
              <w:t>+</w:t>
            </w:r>
            <w:r w:rsidR="00F13935">
              <w:rPr>
                <w:rFonts w:ascii="Arial Narrow" w:hAnsi="Arial Narrow" w:cs="Times New Roman"/>
                <w:snapToGrid/>
                <w:sz w:val="20"/>
                <w:szCs w:val="20"/>
              </w:rPr>
              <w:t xml:space="preserve"> </w:t>
            </w:r>
            <w:r w:rsidRPr="009E1F17">
              <w:rPr>
                <w:rFonts w:ascii="Arial Narrow" w:hAnsi="Arial Narrow" w:cs="Times New Roman"/>
                <w:snapToGrid/>
                <w:sz w:val="20"/>
                <w:szCs w:val="20"/>
              </w:rPr>
              <w:t>rebate adjustments</w:t>
            </w:r>
          </w:p>
        </w:tc>
        <w:tc>
          <w:tcPr>
            <w:tcW w:w="545"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5"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6"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6"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5"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3"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r>
      <w:tr w:rsidR="00F13935" w:rsidRPr="009E1F17" w:rsidTr="00F13935">
        <w:tc>
          <w:tcPr>
            <w:tcW w:w="1729" w:type="pct"/>
            <w:tcMar>
              <w:left w:w="28" w:type="dxa"/>
              <w:right w:w="28" w:type="dxa"/>
            </w:tcMar>
          </w:tcPr>
          <w:p w:rsidR="009E1F17" w:rsidRPr="009E1F17" w:rsidRDefault="009E1F17" w:rsidP="007477ED">
            <w:pPr>
              <w:keepNext/>
              <w:keepLines/>
              <w:widowControl/>
              <w:jc w:val="left"/>
              <w:rPr>
                <w:rFonts w:ascii="Arial Narrow" w:hAnsi="Arial Narrow" w:cs="Times New Roman"/>
                <w:b/>
                <w:snapToGrid/>
                <w:sz w:val="20"/>
                <w:szCs w:val="20"/>
              </w:rPr>
            </w:pPr>
            <w:r w:rsidRPr="009E1F17">
              <w:rPr>
                <w:rFonts w:ascii="Arial Narrow" w:hAnsi="Arial Narrow" w:cs="Times New Roman"/>
                <w:b/>
                <w:snapToGrid/>
                <w:sz w:val="20"/>
                <w:szCs w:val="20"/>
              </w:rPr>
              <w:t>Cost offsets of substituted medications</w:t>
            </w:r>
            <w:r w:rsidR="001B6B23">
              <w:rPr>
                <w:rFonts w:ascii="Arial Narrow" w:hAnsi="Arial Narrow" w:cs="Times New Roman"/>
                <w:b/>
                <w:snapToGrid/>
                <w:sz w:val="20"/>
                <w:szCs w:val="20"/>
              </w:rPr>
              <w:t xml:space="preserve"> </w:t>
            </w:r>
            <w:r w:rsidR="00DB0838">
              <w:rPr>
                <w:rFonts w:ascii="Arial Narrow" w:hAnsi="Arial Narrow" w:cs="Times New Roman"/>
                <w:b/>
                <w:snapToGrid/>
                <w:sz w:val="20"/>
                <w:szCs w:val="20"/>
              </w:rPr>
              <w:t>($)</w:t>
            </w:r>
          </w:p>
        </w:tc>
        <w:tc>
          <w:tcPr>
            <w:tcW w:w="545" w:type="pct"/>
            <w:tcMar>
              <w:left w:w="28" w:type="dxa"/>
              <w:right w:w="28" w:type="dxa"/>
            </w:tcMar>
          </w:tcPr>
          <w:p w:rsidR="009E1F17" w:rsidRPr="009E1F17" w:rsidRDefault="009E1F17" w:rsidP="007477ED">
            <w:pPr>
              <w:keepNext/>
              <w:keepLines/>
              <w:widowControl/>
              <w:jc w:val="center"/>
              <w:rPr>
                <w:rFonts w:ascii="Arial Narrow" w:hAnsi="Arial Narrow" w:cs="Times New Roman"/>
                <w:snapToGrid/>
                <w:sz w:val="20"/>
                <w:szCs w:val="20"/>
              </w:rPr>
            </w:pPr>
          </w:p>
        </w:tc>
        <w:tc>
          <w:tcPr>
            <w:tcW w:w="545" w:type="pct"/>
            <w:tcMar>
              <w:left w:w="28" w:type="dxa"/>
              <w:right w:w="28" w:type="dxa"/>
            </w:tcMar>
          </w:tcPr>
          <w:p w:rsidR="009E1F17" w:rsidRPr="009E1F17" w:rsidRDefault="009E1F17" w:rsidP="007477ED">
            <w:pPr>
              <w:keepNext/>
              <w:keepLines/>
              <w:widowControl/>
              <w:jc w:val="center"/>
              <w:rPr>
                <w:rFonts w:ascii="Arial Narrow" w:hAnsi="Arial Narrow" w:cs="Times New Roman"/>
                <w:snapToGrid/>
                <w:sz w:val="20"/>
                <w:szCs w:val="20"/>
              </w:rPr>
            </w:pPr>
          </w:p>
        </w:tc>
        <w:tc>
          <w:tcPr>
            <w:tcW w:w="546" w:type="pct"/>
            <w:tcMar>
              <w:left w:w="28" w:type="dxa"/>
              <w:right w:w="28" w:type="dxa"/>
            </w:tcMar>
          </w:tcPr>
          <w:p w:rsidR="009E1F17" w:rsidRPr="009E1F17" w:rsidRDefault="009E1F17" w:rsidP="007477ED">
            <w:pPr>
              <w:keepNext/>
              <w:keepLines/>
              <w:widowControl/>
              <w:jc w:val="center"/>
              <w:rPr>
                <w:rFonts w:ascii="Arial Narrow" w:hAnsi="Arial Narrow" w:cs="Times New Roman"/>
                <w:snapToGrid/>
                <w:sz w:val="20"/>
                <w:szCs w:val="20"/>
              </w:rPr>
            </w:pPr>
          </w:p>
        </w:tc>
        <w:tc>
          <w:tcPr>
            <w:tcW w:w="546" w:type="pct"/>
            <w:tcMar>
              <w:left w:w="28" w:type="dxa"/>
              <w:right w:w="28" w:type="dxa"/>
            </w:tcMar>
          </w:tcPr>
          <w:p w:rsidR="009E1F17" w:rsidRPr="009E1F17" w:rsidRDefault="009E1F17" w:rsidP="007477ED">
            <w:pPr>
              <w:keepNext/>
              <w:keepLines/>
              <w:widowControl/>
              <w:jc w:val="center"/>
              <w:rPr>
                <w:rFonts w:ascii="Arial Narrow" w:hAnsi="Arial Narrow" w:cs="Times New Roman"/>
                <w:snapToGrid/>
                <w:sz w:val="20"/>
                <w:szCs w:val="20"/>
              </w:rPr>
            </w:pPr>
          </w:p>
        </w:tc>
        <w:tc>
          <w:tcPr>
            <w:tcW w:w="545" w:type="pct"/>
            <w:tcMar>
              <w:left w:w="28" w:type="dxa"/>
              <w:right w:w="28" w:type="dxa"/>
            </w:tcMar>
          </w:tcPr>
          <w:p w:rsidR="009E1F17" w:rsidRPr="009E1F17" w:rsidRDefault="009E1F17" w:rsidP="007477ED">
            <w:pPr>
              <w:keepNext/>
              <w:keepLines/>
              <w:widowControl/>
              <w:jc w:val="center"/>
              <w:rPr>
                <w:rFonts w:ascii="Arial Narrow" w:hAnsi="Arial Narrow" w:cs="Times New Roman"/>
                <w:snapToGrid/>
                <w:sz w:val="20"/>
                <w:szCs w:val="20"/>
              </w:rPr>
            </w:pPr>
          </w:p>
        </w:tc>
        <w:tc>
          <w:tcPr>
            <w:tcW w:w="543" w:type="pct"/>
            <w:tcMar>
              <w:left w:w="28" w:type="dxa"/>
              <w:right w:w="28" w:type="dxa"/>
            </w:tcMar>
          </w:tcPr>
          <w:p w:rsidR="009E1F17" w:rsidRPr="009E1F17" w:rsidRDefault="009E1F17" w:rsidP="007477ED">
            <w:pPr>
              <w:keepNext/>
              <w:keepLines/>
              <w:widowControl/>
              <w:jc w:val="center"/>
              <w:rPr>
                <w:rFonts w:ascii="Arial Narrow" w:hAnsi="Arial Narrow" w:cs="Times New Roman"/>
                <w:snapToGrid/>
                <w:sz w:val="20"/>
                <w:szCs w:val="20"/>
              </w:rPr>
            </w:pPr>
          </w:p>
        </w:tc>
      </w:tr>
      <w:tr w:rsidR="00F13935" w:rsidRPr="009E1F17" w:rsidTr="00F13935">
        <w:tc>
          <w:tcPr>
            <w:tcW w:w="1729" w:type="pct"/>
            <w:tcMar>
              <w:left w:w="28" w:type="dxa"/>
              <w:right w:w="28" w:type="dxa"/>
            </w:tcMar>
          </w:tcPr>
          <w:p w:rsidR="009E1F17" w:rsidRPr="009E1F17" w:rsidRDefault="009E1F17" w:rsidP="007477ED">
            <w:pPr>
              <w:keepNext/>
              <w:keepLines/>
              <w:widowControl/>
              <w:ind w:left="142"/>
              <w:jc w:val="left"/>
              <w:rPr>
                <w:rFonts w:ascii="Arial Narrow" w:hAnsi="Arial Narrow" w:cs="Times New Roman"/>
                <w:snapToGrid/>
                <w:sz w:val="20"/>
                <w:szCs w:val="20"/>
              </w:rPr>
            </w:pPr>
            <w:r w:rsidRPr="009E1F17">
              <w:rPr>
                <w:rFonts w:ascii="Arial Narrow" w:hAnsi="Arial Narrow" w:cs="Times New Roman"/>
                <w:snapToGrid/>
                <w:sz w:val="20"/>
                <w:szCs w:val="20"/>
              </w:rPr>
              <w:t xml:space="preserve">without co-pay adjustments </w:t>
            </w:r>
          </w:p>
        </w:tc>
        <w:tc>
          <w:tcPr>
            <w:tcW w:w="545"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5"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6"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6"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5"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3"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r>
      <w:tr w:rsidR="00F13935" w:rsidRPr="009E1F17" w:rsidTr="00F13935">
        <w:tc>
          <w:tcPr>
            <w:tcW w:w="1729" w:type="pct"/>
            <w:tcMar>
              <w:left w:w="28" w:type="dxa"/>
              <w:right w:w="28" w:type="dxa"/>
            </w:tcMar>
          </w:tcPr>
          <w:p w:rsidR="009E1F17" w:rsidRPr="009E1F17" w:rsidRDefault="009E1F17" w:rsidP="007477ED">
            <w:pPr>
              <w:keepNext/>
              <w:keepLines/>
              <w:widowControl/>
              <w:ind w:left="142"/>
              <w:jc w:val="left"/>
              <w:rPr>
                <w:rFonts w:ascii="Arial Narrow" w:hAnsi="Arial Narrow" w:cs="Times New Roman"/>
                <w:snapToGrid/>
                <w:sz w:val="20"/>
                <w:szCs w:val="20"/>
              </w:rPr>
            </w:pPr>
            <w:r w:rsidRPr="009E1F17">
              <w:rPr>
                <w:rFonts w:ascii="Arial Narrow" w:hAnsi="Arial Narrow" w:cs="Times New Roman"/>
                <w:snapToGrid/>
                <w:sz w:val="20"/>
                <w:szCs w:val="20"/>
              </w:rPr>
              <w:t>with co-pay adjustments</w:t>
            </w:r>
          </w:p>
        </w:tc>
        <w:tc>
          <w:tcPr>
            <w:tcW w:w="545"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5"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6"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6"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5"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3"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r>
      <w:tr w:rsidR="00F13935" w:rsidRPr="009E1F17" w:rsidTr="00F13935">
        <w:tc>
          <w:tcPr>
            <w:tcW w:w="1729" w:type="pct"/>
            <w:tcMar>
              <w:left w:w="28" w:type="dxa"/>
              <w:right w:w="28" w:type="dxa"/>
            </w:tcMar>
          </w:tcPr>
          <w:p w:rsidR="009E1F17" w:rsidRPr="009E1F17" w:rsidRDefault="009E1F17" w:rsidP="000840CF">
            <w:pPr>
              <w:keepNext/>
              <w:keepLines/>
              <w:widowControl/>
              <w:ind w:left="142"/>
              <w:jc w:val="left"/>
              <w:rPr>
                <w:rFonts w:ascii="Arial Narrow" w:hAnsi="Arial Narrow" w:cs="Times New Roman"/>
                <w:snapToGrid/>
                <w:sz w:val="20"/>
                <w:szCs w:val="20"/>
              </w:rPr>
            </w:pPr>
            <w:r w:rsidRPr="009E1F17">
              <w:rPr>
                <w:rFonts w:ascii="Arial Narrow" w:hAnsi="Arial Narrow" w:cs="Times New Roman"/>
                <w:snapToGrid/>
                <w:sz w:val="20"/>
                <w:szCs w:val="20"/>
              </w:rPr>
              <w:t>with co-pay</w:t>
            </w:r>
            <w:r w:rsidR="00F13935">
              <w:rPr>
                <w:rFonts w:ascii="Arial Narrow" w:hAnsi="Arial Narrow" w:cs="Times New Roman"/>
                <w:snapToGrid/>
                <w:sz w:val="20"/>
                <w:szCs w:val="20"/>
              </w:rPr>
              <w:t xml:space="preserve"> </w:t>
            </w:r>
            <w:r w:rsidRPr="009E1F17">
              <w:rPr>
                <w:rFonts w:ascii="Arial Narrow" w:hAnsi="Arial Narrow" w:cs="Times New Roman"/>
                <w:snapToGrid/>
                <w:sz w:val="20"/>
                <w:szCs w:val="20"/>
              </w:rPr>
              <w:t>+</w:t>
            </w:r>
            <w:r w:rsidR="00F13935">
              <w:rPr>
                <w:rFonts w:ascii="Arial Narrow" w:hAnsi="Arial Narrow" w:cs="Times New Roman"/>
                <w:snapToGrid/>
                <w:sz w:val="20"/>
                <w:szCs w:val="20"/>
              </w:rPr>
              <w:t xml:space="preserve"> </w:t>
            </w:r>
            <w:r w:rsidRPr="009E1F17">
              <w:rPr>
                <w:rFonts w:ascii="Arial Narrow" w:hAnsi="Arial Narrow" w:cs="Times New Roman"/>
                <w:snapToGrid/>
                <w:sz w:val="20"/>
                <w:szCs w:val="20"/>
              </w:rPr>
              <w:t>rebate adjustments</w:t>
            </w:r>
          </w:p>
        </w:tc>
        <w:tc>
          <w:tcPr>
            <w:tcW w:w="545"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5"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6"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6"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5"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3"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r>
      <w:tr w:rsidR="00F13935" w:rsidRPr="009E1F17" w:rsidTr="00F13935">
        <w:tc>
          <w:tcPr>
            <w:tcW w:w="1729" w:type="pct"/>
            <w:tcMar>
              <w:left w:w="28" w:type="dxa"/>
              <w:right w:w="28" w:type="dxa"/>
            </w:tcMar>
          </w:tcPr>
          <w:p w:rsidR="009E1F17" w:rsidRPr="009E1F17" w:rsidRDefault="009E1F17" w:rsidP="00DB0838">
            <w:pPr>
              <w:keepNext/>
              <w:keepLines/>
              <w:widowControl/>
              <w:jc w:val="left"/>
              <w:rPr>
                <w:rFonts w:ascii="Arial Narrow" w:hAnsi="Arial Narrow" w:cs="Times New Roman"/>
                <w:b/>
                <w:snapToGrid/>
                <w:sz w:val="20"/>
                <w:szCs w:val="20"/>
              </w:rPr>
            </w:pPr>
            <w:r w:rsidRPr="009E1F17">
              <w:rPr>
                <w:rFonts w:ascii="Arial Narrow" w:hAnsi="Arial Narrow" w:cs="Times New Roman"/>
                <w:b/>
                <w:snapToGrid/>
                <w:sz w:val="20"/>
                <w:szCs w:val="20"/>
              </w:rPr>
              <w:t>Net cost to PBS/RPBS</w:t>
            </w:r>
            <w:r w:rsidR="001B6B23">
              <w:rPr>
                <w:rFonts w:ascii="Arial Narrow" w:hAnsi="Arial Narrow" w:cs="Times New Roman"/>
                <w:b/>
                <w:snapToGrid/>
                <w:sz w:val="20"/>
                <w:szCs w:val="20"/>
              </w:rPr>
              <w:t xml:space="preserve"> </w:t>
            </w:r>
            <w:r w:rsidR="00DB0838">
              <w:rPr>
                <w:rFonts w:ascii="Arial Narrow" w:hAnsi="Arial Narrow" w:cs="Times New Roman"/>
                <w:b/>
                <w:snapToGrid/>
                <w:sz w:val="20"/>
                <w:szCs w:val="20"/>
              </w:rPr>
              <w:t>($)</w:t>
            </w:r>
          </w:p>
        </w:tc>
        <w:tc>
          <w:tcPr>
            <w:tcW w:w="545" w:type="pct"/>
            <w:tcMar>
              <w:left w:w="28" w:type="dxa"/>
              <w:right w:w="28" w:type="dxa"/>
            </w:tcMar>
          </w:tcPr>
          <w:p w:rsidR="009E1F17" w:rsidRPr="009E1F17" w:rsidRDefault="009E1F17" w:rsidP="007477ED">
            <w:pPr>
              <w:keepNext/>
              <w:keepLines/>
              <w:widowControl/>
              <w:jc w:val="center"/>
              <w:rPr>
                <w:rFonts w:ascii="Arial Narrow" w:hAnsi="Arial Narrow" w:cs="Times New Roman"/>
                <w:snapToGrid/>
                <w:sz w:val="20"/>
                <w:szCs w:val="20"/>
              </w:rPr>
            </w:pPr>
          </w:p>
        </w:tc>
        <w:tc>
          <w:tcPr>
            <w:tcW w:w="545" w:type="pct"/>
            <w:tcMar>
              <w:left w:w="28" w:type="dxa"/>
              <w:right w:w="28" w:type="dxa"/>
            </w:tcMar>
          </w:tcPr>
          <w:p w:rsidR="009E1F17" w:rsidRPr="009E1F17" w:rsidRDefault="009E1F17" w:rsidP="007477ED">
            <w:pPr>
              <w:keepNext/>
              <w:keepLines/>
              <w:widowControl/>
              <w:jc w:val="center"/>
              <w:rPr>
                <w:rFonts w:ascii="Arial Narrow" w:hAnsi="Arial Narrow" w:cs="Times New Roman"/>
                <w:snapToGrid/>
                <w:sz w:val="20"/>
                <w:szCs w:val="20"/>
              </w:rPr>
            </w:pPr>
          </w:p>
        </w:tc>
        <w:tc>
          <w:tcPr>
            <w:tcW w:w="546" w:type="pct"/>
            <w:tcMar>
              <w:left w:w="28" w:type="dxa"/>
              <w:right w:w="28" w:type="dxa"/>
            </w:tcMar>
          </w:tcPr>
          <w:p w:rsidR="009E1F17" w:rsidRPr="009E1F17" w:rsidRDefault="009E1F17" w:rsidP="007477ED">
            <w:pPr>
              <w:keepNext/>
              <w:keepLines/>
              <w:widowControl/>
              <w:jc w:val="center"/>
              <w:rPr>
                <w:rFonts w:ascii="Arial Narrow" w:hAnsi="Arial Narrow" w:cs="Times New Roman"/>
                <w:snapToGrid/>
                <w:sz w:val="20"/>
                <w:szCs w:val="20"/>
              </w:rPr>
            </w:pPr>
          </w:p>
        </w:tc>
        <w:tc>
          <w:tcPr>
            <w:tcW w:w="546" w:type="pct"/>
            <w:tcMar>
              <w:left w:w="28" w:type="dxa"/>
              <w:right w:w="28" w:type="dxa"/>
            </w:tcMar>
          </w:tcPr>
          <w:p w:rsidR="009E1F17" w:rsidRPr="009E1F17" w:rsidRDefault="009E1F17" w:rsidP="007477ED">
            <w:pPr>
              <w:keepNext/>
              <w:keepLines/>
              <w:widowControl/>
              <w:jc w:val="center"/>
              <w:rPr>
                <w:rFonts w:ascii="Arial Narrow" w:hAnsi="Arial Narrow" w:cs="Times New Roman"/>
                <w:snapToGrid/>
                <w:sz w:val="20"/>
                <w:szCs w:val="20"/>
              </w:rPr>
            </w:pPr>
          </w:p>
        </w:tc>
        <w:tc>
          <w:tcPr>
            <w:tcW w:w="545" w:type="pct"/>
            <w:tcMar>
              <w:left w:w="28" w:type="dxa"/>
              <w:right w:w="28" w:type="dxa"/>
            </w:tcMar>
          </w:tcPr>
          <w:p w:rsidR="009E1F17" w:rsidRPr="009E1F17" w:rsidRDefault="009E1F17" w:rsidP="007477ED">
            <w:pPr>
              <w:keepNext/>
              <w:keepLines/>
              <w:widowControl/>
              <w:jc w:val="center"/>
              <w:rPr>
                <w:rFonts w:ascii="Arial Narrow" w:hAnsi="Arial Narrow" w:cs="Times New Roman"/>
                <w:snapToGrid/>
                <w:sz w:val="20"/>
                <w:szCs w:val="20"/>
              </w:rPr>
            </w:pPr>
          </w:p>
        </w:tc>
        <w:tc>
          <w:tcPr>
            <w:tcW w:w="543" w:type="pct"/>
            <w:tcMar>
              <w:left w:w="28" w:type="dxa"/>
              <w:right w:w="28" w:type="dxa"/>
            </w:tcMar>
          </w:tcPr>
          <w:p w:rsidR="009E1F17" w:rsidRPr="009E1F17" w:rsidRDefault="009E1F17" w:rsidP="007477ED">
            <w:pPr>
              <w:keepNext/>
              <w:keepLines/>
              <w:widowControl/>
              <w:jc w:val="center"/>
              <w:rPr>
                <w:rFonts w:ascii="Arial Narrow" w:hAnsi="Arial Narrow" w:cs="Times New Roman"/>
                <w:snapToGrid/>
                <w:sz w:val="20"/>
                <w:szCs w:val="20"/>
              </w:rPr>
            </w:pPr>
          </w:p>
        </w:tc>
      </w:tr>
      <w:tr w:rsidR="00F13935" w:rsidRPr="009E1F17" w:rsidTr="00F13935">
        <w:tc>
          <w:tcPr>
            <w:tcW w:w="1729" w:type="pct"/>
            <w:tcMar>
              <w:left w:w="28" w:type="dxa"/>
              <w:right w:w="28" w:type="dxa"/>
            </w:tcMar>
          </w:tcPr>
          <w:p w:rsidR="009E1F17" w:rsidRPr="009E1F17" w:rsidRDefault="009E1F17" w:rsidP="007477ED">
            <w:pPr>
              <w:keepNext/>
              <w:keepLines/>
              <w:widowControl/>
              <w:ind w:left="142"/>
              <w:jc w:val="left"/>
              <w:rPr>
                <w:rFonts w:ascii="Arial Narrow" w:hAnsi="Arial Narrow" w:cs="Times New Roman"/>
                <w:snapToGrid/>
                <w:sz w:val="20"/>
                <w:szCs w:val="20"/>
              </w:rPr>
            </w:pPr>
            <w:r w:rsidRPr="009E1F17">
              <w:rPr>
                <w:rFonts w:ascii="Arial Narrow" w:hAnsi="Arial Narrow" w:cs="Times New Roman"/>
                <w:snapToGrid/>
                <w:sz w:val="20"/>
                <w:szCs w:val="20"/>
              </w:rPr>
              <w:t xml:space="preserve">without co-pay adjustments </w:t>
            </w:r>
          </w:p>
        </w:tc>
        <w:tc>
          <w:tcPr>
            <w:tcW w:w="545"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5"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6"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6"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5"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3"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r>
      <w:tr w:rsidR="00F13935" w:rsidRPr="009E1F17" w:rsidTr="00F13935">
        <w:tc>
          <w:tcPr>
            <w:tcW w:w="1729" w:type="pct"/>
            <w:tcMar>
              <w:left w:w="28" w:type="dxa"/>
              <w:right w:w="28" w:type="dxa"/>
            </w:tcMar>
          </w:tcPr>
          <w:p w:rsidR="009E1F17" w:rsidRPr="009E1F17" w:rsidRDefault="009E1F17" w:rsidP="007477ED">
            <w:pPr>
              <w:keepNext/>
              <w:keepLines/>
              <w:widowControl/>
              <w:ind w:left="142"/>
              <w:jc w:val="left"/>
              <w:rPr>
                <w:rFonts w:ascii="Arial Narrow" w:hAnsi="Arial Narrow" w:cs="Times New Roman"/>
                <w:snapToGrid/>
                <w:sz w:val="20"/>
                <w:szCs w:val="20"/>
              </w:rPr>
            </w:pPr>
            <w:r w:rsidRPr="009E1F17">
              <w:rPr>
                <w:rFonts w:ascii="Arial Narrow" w:hAnsi="Arial Narrow" w:cs="Times New Roman"/>
                <w:snapToGrid/>
                <w:sz w:val="20"/>
                <w:szCs w:val="20"/>
              </w:rPr>
              <w:t>with co-pay adjustments</w:t>
            </w:r>
          </w:p>
        </w:tc>
        <w:tc>
          <w:tcPr>
            <w:tcW w:w="545"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5"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6"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6"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5"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3"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r>
      <w:tr w:rsidR="00F13935" w:rsidRPr="009E1F17" w:rsidTr="00F13935">
        <w:tc>
          <w:tcPr>
            <w:tcW w:w="1729" w:type="pct"/>
            <w:tcMar>
              <w:left w:w="28" w:type="dxa"/>
              <w:right w:w="28" w:type="dxa"/>
            </w:tcMar>
          </w:tcPr>
          <w:p w:rsidR="009E1F17" w:rsidRPr="009E1F17" w:rsidRDefault="009E1F17" w:rsidP="000840CF">
            <w:pPr>
              <w:keepNext/>
              <w:keepLines/>
              <w:widowControl/>
              <w:ind w:left="142"/>
              <w:jc w:val="left"/>
              <w:rPr>
                <w:rFonts w:ascii="Arial Narrow" w:hAnsi="Arial Narrow" w:cs="Times New Roman"/>
                <w:snapToGrid/>
                <w:sz w:val="20"/>
                <w:szCs w:val="20"/>
              </w:rPr>
            </w:pPr>
            <w:r w:rsidRPr="009E1F17">
              <w:rPr>
                <w:rFonts w:ascii="Arial Narrow" w:hAnsi="Arial Narrow" w:cs="Times New Roman"/>
                <w:snapToGrid/>
                <w:sz w:val="20"/>
                <w:szCs w:val="20"/>
              </w:rPr>
              <w:t>with co-pay</w:t>
            </w:r>
            <w:r w:rsidR="00F13935">
              <w:rPr>
                <w:rFonts w:ascii="Arial Narrow" w:hAnsi="Arial Narrow" w:cs="Times New Roman"/>
                <w:snapToGrid/>
                <w:sz w:val="20"/>
                <w:szCs w:val="20"/>
              </w:rPr>
              <w:t xml:space="preserve"> </w:t>
            </w:r>
            <w:r w:rsidRPr="009E1F17">
              <w:rPr>
                <w:rFonts w:ascii="Arial Narrow" w:hAnsi="Arial Narrow" w:cs="Times New Roman"/>
                <w:snapToGrid/>
                <w:sz w:val="20"/>
                <w:szCs w:val="20"/>
              </w:rPr>
              <w:t>+</w:t>
            </w:r>
            <w:r w:rsidR="00F13935">
              <w:rPr>
                <w:rFonts w:ascii="Arial Narrow" w:hAnsi="Arial Narrow" w:cs="Times New Roman"/>
                <w:snapToGrid/>
                <w:sz w:val="20"/>
                <w:szCs w:val="20"/>
              </w:rPr>
              <w:t xml:space="preserve"> </w:t>
            </w:r>
            <w:r w:rsidRPr="009E1F17">
              <w:rPr>
                <w:rFonts w:ascii="Arial Narrow" w:hAnsi="Arial Narrow" w:cs="Times New Roman"/>
                <w:snapToGrid/>
                <w:sz w:val="20"/>
                <w:szCs w:val="20"/>
              </w:rPr>
              <w:t>rebate adjustments</w:t>
            </w:r>
          </w:p>
        </w:tc>
        <w:tc>
          <w:tcPr>
            <w:tcW w:w="545"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5"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6"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6"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5"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c>
          <w:tcPr>
            <w:tcW w:w="543" w:type="pct"/>
            <w:tcMar>
              <w:left w:w="28" w:type="dxa"/>
              <w:right w:w="28" w:type="dxa"/>
            </w:tcMar>
          </w:tcPr>
          <w:p w:rsidR="009E1F17" w:rsidRPr="00E9538E" w:rsidRDefault="00E9538E" w:rsidP="007477ED">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tc>
      </w:tr>
    </w:tbl>
    <w:p w:rsidR="009E1F17" w:rsidRPr="009E1F17" w:rsidRDefault="009E1F17" w:rsidP="009E1F17">
      <w:pPr>
        <w:widowControl/>
        <w:jc w:val="left"/>
        <w:rPr>
          <w:rFonts w:ascii="Arial Narrow" w:hAnsi="Arial Narrow"/>
          <w:sz w:val="18"/>
          <w:szCs w:val="18"/>
        </w:rPr>
      </w:pPr>
      <w:r w:rsidRPr="009E1F17">
        <w:rPr>
          <w:rFonts w:ascii="Arial Narrow" w:hAnsi="Arial Narrow"/>
          <w:sz w:val="18"/>
          <w:szCs w:val="18"/>
        </w:rPr>
        <w:t>Source: Table 4.13, p31 of the submission</w:t>
      </w:r>
    </w:p>
    <w:p w:rsidR="009E1F17" w:rsidRDefault="009E1F17" w:rsidP="009E1F17">
      <w:pPr>
        <w:widowControl/>
        <w:jc w:val="left"/>
        <w:rPr>
          <w:rFonts w:ascii="Arial Narrow" w:hAnsi="Arial Narrow"/>
          <w:sz w:val="18"/>
          <w:szCs w:val="18"/>
        </w:rPr>
      </w:pPr>
      <w:r w:rsidRPr="009E1F17">
        <w:rPr>
          <w:rFonts w:ascii="Arial Narrow" w:hAnsi="Arial Narrow"/>
          <w:sz w:val="18"/>
          <w:szCs w:val="18"/>
        </w:rPr>
        <w:t xml:space="preserve">Abbreviations: </w:t>
      </w:r>
      <w:proofErr w:type="spellStart"/>
      <w:r w:rsidRPr="009E1F17">
        <w:rPr>
          <w:rFonts w:ascii="Arial Narrow" w:hAnsi="Arial Narrow"/>
          <w:sz w:val="18"/>
          <w:szCs w:val="18"/>
        </w:rPr>
        <w:t>qd</w:t>
      </w:r>
      <w:proofErr w:type="spellEnd"/>
      <w:r w:rsidRPr="009E1F17">
        <w:rPr>
          <w:rFonts w:ascii="Arial Narrow" w:hAnsi="Arial Narrow"/>
          <w:sz w:val="18"/>
          <w:szCs w:val="18"/>
        </w:rPr>
        <w:t>=</w:t>
      </w:r>
      <w:proofErr w:type="spellStart"/>
      <w:r w:rsidRPr="009E1F17">
        <w:rPr>
          <w:rFonts w:ascii="Arial Narrow" w:hAnsi="Arial Narrow"/>
          <w:sz w:val="18"/>
          <w:szCs w:val="18"/>
        </w:rPr>
        <w:t>quaque</w:t>
      </w:r>
      <w:proofErr w:type="spellEnd"/>
      <w:r w:rsidRPr="009E1F17">
        <w:rPr>
          <w:rFonts w:ascii="Arial Narrow" w:hAnsi="Arial Narrow"/>
          <w:sz w:val="18"/>
          <w:szCs w:val="18"/>
        </w:rPr>
        <w:t xml:space="preserve"> die (once a day), mg = milligram, PBS=Pharmaceutical Benefits Scheme, RPBS=Repatriation Pharmaceutical Benefits Scheme.</w:t>
      </w:r>
    </w:p>
    <w:p w:rsidR="00100A7A" w:rsidRDefault="00100A7A" w:rsidP="009E1F17">
      <w:pPr>
        <w:widowControl/>
        <w:jc w:val="left"/>
        <w:rPr>
          <w:rFonts w:ascii="Arial Narrow" w:hAnsi="Arial Narrow"/>
          <w:sz w:val="18"/>
          <w:szCs w:val="18"/>
        </w:rPr>
      </w:pPr>
    </w:p>
    <w:p w:rsidR="009E1F17" w:rsidRPr="00636D45" w:rsidRDefault="009E1F17" w:rsidP="009E1F17">
      <w:pPr>
        <w:widowControl/>
        <w:numPr>
          <w:ilvl w:val="1"/>
          <w:numId w:val="3"/>
        </w:numPr>
        <w:snapToGrid w:val="0"/>
        <w:spacing w:after="160"/>
      </w:pPr>
      <w:r w:rsidRPr="00636D45">
        <w:t xml:space="preserve">The </w:t>
      </w:r>
      <w:r w:rsidR="00E13C23">
        <w:t>evaluation</w:t>
      </w:r>
      <w:r w:rsidRPr="00636D45">
        <w:t xml:space="preserve"> revised the estimated financial implication by </w:t>
      </w:r>
      <w:r w:rsidR="00E13C23">
        <w:t xml:space="preserve">using </w:t>
      </w:r>
      <w:r w:rsidR="00FC21AA" w:rsidRPr="00636D45">
        <w:t xml:space="preserve">effective </w:t>
      </w:r>
      <w:r w:rsidRPr="00636D45">
        <w:t>pric</w:t>
      </w:r>
      <w:r w:rsidR="00E13C23">
        <w:t>es</w:t>
      </w:r>
      <w:r w:rsidRPr="00636D45">
        <w:t>. Th</w:t>
      </w:r>
      <w:r w:rsidR="00B31801" w:rsidRPr="00636D45">
        <w:t>is resulted in a negligible change to the estimated net cost to the PBS</w:t>
      </w:r>
      <w:r w:rsidR="009322E7" w:rsidRPr="00636D45">
        <w:t>/RPBS from that estimated in the submission</w:t>
      </w:r>
      <w:r w:rsidR="00B31801" w:rsidRPr="00636D45">
        <w:t xml:space="preserve"> (</w:t>
      </w:r>
      <w:r w:rsidR="009322E7" w:rsidRPr="00636D45">
        <w:t xml:space="preserve">a net </w:t>
      </w:r>
      <w:r w:rsidR="003640B7" w:rsidRPr="00636D45">
        <w:t>saving</w:t>
      </w:r>
      <w:r w:rsidR="009322E7" w:rsidRPr="00636D45">
        <w:t xml:space="preserve"> to PBS/RPBS of </w:t>
      </w:r>
      <w:r w:rsidR="001B6B23">
        <w:t xml:space="preserve">less than $10 million </w:t>
      </w:r>
      <w:r w:rsidRPr="00636D45">
        <w:t xml:space="preserve">in Year 1 and </w:t>
      </w:r>
      <w:r w:rsidR="009322E7" w:rsidRPr="00636D45">
        <w:t xml:space="preserve">increasing to </w:t>
      </w:r>
      <w:r w:rsidR="001B6B23">
        <w:t>a net saving of less than $10 million</w:t>
      </w:r>
      <w:r w:rsidRPr="00636D45">
        <w:t xml:space="preserve"> in Year 6</w:t>
      </w:r>
      <w:r w:rsidR="009322E7" w:rsidRPr="00636D45">
        <w:t>)</w:t>
      </w:r>
      <w:r w:rsidRPr="00636D45">
        <w:t xml:space="preserve">. </w:t>
      </w:r>
    </w:p>
    <w:p w:rsidR="009E1F17" w:rsidRPr="009E1F17" w:rsidRDefault="009E1F17" w:rsidP="009E1F17">
      <w:pPr>
        <w:widowControl/>
        <w:numPr>
          <w:ilvl w:val="1"/>
          <w:numId w:val="3"/>
        </w:numPr>
        <w:snapToGrid w:val="0"/>
        <w:spacing w:after="160"/>
      </w:pPr>
      <w:r w:rsidRPr="009E1F17">
        <w:t xml:space="preserve">There were some uncertainties associated with the estimation of the financial implications due to: </w:t>
      </w:r>
    </w:p>
    <w:p w:rsidR="009E1F17" w:rsidRPr="009E1F17" w:rsidRDefault="009E1F17" w:rsidP="009E1F17">
      <w:pPr>
        <w:widowControl/>
        <w:snapToGrid w:val="0"/>
        <w:spacing w:after="160"/>
        <w:ind w:left="993" w:hanging="284"/>
      </w:pPr>
      <w:r w:rsidRPr="009E1F17">
        <w:t>•</w:t>
      </w:r>
      <w:r w:rsidRPr="009E1F17">
        <w:tab/>
        <w:t xml:space="preserve">The submission estimated that </w:t>
      </w:r>
      <w:r w:rsidR="00E9538E">
        <w:rPr>
          <w:noProof/>
          <w:color w:val="000000"/>
          <w:highlight w:val="black"/>
        </w:rPr>
        <w:t>'''''</w:t>
      </w:r>
      <w:r w:rsidRPr="009E1F17">
        <w:t xml:space="preserve">% of patients initiating </w:t>
      </w:r>
      <w:proofErr w:type="spellStart"/>
      <w:r w:rsidRPr="009E1F17">
        <w:t>apixaban</w:t>
      </w:r>
      <w:proofErr w:type="spellEnd"/>
      <w:r w:rsidRPr="009E1F17">
        <w:t xml:space="preserve"> 2.5 mg between July 2015 and June 2017 switched from rivaroxaban 20 mg. The submission assumed that all of those patients would switch to rivaroxaban 10 mg if made available on the PBS, on the basis of a reduced treatment intensity. These </w:t>
      </w:r>
      <w:r w:rsidRPr="009E1F17">
        <w:lastRenderedPageBreak/>
        <w:t xml:space="preserve">assumptions were unsubstantiated. </w:t>
      </w:r>
      <w:r w:rsidRPr="00636D45">
        <w:t>This was likely to be an underestimate of the financial implication (</w:t>
      </w:r>
      <w:r w:rsidRPr="00D259D1">
        <w:t xml:space="preserve">as rivaroxaban 10 mg </w:t>
      </w:r>
      <w:r w:rsidR="00E9538E">
        <w:rPr>
          <w:noProof/>
          <w:color w:val="000000"/>
          <w:highlight w:val="black"/>
        </w:rPr>
        <w:t>'''''''' '''''''''''''''' ''''''''''</w:t>
      </w:r>
      <w:r w:rsidRPr="00D259D1">
        <w:t xml:space="preserve"> </w:t>
      </w:r>
      <w:proofErr w:type="spellStart"/>
      <w:r w:rsidRPr="00D259D1">
        <w:t>apixaban</w:t>
      </w:r>
      <w:proofErr w:type="spellEnd"/>
      <w:r w:rsidRPr="00D259D1">
        <w:t xml:space="preserve"> 2.5 mg</w:t>
      </w:r>
      <w:r w:rsidRPr="00636D45">
        <w:t>);</w:t>
      </w:r>
      <w:r w:rsidRPr="009E1F17">
        <w:rPr>
          <w:i/>
        </w:rPr>
        <w:t xml:space="preserve"> </w:t>
      </w:r>
    </w:p>
    <w:p w:rsidR="009E1F17" w:rsidRPr="009E1F17" w:rsidRDefault="009E1F17" w:rsidP="00E5058D">
      <w:pPr>
        <w:widowControl/>
        <w:numPr>
          <w:ilvl w:val="4"/>
          <w:numId w:val="28"/>
        </w:numPr>
        <w:snapToGrid w:val="0"/>
        <w:spacing w:after="160"/>
        <w:ind w:left="993" w:hanging="229"/>
      </w:pPr>
      <w:r w:rsidRPr="009E1F17">
        <w:t xml:space="preserve">The submission did not account for the possible substitution of rivaroxaban 10 mg for </w:t>
      </w:r>
      <w:proofErr w:type="spellStart"/>
      <w:r w:rsidRPr="009E1F17">
        <w:t>apixaban</w:t>
      </w:r>
      <w:proofErr w:type="spellEnd"/>
      <w:r w:rsidRPr="009E1F17">
        <w:t xml:space="preserve"> 2.5 mg in patients initiating treatment. </w:t>
      </w:r>
      <w:r w:rsidRPr="00E5058D">
        <w:t xml:space="preserve">This resulted in an overestimate of the financial impact </w:t>
      </w:r>
      <w:r w:rsidRPr="00B73A6A">
        <w:t xml:space="preserve">(as </w:t>
      </w:r>
      <w:proofErr w:type="spellStart"/>
      <w:r w:rsidRPr="00B73A6A">
        <w:t>apixaban</w:t>
      </w:r>
      <w:proofErr w:type="spellEnd"/>
      <w:r w:rsidRPr="00B73A6A">
        <w:t xml:space="preserve"> 2.5 </w:t>
      </w:r>
      <w:r w:rsidR="00E9538E">
        <w:rPr>
          <w:noProof/>
          <w:color w:val="000000"/>
          <w:highlight w:val="black"/>
        </w:rPr>
        <w:t>''' '''''''''' '''''''''''''''''''' ''''''''</w:t>
      </w:r>
      <w:r w:rsidRPr="00B73A6A">
        <w:t xml:space="preserve"> rivaroxaban 10 mg</w:t>
      </w:r>
      <w:r w:rsidRPr="00E5058D">
        <w:t xml:space="preserve">). </w:t>
      </w:r>
    </w:p>
    <w:p w:rsidR="009E1F17" w:rsidRDefault="009E1F17" w:rsidP="009E1F17">
      <w:pPr>
        <w:widowControl/>
        <w:snapToGrid w:val="0"/>
        <w:spacing w:after="160"/>
        <w:ind w:left="633"/>
      </w:pPr>
      <w:r w:rsidRPr="00636D45">
        <w:t>These uncertainties are expected to have a negligible impact on the financial implications of listing rivaroxaban 10 mg.</w:t>
      </w:r>
    </w:p>
    <w:p w:rsidR="00513D21" w:rsidRPr="005E7399" w:rsidRDefault="00513D21" w:rsidP="00513D21">
      <w:pPr>
        <w:widowControl/>
        <w:numPr>
          <w:ilvl w:val="1"/>
          <w:numId w:val="3"/>
        </w:numPr>
        <w:snapToGrid w:val="0"/>
        <w:spacing w:after="160"/>
      </w:pPr>
      <w:r w:rsidRPr="00513D21">
        <w:rPr>
          <w:rFonts w:asciiTheme="minorHAnsi" w:hAnsiTheme="minorHAnsi"/>
          <w:bCs/>
        </w:rPr>
        <w:t xml:space="preserve">At year 5, </w:t>
      </w:r>
      <w:r w:rsidRPr="005E7399">
        <w:rPr>
          <w:rFonts w:asciiTheme="minorHAnsi" w:hAnsiTheme="minorHAnsi"/>
          <w:bCs/>
        </w:rPr>
        <w:t xml:space="preserve">the estimated number of patients was </w:t>
      </w:r>
      <w:r w:rsidR="00DB0838">
        <w:rPr>
          <w:rFonts w:asciiTheme="minorHAnsi" w:hAnsiTheme="minorHAnsi"/>
          <w:bCs/>
        </w:rPr>
        <w:t xml:space="preserve">10,000 – 50,000 per year </w:t>
      </w:r>
      <w:r w:rsidRPr="005E7399">
        <w:rPr>
          <w:rFonts w:asciiTheme="minorHAnsi" w:hAnsiTheme="minorHAnsi"/>
          <w:bCs/>
        </w:rPr>
        <w:t xml:space="preserve">and the net cost to the PBS would be </w:t>
      </w:r>
      <w:r w:rsidR="00DB0838">
        <w:rPr>
          <w:rFonts w:asciiTheme="minorHAnsi" w:hAnsiTheme="minorHAnsi"/>
          <w:bCs/>
        </w:rPr>
        <w:t>substantially less than $10 million per year</w:t>
      </w:r>
      <w:r w:rsidRPr="005E7399">
        <w:rPr>
          <w:rFonts w:asciiTheme="minorHAnsi" w:hAnsiTheme="minorHAnsi"/>
          <w:bCs/>
        </w:rPr>
        <w:t>.</w:t>
      </w:r>
      <w:r w:rsidRPr="005E7399">
        <w:rPr>
          <w:rFonts w:ascii="Arial" w:hAnsi="Arial"/>
          <w:bCs/>
          <w:sz w:val="22"/>
        </w:rPr>
        <w:t xml:space="preserve"> </w:t>
      </w:r>
    </w:p>
    <w:p w:rsidR="009E1F17" w:rsidRDefault="009E1F17" w:rsidP="00082122">
      <w:pPr>
        <w:keepNext/>
        <w:spacing w:after="120"/>
        <w:outlineLvl w:val="1"/>
        <w:rPr>
          <w:b/>
          <w:i/>
          <w:sz w:val="28"/>
        </w:rPr>
      </w:pPr>
      <w:r w:rsidRPr="009E1F17">
        <w:rPr>
          <w:b/>
          <w:i/>
          <w:sz w:val="28"/>
        </w:rPr>
        <w:t>Quality Use of Medicines</w:t>
      </w:r>
    </w:p>
    <w:p w:rsidR="00EA4BCD" w:rsidRPr="009C3A75" w:rsidRDefault="009E1F17" w:rsidP="00F13935">
      <w:pPr>
        <w:keepNext/>
        <w:widowControl/>
        <w:numPr>
          <w:ilvl w:val="1"/>
          <w:numId w:val="3"/>
        </w:numPr>
        <w:snapToGrid w:val="0"/>
        <w:spacing w:after="160"/>
      </w:pPr>
      <w:r w:rsidRPr="009E1F17">
        <w:t xml:space="preserve">The submission noted that the proposed listing offers an additional, lower-intensity, treatment option in the prevention of recurrent VTE and thus some patients may opt for this treatment option in place of the two-comparator treatments. </w:t>
      </w:r>
      <w:r w:rsidRPr="00636D45">
        <w:t>Appropriately, the submission did not attempt to quantify or claim an</w:t>
      </w:r>
      <w:r w:rsidR="005E7399">
        <w:t>y</w:t>
      </w:r>
      <w:r w:rsidRPr="00636D45">
        <w:t xml:space="preserve"> </w:t>
      </w:r>
      <w:r w:rsidRPr="009C3A75">
        <w:t>difference for these benefits.</w:t>
      </w:r>
    </w:p>
    <w:p w:rsidR="005547F4" w:rsidRPr="009C3A75" w:rsidRDefault="005547F4" w:rsidP="00C24FBF">
      <w:pPr>
        <w:pStyle w:val="PBACHeading1"/>
      </w:pPr>
      <w:r w:rsidRPr="009C3A75">
        <w:t>PBAC Outcome</w:t>
      </w:r>
    </w:p>
    <w:p w:rsidR="006B66DB" w:rsidRPr="006B66DB" w:rsidRDefault="009C3A75" w:rsidP="006B66DB">
      <w:pPr>
        <w:numPr>
          <w:ilvl w:val="1"/>
          <w:numId w:val="3"/>
        </w:numPr>
        <w:spacing w:after="120"/>
        <w:rPr>
          <w:rFonts w:asciiTheme="minorHAnsi" w:hAnsiTheme="minorHAnsi"/>
          <w:bCs/>
          <w:lang w:val="en-GB"/>
        </w:rPr>
      </w:pPr>
      <w:r w:rsidRPr="00547F02">
        <w:rPr>
          <w:rFonts w:asciiTheme="minorHAnsi" w:hAnsiTheme="minorHAnsi"/>
          <w:bCs/>
          <w:lang w:val="en-GB"/>
        </w:rPr>
        <w:t xml:space="preserve">The PBAC recommended </w:t>
      </w:r>
      <w:r w:rsidR="005E7399">
        <w:rPr>
          <w:rFonts w:asciiTheme="minorHAnsi" w:hAnsiTheme="minorHAnsi"/>
          <w:bCs/>
          <w:lang w:val="en-GB"/>
        </w:rPr>
        <w:t>extending the</w:t>
      </w:r>
      <w:r w:rsidRPr="00547F02">
        <w:rPr>
          <w:rFonts w:asciiTheme="minorHAnsi" w:hAnsiTheme="minorHAnsi"/>
          <w:bCs/>
          <w:lang w:val="en-GB"/>
        </w:rPr>
        <w:t xml:space="preserve"> listing of </w:t>
      </w:r>
      <w:r w:rsidR="006065F1" w:rsidRPr="00547F02">
        <w:rPr>
          <w:rFonts w:asciiTheme="minorHAnsi" w:hAnsiTheme="minorHAnsi"/>
          <w:bCs/>
          <w:lang w:val="en-GB"/>
        </w:rPr>
        <w:t xml:space="preserve">rivaroxaban </w:t>
      </w:r>
      <w:r w:rsidR="005E7399">
        <w:rPr>
          <w:rFonts w:asciiTheme="minorHAnsi" w:hAnsiTheme="minorHAnsi"/>
          <w:bCs/>
          <w:lang w:val="en-GB"/>
        </w:rPr>
        <w:t>10</w:t>
      </w:r>
      <w:r w:rsidR="000F68C9">
        <w:rPr>
          <w:rFonts w:asciiTheme="minorHAnsi" w:hAnsiTheme="minorHAnsi"/>
          <w:bCs/>
          <w:lang w:val="en-GB"/>
        </w:rPr>
        <w:t xml:space="preserve"> </w:t>
      </w:r>
      <w:r w:rsidR="005E7399">
        <w:rPr>
          <w:rFonts w:asciiTheme="minorHAnsi" w:hAnsiTheme="minorHAnsi"/>
          <w:bCs/>
          <w:lang w:val="en-GB"/>
        </w:rPr>
        <w:t>mg to include an Authority Required (STREAMLINED) listing for the</w:t>
      </w:r>
      <w:r w:rsidR="006065F1" w:rsidRPr="00547F02">
        <w:rPr>
          <w:rFonts w:asciiTheme="minorHAnsi" w:hAnsiTheme="minorHAnsi"/>
          <w:bCs/>
          <w:lang w:val="en-GB"/>
        </w:rPr>
        <w:t xml:space="preserve"> prevention of recurrent venous thromboembolism (VTE)</w:t>
      </w:r>
      <w:r w:rsidRPr="00547F02">
        <w:rPr>
          <w:rFonts w:asciiTheme="minorHAnsi" w:hAnsiTheme="minorHAnsi"/>
          <w:bCs/>
          <w:lang w:val="en-GB"/>
        </w:rPr>
        <w:t>.</w:t>
      </w:r>
      <w:r w:rsidR="005E7399">
        <w:rPr>
          <w:rFonts w:asciiTheme="minorHAnsi" w:hAnsiTheme="minorHAnsi"/>
          <w:bCs/>
          <w:lang w:val="en-GB"/>
        </w:rPr>
        <w:t xml:space="preserve"> </w:t>
      </w:r>
      <w:r w:rsidR="000F68C9" w:rsidRPr="000F68C9">
        <w:rPr>
          <w:rFonts w:asciiTheme="minorHAnsi" w:hAnsiTheme="minorHAnsi"/>
          <w:bCs/>
          <w:lang w:val="en-GB"/>
        </w:rPr>
        <w:t>The PBAC considered that rivaroxaban 10</w:t>
      </w:r>
      <w:r w:rsidR="000F68C9">
        <w:rPr>
          <w:rFonts w:asciiTheme="minorHAnsi" w:hAnsiTheme="minorHAnsi"/>
          <w:bCs/>
          <w:lang w:val="en-GB"/>
        </w:rPr>
        <w:t xml:space="preserve"> </w:t>
      </w:r>
      <w:r w:rsidR="000F68C9" w:rsidRPr="000F68C9">
        <w:rPr>
          <w:rFonts w:asciiTheme="minorHAnsi" w:hAnsiTheme="minorHAnsi"/>
          <w:bCs/>
          <w:lang w:val="en-GB"/>
        </w:rPr>
        <w:t>mg once daily was equivalent to rivaroxaban 20</w:t>
      </w:r>
      <w:r w:rsidR="000F68C9">
        <w:rPr>
          <w:rFonts w:asciiTheme="minorHAnsi" w:hAnsiTheme="minorHAnsi"/>
          <w:bCs/>
          <w:lang w:val="en-GB"/>
        </w:rPr>
        <w:t xml:space="preserve"> </w:t>
      </w:r>
      <w:r w:rsidR="000F68C9" w:rsidRPr="000F68C9">
        <w:rPr>
          <w:rFonts w:asciiTheme="minorHAnsi" w:hAnsiTheme="minorHAnsi"/>
          <w:bCs/>
          <w:lang w:val="en-GB"/>
        </w:rPr>
        <w:t xml:space="preserve">mg once daily and equivalent to </w:t>
      </w:r>
      <w:proofErr w:type="spellStart"/>
      <w:r w:rsidR="000F68C9" w:rsidRPr="000F68C9">
        <w:rPr>
          <w:rFonts w:asciiTheme="minorHAnsi" w:hAnsiTheme="minorHAnsi"/>
          <w:bCs/>
          <w:lang w:val="en-GB"/>
        </w:rPr>
        <w:t>apixaban</w:t>
      </w:r>
      <w:proofErr w:type="spellEnd"/>
      <w:r w:rsidR="000F68C9" w:rsidRPr="000F68C9">
        <w:rPr>
          <w:rFonts w:asciiTheme="minorHAnsi" w:hAnsiTheme="minorHAnsi"/>
          <w:bCs/>
          <w:lang w:val="en-GB"/>
        </w:rPr>
        <w:t xml:space="preserve"> 2.5 mg twice daily in this indication.  </w:t>
      </w:r>
    </w:p>
    <w:p w:rsidR="005547F4" w:rsidRPr="00B05BB5" w:rsidRDefault="00FE2D90" w:rsidP="005547F4">
      <w:pPr>
        <w:numPr>
          <w:ilvl w:val="1"/>
          <w:numId w:val="3"/>
        </w:numPr>
        <w:spacing w:after="120"/>
        <w:rPr>
          <w:rFonts w:asciiTheme="minorHAnsi" w:hAnsiTheme="minorHAnsi"/>
          <w:bCs/>
          <w:lang w:val="en-GB"/>
        </w:rPr>
      </w:pPr>
      <w:r w:rsidRPr="00B05BB5">
        <w:rPr>
          <w:rFonts w:asciiTheme="minorHAnsi" w:hAnsiTheme="minorHAnsi"/>
          <w:bCs/>
          <w:lang w:val="en-GB"/>
        </w:rPr>
        <w:t xml:space="preserve">The PBAC considered </w:t>
      </w:r>
      <w:r w:rsidR="006B66DB">
        <w:rPr>
          <w:rFonts w:asciiTheme="minorHAnsi" w:hAnsiTheme="minorHAnsi"/>
          <w:bCs/>
          <w:lang w:val="en-GB"/>
        </w:rPr>
        <w:t xml:space="preserve">that </w:t>
      </w:r>
      <w:r w:rsidR="006B66DB" w:rsidRPr="00B05BB5">
        <w:rPr>
          <w:rFonts w:asciiTheme="minorHAnsi" w:hAnsiTheme="minorHAnsi"/>
          <w:bCs/>
          <w:lang w:val="en-GB"/>
        </w:rPr>
        <w:t>rivaroxaban 10</w:t>
      </w:r>
      <w:r w:rsidR="006B66DB">
        <w:rPr>
          <w:rFonts w:asciiTheme="minorHAnsi" w:hAnsiTheme="minorHAnsi"/>
          <w:bCs/>
          <w:lang w:val="en-GB"/>
        </w:rPr>
        <w:t xml:space="preserve"> </w:t>
      </w:r>
      <w:r w:rsidR="006B66DB" w:rsidRPr="00B05BB5">
        <w:rPr>
          <w:rFonts w:asciiTheme="minorHAnsi" w:hAnsiTheme="minorHAnsi"/>
          <w:bCs/>
          <w:lang w:val="en-GB"/>
        </w:rPr>
        <w:t>mg will</w:t>
      </w:r>
      <w:r w:rsidR="006B66DB" w:rsidRPr="00B05BB5">
        <w:rPr>
          <w:snapToGrid/>
          <w:lang w:val="en-US" w:eastAsia="en-AU"/>
        </w:rPr>
        <w:t xml:space="preserve"> provide a</w:t>
      </w:r>
      <w:r w:rsidR="006B66DB">
        <w:rPr>
          <w:snapToGrid/>
          <w:lang w:val="en-US" w:eastAsia="en-AU"/>
        </w:rPr>
        <w:t xml:space="preserve">n appropriate </w:t>
      </w:r>
      <w:r w:rsidR="006B66DB" w:rsidRPr="00B05BB5">
        <w:rPr>
          <w:snapToGrid/>
          <w:lang w:val="en-US" w:eastAsia="en-AU"/>
        </w:rPr>
        <w:t xml:space="preserve">lower strength alternative to rivaroxaban 20 mg in patients requiring </w:t>
      </w:r>
      <w:r w:rsidR="00427108">
        <w:rPr>
          <w:snapToGrid/>
          <w:lang w:val="en-US" w:eastAsia="en-AU"/>
        </w:rPr>
        <w:t xml:space="preserve">ongoing </w:t>
      </w:r>
      <w:r w:rsidR="006B66DB" w:rsidRPr="00B05BB5">
        <w:rPr>
          <w:snapToGrid/>
          <w:lang w:val="en-US" w:eastAsia="en-AU"/>
        </w:rPr>
        <w:t>VTE prophylaxis</w:t>
      </w:r>
      <w:r w:rsidR="006B66DB">
        <w:rPr>
          <w:snapToGrid/>
          <w:lang w:val="en-US" w:eastAsia="en-AU"/>
        </w:rPr>
        <w:t xml:space="preserve">. </w:t>
      </w:r>
    </w:p>
    <w:p w:rsidR="00FE2D90" w:rsidRPr="00B05BB5" w:rsidRDefault="00FE2D90" w:rsidP="00FE2D90">
      <w:pPr>
        <w:numPr>
          <w:ilvl w:val="1"/>
          <w:numId w:val="3"/>
        </w:numPr>
        <w:spacing w:after="160"/>
      </w:pPr>
      <w:r w:rsidRPr="00B05BB5">
        <w:rPr>
          <w:rFonts w:asciiTheme="minorHAnsi" w:hAnsiTheme="minorHAnsi"/>
          <w:bCs/>
          <w:lang w:val="en-GB"/>
        </w:rPr>
        <w:t xml:space="preserve">The PBAC considered the proposed main comparators, </w:t>
      </w:r>
      <w:r w:rsidRPr="00B05BB5">
        <w:rPr>
          <w:snapToGrid/>
          <w:lang w:val="en-US" w:eastAsia="en-AU"/>
        </w:rPr>
        <w:t xml:space="preserve">rivaroxaban 20 mg and </w:t>
      </w:r>
      <w:proofErr w:type="spellStart"/>
      <w:r w:rsidRPr="00B05BB5">
        <w:rPr>
          <w:snapToGrid/>
          <w:lang w:val="en-US" w:eastAsia="en-AU"/>
        </w:rPr>
        <w:t>apixaban</w:t>
      </w:r>
      <w:proofErr w:type="spellEnd"/>
      <w:r w:rsidRPr="00B05BB5">
        <w:rPr>
          <w:snapToGrid/>
          <w:lang w:val="en-US" w:eastAsia="en-AU"/>
        </w:rPr>
        <w:t xml:space="preserve"> 2.5 mg</w:t>
      </w:r>
      <w:r w:rsidRPr="00B05BB5">
        <w:rPr>
          <w:rFonts w:asciiTheme="minorHAnsi" w:hAnsiTheme="minorHAnsi"/>
          <w:bCs/>
          <w:lang w:val="en-GB"/>
        </w:rPr>
        <w:t xml:space="preserve"> </w:t>
      </w:r>
      <w:r w:rsidR="006B66DB">
        <w:rPr>
          <w:rFonts w:asciiTheme="minorHAnsi" w:hAnsiTheme="minorHAnsi"/>
          <w:bCs/>
          <w:lang w:val="en-GB"/>
        </w:rPr>
        <w:t>were</w:t>
      </w:r>
      <w:r w:rsidRPr="00B05BB5">
        <w:rPr>
          <w:rFonts w:asciiTheme="minorHAnsi" w:hAnsiTheme="minorHAnsi"/>
          <w:bCs/>
          <w:lang w:val="en-GB"/>
        </w:rPr>
        <w:t xml:space="preserve"> appropriate</w:t>
      </w:r>
      <w:r w:rsidR="006B66DB">
        <w:rPr>
          <w:rFonts w:asciiTheme="minorHAnsi" w:hAnsiTheme="minorHAnsi"/>
          <w:bCs/>
          <w:lang w:val="en-GB"/>
        </w:rPr>
        <w:t>, and that the PBS</w:t>
      </w:r>
      <w:r w:rsidR="00427108">
        <w:rPr>
          <w:rFonts w:asciiTheme="minorHAnsi" w:hAnsiTheme="minorHAnsi"/>
          <w:bCs/>
          <w:lang w:val="en-GB"/>
        </w:rPr>
        <w:t xml:space="preserve"> restriction for rivaroxaban 10 </w:t>
      </w:r>
      <w:r w:rsidR="006B66DB">
        <w:rPr>
          <w:rFonts w:asciiTheme="minorHAnsi" w:hAnsiTheme="minorHAnsi"/>
          <w:bCs/>
          <w:lang w:val="en-GB"/>
        </w:rPr>
        <w:t xml:space="preserve">mg should align with that of the comparators.  </w:t>
      </w:r>
    </w:p>
    <w:p w:rsidR="008F1EFE" w:rsidRPr="009E2BE3" w:rsidRDefault="003F1EB8" w:rsidP="009E2BE3">
      <w:pPr>
        <w:numPr>
          <w:ilvl w:val="1"/>
          <w:numId w:val="3"/>
        </w:numPr>
        <w:spacing w:after="160"/>
      </w:pPr>
      <w:r w:rsidRPr="00B05BB5">
        <w:rPr>
          <w:rFonts w:asciiTheme="minorHAnsi" w:hAnsiTheme="minorHAnsi"/>
          <w:bCs/>
          <w:lang w:val="en-GB"/>
        </w:rPr>
        <w:t>The PBAC noted that t</w:t>
      </w:r>
      <w:r w:rsidR="008F1EFE" w:rsidRPr="00B05BB5">
        <w:rPr>
          <w:rFonts w:asciiTheme="minorHAnsi" w:hAnsiTheme="minorHAnsi"/>
          <w:bCs/>
          <w:lang w:val="en-GB"/>
        </w:rPr>
        <w:t xml:space="preserve">he submission presented a </w:t>
      </w:r>
      <w:r w:rsidR="006B66DB">
        <w:rPr>
          <w:rFonts w:asciiTheme="minorHAnsi" w:hAnsiTheme="minorHAnsi"/>
          <w:bCs/>
          <w:lang w:val="en-GB"/>
        </w:rPr>
        <w:t>direct</w:t>
      </w:r>
      <w:r w:rsidR="008F1EFE" w:rsidRPr="00B05BB5">
        <w:rPr>
          <w:rFonts w:asciiTheme="minorHAnsi" w:hAnsiTheme="minorHAnsi"/>
          <w:bCs/>
          <w:lang w:val="en-GB"/>
        </w:rPr>
        <w:t xml:space="preserve"> comparison of rivaroxaban 10 mg with rivaroxaban 20 mg (Einstein CHOICE) and an indirect treatment comparison </w:t>
      </w:r>
      <w:r w:rsidR="00236717">
        <w:rPr>
          <w:rFonts w:asciiTheme="minorHAnsi" w:hAnsiTheme="minorHAnsi"/>
          <w:bCs/>
          <w:lang w:val="en-GB"/>
        </w:rPr>
        <w:t xml:space="preserve">(ITC) </w:t>
      </w:r>
      <w:r w:rsidR="008F1EFE" w:rsidRPr="00B05BB5">
        <w:rPr>
          <w:rFonts w:asciiTheme="minorHAnsi" w:hAnsiTheme="minorHAnsi"/>
          <w:bCs/>
          <w:lang w:val="en-GB"/>
        </w:rPr>
        <w:t>of rivarox</w:t>
      </w:r>
      <w:r w:rsidR="00236717">
        <w:rPr>
          <w:rFonts w:asciiTheme="minorHAnsi" w:hAnsiTheme="minorHAnsi"/>
          <w:bCs/>
          <w:lang w:val="en-GB"/>
        </w:rPr>
        <w:t xml:space="preserve">aban 10 mg to </w:t>
      </w:r>
      <w:proofErr w:type="spellStart"/>
      <w:r w:rsidR="00236717">
        <w:rPr>
          <w:rFonts w:asciiTheme="minorHAnsi" w:hAnsiTheme="minorHAnsi"/>
          <w:bCs/>
          <w:lang w:val="en-GB"/>
        </w:rPr>
        <w:t>apixaban</w:t>
      </w:r>
      <w:proofErr w:type="spellEnd"/>
      <w:r w:rsidR="00236717">
        <w:rPr>
          <w:rFonts w:asciiTheme="minorHAnsi" w:hAnsiTheme="minorHAnsi"/>
          <w:bCs/>
          <w:lang w:val="en-GB"/>
        </w:rPr>
        <w:t xml:space="preserve"> 2.5 mg</w:t>
      </w:r>
      <w:r w:rsidR="008F1EFE" w:rsidRPr="00B05BB5">
        <w:rPr>
          <w:rFonts w:asciiTheme="minorHAnsi" w:hAnsiTheme="minorHAnsi"/>
          <w:bCs/>
          <w:lang w:val="en-GB"/>
        </w:rPr>
        <w:t xml:space="preserve">. The </w:t>
      </w:r>
      <w:r w:rsidR="00F634CB" w:rsidRPr="00B05BB5">
        <w:rPr>
          <w:rFonts w:asciiTheme="minorHAnsi" w:hAnsiTheme="minorHAnsi"/>
          <w:bCs/>
          <w:lang w:val="en-GB"/>
        </w:rPr>
        <w:t xml:space="preserve">PBAC noted that </w:t>
      </w:r>
      <w:r w:rsidR="006B66DB">
        <w:rPr>
          <w:rFonts w:asciiTheme="minorHAnsi" w:hAnsiTheme="minorHAnsi"/>
          <w:bCs/>
          <w:lang w:val="en-GB"/>
        </w:rPr>
        <w:t xml:space="preserve">while the </w:t>
      </w:r>
      <w:r w:rsidR="008F1EFE" w:rsidRPr="00B05BB5">
        <w:rPr>
          <w:rFonts w:asciiTheme="minorHAnsi" w:hAnsiTheme="minorHAnsi"/>
          <w:bCs/>
          <w:lang w:val="en-GB"/>
        </w:rPr>
        <w:t>submission did not present the details for the WARFASA and ASPIRE</w:t>
      </w:r>
      <w:r w:rsidR="006B66DB" w:rsidRPr="006B66DB">
        <w:rPr>
          <w:rFonts w:asciiTheme="minorHAnsi" w:hAnsiTheme="minorHAnsi"/>
          <w:bCs/>
          <w:lang w:val="en-GB"/>
        </w:rPr>
        <w:t xml:space="preserve"> </w:t>
      </w:r>
      <w:r w:rsidR="006B66DB" w:rsidRPr="00B05BB5">
        <w:rPr>
          <w:rFonts w:asciiTheme="minorHAnsi" w:hAnsiTheme="minorHAnsi"/>
          <w:bCs/>
          <w:lang w:val="en-GB"/>
        </w:rPr>
        <w:t>trials</w:t>
      </w:r>
      <w:r w:rsidR="008F1EFE" w:rsidRPr="00B05BB5">
        <w:rPr>
          <w:rFonts w:asciiTheme="minorHAnsi" w:hAnsiTheme="minorHAnsi"/>
          <w:bCs/>
          <w:lang w:val="en-GB"/>
        </w:rPr>
        <w:t xml:space="preserve"> us</w:t>
      </w:r>
      <w:r w:rsidR="00F634CB" w:rsidRPr="00B05BB5">
        <w:rPr>
          <w:rFonts w:asciiTheme="minorHAnsi" w:hAnsiTheme="minorHAnsi"/>
          <w:bCs/>
          <w:lang w:val="en-GB"/>
        </w:rPr>
        <w:t>ed to inform the ITC</w:t>
      </w:r>
      <w:r w:rsidR="006B66DB">
        <w:rPr>
          <w:rFonts w:asciiTheme="minorHAnsi" w:hAnsiTheme="minorHAnsi"/>
          <w:bCs/>
          <w:lang w:val="en-GB"/>
        </w:rPr>
        <w:t xml:space="preserve">, </w:t>
      </w:r>
      <w:r w:rsidR="008F1EFE" w:rsidRPr="00B05BB5">
        <w:rPr>
          <w:rFonts w:asciiTheme="minorHAnsi" w:hAnsiTheme="minorHAnsi"/>
          <w:bCs/>
          <w:lang w:val="en-GB"/>
        </w:rPr>
        <w:t>this did not influence the interpretation</w:t>
      </w:r>
      <w:r w:rsidR="008F1EFE" w:rsidRPr="00F634CB">
        <w:rPr>
          <w:rFonts w:asciiTheme="minorHAnsi" w:hAnsiTheme="minorHAnsi"/>
          <w:bCs/>
          <w:lang w:val="en-GB"/>
        </w:rPr>
        <w:t xml:space="preserve"> of the results of the ITC</w:t>
      </w:r>
      <w:r w:rsidR="00427108">
        <w:rPr>
          <w:rFonts w:asciiTheme="minorHAnsi" w:hAnsiTheme="minorHAnsi"/>
          <w:bCs/>
          <w:lang w:val="en-GB"/>
        </w:rPr>
        <w:t xml:space="preserve"> nor the therapeutic conclusions</w:t>
      </w:r>
      <w:r w:rsidR="00124A24">
        <w:rPr>
          <w:rFonts w:asciiTheme="minorHAnsi" w:hAnsiTheme="minorHAnsi"/>
          <w:bCs/>
          <w:lang w:val="en-GB"/>
        </w:rPr>
        <w:t>.</w:t>
      </w:r>
      <w:r w:rsidR="006B66DB">
        <w:rPr>
          <w:rFonts w:asciiTheme="minorHAnsi" w:hAnsiTheme="minorHAnsi"/>
          <w:bCs/>
          <w:lang w:val="en-GB"/>
        </w:rPr>
        <w:t xml:space="preserve"> </w:t>
      </w:r>
    </w:p>
    <w:p w:rsidR="00124A24" w:rsidRDefault="00124A24" w:rsidP="005547F4">
      <w:pPr>
        <w:numPr>
          <w:ilvl w:val="1"/>
          <w:numId w:val="3"/>
        </w:numPr>
        <w:spacing w:after="120"/>
        <w:rPr>
          <w:rFonts w:asciiTheme="minorHAnsi" w:hAnsiTheme="minorHAnsi"/>
          <w:bCs/>
          <w:lang w:val="en-GB"/>
        </w:rPr>
      </w:pPr>
      <w:r>
        <w:rPr>
          <w:rFonts w:asciiTheme="minorHAnsi" w:hAnsiTheme="minorHAnsi"/>
          <w:bCs/>
          <w:lang w:val="en-GB"/>
        </w:rPr>
        <w:t>The PBAC considered that</w:t>
      </w:r>
      <w:r w:rsidR="00616BC5" w:rsidRPr="00770FCD">
        <w:rPr>
          <w:rFonts w:asciiTheme="minorHAnsi" w:hAnsiTheme="minorHAnsi"/>
          <w:bCs/>
          <w:lang w:val="en-GB"/>
        </w:rPr>
        <w:t xml:space="preserve"> rivaroxaban </w:t>
      </w:r>
      <w:r w:rsidR="00FA38D6">
        <w:rPr>
          <w:rFonts w:asciiTheme="minorHAnsi" w:hAnsiTheme="minorHAnsi"/>
          <w:bCs/>
          <w:lang w:val="en-GB"/>
        </w:rPr>
        <w:t>10</w:t>
      </w:r>
      <w:r w:rsidR="00194C9E">
        <w:rPr>
          <w:rFonts w:asciiTheme="minorHAnsi" w:hAnsiTheme="minorHAnsi"/>
          <w:bCs/>
          <w:lang w:val="en-GB"/>
        </w:rPr>
        <w:t xml:space="preserve"> </w:t>
      </w:r>
      <w:r w:rsidR="00FA38D6">
        <w:rPr>
          <w:rFonts w:asciiTheme="minorHAnsi" w:hAnsiTheme="minorHAnsi"/>
          <w:bCs/>
          <w:lang w:val="en-GB"/>
        </w:rPr>
        <w:t xml:space="preserve">mg </w:t>
      </w:r>
      <w:r w:rsidR="00616BC5" w:rsidRPr="00770FCD">
        <w:rPr>
          <w:rFonts w:asciiTheme="minorHAnsi" w:hAnsiTheme="minorHAnsi"/>
          <w:bCs/>
          <w:lang w:val="en-GB"/>
        </w:rPr>
        <w:t xml:space="preserve">was </w:t>
      </w:r>
      <w:r w:rsidR="00DE1314">
        <w:rPr>
          <w:rFonts w:asciiTheme="minorHAnsi" w:hAnsiTheme="minorHAnsi"/>
          <w:bCs/>
          <w:lang w:val="en-GB"/>
        </w:rPr>
        <w:t xml:space="preserve">therapeutically equivalent </w:t>
      </w:r>
      <w:r w:rsidR="00321599" w:rsidRPr="00770FCD">
        <w:rPr>
          <w:rFonts w:asciiTheme="minorHAnsi" w:hAnsiTheme="minorHAnsi"/>
          <w:bCs/>
          <w:lang w:val="en-GB"/>
        </w:rPr>
        <w:t xml:space="preserve">to </w:t>
      </w:r>
      <w:r w:rsidR="006B66DB">
        <w:rPr>
          <w:rFonts w:asciiTheme="minorHAnsi" w:hAnsiTheme="minorHAnsi"/>
          <w:bCs/>
          <w:lang w:val="en-GB"/>
        </w:rPr>
        <w:t xml:space="preserve">rivaroxaban 20 mg and </w:t>
      </w:r>
      <w:proofErr w:type="spellStart"/>
      <w:r w:rsidR="006B66DB">
        <w:rPr>
          <w:rFonts w:asciiTheme="minorHAnsi" w:hAnsiTheme="minorHAnsi"/>
          <w:bCs/>
          <w:lang w:val="en-GB"/>
        </w:rPr>
        <w:t>apixaban</w:t>
      </w:r>
      <w:proofErr w:type="spellEnd"/>
      <w:r w:rsidR="006B66DB">
        <w:rPr>
          <w:rFonts w:asciiTheme="minorHAnsi" w:hAnsiTheme="minorHAnsi"/>
          <w:bCs/>
          <w:lang w:val="en-GB"/>
        </w:rPr>
        <w:t xml:space="preserve"> 2.5 mg </w:t>
      </w:r>
      <w:r w:rsidR="00616BC5" w:rsidRPr="00770FCD">
        <w:rPr>
          <w:rFonts w:asciiTheme="minorHAnsi" w:hAnsiTheme="minorHAnsi"/>
          <w:bCs/>
          <w:lang w:val="en-GB"/>
        </w:rPr>
        <w:t>for the</w:t>
      </w:r>
      <w:r w:rsidR="006B66DB">
        <w:rPr>
          <w:rFonts w:asciiTheme="minorHAnsi" w:hAnsiTheme="minorHAnsi"/>
          <w:bCs/>
          <w:lang w:val="en-GB"/>
        </w:rPr>
        <w:t xml:space="preserve"> efficacy</w:t>
      </w:r>
      <w:r w:rsidR="00616BC5" w:rsidRPr="00770FCD">
        <w:rPr>
          <w:rFonts w:asciiTheme="minorHAnsi" w:hAnsiTheme="minorHAnsi"/>
          <w:bCs/>
          <w:lang w:val="en-GB"/>
        </w:rPr>
        <w:t xml:space="preserve"> outcome of recurrent VTE or VTE-related death</w:t>
      </w:r>
      <w:r>
        <w:rPr>
          <w:rFonts w:asciiTheme="minorHAnsi" w:hAnsiTheme="minorHAnsi"/>
          <w:bCs/>
          <w:lang w:val="en-GB"/>
        </w:rPr>
        <w:t xml:space="preserve">, and </w:t>
      </w:r>
      <w:r w:rsidR="004C5955">
        <w:rPr>
          <w:rFonts w:asciiTheme="minorHAnsi" w:hAnsiTheme="minorHAnsi"/>
          <w:bCs/>
          <w:lang w:val="en-GB"/>
        </w:rPr>
        <w:t>also had a similar</w:t>
      </w:r>
      <w:r>
        <w:rPr>
          <w:rFonts w:asciiTheme="minorHAnsi" w:hAnsiTheme="minorHAnsi"/>
          <w:bCs/>
          <w:lang w:val="en-GB"/>
        </w:rPr>
        <w:t xml:space="preserve"> safety</w:t>
      </w:r>
      <w:r w:rsidR="004C5955">
        <w:rPr>
          <w:rFonts w:asciiTheme="minorHAnsi" w:hAnsiTheme="minorHAnsi"/>
          <w:bCs/>
          <w:lang w:val="en-GB"/>
        </w:rPr>
        <w:t xml:space="preserve"> profile,</w:t>
      </w:r>
      <w:r>
        <w:rPr>
          <w:rFonts w:asciiTheme="minorHAnsi" w:hAnsiTheme="minorHAnsi"/>
          <w:bCs/>
          <w:lang w:val="en-GB"/>
        </w:rPr>
        <w:t xml:space="preserve"> in terms of major bleeding and clinically relevant non-major bleeding</w:t>
      </w:r>
      <w:r w:rsidR="006B66DB">
        <w:rPr>
          <w:rFonts w:asciiTheme="minorHAnsi" w:hAnsiTheme="minorHAnsi"/>
          <w:bCs/>
          <w:lang w:val="en-GB"/>
        </w:rPr>
        <w:t xml:space="preserve">. </w:t>
      </w:r>
      <w:r>
        <w:rPr>
          <w:rFonts w:asciiTheme="minorHAnsi" w:hAnsiTheme="minorHAnsi"/>
          <w:bCs/>
          <w:lang w:val="en-GB"/>
        </w:rPr>
        <w:t>While</w:t>
      </w:r>
      <w:r w:rsidRPr="009E2BE3">
        <w:rPr>
          <w:rFonts w:asciiTheme="minorHAnsi" w:hAnsiTheme="minorHAnsi"/>
          <w:bCs/>
          <w:lang w:val="en-GB"/>
        </w:rPr>
        <w:t xml:space="preserve"> the direct comparison was not powered </w:t>
      </w:r>
      <w:r w:rsidRPr="009E2BE3">
        <w:rPr>
          <w:rFonts w:asciiTheme="minorHAnsi" w:hAnsiTheme="minorHAnsi"/>
          <w:bCs/>
          <w:lang w:val="en-GB"/>
        </w:rPr>
        <w:lastRenderedPageBreak/>
        <w:t>to demonstrate non-inferiority</w:t>
      </w:r>
      <w:r>
        <w:rPr>
          <w:rFonts w:asciiTheme="minorHAnsi" w:hAnsiTheme="minorHAnsi"/>
          <w:bCs/>
          <w:lang w:val="en-GB"/>
        </w:rPr>
        <w:t>, the PBAC considered that</w:t>
      </w:r>
      <w:r w:rsidRPr="009E2BE3">
        <w:rPr>
          <w:rFonts w:asciiTheme="minorHAnsi" w:hAnsiTheme="minorHAnsi"/>
          <w:bCs/>
          <w:lang w:val="en-GB"/>
        </w:rPr>
        <w:t xml:space="preserve"> the comparisons supported the claim of therapeutic equivalence in efficacy and with no additional risk </w:t>
      </w:r>
      <w:r>
        <w:rPr>
          <w:rFonts w:asciiTheme="minorHAnsi" w:hAnsiTheme="minorHAnsi"/>
          <w:bCs/>
          <w:lang w:val="en-GB"/>
        </w:rPr>
        <w:t xml:space="preserve">of bleeds. </w:t>
      </w:r>
    </w:p>
    <w:p w:rsidR="00FA38D6" w:rsidRDefault="00FA38D6" w:rsidP="005547F4">
      <w:pPr>
        <w:numPr>
          <w:ilvl w:val="1"/>
          <w:numId w:val="3"/>
        </w:numPr>
        <w:spacing w:after="120"/>
        <w:rPr>
          <w:rFonts w:asciiTheme="minorHAnsi" w:hAnsiTheme="minorHAnsi"/>
          <w:bCs/>
          <w:lang w:val="en-GB"/>
        </w:rPr>
      </w:pPr>
      <w:r w:rsidRPr="0024537A">
        <w:rPr>
          <w:rFonts w:asciiTheme="minorHAnsi" w:hAnsiTheme="minorHAnsi"/>
          <w:bCs/>
          <w:lang w:val="en-GB"/>
        </w:rPr>
        <w:t xml:space="preserve">The PBAC noted that although the ITC results favoured </w:t>
      </w:r>
      <w:proofErr w:type="spellStart"/>
      <w:r w:rsidRPr="0024537A">
        <w:rPr>
          <w:rFonts w:asciiTheme="minorHAnsi" w:hAnsiTheme="minorHAnsi"/>
          <w:bCs/>
          <w:lang w:val="en-GB"/>
        </w:rPr>
        <w:t>apixaban</w:t>
      </w:r>
      <w:proofErr w:type="spellEnd"/>
      <w:r w:rsidRPr="0024537A">
        <w:rPr>
          <w:rFonts w:asciiTheme="minorHAnsi" w:hAnsiTheme="minorHAnsi"/>
          <w:bCs/>
          <w:lang w:val="en-GB"/>
        </w:rPr>
        <w:t xml:space="preserve"> 2.5</w:t>
      </w:r>
      <w:r w:rsidR="00194C9E">
        <w:rPr>
          <w:rFonts w:asciiTheme="minorHAnsi" w:hAnsiTheme="minorHAnsi"/>
          <w:bCs/>
          <w:lang w:val="en-GB"/>
        </w:rPr>
        <w:t xml:space="preserve"> </w:t>
      </w:r>
      <w:r w:rsidRPr="0024537A">
        <w:rPr>
          <w:rFonts w:asciiTheme="minorHAnsi" w:hAnsiTheme="minorHAnsi"/>
          <w:bCs/>
          <w:lang w:val="en-GB"/>
        </w:rPr>
        <w:t xml:space="preserve">mg for major bleeding there </w:t>
      </w:r>
      <w:r w:rsidR="006B66DB">
        <w:rPr>
          <w:rFonts w:asciiTheme="minorHAnsi" w:hAnsiTheme="minorHAnsi"/>
          <w:bCs/>
          <w:lang w:val="en-GB"/>
        </w:rPr>
        <w:t>w</w:t>
      </w:r>
      <w:r w:rsidRPr="0024537A">
        <w:rPr>
          <w:rFonts w:asciiTheme="minorHAnsi" w:hAnsiTheme="minorHAnsi"/>
          <w:bCs/>
          <w:lang w:val="en-GB"/>
        </w:rPr>
        <w:t xml:space="preserve">as a large amount of uncertainty around this estimate. </w:t>
      </w:r>
      <w:r w:rsidR="005F567B" w:rsidRPr="0024537A">
        <w:rPr>
          <w:rFonts w:asciiTheme="minorHAnsi" w:hAnsiTheme="minorHAnsi"/>
          <w:bCs/>
          <w:lang w:val="en-GB"/>
        </w:rPr>
        <w:t>The PBAC recalled that the results of the ITC were consistent with those presented in the ITC of rivaroxaban 20</w:t>
      </w:r>
      <w:r w:rsidR="00194C9E">
        <w:rPr>
          <w:rFonts w:asciiTheme="minorHAnsi" w:hAnsiTheme="minorHAnsi"/>
          <w:bCs/>
          <w:lang w:val="en-GB"/>
        </w:rPr>
        <w:t xml:space="preserve"> </w:t>
      </w:r>
      <w:r w:rsidR="005F567B" w:rsidRPr="0024537A">
        <w:rPr>
          <w:rFonts w:asciiTheme="minorHAnsi" w:hAnsiTheme="minorHAnsi"/>
          <w:bCs/>
          <w:lang w:val="en-GB"/>
        </w:rPr>
        <w:t xml:space="preserve">mg and </w:t>
      </w:r>
      <w:proofErr w:type="spellStart"/>
      <w:r w:rsidR="005F567B" w:rsidRPr="0024537A">
        <w:rPr>
          <w:rFonts w:asciiTheme="minorHAnsi" w:hAnsiTheme="minorHAnsi"/>
          <w:bCs/>
          <w:lang w:val="en-GB"/>
        </w:rPr>
        <w:t>apixaban</w:t>
      </w:r>
      <w:proofErr w:type="spellEnd"/>
      <w:r w:rsidR="005F567B" w:rsidRPr="0024537A">
        <w:rPr>
          <w:rFonts w:asciiTheme="minorHAnsi" w:hAnsiTheme="minorHAnsi"/>
          <w:bCs/>
          <w:lang w:val="en-GB"/>
        </w:rPr>
        <w:t xml:space="preserve"> 2.5 mg</w:t>
      </w:r>
      <w:r w:rsidR="00427108">
        <w:rPr>
          <w:rFonts w:asciiTheme="minorHAnsi" w:hAnsiTheme="minorHAnsi"/>
          <w:bCs/>
          <w:lang w:val="en-GB"/>
        </w:rPr>
        <w:t xml:space="preserve"> considered at the March 2015 PBAC meeting</w:t>
      </w:r>
      <w:r w:rsidR="005F567B" w:rsidRPr="0024537A">
        <w:rPr>
          <w:rFonts w:asciiTheme="minorHAnsi" w:hAnsiTheme="minorHAnsi"/>
          <w:bCs/>
          <w:lang w:val="en-GB"/>
        </w:rPr>
        <w:t xml:space="preserve">, in which the PBAC considered </w:t>
      </w:r>
      <w:r w:rsidR="00124A24">
        <w:rPr>
          <w:rFonts w:asciiTheme="minorHAnsi" w:hAnsiTheme="minorHAnsi"/>
          <w:bCs/>
          <w:lang w:val="en-GB"/>
        </w:rPr>
        <w:t xml:space="preserve">the medicines </w:t>
      </w:r>
      <w:r w:rsidR="005F567B" w:rsidRPr="0024537A">
        <w:rPr>
          <w:rFonts w:asciiTheme="minorHAnsi" w:hAnsiTheme="minorHAnsi"/>
          <w:bCs/>
          <w:lang w:val="en-GB"/>
        </w:rPr>
        <w:t>to be non-inferior.</w:t>
      </w:r>
    </w:p>
    <w:p w:rsidR="006B66DB" w:rsidRPr="00124A24" w:rsidRDefault="00124A24" w:rsidP="00124A24">
      <w:pPr>
        <w:numPr>
          <w:ilvl w:val="1"/>
          <w:numId w:val="3"/>
        </w:numPr>
        <w:spacing w:after="120"/>
        <w:rPr>
          <w:rFonts w:asciiTheme="minorHAnsi" w:hAnsiTheme="minorHAnsi"/>
          <w:bCs/>
          <w:lang w:val="en-GB"/>
        </w:rPr>
      </w:pPr>
      <w:r w:rsidRPr="00236717">
        <w:rPr>
          <w:rFonts w:asciiTheme="minorHAnsi" w:hAnsiTheme="minorHAnsi"/>
          <w:bCs/>
          <w:lang w:val="en-GB"/>
        </w:rPr>
        <w:t xml:space="preserve">The recommendation for listing </w:t>
      </w:r>
      <w:r w:rsidR="00427108">
        <w:rPr>
          <w:rFonts w:asciiTheme="minorHAnsi" w:hAnsiTheme="minorHAnsi"/>
          <w:bCs/>
          <w:lang w:val="en-GB"/>
        </w:rPr>
        <w:t xml:space="preserve">rivaroxaban 10 mg once daily </w:t>
      </w:r>
      <w:r w:rsidRPr="00236717">
        <w:rPr>
          <w:rFonts w:asciiTheme="minorHAnsi" w:hAnsiTheme="minorHAnsi"/>
          <w:bCs/>
          <w:lang w:val="en-GB"/>
        </w:rPr>
        <w:t xml:space="preserve">was </w:t>
      </w:r>
      <w:r>
        <w:rPr>
          <w:rFonts w:asciiTheme="minorHAnsi" w:hAnsiTheme="minorHAnsi"/>
          <w:bCs/>
          <w:lang w:val="en-GB"/>
        </w:rPr>
        <w:t xml:space="preserve">on a cost-minimisation </w:t>
      </w:r>
      <w:r w:rsidR="00427108">
        <w:rPr>
          <w:rFonts w:asciiTheme="minorHAnsi" w:hAnsiTheme="minorHAnsi"/>
          <w:bCs/>
          <w:lang w:val="en-GB"/>
        </w:rPr>
        <w:t xml:space="preserve">basis </w:t>
      </w:r>
      <w:r w:rsidR="00D44843">
        <w:rPr>
          <w:rFonts w:asciiTheme="minorHAnsi" w:hAnsiTheme="minorHAnsi"/>
          <w:bCs/>
          <w:lang w:val="en-GB"/>
        </w:rPr>
        <w:t>with</w:t>
      </w:r>
      <w:r>
        <w:rPr>
          <w:rFonts w:asciiTheme="minorHAnsi" w:hAnsiTheme="minorHAnsi"/>
          <w:bCs/>
          <w:lang w:val="en-GB"/>
        </w:rPr>
        <w:t xml:space="preserve"> </w:t>
      </w:r>
      <w:r w:rsidRPr="00236717">
        <w:rPr>
          <w:rFonts w:asciiTheme="minorHAnsi" w:hAnsiTheme="minorHAnsi"/>
          <w:bCs/>
          <w:lang w:val="en-GB"/>
        </w:rPr>
        <w:t>rivaroxaban 20 mg</w:t>
      </w:r>
      <w:r>
        <w:rPr>
          <w:rFonts w:asciiTheme="minorHAnsi" w:hAnsiTheme="minorHAnsi"/>
          <w:bCs/>
          <w:lang w:val="en-GB"/>
        </w:rPr>
        <w:t xml:space="preserve"> </w:t>
      </w:r>
      <w:r w:rsidR="00D44843">
        <w:rPr>
          <w:rFonts w:asciiTheme="minorHAnsi" w:hAnsiTheme="minorHAnsi"/>
          <w:bCs/>
          <w:lang w:val="en-GB"/>
        </w:rPr>
        <w:t xml:space="preserve">once daily </w:t>
      </w:r>
      <w:r>
        <w:rPr>
          <w:rFonts w:asciiTheme="minorHAnsi" w:hAnsiTheme="minorHAnsi"/>
          <w:bCs/>
          <w:lang w:val="en-GB"/>
        </w:rPr>
        <w:t xml:space="preserve">and </w:t>
      </w:r>
      <w:proofErr w:type="spellStart"/>
      <w:r>
        <w:rPr>
          <w:rFonts w:asciiTheme="minorHAnsi" w:hAnsiTheme="minorHAnsi"/>
          <w:bCs/>
          <w:lang w:val="en-GB"/>
        </w:rPr>
        <w:t>apixaban</w:t>
      </w:r>
      <w:proofErr w:type="spellEnd"/>
      <w:r>
        <w:rPr>
          <w:rFonts w:asciiTheme="minorHAnsi" w:hAnsiTheme="minorHAnsi"/>
          <w:bCs/>
          <w:lang w:val="en-GB"/>
        </w:rPr>
        <w:t xml:space="preserve"> 2.5 mg</w:t>
      </w:r>
      <w:r w:rsidR="00D44843">
        <w:rPr>
          <w:rFonts w:asciiTheme="minorHAnsi" w:hAnsiTheme="minorHAnsi"/>
          <w:bCs/>
          <w:lang w:val="en-GB"/>
        </w:rPr>
        <w:t xml:space="preserve"> twice daily, at an equivalent cost per day. </w:t>
      </w:r>
    </w:p>
    <w:p w:rsidR="005547F4" w:rsidRPr="00B05BB5" w:rsidRDefault="00D44843" w:rsidP="005547F4">
      <w:pPr>
        <w:numPr>
          <w:ilvl w:val="1"/>
          <w:numId w:val="3"/>
        </w:numPr>
        <w:spacing w:after="120"/>
        <w:rPr>
          <w:rFonts w:asciiTheme="minorHAnsi" w:hAnsiTheme="minorHAnsi"/>
          <w:bCs/>
          <w:lang w:val="en-GB"/>
        </w:rPr>
      </w:pPr>
      <w:r>
        <w:rPr>
          <w:rFonts w:asciiTheme="minorHAnsi" w:hAnsiTheme="minorHAnsi"/>
          <w:bCs/>
          <w:lang w:val="en-GB"/>
        </w:rPr>
        <w:t>T</w:t>
      </w:r>
      <w:r w:rsidR="000D09F6" w:rsidRPr="0024537A">
        <w:rPr>
          <w:rFonts w:asciiTheme="minorHAnsi" w:hAnsiTheme="minorHAnsi"/>
          <w:bCs/>
          <w:lang w:val="en-GB"/>
        </w:rPr>
        <w:t xml:space="preserve">he estimated utilisation assumed that substitution of use by the comparators would occur without an increase in the size of the eligible patient pool for these medicines.  </w:t>
      </w:r>
      <w:r w:rsidR="008C654A" w:rsidRPr="0024537A">
        <w:rPr>
          <w:rFonts w:asciiTheme="minorHAnsi" w:hAnsiTheme="minorHAnsi"/>
          <w:bCs/>
          <w:lang w:val="en-GB"/>
        </w:rPr>
        <w:t xml:space="preserve">The PBAC noted the uncertainties around the estimates, </w:t>
      </w:r>
      <w:r>
        <w:rPr>
          <w:rFonts w:asciiTheme="minorHAnsi" w:hAnsiTheme="minorHAnsi"/>
          <w:bCs/>
          <w:lang w:val="en-GB"/>
        </w:rPr>
        <w:t>however</w:t>
      </w:r>
      <w:r w:rsidR="008C654A" w:rsidRPr="0024537A">
        <w:rPr>
          <w:rFonts w:asciiTheme="minorHAnsi" w:hAnsiTheme="minorHAnsi"/>
          <w:bCs/>
          <w:lang w:val="en-GB"/>
        </w:rPr>
        <w:t xml:space="preserve"> </w:t>
      </w:r>
      <w:r w:rsidR="00A84D51" w:rsidRPr="0024537A">
        <w:rPr>
          <w:rFonts w:asciiTheme="minorHAnsi" w:hAnsiTheme="minorHAnsi"/>
          <w:bCs/>
          <w:lang w:val="en-GB"/>
        </w:rPr>
        <w:t>considered that the estimated utilisation was reasonable</w:t>
      </w:r>
      <w:r w:rsidR="008C654A" w:rsidRPr="0024537A">
        <w:rPr>
          <w:rFonts w:asciiTheme="minorHAnsi" w:hAnsiTheme="minorHAnsi"/>
          <w:bCs/>
          <w:lang w:val="en-GB"/>
        </w:rPr>
        <w:t xml:space="preserve"> </w:t>
      </w:r>
      <w:r w:rsidR="008C654A" w:rsidRPr="00B05BB5">
        <w:rPr>
          <w:rFonts w:asciiTheme="minorHAnsi" w:hAnsiTheme="minorHAnsi"/>
          <w:bCs/>
          <w:lang w:val="en-GB"/>
        </w:rPr>
        <w:t>as the uncertainties were expect</w:t>
      </w:r>
      <w:r w:rsidR="00194C9E">
        <w:rPr>
          <w:rFonts w:asciiTheme="minorHAnsi" w:hAnsiTheme="minorHAnsi"/>
          <w:bCs/>
          <w:lang w:val="en-GB"/>
        </w:rPr>
        <w:t xml:space="preserve">ed to have </w:t>
      </w:r>
      <w:r w:rsidR="008C654A" w:rsidRPr="00B05BB5">
        <w:rPr>
          <w:rFonts w:asciiTheme="minorHAnsi" w:hAnsiTheme="minorHAnsi"/>
          <w:bCs/>
          <w:lang w:val="en-GB"/>
        </w:rPr>
        <w:t>negligible impact</w:t>
      </w:r>
      <w:r w:rsidR="00A84D51" w:rsidRPr="00B05BB5">
        <w:rPr>
          <w:rFonts w:asciiTheme="minorHAnsi" w:hAnsiTheme="minorHAnsi"/>
          <w:bCs/>
          <w:lang w:val="en-GB"/>
        </w:rPr>
        <w:t xml:space="preserve">. </w:t>
      </w:r>
    </w:p>
    <w:p w:rsidR="005547F4" w:rsidRPr="003662AE" w:rsidRDefault="005547F4" w:rsidP="005547F4">
      <w:pPr>
        <w:numPr>
          <w:ilvl w:val="1"/>
          <w:numId w:val="3"/>
        </w:numPr>
        <w:spacing w:after="120"/>
        <w:rPr>
          <w:rFonts w:asciiTheme="minorHAnsi" w:hAnsiTheme="minorHAnsi"/>
          <w:bCs/>
          <w:lang w:val="en-GB"/>
        </w:rPr>
      </w:pPr>
      <w:r w:rsidRPr="003662AE">
        <w:rPr>
          <w:rFonts w:asciiTheme="minorHAnsi" w:hAnsiTheme="minorHAnsi"/>
          <w:bCs/>
          <w:lang w:val="en-GB"/>
        </w:rPr>
        <w:t xml:space="preserve">The PBAC </w:t>
      </w:r>
      <w:r w:rsidR="009766C0">
        <w:rPr>
          <w:rFonts w:asciiTheme="minorHAnsi" w:hAnsiTheme="minorHAnsi"/>
          <w:bCs/>
          <w:lang w:val="en-GB"/>
        </w:rPr>
        <w:t xml:space="preserve">reaffirmed its March 2015 advice under Section 101(3BA) of the </w:t>
      </w:r>
      <w:r w:rsidR="009766C0">
        <w:rPr>
          <w:rFonts w:asciiTheme="minorHAnsi" w:hAnsiTheme="minorHAnsi"/>
          <w:bCs/>
          <w:i/>
          <w:lang w:val="en-GB"/>
        </w:rPr>
        <w:t xml:space="preserve">National Health </w:t>
      </w:r>
      <w:r w:rsidR="009766C0" w:rsidRPr="009766C0">
        <w:rPr>
          <w:rFonts w:asciiTheme="minorHAnsi" w:hAnsiTheme="minorHAnsi"/>
          <w:bCs/>
          <w:i/>
          <w:lang w:val="en-GB"/>
        </w:rPr>
        <w:t>Act</w:t>
      </w:r>
      <w:r w:rsidR="009766C0">
        <w:rPr>
          <w:rFonts w:asciiTheme="minorHAnsi" w:hAnsiTheme="minorHAnsi"/>
          <w:bCs/>
          <w:i/>
          <w:lang w:val="en-GB"/>
        </w:rPr>
        <w:t xml:space="preserve"> </w:t>
      </w:r>
      <w:r w:rsidR="009766C0" w:rsidRPr="009766C0">
        <w:rPr>
          <w:rFonts w:asciiTheme="minorHAnsi" w:hAnsiTheme="minorHAnsi"/>
          <w:bCs/>
          <w:i/>
          <w:lang w:val="en-GB"/>
        </w:rPr>
        <w:t>1953</w:t>
      </w:r>
      <w:r w:rsidR="009766C0">
        <w:rPr>
          <w:rFonts w:asciiTheme="minorHAnsi" w:hAnsiTheme="minorHAnsi"/>
          <w:bCs/>
          <w:i/>
          <w:lang w:val="en-GB"/>
        </w:rPr>
        <w:t xml:space="preserve"> </w:t>
      </w:r>
      <w:r w:rsidRPr="009766C0">
        <w:rPr>
          <w:rFonts w:asciiTheme="minorHAnsi" w:hAnsiTheme="minorHAnsi"/>
          <w:bCs/>
          <w:lang w:val="en-GB"/>
        </w:rPr>
        <w:t>that</w:t>
      </w:r>
      <w:r w:rsidRPr="003662AE">
        <w:rPr>
          <w:rFonts w:asciiTheme="minorHAnsi" w:hAnsiTheme="minorHAnsi"/>
          <w:bCs/>
          <w:lang w:val="en-GB"/>
        </w:rPr>
        <w:t xml:space="preserve"> </w:t>
      </w:r>
      <w:r w:rsidR="003662AE" w:rsidRPr="003662AE">
        <w:rPr>
          <w:rFonts w:asciiTheme="minorHAnsi" w:hAnsiTheme="minorHAnsi"/>
          <w:bCs/>
          <w:lang w:val="en-GB"/>
        </w:rPr>
        <w:t xml:space="preserve">rivaroxaban </w:t>
      </w:r>
      <w:r w:rsidRPr="003662AE">
        <w:rPr>
          <w:rFonts w:asciiTheme="minorHAnsi" w:hAnsiTheme="minorHAnsi"/>
          <w:bCs/>
          <w:lang w:val="en-GB"/>
        </w:rPr>
        <w:t xml:space="preserve">should be treated as interchangeable on an individual patient basis with </w:t>
      </w:r>
      <w:proofErr w:type="spellStart"/>
      <w:r w:rsidR="003662AE" w:rsidRPr="003662AE">
        <w:rPr>
          <w:rFonts w:asciiTheme="minorHAnsi" w:hAnsiTheme="minorHAnsi" w:cstheme="minorHAnsi"/>
          <w:lang w:eastAsia="zh-CN"/>
        </w:rPr>
        <w:t>apixaban</w:t>
      </w:r>
      <w:proofErr w:type="spellEnd"/>
      <w:r w:rsidRPr="003662AE">
        <w:rPr>
          <w:rFonts w:asciiTheme="minorHAnsi" w:hAnsiTheme="minorHAnsi"/>
          <w:bCs/>
          <w:lang w:val="en-GB"/>
        </w:rPr>
        <w:t xml:space="preserve">.  </w:t>
      </w:r>
    </w:p>
    <w:p w:rsidR="005547F4" w:rsidRPr="003662AE" w:rsidRDefault="005547F4" w:rsidP="003662AE">
      <w:pPr>
        <w:numPr>
          <w:ilvl w:val="1"/>
          <w:numId w:val="3"/>
        </w:numPr>
        <w:spacing w:after="120"/>
        <w:rPr>
          <w:rFonts w:asciiTheme="minorHAnsi" w:hAnsiTheme="minorHAnsi"/>
          <w:bCs/>
          <w:lang w:val="en-GB"/>
        </w:rPr>
      </w:pPr>
      <w:r w:rsidRPr="003662AE">
        <w:rPr>
          <w:rFonts w:asciiTheme="minorHAnsi" w:hAnsiTheme="minorHAnsi"/>
          <w:bCs/>
          <w:lang w:val="en-GB"/>
        </w:rPr>
        <w:t xml:space="preserve">The PBAC advised that </w:t>
      </w:r>
      <w:r w:rsidR="003662AE" w:rsidRPr="003662AE">
        <w:rPr>
          <w:rFonts w:asciiTheme="minorHAnsi" w:hAnsiTheme="minorHAnsi"/>
          <w:bCs/>
          <w:lang w:val="en-GB"/>
        </w:rPr>
        <w:t>rivaroxaban</w:t>
      </w:r>
      <w:r w:rsidRPr="003662AE">
        <w:rPr>
          <w:rFonts w:asciiTheme="minorHAnsi" w:hAnsiTheme="minorHAnsi"/>
          <w:bCs/>
          <w:lang w:val="en-GB"/>
        </w:rPr>
        <w:t xml:space="preserve"> is suitable for prescribing by nurse practitioners</w:t>
      </w:r>
      <w:r w:rsidR="003662AE" w:rsidRPr="003662AE">
        <w:rPr>
          <w:rFonts w:asciiTheme="minorHAnsi" w:hAnsiTheme="minorHAnsi"/>
          <w:bCs/>
          <w:lang w:val="en-GB"/>
        </w:rPr>
        <w:t xml:space="preserve"> within collaborative arrangements under a shared care model.</w:t>
      </w:r>
    </w:p>
    <w:p w:rsidR="006B66DB" w:rsidRDefault="005547F4" w:rsidP="000F68C9">
      <w:pPr>
        <w:numPr>
          <w:ilvl w:val="1"/>
          <w:numId w:val="3"/>
        </w:numPr>
        <w:spacing w:after="120"/>
        <w:rPr>
          <w:rFonts w:asciiTheme="minorHAnsi" w:hAnsiTheme="minorHAnsi"/>
          <w:bCs/>
          <w:lang w:val="en-GB"/>
        </w:rPr>
      </w:pPr>
      <w:r w:rsidRPr="006B66DB">
        <w:rPr>
          <w:rFonts w:asciiTheme="minorHAnsi" w:hAnsiTheme="minorHAnsi"/>
          <w:bCs/>
          <w:lang w:val="en-GB"/>
        </w:rPr>
        <w:t>The PBAC recommended that the Early Supply Rule should apply</w:t>
      </w:r>
      <w:r w:rsidR="006B66DB" w:rsidRPr="006B66DB">
        <w:rPr>
          <w:rFonts w:asciiTheme="minorHAnsi" w:hAnsiTheme="minorHAnsi"/>
          <w:bCs/>
          <w:lang w:val="en-GB"/>
        </w:rPr>
        <w:t>.</w:t>
      </w:r>
    </w:p>
    <w:p w:rsidR="000F68C9" w:rsidRPr="006B66DB" w:rsidRDefault="005547F4" w:rsidP="000F68C9">
      <w:pPr>
        <w:numPr>
          <w:ilvl w:val="1"/>
          <w:numId w:val="3"/>
        </w:numPr>
        <w:spacing w:after="120"/>
        <w:rPr>
          <w:rFonts w:asciiTheme="minorHAnsi" w:hAnsiTheme="minorHAnsi"/>
          <w:bCs/>
          <w:lang w:val="en-GB"/>
        </w:rPr>
      </w:pPr>
      <w:r w:rsidRPr="006B66DB">
        <w:rPr>
          <w:rFonts w:asciiTheme="minorHAnsi" w:hAnsiTheme="minorHAnsi"/>
          <w:bCs/>
          <w:lang w:val="en-GB"/>
        </w:rPr>
        <w:t>The PBAC noted that this submission is</w:t>
      </w:r>
      <w:r w:rsidR="000F68C9" w:rsidRPr="006B66DB">
        <w:rPr>
          <w:rFonts w:asciiTheme="minorHAnsi" w:hAnsiTheme="minorHAnsi"/>
          <w:bCs/>
          <w:lang w:val="en-GB"/>
        </w:rPr>
        <w:t xml:space="preserve"> not</w:t>
      </w:r>
      <w:r w:rsidRPr="006B66DB">
        <w:rPr>
          <w:rFonts w:asciiTheme="minorHAnsi" w:hAnsiTheme="minorHAnsi"/>
          <w:bCs/>
          <w:lang w:val="en-GB"/>
        </w:rPr>
        <w:t xml:space="preserve"> eli</w:t>
      </w:r>
      <w:r w:rsidR="000F68C9" w:rsidRPr="006B66DB">
        <w:rPr>
          <w:rFonts w:asciiTheme="minorHAnsi" w:hAnsiTheme="minorHAnsi"/>
          <w:bCs/>
          <w:lang w:val="en-GB"/>
        </w:rPr>
        <w:t xml:space="preserve">gible for an Independent Review as it received a positive recommendation. </w:t>
      </w:r>
      <w:r w:rsidRPr="006B66DB">
        <w:rPr>
          <w:rFonts w:asciiTheme="minorHAnsi" w:hAnsiTheme="minorHAnsi"/>
          <w:bCs/>
          <w:lang w:val="en-GB"/>
        </w:rPr>
        <w:t xml:space="preserve"> </w:t>
      </w:r>
    </w:p>
    <w:p w:rsidR="005547F4" w:rsidRPr="003662AE" w:rsidRDefault="005547F4" w:rsidP="000F68C9">
      <w:pPr>
        <w:spacing w:after="120"/>
        <w:rPr>
          <w:rFonts w:asciiTheme="minorHAnsi" w:hAnsiTheme="minorHAnsi"/>
          <w:b/>
          <w:bCs/>
          <w:lang w:val="en-GB"/>
        </w:rPr>
      </w:pPr>
      <w:r w:rsidRPr="003662AE">
        <w:rPr>
          <w:rFonts w:asciiTheme="minorHAnsi" w:hAnsiTheme="minorHAnsi"/>
          <w:b/>
          <w:bCs/>
          <w:lang w:val="en-GB"/>
        </w:rPr>
        <w:t>Outcome:</w:t>
      </w:r>
    </w:p>
    <w:p w:rsidR="00CD0C53" w:rsidRDefault="000F68C9" w:rsidP="005547F4">
      <w:pPr>
        <w:rPr>
          <w:rFonts w:asciiTheme="minorHAnsi" w:hAnsiTheme="minorHAnsi"/>
          <w:bCs/>
          <w:lang w:val="en-GB"/>
        </w:rPr>
      </w:pPr>
      <w:r>
        <w:rPr>
          <w:rFonts w:asciiTheme="minorHAnsi" w:hAnsiTheme="minorHAnsi"/>
          <w:bCs/>
          <w:lang w:val="en-GB"/>
        </w:rPr>
        <w:t>Recommended</w:t>
      </w:r>
    </w:p>
    <w:p w:rsidR="00CD0C53" w:rsidRDefault="00CD0C53">
      <w:pPr>
        <w:widowControl/>
        <w:jc w:val="left"/>
        <w:rPr>
          <w:rFonts w:asciiTheme="minorHAnsi" w:hAnsiTheme="minorHAnsi"/>
          <w:bCs/>
          <w:lang w:val="en-GB"/>
        </w:rPr>
      </w:pPr>
      <w:r>
        <w:rPr>
          <w:rFonts w:asciiTheme="minorHAnsi" w:hAnsiTheme="minorHAnsi"/>
          <w:bCs/>
          <w:lang w:val="en-GB"/>
        </w:rPr>
        <w:br w:type="page"/>
      </w:r>
    </w:p>
    <w:p w:rsidR="005547F4" w:rsidRPr="00922D1C" w:rsidRDefault="005547F4" w:rsidP="00C24FBF">
      <w:pPr>
        <w:pStyle w:val="PBACHeading1"/>
        <w:rPr>
          <w:i/>
          <w:lang w:val="en-GB"/>
        </w:rPr>
      </w:pPr>
      <w:r w:rsidRPr="00922D1C">
        <w:rPr>
          <w:lang w:val="en-GB"/>
        </w:rPr>
        <w:lastRenderedPageBreak/>
        <w:t>Recommended listing</w:t>
      </w:r>
    </w:p>
    <w:p w:rsidR="005547F4" w:rsidRPr="00922D1C" w:rsidRDefault="005547F4" w:rsidP="00AF21DC">
      <w:pPr>
        <w:numPr>
          <w:ilvl w:val="1"/>
          <w:numId w:val="3"/>
        </w:numPr>
        <w:spacing w:after="120"/>
        <w:rPr>
          <w:rFonts w:asciiTheme="minorHAnsi" w:hAnsiTheme="minorHAnsi"/>
          <w:bCs/>
        </w:rPr>
      </w:pPr>
      <w:r w:rsidRPr="00922D1C">
        <w:rPr>
          <w:rFonts w:asciiTheme="minorHAnsi" w:hAnsiTheme="minorHAnsi"/>
          <w:bCs/>
        </w:rPr>
        <w:t>Add new item:</w:t>
      </w:r>
    </w:p>
    <w:tbl>
      <w:tblPr>
        <w:tblW w:w="9072" w:type="dxa"/>
        <w:tblInd w:w="108" w:type="dxa"/>
        <w:tblLayout w:type="fixed"/>
        <w:tblLook w:val="0000" w:firstRow="0" w:lastRow="0" w:firstColumn="0" w:lastColumn="0" w:noHBand="0" w:noVBand="0"/>
      </w:tblPr>
      <w:tblGrid>
        <w:gridCol w:w="1843"/>
        <w:gridCol w:w="1418"/>
        <w:gridCol w:w="567"/>
        <w:gridCol w:w="850"/>
        <w:gridCol w:w="4394"/>
      </w:tblGrid>
      <w:tr w:rsidR="003E0359" w:rsidRPr="003B567A" w:rsidTr="003D2E02">
        <w:trPr>
          <w:cantSplit/>
          <w:trHeight w:val="471"/>
        </w:trPr>
        <w:tc>
          <w:tcPr>
            <w:tcW w:w="3261" w:type="dxa"/>
            <w:gridSpan w:val="2"/>
            <w:tcBorders>
              <w:bottom w:val="single" w:sz="4" w:space="0" w:color="auto"/>
            </w:tcBorders>
          </w:tcPr>
          <w:p w:rsidR="003E0359" w:rsidRPr="00EF368B" w:rsidRDefault="003E0359" w:rsidP="003D2E02">
            <w:pPr>
              <w:keepNext/>
              <w:ind w:left="-108"/>
              <w:rPr>
                <w:rFonts w:ascii="Arial Narrow" w:hAnsi="Arial Narrow"/>
                <w:b/>
                <w:sz w:val="20"/>
                <w:szCs w:val="20"/>
              </w:rPr>
            </w:pPr>
            <w:r w:rsidRPr="00EF368B">
              <w:rPr>
                <w:rFonts w:ascii="Arial Narrow" w:hAnsi="Arial Narrow"/>
                <w:b/>
                <w:sz w:val="20"/>
                <w:szCs w:val="20"/>
              </w:rPr>
              <w:t>Name, Restriction,</w:t>
            </w:r>
          </w:p>
          <w:p w:rsidR="003E0359" w:rsidRPr="00EF368B" w:rsidRDefault="003E0359" w:rsidP="003D2E02">
            <w:pPr>
              <w:keepNext/>
              <w:ind w:left="-108"/>
              <w:rPr>
                <w:rFonts w:ascii="Arial Narrow" w:hAnsi="Arial Narrow"/>
                <w:b/>
                <w:sz w:val="20"/>
                <w:szCs w:val="20"/>
              </w:rPr>
            </w:pPr>
            <w:r w:rsidRPr="00EF368B">
              <w:rPr>
                <w:rFonts w:ascii="Arial Narrow" w:hAnsi="Arial Narrow"/>
                <w:b/>
                <w:sz w:val="20"/>
                <w:szCs w:val="20"/>
              </w:rPr>
              <w:t>Manner of administration and form</w:t>
            </w:r>
          </w:p>
        </w:tc>
        <w:tc>
          <w:tcPr>
            <w:tcW w:w="567" w:type="dxa"/>
            <w:tcBorders>
              <w:bottom w:val="single" w:sz="4" w:space="0" w:color="auto"/>
            </w:tcBorders>
          </w:tcPr>
          <w:p w:rsidR="003E0359" w:rsidRPr="00EF368B" w:rsidRDefault="003E0359" w:rsidP="003D2E02">
            <w:pPr>
              <w:keepNext/>
              <w:ind w:left="-108"/>
              <w:rPr>
                <w:rFonts w:ascii="Arial Narrow" w:hAnsi="Arial Narrow"/>
                <w:b/>
                <w:sz w:val="20"/>
                <w:szCs w:val="20"/>
              </w:rPr>
            </w:pPr>
            <w:r w:rsidRPr="00EF368B">
              <w:rPr>
                <w:rFonts w:ascii="Arial Narrow" w:hAnsi="Arial Narrow"/>
                <w:b/>
                <w:sz w:val="20"/>
                <w:szCs w:val="20"/>
              </w:rPr>
              <w:t>Max.</w:t>
            </w:r>
          </w:p>
          <w:p w:rsidR="003E0359" w:rsidRPr="00EF368B" w:rsidRDefault="003E0359" w:rsidP="003D2E02">
            <w:pPr>
              <w:keepNext/>
              <w:ind w:left="-108"/>
              <w:rPr>
                <w:rFonts w:ascii="Arial Narrow" w:hAnsi="Arial Narrow"/>
                <w:b/>
                <w:sz w:val="20"/>
                <w:szCs w:val="20"/>
              </w:rPr>
            </w:pPr>
            <w:r w:rsidRPr="00EF368B">
              <w:rPr>
                <w:rFonts w:ascii="Arial Narrow" w:hAnsi="Arial Narrow"/>
                <w:b/>
                <w:sz w:val="20"/>
                <w:szCs w:val="20"/>
              </w:rPr>
              <w:t>Qty</w:t>
            </w:r>
          </w:p>
        </w:tc>
        <w:tc>
          <w:tcPr>
            <w:tcW w:w="850" w:type="dxa"/>
            <w:tcBorders>
              <w:bottom w:val="single" w:sz="4" w:space="0" w:color="auto"/>
            </w:tcBorders>
          </w:tcPr>
          <w:p w:rsidR="003E0359" w:rsidRPr="00EF368B" w:rsidRDefault="003E0359" w:rsidP="003D2E02">
            <w:pPr>
              <w:keepNext/>
              <w:ind w:left="-108"/>
              <w:rPr>
                <w:rFonts w:ascii="Arial Narrow" w:hAnsi="Arial Narrow"/>
                <w:b/>
                <w:sz w:val="20"/>
                <w:szCs w:val="20"/>
              </w:rPr>
            </w:pPr>
            <w:r w:rsidRPr="00EF368B">
              <w:rPr>
                <w:rFonts w:ascii="Arial Narrow" w:hAnsi="Arial Narrow"/>
                <w:b/>
                <w:sz w:val="20"/>
                <w:szCs w:val="20"/>
              </w:rPr>
              <w:t>№.of</w:t>
            </w:r>
          </w:p>
          <w:p w:rsidR="003E0359" w:rsidRPr="00EF368B" w:rsidRDefault="003E0359" w:rsidP="003D2E02">
            <w:pPr>
              <w:keepNext/>
              <w:ind w:left="-108"/>
              <w:rPr>
                <w:rFonts w:ascii="Arial Narrow" w:hAnsi="Arial Narrow"/>
                <w:b/>
                <w:sz w:val="20"/>
                <w:szCs w:val="20"/>
              </w:rPr>
            </w:pPr>
            <w:r w:rsidRPr="00EF368B">
              <w:rPr>
                <w:rFonts w:ascii="Arial Narrow" w:hAnsi="Arial Narrow"/>
                <w:b/>
                <w:sz w:val="20"/>
                <w:szCs w:val="20"/>
              </w:rPr>
              <w:t>Rpts</w:t>
            </w:r>
          </w:p>
        </w:tc>
        <w:tc>
          <w:tcPr>
            <w:tcW w:w="4394" w:type="dxa"/>
            <w:tcBorders>
              <w:bottom w:val="single" w:sz="4" w:space="0" w:color="auto"/>
            </w:tcBorders>
          </w:tcPr>
          <w:p w:rsidR="003E0359" w:rsidRPr="00EF368B" w:rsidRDefault="003E0359" w:rsidP="003D2E02">
            <w:pPr>
              <w:keepNext/>
              <w:jc w:val="left"/>
              <w:rPr>
                <w:rFonts w:ascii="Arial Narrow" w:hAnsi="Arial Narrow"/>
                <w:b/>
                <w:sz w:val="20"/>
                <w:szCs w:val="20"/>
                <w:lang w:val="fr-FR"/>
              </w:rPr>
            </w:pPr>
            <w:r w:rsidRPr="00EF368B">
              <w:rPr>
                <w:rFonts w:ascii="Arial Narrow" w:hAnsi="Arial Narrow"/>
                <w:b/>
                <w:sz w:val="20"/>
                <w:szCs w:val="20"/>
              </w:rPr>
              <w:t>Proprietary Name and Manufacturer</w:t>
            </w:r>
          </w:p>
        </w:tc>
      </w:tr>
      <w:tr w:rsidR="003E0359" w:rsidRPr="003B567A" w:rsidTr="003D2E02">
        <w:trPr>
          <w:cantSplit/>
          <w:trHeight w:val="577"/>
        </w:trPr>
        <w:tc>
          <w:tcPr>
            <w:tcW w:w="3261" w:type="dxa"/>
            <w:gridSpan w:val="2"/>
          </w:tcPr>
          <w:p w:rsidR="003E0359" w:rsidRPr="006A5CEC" w:rsidRDefault="003E0359" w:rsidP="003D2E02">
            <w:pPr>
              <w:keepNext/>
              <w:ind w:left="-108"/>
              <w:rPr>
                <w:rFonts w:ascii="Arial Narrow" w:hAnsi="Arial Narrow"/>
                <w:smallCaps/>
                <w:sz w:val="20"/>
                <w:szCs w:val="20"/>
              </w:rPr>
            </w:pPr>
            <w:r w:rsidRPr="006A5CEC">
              <w:rPr>
                <w:rFonts w:ascii="Arial Narrow" w:hAnsi="Arial Narrow"/>
                <w:smallCaps/>
                <w:sz w:val="20"/>
                <w:szCs w:val="20"/>
              </w:rPr>
              <w:t>RIVAROXABAN</w:t>
            </w:r>
          </w:p>
          <w:p w:rsidR="003E0359" w:rsidRPr="00F32DAC" w:rsidRDefault="003E0359" w:rsidP="003D2E02">
            <w:pPr>
              <w:keepNext/>
              <w:ind w:left="-108"/>
              <w:rPr>
                <w:sz w:val="20"/>
                <w:szCs w:val="20"/>
              </w:rPr>
            </w:pPr>
            <w:r w:rsidRPr="006A5CEC">
              <w:rPr>
                <w:rFonts w:ascii="Arial Narrow" w:hAnsi="Arial Narrow"/>
                <w:sz w:val="20"/>
                <w:szCs w:val="20"/>
              </w:rPr>
              <w:t>10 mg tablet</w:t>
            </w:r>
            <w:r w:rsidRPr="006A5CEC">
              <w:rPr>
                <w:rFonts w:ascii="Arial Narrow" w:hAnsi="Arial Narrow"/>
                <w:smallCaps/>
                <w:sz w:val="20"/>
                <w:szCs w:val="20"/>
              </w:rPr>
              <w:t>, 30</w:t>
            </w:r>
            <w:r w:rsidRPr="003B567A">
              <w:rPr>
                <w:smallCaps/>
                <w:sz w:val="20"/>
                <w:szCs w:val="20"/>
              </w:rPr>
              <w:t xml:space="preserve"> </w:t>
            </w:r>
          </w:p>
        </w:tc>
        <w:tc>
          <w:tcPr>
            <w:tcW w:w="567" w:type="dxa"/>
          </w:tcPr>
          <w:p w:rsidR="003E0359" w:rsidRPr="006A5CEC" w:rsidRDefault="00363324" w:rsidP="003D2E02">
            <w:pPr>
              <w:keepNext/>
              <w:ind w:left="-108"/>
              <w:rPr>
                <w:rFonts w:ascii="Arial Narrow" w:hAnsi="Arial Narrow"/>
                <w:sz w:val="20"/>
                <w:szCs w:val="20"/>
              </w:rPr>
            </w:pPr>
            <w:r>
              <w:rPr>
                <w:rFonts w:ascii="Arial Narrow" w:hAnsi="Arial Narrow"/>
                <w:sz w:val="20"/>
                <w:szCs w:val="20"/>
              </w:rPr>
              <w:t>1</w:t>
            </w:r>
          </w:p>
        </w:tc>
        <w:tc>
          <w:tcPr>
            <w:tcW w:w="850" w:type="dxa"/>
          </w:tcPr>
          <w:p w:rsidR="003E0359" w:rsidRPr="006A5CEC" w:rsidRDefault="003E0359" w:rsidP="003D2E02">
            <w:pPr>
              <w:keepNext/>
              <w:ind w:left="-108"/>
              <w:rPr>
                <w:rFonts w:ascii="Arial Narrow" w:hAnsi="Arial Narrow"/>
                <w:sz w:val="20"/>
                <w:szCs w:val="20"/>
              </w:rPr>
            </w:pPr>
            <w:r w:rsidRPr="006A5CEC">
              <w:rPr>
                <w:rFonts w:ascii="Arial Narrow" w:hAnsi="Arial Narrow"/>
                <w:sz w:val="20"/>
                <w:szCs w:val="20"/>
              </w:rPr>
              <w:t>5</w:t>
            </w:r>
          </w:p>
        </w:tc>
        <w:tc>
          <w:tcPr>
            <w:tcW w:w="4394" w:type="dxa"/>
          </w:tcPr>
          <w:p w:rsidR="003E0359" w:rsidRPr="006A5CEC" w:rsidRDefault="003E0359" w:rsidP="003D2E02">
            <w:pPr>
              <w:keepNext/>
              <w:rPr>
                <w:rFonts w:ascii="Arial Narrow" w:hAnsi="Arial Narrow"/>
                <w:sz w:val="20"/>
                <w:szCs w:val="20"/>
              </w:rPr>
            </w:pPr>
            <w:proofErr w:type="spellStart"/>
            <w:r w:rsidRPr="006A5CEC">
              <w:rPr>
                <w:rFonts w:ascii="Arial Narrow" w:hAnsi="Arial Narrow"/>
                <w:sz w:val="20"/>
                <w:szCs w:val="20"/>
              </w:rPr>
              <w:t>Xarelto</w:t>
            </w:r>
            <w:proofErr w:type="spellEnd"/>
            <w:r w:rsidRPr="006A5CEC">
              <w:rPr>
                <w:rFonts w:ascii="Arial Narrow" w:hAnsi="Arial Narrow"/>
                <w:sz w:val="20"/>
                <w:szCs w:val="20"/>
              </w:rPr>
              <w:t>®</w:t>
            </w:r>
          </w:p>
          <w:p w:rsidR="003E0359" w:rsidRPr="006A5CEC" w:rsidRDefault="003E0359" w:rsidP="003D2E02">
            <w:pPr>
              <w:keepNext/>
              <w:jc w:val="left"/>
              <w:rPr>
                <w:rFonts w:ascii="Arial Narrow" w:hAnsi="Arial Narrow"/>
                <w:sz w:val="20"/>
                <w:szCs w:val="20"/>
              </w:rPr>
            </w:pPr>
            <w:r w:rsidRPr="006A5CEC">
              <w:rPr>
                <w:rFonts w:ascii="Arial Narrow" w:hAnsi="Arial Narrow"/>
                <w:sz w:val="20"/>
                <w:szCs w:val="20"/>
              </w:rPr>
              <w:t>Bayer Australia Limited</w:t>
            </w:r>
          </w:p>
        </w:tc>
      </w:tr>
      <w:tr w:rsidR="003E0359" w:rsidRPr="003B567A" w:rsidTr="003D2E02">
        <w:trPr>
          <w:cantSplit/>
          <w:trHeight w:val="47"/>
        </w:trPr>
        <w:tc>
          <w:tcPr>
            <w:tcW w:w="1843" w:type="dxa"/>
            <w:tcBorders>
              <w:top w:val="single" w:sz="4" w:space="0" w:color="auto"/>
              <w:left w:val="single" w:sz="4" w:space="0" w:color="auto"/>
              <w:bottom w:val="single" w:sz="4" w:space="0" w:color="auto"/>
              <w:right w:val="single" w:sz="4" w:space="0" w:color="auto"/>
            </w:tcBorders>
          </w:tcPr>
          <w:p w:rsidR="003E0359" w:rsidRPr="006A5CEC" w:rsidRDefault="003E0359" w:rsidP="003D2E02">
            <w:pPr>
              <w:rPr>
                <w:rFonts w:ascii="Arial Narrow" w:hAnsi="Arial Narrow"/>
                <w:b/>
                <w:sz w:val="20"/>
                <w:szCs w:val="20"/>
              </w:rPr>
            </w:pPr>
            <w:r w:rsidRPr="006A5CEC">
              <w:rPr>
                <w:rFonts w:ascii="Arial Narrow" w:hAnsi="Arial Narrow"/>
                <w:b/>
                <w:sz w:val="20"/>
                <w:szCs w:val="20"/>
              </w:rPr>
              <w:t>Category / Program</w:t>
            </w:r>
          </w:p>
        </w:tc>
        <w:tc>
          <w:tcPr>
            <w:tcW w:w="7229" w:type="dxa"/>
            <w:gridSpan w:val="4"/>
            <w:tcBorders>
              <w:top w:val="single" w:sz="4" w:space="0" w:color="auto"/>
              <w:left w:val="single" w:sz="4" w:space="0" w:color="auto"/>
              <w:bottom w:val="single" w:sz="4" w:space="0" w:color="auto"/>
              <w:right w:val="single" w:sz="4" w:space="0" w:color="auto"/>
            </w:tcBorders>
          </w:tcPr>
          <w:p w:rsidR="003E0359" w:rsidRPr="000F68C9" w:rsidRDefault="003E0359" w:rsidP="003D2E02">
            <w:pPr>
              <w:rPr>
                <w:rFonts w:ascii="Arial Narrow" w:hAnsi="Arial Narrow"/>
                <w:sz w:val="20"/>
                <w:szCs w:val="20"/>
              </w:rPr>
            </w:pPr>
            <w:r w:rsidRPr="000F68C9">
              <w:rPr>
                <w:rFonts w:ascii="Arial Narrow" w:hAnsi="Arial Narrow"/>
                <w:sz w:val="20"/>
                <w:szCs w:val="20"/>
              </w:rPr>
              <w:t>GENERAL – General Schedule (Code GE)</w:t>
            </w:r>
          </w:p>
        </w:tc>
      </w:tr>
      <w:tr w:rsidR="003E0359" w:rsidRPr="003B567A" w:rsidTr="003D2E02">
        <w:trPr>
          <w:cantSplit/>
          <w:trHeight w:val="47"/>
        </w:trPr>
        <w:tc>
          <w:tcPr>
            <w:tcW w:w="1843" w:type="dxa"/>
            <w:tcBorders>
              <w:top w:val="single" w:sz="4" w:space="0" w:color="auto"/>
              <w:left w:val="single" w:sz="4" w:space="0" w:color="auto"/>
              <w:bottom w:val="single" w:sz="4" w:space="0" w:color="auto"/>
              <w:right w:val="single" w:sz="4" w:space="0" w:color="auto"/>
            </w:tcBorders>
          </w:tcPr>
          <w:p w:rsidR="003E0359" w:rsidRPr="006A5CEC" w:rsidRDefault="003E0359" w:rsidP="003D2E02">
            <w:pPr>
              <w:rPr>
                <w:rFonts w:ascii="Arial Narrow" w:hAnsi="Arial Narrow"/>
                <w:b/>
                <w:sz w:val="20"/>
                <w:szCs w:val="20"/>
              </w:rPr>
            </w:pPr>
            <w:r w:rsidRPr="006A5CEC">
              <w:rPr>
                <w:rFonts w:ascii="Arial Narrow" w:hAnsi="Arial Narrow"/>
                <w:b/>
                <w:sz w:val="20"/>
                <w:szCs w:val="20"/>
              </w:rPr>
              <w:t>Prescriber type:</w:t>
            </w:r>
          </w:p>
        </w:tc>
        <w:tc>
          <w:tcPr>
            <w:tcW w:w="7229" w:type="dxa"/>
            <w:gridSpan w:val="4"/>
            <w:tcBorders>
              <w:top w:val="single" w:sz="4" w:space="0" w:color="auto"/>
              <w:left w:val="single" w:sz="4" w:space="0" w:color="auto"/>
              <w:bottom w:val="single" w:sz="4" w:space="0" w:color="auto"/>
              <w:right w:val="single" w:sz="4" w:space="0" w:color="auto"/>
            </w:tcBorders>
          </w:tcPr>
          <w:p w:rsidR="003E0359" w:rsidRPr="006A5CEC" w:rsidRDefault="003E0359" w:rsidP="003D2E02">
            <w:pPr>
              <w:rPr>
                <w:rFonts w:ascii="Arial Narrow" w:hAnsi="Arial Narrow"/>
                <w:sz w:val="20"/>
                <w:szCs w:val="20"/>
              </w:rPr>
            </w:pPr>
            <w:r w:rsidRPr="006A5CEC">
              <w:rPr>
                <w:rFonts w:ascii="Arial Narrow" w:hAnsi="Arial Narrow"/>
                <w:sz w:val="20"/>
                <w:szCs w:val="20"/>
              </w:rPr>
              <w:fldChar w:fldCharType="begin">
                <w:ffData>
                  <w:name w:val="Check1"/>
                  <w:enabled/>
                  <w:calcOnExit w:val="0"/>
                  <w:checkBox>
                    <w:sizeAuto/>
                    <w:default w:val="0"/>
                  </w:checkBox>
                </w:ffData>
              </w:fldChar>
            </w:r>
            <w:r w:rsidRPr="006A5CEC">
              <w:rPr>
                <w:rFonts w:ascii="Arial Narrow" w:hAnsi="Arial Narrow"/>
                <w:sz w:val="20"/>
                <w:szCs w:val="20"/>
              </w:rPr>
              <w:instrText xml:space="preserve"> FORMCHECKBOX </w:instrText>
            </w:r>
            <w:r w:rsidR="00506A83">
              <w:rPr>
                <w:rFonts w:ascii="Arial Narrow" w:hAnsi="Arial Narrow"/>
                <w:sz w:val="20"/>
                <w:szCs w:val="20"/>
              </w:rPr>
            </w:r>
            <w:r w:rsidR="00506A83">
              <w:rPr>
                <w:rFonts w:ascii="Arial Narrow" w:hAnsi="Arial Narrow"/>
                <w:sz w:val="20"/>
                <w:szCs w:val="20"/>
              </w:rPr>
              <w:fldChar w:fldCharType="separate"/>
            </w:r>
            <w:r w:rsidRPr="006A5CEC">
              <w:rPr>
                <w:rFonts w:ascii="Arial Narrow" w:hAnsi="Arial Narrow"/>
                <w:sz w:val="20"/>
                <w:szCs w:val="20"/>
              </w:rPr>
              <w:fldChar w:fldCharType="end"/>
            </w:r>
            <w:r w:rsidRPr="006A5CEC">
              <w:rPr>
                <w:rFonts w:ascii="Arial Narrow" w:hAnsi="Arial Narrow"/>
                <w:sz w:val="20"/>
                <w:szCs w:val="20"/>
              </w:rPr>
              <w:t xml:space="preserve">Dental  </w:t>
            </w:r>
            <w:r w:rsidRPr="006A5CEC">
              <w:rPr>
                <w:rFonts w:ascii="Arial Narrow" w:hAnsi="Arial Narrow"/>
                <w:sz w:val="20"/>
                <w:szCs w:val="20"/>
              </w:rPr>
              <w:fldChar w:fldCharType="begin">
                <w:ffData>
                  <w:name w:val=""/>
                  <w:enabled/>
                  <w:calcOnExit w:val="0"/>
                  <w:checkBox>
                    <w:sizeAuto/>
                    <w:default w:val="1"/>
                  </w:checkBox>
                </w:ffData>
              </w:fldChar>
            </w:r>
            <w:r w:rsidRPr="006A5CEC">
              <w:rPr>
                <w:rFonts w:ascii="Arial Narrow" w:hAnsi="Arial Narrow"/>
                <w:sz w:val="20"/>
                <w:szCs w:val="20"/>
              </w:rPr>
              <w:instrText xml:space="preserve"> FORMCHECKBOX </w:instrText>
            </w:r>
            <w:r w:rsidR="00506A83">
              <w:rPr>
                <w:rFonts w:ascii="Arial Narrow" w:hAnsi="Arial Narrow"/>
                <w:sz w:val="20"/>
                <w:szCs w:val="20"/>
              </w:rPr>
            </w:r>
            <w:r w:rsidR="00506A83">
              <w:rPr>
                <w:rFonts w:ascii="Arial Narrow" w:hAnsi="Arial Narrow"/>
                <w:sz w:val="20"/>
                <w:szCs w:val="20"/>
              </w:rPr>
              <w:fldChar w:fldCharType="separate"/>
            </w:r>
            <w:r w:rsidRPr="006A5CEC">
              <w:rPr>
                <w:rFonts w:ascii="Arial Narrow" w:hAnsi="Arial Narrow"/>
                <w:sz w:val="20"/>
                <w:szCs w:val="20"/>
              </w:rPr>
              <w:fldChar w:fldCharType="end"/>
            </w:r>
            <w:r w:rsidRPr="006A5CEC">
              <w:rPr>
                <w:rFonts w:ascii="Arial Narrow" w:hAnsi="Arial Narrow"/>
                <w:sz w:val="20"/>
                <w:szCs w:val="20"/>
              </w:rPr>
              <w:t xml:space="preserve">Medical Practitioners  </w:t>
            </w:r>
            <w:r w:rsidRPr="006A5CEC">
              <w:rPr>
                <w:rFonts w:ascii="Arial Narrow" w:hAnsi="Arial Narrow"/>
                <w:sz w:val="20"/>
                <w:szCs w:val="20"/>
              </w:rPr>
              <w:fldChar w:fldCharType="begin">
                <w:ffData>
                  <w:name w:val="Check3"/>
                  <w:enabled/>
                  <w:calcOnExit w:val="0"/>
                  <w:checkBox>
                    <w:sizeAuto/>
                    <w:default w:val="1"/>
                  </w:checkBox>
                </w:ffData>
              </w:fldChar>
            </w:r>
            <w:r w:rsidRPr="006A5CEC">
              <w:rPr>
                <w:rFonts w:ascii="Arial Narrow" w:hAnsi="Arial Narrow"/>
                <w:sz w:val="20"/>
                <w:szCs w:val="20"/>
              </w:rPr>
              <w:instrText xml:space="preserve"> FORMCHECKBOX </w:instrText>
            </w:r>
            <w:r w:rsidR="00506A83">
              <w:rPr>
                <w:rFonts w:ascii="Arial Narrow" w:hAnsi="Arial Narrow"/>
                <w:sz w:val="20"/>
                <w:szCs w:val="20"/>
              </w:rPr>
            </w:r>
            <w:r w:rsidR="00506A83">
              <w:rPr>
                <w:rFonts w:ascii="Arial Narrow" w:hAnsi="Arial Narrow"/>
                <w:sz w:val="20"/>
                <w:szCs w:val="20"/>
              </w:rPr>
              <w:fldChar w:fldCharType="separate"/>
            </w:r>
            <w:r w:rsidRPr="006A5CEC">
              <w:rPr>
                <w:rFonts w:ascii="Arial Narrow" w:hAnsi="Arial Narrow"/>
                <w:sz w:val="20"/>
                <w:szCs w:val="20"/>
              </w:rPr>
              <w:fldChar w:fldCharType="end"/>
            </w:r>
            <w:r w:rsidRPr="006A5CEC">
              <w:rPr>
                <w:rFonts w:ascii="Arial Narrow" w:hAnsi="Arial Narrow"/>
                <w:sz w:val="20"/>
                <w:szCs w:val="20"/>
              </w:rPr>
              <w:t xml:space="preserve">Nurse practitioners  </w:t>
            </w:r>
            <w:r w:rsidRPr="006A5CEC">
              <w:rPr>
                <w:rFonts w:ascii="Arial Narrow" w:hAnsi="Arial Narrow"/>
                <w:sz w:val="20"/>
                <w:szCs w:val="20"/>
              </w:rPr>
              <w:fldChar w:fldCharType="begin">
                <w:ffData>
                  <w:name w:val=""/>
                  <w:enabled/>
                  <w:calcOnExit w:val="0"/>
                  <w:checkBox>
                    <w:sizeAuto/>
                    <w:default w:val="0"/>
                  </w:checkBox>
                </w:ffData>
              </w:fldChar>
            </w:r>
            <w:r w:rsidRPr="006A5CEC">
              <w:rPr>
                <w:rFonts w:ascii="Arial Narrow" w:hAnsi="Arial Narrow"/>
                <w:sz w:val="20"/>
                <w:szCs w:val="20"/>
              </w:rPr>
              <w:instrText xml:space="preserve"> FORMCHECKBOX </w:instrText>
            </w:r>
            <w:r w:rsidR="00506A83">
              <w:rPr>
                <w:rFonts w:ascii="Arial Narrow" w:hAnsi="Arial Narrow"/>
                <w:sz w:val="20"/>
                <w:szCs w:val="20"/>
              </w:rPr>
            </w:r>
            <w:r w:rsidR="00506A83">
              <w:rPr>
                <w:rFonts w:ascii="Arial Narrow" w:hAnsi="Arial Narrow"/>
                <w:sz w:val="20"/>
                <w:szCs w:val="20"/>
              </w:rPr>
              <w:fldChar w:fldCharType="separate"/>
            </w:r>
            <w:r w:rsidRPr="006A5CEC">
              <w:rPr>
                <w:rFonts w:ascii="Arial Narrow" w:hAnsi="Arial Narrow"/>
                <w:sz w:val="20"/>
                <w:szCs w:val="20"/>
              </w:rPr>
              <w:fldChar w:fldCharType="end"/>
            </w:r>
            <w:r w:rsidRPr="006A5CEC">
              <w:rPr>
                <w:rFonts w:ascii="Arial Narrow" w:hAnsi="Arial Narrow"/>
                <w:sz w:val="20"/>
                <w:szCs w:val="20"/>
              </w:rPr>
              <w:t>Optometrists</w:t>
            </w:r>
            <w:r>
              <w:rPr>
                <w:rFonts w:ascii="Arial Narrow" w:hAnsi="Arial Narrow"/>
                <w:sz w:val="20"/>
                <w:szCs w:val="20"/>
              </w:rPr>
              <w:t xml:space="preserve"> </w:t>
            </w:r>
            <w:r w:rsidRPr="006A5CEC">
              <w:rPr>
                <w:rFonts w:ascii="Arial Narrow" w:hAnsi="Arial Narrow"/>
                <w:sz w:val="20"/>
                <w:szCs w:val="20"/>
              </w:rPr>
              <w:fldChar w:fldCharType="begin">
                <w:ffData>
                  <w:name w:val="Check5"/>
                  <w:enabled/>
                  <w:calcOnExit w:val="0"/>
                  <w:checkBox>
                    <w:sizeAuto/>
                    <w:default w:val="0"/>
                  </w:checkBox>
                </w:ffData>
              </w:fldChar>
            </w:r>
            <w:r w:rsidRPr="006A5CEC">
              <w:rPr>
                <w:rFonts w:ascii="Arial Narrow" w:hAnsi="Arial Narrow"/>
                <w:sz w:val="20"/>
                <w:szCs w:val="20"/>
              </w:rPr>
              <w:instrText xml:space="preserve"> FORMCHECKBOX </w:instrText>
            </w:r>
            <w:r w:rsidR="00506A83">
              <w:rPr>
                <w:rFonts w:ascii="Arial Narrow" w:hAnsi="Arial Narrow"/>
                <w:sz w:val="20"/>
                <w:szCs w:val="20"/>
              </w:rPr>
            </w:r>
            <w:r w:rsidR="00506A83">
              <w:rPr>
                <w:rFonts w:ascii="Arial Narrow" w:hAnsi="Arial Narrow"/>
                <w:sz w:val="20"/>
                <w:szCs w:val="20"/>
              </w:rPr>
              <w:fldChar w:fldCharType="separate"/>
            </w:r>
            <w:r w:rsidRPr="006A5CEC">
              <w:rPr>
                <w:rFonts w:ascii="Arial Narrow" w:hAnsi="Arial Narrow"/>
                <w:sz w:val="20"/>
                <w:szCs w:val="20"/>
              </w:rPr>
              <w:fldChar w:fldCharType="end"/>
            </w:r>
            <w:r w:rsidRPr="006A5CEC">
              <w:rPr>
                <w:rFonts w:ascii="Arial Narrow" w:hAnsi="Arial Narrow"/>
                <w:sz w:val="20"/>
                <w:szCs w:val="20"/>
              </w:rPr>
              <w:t>Midwives</w:t>
            </w:r>
          </w:p>
        </w:tc>
      </w:tr>
      <w:tr w:rsidR="003E0359" w:rsidRPr="003B567A" w:rsidTr="003D2E02">
        <w:trPr>
          <w:cantSplit/>
          <w:trHeight w:val="79"/>
        </w:trPr>
        <w:tc>
          <w:tcPr>
            <w:tcW w:w="1843" w:type="dxa"/>
            <w:tcBorders>
              <w:top w:val="single" w:sz="4" w:space="0" w:color="auto"/>
              <w:left w:val="single" w:sz="4" w:space="0" w:color="auto"/>
              <w:bottom w:val="single" w:sz="4" w:space="0" w:color="auto"/>
              <w:right w:val="single" w:sz="4" w:space="0" w:color="auto"/>
            </w:tcBorders>
          </w:tcPr>
          <w:p w:rsidR="003E0359" w:rsidRPr="006A5CEC" w:rsidRDefault="003E0359" w:rsidP="003D2E02">
            <w:pPr>
              <w:rPr>
                <w:rFonts w:ascii="Arial Narrow" w:hAnsi="Arial Narrow"/>
                <w:b/>
                <w:sz w:val="20"/>
                <w:szCs w:val="20"/>
              </w:rPr>
            </w:pPr>
            <w:r w:rsidRPr="006A5CEC">
              <w:rPr>
                <w:rFonts w:ascii="Arial Narrow" w:hAnsi="Arial Narrow"/>
                <w:b/>
                <w:sz w:val="20"/>
                <w:szCs w:val="20"/>
              </w:rPr>
              <w:t>Condition:</w:t>
            </w:r>
          </w:p>
        </w:tc>
        <w:tc>
          <w:tcPr>
            <w:tcW w:w="7229" w:type="dxa"/>
            <w:gridSpan w:val="4"/>
            <w:tcBorders>
              <w:top w:val="single" w:sz="4" w:space="0" w:color="auto"/>
              <w:left w:val="single" w:sz="4" w:space="0" w:color="auto"/>
              <w:bottom w:val="single" w:sz="4" w:space="0" w:color="auto"/>
              <w:right w:val="single" w:sz="4" w:space="0" w:color="auto"/>
            </w:tcBorders>
          </w:tcPr>
          <w:p w:rsidR="003E0359" w:rsidRPr="006A5CEC" w:rsidRDefault="003E0359" w:rsidP="003D2E02">
            <w:pPr>
              <w:rPr>
                <w:rFonts w:ascii="Arial Narrow" w:hAnsi="Arial Narrow"/>
                <w:sz w:val="20"/>
                <w:szCs w:val="20"/>
              </w:rPr>
            </w:pPr>
            <w:r>
              <w:rPr>
                <w:rFonts w:ascii="Arial Narrow" w:hAnsi="Arial Narrow"/>
                <w:sz w:val="20"/>
                <w:szCs w:val="20"/>
              </w:rPr>
              <w:t>Prevention of recurrent v</w:t>
            </w:r>
            <w:r w:rsidRPr="006A5CEC">
              <w:rPr>
                <w:rFonts w:ascii="Arial Narrow" w:hAnsi="Arial Narrow"/>
                <w:sz w:val="20"/>
                <w:szCs w:val="20"/>
              </w:rPr>
              <w:t>enous thromboembolism</w:t>
            </w:r>
          </w:p>
        </w:tc>
      </w:tr>
      <w:tr w:rsidR="003E0359" w:rsidRPr="003B567A" w:rsidTr="003D2E02">
        <w:trPr>
          <w:cantSplit/>
          <w:trHeight w:val="111"/>
        </w:trPr>
        <w:tc>
          <w:tcPr>
            <w:tcW w:w="1843" w:type="dxa"/>
            <w:tcBorders>
              <w:top w:val="single" w:sz="4" w:space="0" w:color="auto"/>
              <w:left w:val="single" w:sz="4" w:space="0" w:color="auto"/>
              <w:bottom w:val="single" w:sz="4" w:space="0" w:color="auto"/>
              <w:right w:val="single" w:sz="4" w:space="0" w:color="auto"/>
            </w:tcBorders>
          </w:tcPr>
          <w:p w:rsidR="003E0359" w:rsidRPr="006A5CEC" w:rsidRDefault="003E0359" w:rsidP="003D2E02">
            <w:pPr>
              <w:rPr>
                <w:rFonts w:ascii="Arial Narrow" w:hAnsi="Arial Narrow"/>
                <w:b/>
                <w:sz w:val="20"/>
                <w:szCs w:val="20"/>
              </w:rPr>
            </w:pPr>
            <w:r w:rsidRPr="006A5CEC">
              <w:rPr>
                <w:rFonts w:ascii="Arial Narrow" w:hAnsi="Arial Narrow"/>
                <w:b/>
                <w:sz w:val="20"/>
                <w:szCs w:val="20"/>
              </w:rPr>
              <w:t>PBS Indication:</w:t>
            </w:r>
          </w:p>
        </w:tc>
        <w:tc>
          <w:tcPr>
            <w:tcW w:w="7229" w:type="dxa"/>
            <w:gridSpan w:val="4"/>
            <w:tcBorders>
              <w:top w:val="single" w:sz="4" w:space="0" w:color="auto"/>
              <w:left w:val="single" w:sz="4" w:space="0" w:color="auto"/>
              <w:bottom w:val="single" w:sz="4" w:space="0" w:color="auto"/>
              <w:right w:val="single" w:sz="4" w:space="0" w:color="auto"/>
            </w:tcBorders>
          </w:tcPr>
          <w:p w:rsidR="003E0359" w:rsidRPr="006A5CEC" w:rsidRDefault="003E0359" w:rsidP="003D2E02">
            <w:pPr>
              <w:rPr>
                <w:rFonts w:ascii="Arial Narrow" w:hAnsi="Arial Narrow"/>
                <w:sz w:val="20"/>
                <w:szCs w:val="20"/>
              </w:rPr>
            </w:pPr>
            <w:r w:rsidRPr="006A5CEC">
              <w:rPr>
                <w:rFonts w:ascii="Arial Narrow" w:hAnsi="Arial Narrow"/>
                <w:sz w:val="20"/>
                <w:szCs w:val="20"/>
              </w:rPr>
              <w:t>Prevention of recurrent venous thromboembolism</w:t>
            </w:r>
          </w:p>
        </w:tc>
      </w:tr>
      <w:tr w:rsidR="003E0359" w:rsidRPr="003B567A" w:rsidTr="003D2E02">
        <w:trPr>
          <w:cantSplit/>
          <w:trHeight w:val="157"/>
        </w:trPr>
        <w:tc>
          <w:tcPr>
            <w:tcW w:w="1843" w:type="dxa"/>
            <w:tcBorders>
              <w:top w:val="single" w:sz="4" w:space="0" w:color="auto"/>
              <w:left w:val="single" w:sz="4" w:space="0" w:color="auto"/>
              <w:bottom w:val="single" w:sz="4" w:space="0" w:color="auto"/>
              <w:right w:val="single" w:sz="4" w:space="0" w:color="auto"/>
            </w:tcBorders>
          </w:tcPr>
          <w:p w:rsidR="003E0359" w:rsidRPr="006A5CEC" w:rsidRDefault="003E0359" w:rsidP="003D2E02">
            <w:pPr>
              <w:rPr>
                <w:rFonts w:ascii="Arial Narrow" w:hAnsi="Arial Narrow"/>
                <w:b/>
                <w:sz w:val="20"/>
                <w:szCs w:val="20"/>
              </w:rPr>
            </w:pPr>
            <w:r w:rsidRPr="006A5CEC">
              <w:rPr>
                <w:rFonts w:ascii="Arial Narrow" w:hAnsi="Arial Narrow"/>
                <w:b/>
                <w:sz w:val="20"/>
                <w:szCs w:val="20"/>
              </w:rPr>
              <w:t>Treatment phase:</w:t>
            </w:r>
          </w:p>
        </w:tc>
        <w:tc>
          <w:tcPr>
            <w:tcW w:w="7229" w:type="dxa"/>
            <w:gridSpan w:val="4"/>
            <w:tcBorders>
              <w:top w:val="single" w:sz="4" w:space="0" w:color="auto"/>
              <w:left w:val="single" w:sz="4" w:space="0" w:color="auto"/>
              <w:bottom w:val="single" w:sz="4" w:space="0" w:color="auto"/>
              <w:right w:val="single" w:sz="4" w:space="0" w:color="auto"/>
            </w:tcBorders>
          </w:tcPr>
          <w:p w:rsidR="003E0359" w:rsidRPr="006A5CEC" w:rsidRDefault="003E0359" w:rsidP="003D2E02">
            <w:pPr>
              <w:rPr>
                <w:rFonts w:ascii="Arial Narrow" w:hAnsi="Arial Narrow"/>
                <w:sz w:val="20"/>
                <w:szCs w:val="20"/>
              </w:rPr>
            </w:pPr>
            <w:r w:rsidRPr="006A5CEC">
              <w:rPr>
                <w:rFonts w:ascii="Arial Narrow" w:hAnsi="Arial Narrow"/>
                <w:sz w:val="20"/>
                <w:szCs w:val="20"/>
              </w:rPr>
              <w:t>Continuing treatment</w:t>
            </w:r>
          </w:p>
        </w:tc>
      </w:tr>
      <w:tr w:rsidR="003E0359" w:rsidRPr="003B567A" w:rsidTr="003D2E02">
        <w:trPr>
          <w:cantSplit/>
          <w:trHeight w:val="360"/>
        </w:trPr>
        <w:tc>
          <w:tcPr>
            <w:tcW w:w="1843" w:type="dxa"/>
            <w:tcBorders>
              <w:top w:val="single" w:sz="4" w:space="0" w:color="auto"/>
              <w:left w:val="single" w:sz="4" w:space="0" w:color="auto"/>
              <w:bottom w:val="single" w:sz="4" w:space="0" w:color="auto"/>
              <w:right w:val="single" w:sz="4" w:space="0" w:color="auto"/>
            </w:tcBorders>
          </w:tcPr>
          <w:p w:rsidR="003E0359" w:rsidRPr="005805A7" w:rsidRDefault="003E0359" w:rsidP="003D2E02">
            <w:pPr>
              <w:jc w:val="left"/>
              <w:rPr>
                <w:rFonts w:ascii="Arial Narrow" w:hAnsi="Arial Narrow"/>
                <w:b/>
                <w:sz w:val="20"/>
                <w:szCs w:val="20"/>
              </w:rPr>
            </w:pPr>
            <w:r w:rsidRPr="005805A7">
              <w:rPr>
                <w:rFonts w:ascii="Arial Narrow" w:hAnsi="Arial Narrow"/>
                <w:b/>
                <w:sz w:val="20"/>
                <w:szCs w:val="20"/>
              </w:rPr>
              <w:t>Restriction Level / Method:</w:t>
            </w:r>
          </w:p>
        </w:tc>
        <w:tc>
          <w:tcPr>
            <w:tcW w:w="7229" w:type="dxa"/>
            <w:gridSpan w:val="4"/>
            <w:tcBorders>
              <w:top w:val="single" w:sz="4" w:space="0" w:color="auto"/>
              <w:left w:val="single" w:sz="4" w:space="0" w:color="auto"/>
              <w:bottom w:val="single" w:sz="4" w:space="0" w:color="auto"/>
              <w:right w:val="single" w:sz="4" w:space="0" w:color="auto"/>
            </w:tcBorders>
          </w:tcPr>
          <w:p w:rsidR="003E0359" w:rsidRPr="005805A7" w:rsidRDefault="003E0359" w:rsidP="003D2E02">
            <w:pPr>
              <w:rPr>
                <w:rFonts w:ascii="Arial Narrow" w:hAnsi="Arial Narrow"/>
                <w:sz w:val="20"/>
                <w:szCs w:val="20"/>
              </w:rPr>
            </w:pPr>
            <w:r w:rsidRPr="005805A7">
              <w:rPr>
                <w:rFonts w:ascii="Arial Narrow" w:hAnsi="Arial Narrow"/>
                <w:sz w:val="20"/>
                <w:szCs w:val="20"/>
              </w:rPr>
              <w:fldChar w:fldCharType="begin">
                <w:ffData>
                  <w:name w:val="Check1"/>
                  <w:enabled/>
                  <w:calcOnExit w:val="0"/>
                  <w:checkBox>
                    <w:sizeAuto/>
                    <w:default w:val="0"/>
                  </w:checkBox>
                </w:ffData>
              </w:fldChar>
            </w:r>
            <w:r w:rsidRPr="005805A7">
              <w:rPr>
                <w:rFonts w:ascii="Arial Narrow" w:hAnsi="Arial Narrow"/>
                <w:sz w:val="20"/>
                <w:szCs w:val="20"/>
              </w:rPr>
              <w:instrText xml:space="preserve"> FORMCHECKBOX </w:instrText>
            </w:r>
            <w:r w:rsidR="00506A83">
              <w:rPr>
                <w:rFonts w:ascii="Arial Narrow" w:hAnsi="Arial Narrow"/>
                <w:sz w:val="20"/>
                <w:szCs w:val="20"/>
              </w:rPr>
            </w:r>
            <w:r w:rsidR="00506A83">
              <w:rPr>
                <w:rFonts w:ascii="Arial Narrow" w:hAnsi="Arial Narrow"/>
                <w:sz w:val="20"/>
                <w:szCs w:val="20"/>
              </w:rPr>
              <w:fldChar w:fldCharType="separate"/>
            </w:r>
            <w:r w:rsidRPr="005805A7">
              <w:rPr>
                <w:rFonts w:ascii="Arial Narrow" w:hAnsi="Arial Narrow"/>
                <w:sz w:val="20"/>
                <w:szCs w:val="20"/>
              </w:rPr>
              <w:fldChar w:fldCharType="end"/>
            </w:r>
            <w:r w:rsidRPr="005805A7">
              <w:rPr>
                <w:rFonts w:ascii="Arial Narrow" w:hAnsi="Arial Narrow"/>
                <w:sz w:val="20"/>
                <w:szCs w:val="20"/>
              </w:rPr>
              <w:t>Restricted benefit</w:t>
            </w:r>
          </w:p>
          <w:p w:rsidR="003E0359" w:rsidRPr="005805A7" w:rsidRDefault="003E0359" w:rsidP="003D2E02">
            <w:pPr>
              <w:rPr>
                <w:rFonts w:ascii="Arial Narrow" w:hAnsi="Arial Narrow"/>
                <w:sz w:val="20"/>
                <w:szCs w:val="20"/>
              </w:rPr>
            </w:pPr>
            <w:r w:rsidRPr="005805A7">
              <w:rPr>
                <w:rFonts w:ascii="Arial Narrow" w:hAnsi="Arial Narrow"/>
                <w:sz w:val="20"/>
                <w:szCs w:val="20"/>
              </w:rPr>
              <w:fldChar w:fldCharType="begin">
                <w:ffData>
                  <w:name w:val=""/>
                  <w:enabled/>
                  <w:calcOnExit w:val="0"/>
                  <w:checkBox>
                    <w:sizeAuto/>
                    <w:default w:val="0"/>
                  </w:checkBox>
                </w:ffData>
              </w:fldChar>
            </w:r>
            <w:r w:rsidRPr="005805A7">
              <w:rPr>
                <w:rFonts w:ascii="Arial Narrow" w:hAnsi="Arial Narrow"/>
                <w:sz w:val="20"/>
                <w:szCs w:val="20"/>
              </w:rPr>
              <w:instrText xml:space="preserve"> FORMCHECKBOX </w:instrText>
            </w:r>
            <w:r w:rsidR="00506A83">
              <w:rPr>
                <w:rFonts w:ascii="Arial Narrow" w:hAnsi="Arial Narrow"/>
                <w:sz w:val="20"/>
                <w:szCs w:val="20"/>
              </w:rPr>
            </w:r>
            <w:r w:rsidR="00506A83">
              <w:rPr>
                <w:rFonts w:ascii="Arial Narrow" w:hAnsi="Arial Narrow"/>
                <w:sz w:val="20"/>
                <w:szCs w:val="20"/>
              </w:rPr>
              <w:fldChar w:fldCharType="separate"/>
            </w:r>
            <w:r w:rsidRPr="005805A7">
              <w:rPr>
                <w:rFonts w:ascii="Arial Narrow" w:hAnsi="Arial Narrow"/>
                <w:sz w:val="20"/>
                <w:szCs w:val="20"/>
              </w:rPr>
              <w:fldChar w:fldCharType="end"/>
            </w:r>
            <w:r w:rsidRPr="005805A7">
              <w:rPr>
                <w:rFonts w:ascii="Arial Narrow" w:hAnsi="Arial Narrow"/>
                <w:sz w:val="20"/>
                <w:szCs w:val="20"/>
              </w:rPr>
              <w:t>Authority Required - In Writing</w:t>
            </w:r>
          </w:p>
          <w:p w:rsidR="003E0359" w:rsidRPr="005805A7" w:rsidRDefault="003E0359" w:rsidP="003D2E02">
            <w:pPr>
              <w:rPr>
                <w:rFonts w:ascii="Arial Narrow" w:hAnsi="Arial Narrow"/>
                <w:sz w:val="20"/>
                <w:szCs w:val="20"/>
              </w:rPr>
            </w:pPr>
            <w:r w:rsidRPr="005805A7">
              <w:rPr>
                <w:rFonts w:ascii="Arial Narrow" w:hAnsi="Arial Narrow"/>
                <w:sz w:val="20"/>
                <w:szCs w:val="20"/>
              </w:rPr>
              <w:fldChar w:fldCharType="begin">
                <w:ffData>
                  <w:name w:val=""/>
                  <w:enabled/>
                  <w:calcOnExit w:val="0"/>
                  <w:checkBox>
                    <w:sizeAuto/>
                    <w:default w:val="0"/>
                  </w:checkBox>
                </w:ffData>
              </w:fldChar>
            </w:r>
            <w:r w:rsidRPr="005805A7">
              <w:rPr>
                <w:rFonts w:ascii="Arial Narrow" w:hAnsi="Arial Narrow"/>
                <w:sz w:val="20"/>
                <w:szCs w:val="20"/>
              </w:rPr>
              <w:instrText xml:space="preserve"> FORMCHECKBOX </w:instrText>
            </w:r>
            <w:r w:rsidR="00506A83">
              <w:rPr>
                <w:rFonts w:ascii="Arial Narrow" w:hAnsi="Arial Narrow"/>
                <w:sz w:val="20"/>
                <w:szCs w:val="20"/>
              </w:rPr>
            </w:r>
            <w:r w:rsidR="00506A83">
              <w:rPr>
                <w:rFonts w:ascii="Arial Narrow" w:hAnsi="Arial Narrow"/>
                <w:sz w:val="20"/>
                <w:szCs w:val="20"/>
              </w:rPr>
              <w:fldChar w:fldCharType="separate"/>
            </w:r>
            <w:r w:rsidRPr="005805A7">
              <w:rPr>
                <w:rFonts w:ascii="Arial Narrow" w:hAnsi="Arial Narrow"/>
                <w:sz w:val="20"/>
                <w:szCs w:val="20"/>
              </w:rPr>
              <w:fldChar w:fldCharType="end"/>
            </w:r>
            <w:r w:rsidRPr="005805A7">
              <w:rPr>
                <w:rFonts w:ascii="Arial Narrow" w:hAnsi="Arial Narrow"/>
                <w:sz w:val="20"/>
                <w:szCs w:val="20"/>
              </w:rPr>
              <w:t>Authority Required - Telephone</w:t>
            </w:r>
          </w:p>
          <w:p w:rsidR="003E0359" w:rsidRPr="005805A7" w:rsidRDefault="003E0359" w:rsidP="003D2E02">
            <w:pPr>
              <w:rPr>
                <w:rFonts w:ascii="Arial Narrow" w:hAnsi="Arial Narrow"/>
                <w:sz w:val="20"/>
                <w:szCs w:val="20"/>
              </w:rPr>
            </w:pPr>
            <w:r w:rsidRPr="005805A7">
              <w:rPr>
                <w:rFonts w:ascii="Arial Narrow" w:hAnsi="Arial Narrow"/>
                <w:sz w:val="20"/>
                <w:szCs w:val="20"/>
              </w:rPr>
              <w:fldChar w:fldCharType="begin">
                <w:ffData>
                  <w:name w:val=""/>
                  <w:enabled/>
                  <w:calcOnExit w:val="0"/>
                  <w:checkBox>
                    <w:sizeAuto/>
                    <w:default w:val="0"/>
                  </w:checkBox>
                </w:ffData>
              </w:fldChar>
            </w:r>
            <w:r w:rsidRPr="005805A7">
              <w:rPr>
                <w:rFonts w:ascii="Arial Narrow" w:hAnsi="Arial Narrow"/>
                <w:sz w:val="20"/>
                <w:szCs w:val="20"/>
              </w:rPr>
              <w:instrText xml:space="preserve"> FORMCHECKBOX </w:instrText>
            </w:r>
            <w:r w:rsidR="00506A83">
              <w:rPr>
                <w:rFonts w:ascii="Arial Narrow" w:hAnsi="Arial Narrow"/>
                <w:sz w:val="20"/>
                <w:szCs w:val="20"/>
              </w:rPr>
            </w:r>
            <w:r w:rsidR="00506A83">
              <w:rPr>
                <w:rFonts w:ascii="Arial Narrow" w:hAnsi="Arial Narrow"/>
                <w:sz w:val="20"/>
                <w:szCs w:val="20"/>
              </w:rPr>
              <w:fldChar w:fldCharType="separate"/>
            </w:r>
            <w:r w:rsidRPr="005805A7">
              <w:rPr>
                <w:rFonts w:ascii="Arial Narrow" w:hAnsi="Arial Narrow"/>
                <w:sz w:val="20"/>
                <w:szCs w:val="20"/>
              </w:rPr>
              <w:fldChar w:fldCharType="end"/>
            </w:r>
            <w:r w:rsidRPr="005805A7">
              <w:rPr>
                <w:rFonts w:ascii="Arial Narrow" w:hAnsi="Arial Narrow"/>
                <w:sz w:val="20"/>
                <w:szCs w:val="20"/>
              </w:rPr>
              <w:t>Authority Required - Emergency</w:t>
            </w:r>
          </w:p>
          <w:p w:rsidR="003E0359" w:rsidRPr="005805A7" w:rsidRDefault="003E0359" w:rsidP="003D2E02">
            <w:pPr>
              <w:rPr>
                <w:rFonts w:ascii="Arial Narrow" w:hAnsi="Arial Narrow"/>
                <w:sz w:val="20"/>
                <w:szCs w:val="20"/>
              </w:rPr>
            </w:pPr>
            <w:r w:rsidRPr="005805A7">
              <w:rPr>
                <w:rFonts w:ascii="Arial Narrow" w:hAnsi="Arial Narrow"/>
                <w:sz w:val="20"/>
                <w:szCs w:val="20"/>
              </w:rPr>
              <w:fldChar w:fldCharType="begin">
                <w:ffData>
                  <w:name w:val=""/>
                  <w:enabled/>
                  <w:calcOnExit w:val="0"/>
                  <w:checkBox>
                    <w:sizeAuto/>
                    <w:default w:val="0"/>
                  </w:checkBox>
                </w:ffData>
              </w:fldChar>
            </w:r>
            <w:r w:rsidRPr="005805A7">
              <w:rPr>
                <w:rFonts w:ascii="Arial Narrow" w:hAnsi="Arial Narrow"/>
                <w:sz w:val="20"/>
                <w:szCs w:val="20"/>
              </w:rPr>
              <w:instrText xml:space="preserve"> FORMCHECKBOX </w:instrText>
            </w:r>
            <w:r w:rsidR="00506A83">
              <w:rPr>
                <w:rFonts w:ascii="Arial Narrow" w:hAnsi="Arial Narrow"/>
                <w:sz w:val="20"/>
                <w:szCs w:val="20"/>
              </w:rPr>
            </w:r>
            <w:r w:rsidR="00506A83">
              <w:rPr>
                <w:rFonts w:ascii="Arial Narrow" w:hAnsi="Arial Narrow"/>
                <w:sz w:val="20"/>
                <w:szCs w:val="20"/>
              </w:rPr>
              <w:fldChar w:fldCharType="separate"/>
            </w:r>
            <w:r w:rsidRPr="005805A7">
              <w:rPr>
                <w:rFonts w:ascii="Arial Narrow" w:hAnsi="Arial Narrow"/>
                <w:sz w:val="20"/>
                <w:szCs w:val="20"/>
              </w:rPr>
              <w:fldChar w:fldCharType="end"/>
            </w:r>
            <w:r w:rsidRPr="005805A7">
              <w:rPr>
                <w:rFonts w:ascii="Arial Narrow" w:hAnsi="Arial Narrow"/>
                <w:sz w:val="20"/>
                <w:szCs w:val="20"/>
              </w:rPr>
              <w:t>Authority Required - Electronic</w:t>
            </w:r>
          </w:p>
          <w:p w:rsidR="003E0359" w:rsidRPr="005805A7" w:rsidRDefault="003E0359" w:rsidP="003D2E02">
            <w:pPr>
              <w:rPr>
                <w:rFonts w:ascii="Arial Narrow" w:hAnsi="Arial Narrow"/>
                <w:sz w:val="20"/>
                <w:szCs w:val="20"/>
              </w:rPr>
            </w:pPr>
            <w:r w:rsidRPr="005805A7">
              <w:rPr>
                <w:rFonts w:ascii="Arial Narrow" w:hAnsi="Arial Narrow"/>
                <w:sz w:val="20"/>
                <w:szCs w:val="20"/>
              </w:rPr>
              <w:fldChar w:fldCharType="begin">
                <w:ffData>
                  <w:name w:val="Check5"/>
                  <w:enabled/>
                  <w:calcOnExit w:val="0"/>
                  <w:checkBox>
                    <w:sizeAuto/>
                    <w:default w:val="1"/>
                  </w:checkBox>
                </w:ffData>
              </w:fldChar>
            </w:r>
            <w:r w:rsidRPr="005805A7">
              <w:rPr>
                <w:rFonts w:ascii="Arial Narrow" w:hAnsi="Arial Narrow"/>
                <w:sz w:val="20"/>
                <w:szCs w:val="20"/>
              </w:rPr>
              <w:instrText xml:space="preserve"> FORMCHECKBOX </w:instrText>
            </w:r>
            <w:r w:rsidR="00506A83">
              <w:rPr>
                <w:rFonts w:ascii="Arial Narrow" w:hAnsi="Arial Narrow"/>
                <w:sz w:val="20"/>
                <w:szCs w:val="20"/>
              </w:rPr>
            </w:r>
            <w:r w:rsidR="00506A83">
              <w:rPr>
                <w:rFonts w:ascii="Arial Narrow" w:hAnsi="Arial Narrow"/>
                <w:sz w:val="20"/>
                <w:szCs w:val="20"/>
              </w:rPr>
              <w:fldChar w:fldCharType="separate"/>
            </w:r>
            <w:r w:rsidRPr="005805A7">
              <w:rPr>
                <w:rFonts w:ascii="Arial Narrow" w:hAnsi="Arial Narrow"/>
                <w:sz w:val="20"/>
                <w:szCs w:val="20"/>
              </w:rPr>
              <w:fldChar w:fldCharType="end"/>
            </w:r>
            <w:r w:rsidRPr="005805A7">
              <w:rPr>
                <w:rFonts w:ascii="Arial Narrow" w:hAnsi="Arial Narrow"/>
                <w:sz w:val="20"/>
                <w:szCs w:val="20"/>
              </w:rPr>
              <w:t>Streamlined</w:t>
            </w:r>
          </w:p>
        </w:tc>
      </w:tr>
      <w:tr w:rsidR="003E0359" w:rsidRPr="003B567A" w:rsidTr="003D2E02">
        <w:trPr>
          <w:cantSplit/>
          <w:trHeight w:val="47"/>
        </w:trPr>
        <w:tc>
          <w:tcPr>
            <w:tcW w:w="1843" w:type="dxa"/>
            <w:tcBorders>
              <w:top w:val="single" w:sz="4" w:space="0" w:color="auto"/>
              <w:left w:val="single" w:sz="4" w:space="0" w:color="auto"/>
              <w:bottom w:val="single" w:sz="4" w:space="0" w:color="auto"/>
              <w:right w:val="single" w:sz="4" w:space="0" w:color="auto"/>
            </w:tcBorders>
          </w:tcPr>
          <w:p w:rsidR="003E0359" w:rsidRPr="005805A7" w:rsidRDefault="003E0359" w:rsidP="003D2E02">
            <w:pPr>
              <w:rPr>
                <w:rFonts w:ascii="Arial Narrow" w:hAnsi="Arial Narrow"/>
                <w:b/>
                <w:sz w:val="20"/>
                <w:szCs w:val="20"/>
              </w:rPr>
            </w:pPr>
            <w:r w:rsidRPr="005805A7">
              <w:rPr>
                <w:rFonts w:ascii="Arial Narrow" w:hAnsi="Arial Narrow"/>
                <w:b/>
                <w:sz w:val="20"/>
                <w:szCs w:val="20"/>
              </w:rPr>
              <w:t>Clinical criteria:</w:t>
            </w:r>
          </w:p>
        </w:tc>
        <w:tc>
          <w:tcPr>
            <w:tcW w:w="7229" w:type="dxa"/>
            <w:gridSpan w:val="4"/>
            <w:tcBorders>
              <w:top w:val="single" w:sz="4" w:space="0" w:color="auto"/>
              <w:left w:val="single" w:sz="4" w:space="0" w:color="auto"/>
              <w:bottom w:val="single" w:sz="4" w:space="0" w:color="auto"/>
              <w:right w:val="single" w:sz="4" w:space="0" w:color="auto"/>
            </w:tcBorders>
          </w:tcPr>
          <w:p w:rsidR="003E0359" w:rsidRPr="005805A7" w:rsidRDefault="003E0359" w:rsidP="003D2E02">
            <w:pPr>
              <w:rPr>
                <w:rFonts w:ascii="Arial Narrow" w:hAnsi="Arial Narrow"/>
                <w:sz w:val="20"/>
                <w:szCs w:val="20"/>
              </w:rPr>
            </w:pPr>
            <w:r w:rsidRPr="005805A7">
              <w:rPr>
                <w:rFonts w:ascii="Arial Narrow" w:hAnsi="Arial Narrow"/>
                <w:sz w:val="20"/>
                <w:szCs w:val="20"/>
              </w:rPr>
              <w:t>Patient must have a history of venous thromboembolism.</w:t>
            </w:r>
          </w:p>
        </w:tc>
      </w:tr>
      <w:tr w:rsidR="003E0359" w:rsidRPr="003B567A" w:rsidTr="003D2E02">
        <w:trPr>
          <w:cantSplit/>
          <w:trHeight w:val="360"/>
        </w:trPr>
        <w:tc>
          <w:tcPr>
            <w:tcW w:w="1843" w:type="dxa"/>
            <w:tcBorders>
              <w:top w:val="single" w:sz="4" w:space="0" w:color="auto"/>
              <w:left w:val="single" w:sz="4" w:space="0" w:color="auto"/>
              <w:bottom w:val="single" w:sz="4" w:space="0" w:color="auto"/>
              <w:right w:val="single" w:sz="4" w:space="0" w:color="auto"/>
            </w:tcBorders>
          </w:tcPr>
          <w:p w:rsidR="003E0359" w:rsidRPr="00EF368B" w:rsidRDefault="003E0359" w:rsidP="003D2E02">
            <w:pPr>
              <w:rPr>
                <w:rFonts w:ascii="Arial Narrow" w:hAnsi="Arial Narrow"/>
                <w:b/>
                <w:sz w:val="20"/>
                <w:szCs w:val="20"/>
              </w:rPr>
            </w:pPr>
            <w:r w:rsidRPr="00EF368B">
              <w:rPr>
                <w:rFonts w:ascii="Arial Narrow" w:hAnsi="Arial Narrow"/>
                <w:b/>
                <w:sz w:val="20"/>
                <w:szCs w:val="20"/>
              </w:rPr>
              <w:t>Administrative Advice</w:t>
            </w:r>
          </w:p>
        </w:tc>
        <w:tc>
          <w:tcPr>
            <w:tcW w:w="7229" w:type="dxa"/>
            <w:gridSpan w:val="4"/>
            <w:tcBorders>
              <w:top w:val="single" w:sz="4" w:space="0" w:color="auto"/>
              <w:left w:val="single" w:sz="4" w:space="0" w:color="auto"/>
              <w:bottom w:val="single" w:sz="4" w:space="0" w:color="auto"/>
              <w:right w:val="single" w:sz="4" w:space="0" w:color="auto"/>
            </w:tcBorders>
          </w:tcPr>
          <w:p w:rsidR="003E0359" w:rsidRPr="000F68C9" w:rsidRDefault="003E0359" w:rsidP="003D2E02">
            <w:pPr>
              <w:rPr>
                <w:rFonts w:ascii="Arial Narrow" w:hAnsi="Arial Narrow"/>
                <w:sz w:val="20"/>
              </w:rPr>
            </w:pPr>
            <w:r w:rsidRPr="000F68C9">
              <w:rPr>
                <w:rFonts w:ascii="Arial Narrow" w:hAnsi="Arial Narrow"/>
                <w:sz w:val="20"/>
              </w:rPr>
              <w:t>No increase in the maximum quantity or number of units may be authorised.</w:t>
            </w:r>
          </w:p>
          <w:p w:rsidR="003E0359" w:rsidRPr="000F68C9" w:rsidRDefault="003E0359" w:rsidP="003D2E02">
            <w:pPr>
              <w:rPr>
                <w:rFonts w:ascii="Arial Narrow" w:hAnsi="Arial Narrow"/>
                <w:b/>
                <w:bCs/>
                <w:sz w:val="20"/>
                <w:u w:val="single"/>
              </w:rPr>
            </w:pPr>
          </w:p>
          <w:p w:rsidR="003E0359" w:rsidRPr="000F68C9" w:rsidRDefault="003E0359" w:rsidP="003D2E02">
            <w:pPr>
              <w:rPr>
                <w:rFonts w:ascii="Arial Narrow" w:hAnsi="Arial Narrow"/>
                <w:sz w:val="20"/>
              </w:rPr>
            </w:pPr>
            <w:r w:rsidRPr="000F68C9">
              <w:rPr>
                <w:rFonts w:ascii="Arial Narrow" w:hAnsi="Arial Narrow"/>
                <w:sz w:val="20"/>
              </w:rPr>
              <w:t>No increase in the maximum number of repeats may be authorised.</w:t>
            </w:r>
          </w:p>
          <w:p w:rsidR="003E0359" w:rsidRPr="000F68C9" w:rsidRDefault="003E0359" w:rsidP="003D2E02">
            <w:pPr>
              <w:rPr>
                <w:rFonts w:ascii="Arial Narrow" w:hAnsi="Arial Narrow"/>
                <w:b/>
                <w:bCs/>
                <w:sz w:val="20"/>
                <w:u w:val="single"/>
              </w:rPr>
            </w:pPr>
          </w:p>
          <w:p w:rsidR="003E0359" w:rsidRPr="000F68C9" w:rsidRDefault="003E0359" w:rsidP="003D2E02">
            <w:pPr>
              <w:rPr>
                <w:rFonts w:ascii="Arial Narrow" w:hAnsi="Arial Narrow"/>
                <w:sz w:val="20"/>
              </w:rPr>
            </w:pPr>
            <w:r w:rsidRPr="000F68C9">
              <w:rPr>
                <w:rFonts w:ascii="Arial Narrow" w:hAnsi="Arial Narrow"/>
                <w:b/>
                <w:bCs/>
                <w:sz w:val="20"/>
                <w:u w:val="single"/>
              </w:rPr>
              <w:t>Note</w:t>
            </w:r>
          </w:p>
          <w:p w:rsidR="003E0359" w:rsidRPr="000F68C9" w:rsidRDefault="003E0359" w:rsidP="003D2E02">
            <w:pPr>
              <w:rPr>
                <w:rFonts w:ascii="Arial Narrow" w:hAnsi="Arial Narrow"/>
                <w:sz w:val="20"/>
              </w:rPr>
            </w:pPr>
            <w:r w:rsidRPr="000F68C9">
              <w:rPr>
                <w:rFonts w:ascii="Arial Narrow" w:hAnsi="Arial Narrow"/>
                <w:b/>
                <w:bCs/>
                <w:sz w:val="20"/>
              </w:rPr>
              <w:t>Shared Care Model</w:t>
            </w:r>
            <w:r w:rsidRPr="000F68C9">
              <w:rPr>
                <w:rFonts w:ascii="Arial Narrow" w:hAnsi="Arial Narrow"/>
                <w:sz w:val="20"/>
              </w:rPr>
              <w:t>:</w:t>
            </w:r>
          </w:p>
          <w:p w:rsidR="003E0359" w:rsidRPr="000F68C9" w:rsidRDefault="003E0359" w:rsidP="003D2E02">
            <w:pPr>
              <w:rPr>
                <w:rFonts w:ascii="Arial Narrow" w:hAnsi="Arial Narrow"/>
                <w:sz w:val="20"/>
              </w:rPr>
            </w:pPr>
            <w:r w:rsidRPr="000F68C9">
              <w:rPr>
                <w:rFonts w:ascii="Arial Narrow" w:hAnsi="Arial Narrow"/>
                <w:sz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p w:rsidR="003E0359" w:rsidRPr="000F68C9" w:rsidRDefault="003E0359" w:rsidP="003D2E02">
            <w:pPr>
              <w:rPr>
                <w:rFonts w:ascii="Arial Narrow" w:hAnsi="Arial Narrow"/>
                <w:sz w:val="20"/>
                <w:lang w:eastAsia="zh-CN"/>
              </w:rPr>
            </w:pPr>
          </w:p>
          <w:p w:rsidR="003E0359" w:rsidRPr="003B567A" w:rsidRDefault="003E0359" w:rsidP="003D2E02">
            <w:pPr>
              <w:rPr>
                <w:sz w:val="20"/>
                <w:szCs w:val="20"/>
              </w:rPr>
            </w:pPr>
            <w:r w:rsidRPr="000F68C9">
              <w:rPr>
                <w:rFonts w:ascii="Arial Narrow" w:hAnsi="Arial Narrow"/>
                <w:sz w:val="20"/>
                <w:lang w:eastAsia="zh-CN"/>
              </w:rPr>
              <w:t>Special Pricing Arrangements apply</w:t>
            </w:r>
            <w:r w:rsidRPr="000F68C9">
              <w:rPr>
                <w:rFonts w:ascii="Arial Narrow" w:hAnsi="Arial Narrow" w:hint="eastAsia"/>
                <w:sz w:val="20"/>
                <w:lang w:eastAsia="zh-CN"/>
              </w:rPr>
              <w:t>.</w:t>
            </w:r>
          </w:p>
        </w:tc>
      </w:tr>
    </w:tbl>
    <w:p w:rsidR="005547F4" w:rsidRDefault="005547F4" w:rsidP="005547F4">
      <w:pPr>
        <w:pStyle w:val="NoSpacing"/>
        <w:rPr>
          <w:lang w:val="en-GB"/>
        </w:rPr>
      </w:pPr>
    </w:p>
    <w:p w:rsidR="00F141A2" w:rsidRPr="00C07617" w:rsidRDefault="00F141A2" w:rsidP="00F141A2">
      <w:pPr>
        <w:pStyle w:val="PBACHeading1"/>
        <w:ind w:left="709" w:hanging="709"/>
        <w:rPr>
          <w:rFonts w:asciiTheme="minorHAnsi" w:hAnsiTheme="minorHAnsi"/>
          <w:b w:val="0"/>
        </w:rPr>
      </w:pPr>
      <w:r w:rsidRPr="00C07617">
        <w:rPr>
          <w:rFonts w:asciiTheme="minorHAnsi" w:hAnsiTheme="minorHAnsi"/>
        </w:rPr>
        <w:t>Context for Decision</w:t>
      </w:r>
    </w:p>
    <w:p w:rsidR="00F141A2" w:rsidRPr="00C07617" w:rsidRDefault="00F141A2" w:rsidP="002503C8">
      <w:pPr>
        <w:ind w:left="709"/>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141A2" w:rsidRDefault="00F141A2" w:rsidP="00F141A2">
      <w:pPr>
        <w:ind w:left="426"/>
        <w:rPr>
          <w:rFonts w:ascii="Arial" w:hAnsi="Arial"/>
          <w:sz w:val="22"/>
        </w:rPr>
      </w:pPr>
    </w:p>
    <w:p w:rsidR="00F141A2" w:rsidRPr="00C07617" w:rsidRDefault="00F141A2" w:rsidP="00F141A2">
      <w:pPr>
        <w:pStyle w:val="PBACHeading1"/>
        <w:rPr>
          <w:rFonts w:asciiTheme="minorHAnsi" w:hAnsiTheme="minorHAnsi"/>
          <w:b w:val="0"/>
        </w:rPr>
      </w:pPr>
      <w:r>
        <w:rPr>
          <w:rFonts w:asciiTheme="minorHAnsi" w:hAnsiTheme="minorHAnsi"/>
        </w:rPr>
        <w:t>Sponsor’s Comment</w:t>
      </w:r>
    </w:p>
    <w:p w:rsidR="00D44843" w:rsidRDefault="000D7B6F" w:rsidP="00506A83">
      <w:pPr>
        <w:widowControl/>
        <w:ind w:left="720"/>
        <w:jc w:val="left"/>
        <w:rPr>
          <w:rFonts w:cs="Calibri"/>
        </w:rPr>
      </w:pPr>
      <w:r w:rsidRPr="002503C8">
        <w:rPr>
          <w:rFonts w:asciiTheme="minorHAnsi" w:hAnsiTheme="minorHAnsi"/>
        </w:rPr>
        <w:t xml:space="preserve">Bayer welcomes the PBAC decision to recommend the PBS listing of </w:t>
      </w:r>
      <w:proofErr w:type="spellStart"/>
      <w:r w:rsidRPr="002503C8">
        <w:rPr>
          <w:rFonts w:asciiTheme="minorHAnsi" w:hAnsiTheme="minorHAnsi"/>
        </w:rPr>
        <w:t>Xarelto</w:t>
      </w:r>
      <w:proofErr w:type="spellEnd"/>
      <w:r w:rsidRPr="002503C8">
        <w:rPr>
          <w:rFonts w:asciiTheme="minorHAnsi" w:hAnsiTheme="minorHAnsi"/>
        </w:rPr>
        <w:t xml:space="preserve"> 10mg for </w:t>
      </w:r>
      <w:bookmarkStart w:id="23" w:name="_GoBack"/>
      <w:bookmarkEnd w:id="23"/>
      <w:r w:rsidRPr="002503C8">
        <w:rPr>
          <w:rFonts w:asciiTheme="minorHAnsi" w:hAnsiTheme="minorHAnsi"/>
        </w:rPr>
        <w:t>the prevention of recurrent VTE.</w:t>
      </w:r>
      <w:bookmarkEnd w:id="0"/>
      <w:bookmarkEnd w:id="1"/>
      <w:bookmarkEnd w:id="2"/>
      <w:bookmarkEnd w:id="3"/>
      <w:bookmarkEnd w:id="4"/>
      <w:bookmarkEnd w:id="5"/>
    </w:p>
    <w:sectPr w:rsidR="00D44843" w:rsidSect="00E21358">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17C788" w16cid:durableId="1F3C9DB4"/>
  <w16cid:commentId w16cid:paraId="67138177" w16cid:durableId="1F3C9DB5"/>
  <w16cid:commentId w16cid:paraId="321174A2" w16cid:durableId="1F3C9DB6"/>
  <w16cid:commentId w16cid:paraId="2B1C709B" w16cid:durableId="1F3C9DB7"/>
  <w16cid:commentId w16cid:paraId="098ABF24" w16cid:durableId="1F3C9DB8"/>
  <w16cid:commentId w16cid:paraId="6C9F7384" w16cid:durableId="1F3CA2CD"/>
  <w16cid:commentId w16cid:paraId="4F2B97B8" w16cid:durableId="1F3C9DB9"/>
  <w16cid:commentId w16cid:paraId="34822692" w16cid:durableId="1F3C9DBA"/>
  <w16cid:commentId w16cid:paraId="2365E280" w16cid:durableId="1F3C9DBB"/>
  <w16cid:commentId w16cid:paraId="2BCAC89F" w16cid:durableId="1F3C9DBD"/>
  <w16cid:commentId w16cid:paraId="082CB60C" w16cid:durableId="1F3C9DBE"/>
  <w16cid:commentId w16cid:paraId="242A9E46" w16cid:durableId="1F2E823C"/>
  <w16cid:commentId w16cid:paraId="740A7197" w16cid:durableId="1F2E8396"/>
  <w16cid:commentId w16cid:paraId="1E649572" w16cid:durableId="1F3C9DC1"/>
  <w16cid:commentId w16cid:paraId="383A76A6" w16cid:durableId="1F3C9DC2"/>
  <w16cid:commentId w16cid:paraId="2844BF63" w16cid:durableId="1F3C9DC3"/>
  <w16cid:commentId w16cid:paraId="306E4B3A" w16cid:durableId="1F3C9DC4"/>
  <w16cid:commentId w16cid:paraId="1294D5F3" w16cid:durableId="1F3C9DC5"/>
  <w16cid:commentId w16cid:paraId="6C0B5503" w16cid:durableId="1F3C9DC7"/>
  <w16cid:commentId w16cid:paraId="7F62287F" w16cid:durableId="1F3C9DC8"/>
  <w16cid:commentId w16cid:paraId="28C194D3" w16cid:durableId="1F3C9DC9"/>
  <w16cid:commentId w16cid:paraId="0B689996" w16cid:durableId="1F3C9DCA"/>
  <w16cid:commentId w16cid:paraId="42C41247" w16cid:durableId="1F3C9DCB"/>
  <w16cid:commentId w16cid:paraId="45F1F2D8" w16cid:durableId="1F3C9D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38E" w:rsidRDefault="00E9538E" w:rsidP="00124A51">
      <w:r>
        <w:separator/>
      </w:r>
    </w:p>
    <w:p w:rsidR="00E9538E" w:rsidRDefault="00E9538E"/>
  </w:endnote>
  <w:endnote w:type="continuationSeparator" w:id="0">
    <w:p w:rsidR="00E9538E" w:rsidRDefault="00E9538E" w:rsidP="00124A51">
      <w:r>
        <w:continuationSeparator/>
      </w:r>
    </w:p>
    <w:p w:rsidR="00E9538E" w:rsidRDefault="00E95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00"/>
    <w:family w:val="roman"/>
    <w:notTrueType/>
    <w:pitch w:val="default"/>
    <w:sig w:usb0="00000001"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CE0" w:rsidRDefault="00BF6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9726095"/>
      <w:docPartObj>
        <w:docPartGallery w:val="Page Numbers (Bottom of Page)"/>
        <w:docPartUnique/>
      </w:docPartObj>
    </w:sdtPr>
    <w:sdtEndPr>
      <w:rPr>
        <w:noProof/>
      </w:rPr>
    </w:sdtEndPr>
    <w:sdtContent>
      <w:p w:rsidR="00914DBB" w:rsidRDefault="00914DBB">
        <w:pPr>
          <w:pStyle w:val="Footer"/>
          <w:jc w:val="center"/>
        </w:pPr>
        <w:r>
          <w:fldChar w:fldCharType="begin"/>
        </w:r>
        <w:r>
          <w:instrText xml:space="preserve"> PAGE   \* MERGEFORMAT </w:instrText>
        </w:r>
        <w:r>
          <w:fldChar w:fldCharType="separate"/>
        </w:r>
        <w:r w:rsidR="00506A83">
          <w:rPr>
            <w:noProof/>
          </w:rPr>
          <w:t>16</w:t>
        </w:r>
        <w:r>
          <w:rPr>
            <w:noProof/>
          </w:rPr>
          <w:fldChar w:fldCharType="end"/>
        </w:r>
      </w:p>
    </w:sdtContent>
  </w:sdt>
  <w:p w:rsidR="00914DBB" w:rsidRPr="007C1CD9" w:rsidRDefault="00914DBB" w:rsidP="00015886">
    <w:pPr>
      <w:ind w:right="360"/>
      <w:jc w:val="cen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CE0" w:rsidRDefault="00BF6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38E" w:rsidRDefault="00E9538E" w:rsidP="00124A51">
      <w:r>
        <w:separator/>
      </w:r>
    </w:p>
    <w:p w:rsidR="00E9538E" w:rsidRDefault="00E9538E"/>
  </w:footnote>
  <w:footnote w:type="continuationSeparator" w:id="0">
    <w:p w:rsidR="00E9538E" w:rsidRDefault="00E9538E" w:rsidP="00124A51">
      <w:r>
        <w:continuationSeparator/>
      </w:r>
    </w:p>
    <w:p w:rsidR="00E9538E" w:rsidRDefault="00E9538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CE0" w:rsidRDefault="00BF6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DBB" w:rsidRDefault="00914DBB" w:rsidP="005547F4">
    <w:pPr>
      <w:tabs>
        <w:tab w:val="left" w:pos="142"/>
        <w:tab w:val="right" w:pos="9026"/>
      </w:tabs>
      <w:jc w:val="center"/>
      <w:rPr>
        <w:i/>
        <w:szCs w:val="24"/>
      </w:rPr>
    </w:pPr>
    <w:r>
      <w:rPr>
        <w:i/>
        <w:szCs w:val="24"/>
      </w:rPr>
      <w:t>Public Summary Document – November 2018 PBAC Meeting</w:t>
    </w:r>
  </w:p>
  <w:p w:rsidR="00914DBB" w:rsidRDefault="00914DBB" w:rsidP="005547F4">
    <w:pPr>
      <w:tabs>
        <w:tab w:val="left" w:pos="142"/>
        <w:tab w:val="right" w:pos="9026"/>
      </w:tabs>
      <w:jc w:val="center"/>
      <w:rPr>
        <w:i/>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CE0" w:rsidRDefault="00BF6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A051F2"/>
    <w:multiLevelType w:val="multilevel"/>
    <w:tmpl w:val="0808763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236D0A"/>
    <w:multiLevelType w:val="hybridMultilevel"/>
    <w:tmpl w:val="AA3420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AC40EA"/>
    <w:multiLevelType w:val="hybridMultilevel"/>
    <w:tmpl w:val="0706B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FB7CE2"/>
    <w:multiLevelType w:val="hybridMultilevel"/>
    <w:tmpl w:val="8C52A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48413F"/>
    <w:multiLevelType w:val="hybridMultilevel"/>
    <w:tmpl w:val="20B05B00"/>
    <w:lvl w:ilvl="0" w:tplc="668229F0">
      <w:start w:val="12"/>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9F4612"/>
    <w:multiLevelType w:val="hybridMultilevel"/>
    <w:tmpl w:val="B0BEEDAC"/>
    <w:lvl w:ilvl="0" w:tplc="2FCAE498">
      <w:start w:val="8"/>
      <w:numFmt w:val="bullet"/>
      <w:lvlText w:val="-"/>
      <w:lvlJc w:val="left"/>
      <w:pPr>
        <w:ind w:left="113" w:hanging="113"/>
      </w:pPr>
      <w:rPr>
        <w:rFonts w:ascii="Calibri" w:eastAsiaTheme="minorHAnsi" w:hAnsi="Calibri"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C535B8"/>
    <w:multiLevelType w:val="hybridMultilevel"/>
    <w:tmpl w:val="317E2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8B5962"/>
    <w:multiLevelType w:val="hybridMultilevel"/>
    <w:tmpl w:val="8CC85C86"/>
    <w:lvl w:ilvl="0" w:tplc="11600D8C">
      <w:start w:val="1"/>
      <w:numFmt w:val="decimal"/>
      <w:lvlText w:val="%1."/>
      <w:lvlJc w:val="left"/>
      <w:pPr>
        <w:ind w:left="720" w:hanging="360"/>
      </w:pPr>
      <w:rPr>
        <w:rFonts w:ascii="Arial Narrow" w:eastAsia="Times New Roman" w:hAnsi="Arial Narrow" w:cs="Times New Roman"/>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EE75F5"/>
    <w:multiLevelType w:val="multilevel"/>
    <w:tmpl w:val="02E423FE"/>
    <w:lvl w:ilvl="0">
      <w:start w:val="1"/>
      <w:numFmt w:val="decimal"/>
      <w:lvlText w:val="%1"/>
      <w:lvlJc w:val="left"/>
      <w:pPr>
        <w:ind w:left="720" w:hanging="72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3B7C34E2"/>
    <w:multiLevelType w:val="hybridMultilevel"/>
    <w:tmpl w:val="8BD4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C90259"/>
    <w:multiLevelType w:val="hybridMultilevel"/>
    <w:tmpl w:val="3460C0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3F0FE4"/>
    <w:multiLevelType w:val="hybridMultilevel"/>
    <w:tmpl w:val="D27698FC"/>
    <w:lvl w:ilvl="0" w:tplc="B6AA3A6C">
      <w:start w:val="4"/>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71005A"/>
    <w:multiLevelType w:val="hybridMultilevel"/>
    <w:tmpl w:val="61A21F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31FB4"/>
    <w:multiLevelType w:val="hybridMultilevel"/>
    <w:tmpl w:val="CF22F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FC404F"/>
    <w:multiLevelType w:val="multilevel"/>
    <w:tmpl w:val="CD1C4E9E"/>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2157F8"/>
    <w:multiLevelType w:val="hybridMultilevel"/>
    <w:tmpl w:val="C6203E82"/>
    <w:lvl w:ilvl="0" w:tplc="5D5CFDE0">
      <w:start w:val="1"/>
      <w:numFmt w:val="bullet"/>
      <w:pStyle w:val="PBAC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F2913D6"/>
    <w:multiLevelType w:val="hybridMultilevel"/>
    <w:tmpl w:val="4D5E8128"/>
    <w:lvl w:ilvl="0" w:tplc="D35886D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D60F6D"/>
    <w:multiLevelType w:val="hybridMultilevel"/>
    <w:tmpl w:val="BEF2D5CC"/>
    <w:lvl w:ilvl="0" w:tplc="9F4A4E72">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7C61B5A"/>
    <w:multiLevelType w:val="hybridMultilevel"/>
    <w:tmpl w:val="00AE4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A373B7"/>
    <w:multiLevelType w:val="hybridMultilevel"/>
    <w:tmpl w:val="0846AFCE"/>
    <w:lvl w:ilvl="0" w:tplc="451A611C">
      <w:start w:val="12"/>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DD3B1D"/>
    <w:multiLevelType w:val="hybridMultilevel"/>
    <w:tmpl w:val="F3C69068"/>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9" w15:restartNumberingAfterBreak="0">
    <w:nsid w:val="67E87C96"/>
    <w:multiLevelType w:val="hybridMultilevel"/>
    <w:tmpl w:val="698EE754"/>
    <w:lvl w:ilvl="0" w:tplc="1D2452E8">
      <w:start w:val="1"/>
      <w:numFmt w:val="decimal"/>
      <w:lvlText w:val="%1."/>
      <w:lvlJc w:val="left"/>
      <w:pPr>
        <w:ind w:left="360" w:hanging="360"/>
      </w:pPr>
      <w:rPr>
        <w:rFonts w:asciiTheme="minorHAnsi" w:hAnsiTheme="minorHAnsi" w:cstheme="minorHAnsi"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5EA68E1"/>
    <w:multiLevelType w:val="hybridMultilevel"/>
    <w:tmpl w:val="BBF05508"/>
    <w:lvl w:ilvl="0" w:tplc="8B12B394">
      <w:start w:val="4"/>
      <w:numFmt w:val="bullet"/>
      <w:lvlText w:val="-"/>
      <w:lvlJc w:val="left"/>
      <w:pPr>
        <w:ind w:left="720" w:hanging="360"/>
      </w:pPr>
      <w:rPr>
        <w:rFonts w:ascii="Arial Narrow" w:eastAsia="Times New Roman" w:hAnsi="Arial Narrow"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4D033C"/>
    <w:multiLevelType w:val="multilevel"/>
    <w:tmpl w:val="EFF04F7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Theme="minorHAnsi" w:hAnsiTheme="minorHAnsi" w:cs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AC137B"/>
    <w:multiLevelType w:val="hybridMultilevel"/>
    <w:tmpl w:val="987AF8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2"/>
  </w:num>
  <w:num w:numId="3">
    <w:abstractNumId w:val="31"/>
  </w:num>
  <w:num w:numId="4">
    <w:abstractNumId w:val="18"/>
  </w:num>
  <w:num w:numId="5">
    <w:abstractNumId w:val="21"/>
  </w:num>
  <w:num w:numId="6">
    <w:abstractNumId w:val="16"/>
  </w:num>
  <w:num w:numId="7">
    <w:abstractNumId w:val="8"/>
  </w:num>
  <w:num w:numId="8">
    <w:abstractNumId w:val="19"/>
  </w:num>
  <w:num w:numId="9">
    <w:abstractNumId w:val="12"/>
  </w:num>
  <w:num w:numId="10">
    <w:abstractNumId w:val="17"/>
  </w:num>
  <w:num w:numId="11">
    <w:abstractNumId w:val="22"/>
  </w:num>
  <w:num w:numId="12">
    <w:abstractNumId w:val="32"/>
  </w:num>
  <w:num w:numId="13">
    <w:abstractNumId w:val="11"/>
  </w:num>
  <w:num w:numId="14">
    <w:abstractNumId w:val="5"/>
  </w:num>
  <w:num w:numId="15">
    <w:abstractNumId w:val="26"/>
  </w:num>
  <w:num w:numId="16">
    <w:abstractNumId w:val="30"/>
  </w:num>
  <w:num w:numId="17">
    <w:abstractNumId w:val="4"/>
  </w:num>
  <w:num w:numId="18">
    <w:abstractNumId w:val="28"/>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5"/>
  </w:num>
  <w:num w:numId="22">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7"/>
  </w:num>
  <w:num w:numId="26">
    <w:abstractNumId w:val="27"/>
  </w:num>
  <w:num w:numId="27">
    <w:abstractNumId w:val="10"/>
  </w:num>
  <w:num w:numId="28">
    <w:abstractNumId w:val="1"/>
  </w:num>
  <w:num w:numId="29">
    <w:abstractNumId w:val="15"/>
  </w:num>
  <w:num w:numId="30">
    <w:abstractNumId w:val="29"/>
  </w:num>
  <w:num w:numId="31">
    <w:abstractNumId w:val="23"/>
  </w:num>
  <w:num w:numId="32">
    <w:abstractNumId w:val="24"/>
  </w:num>
  <w:num w:numId="33">
    <w:abstractNumId w:val="3"/>
  </w:num>
  <w:num w:numId="34">
    <w:abstractNumId w:val="0"/>
  </w:num>
  <w:num w:numId="35">
    <w:abstractNumId w:val="9"/>
  </w:num>
  <w:num w:numId="36">
    <w:abstractNumId w:val="20"/>
  </w:num>
  <w:num w:numId="37">
    <w:abstractNumId w:val="31"/>
  </w:num>
  <w:num w:numId="38">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D54"/>
    <w:rsid w:val="00000D80"/>
    <w:rsid w:val="0000110B"/>
    <w:rsid w:val="00003499"/>
    <w:rsid w:val="000039B7"/>
    <w:rsid w:val="00005880"/>
    <w:rsid w:val="00005979"/>
    <w:rsid w:val="00005E3D"/>
    <w:rsid w:val="00010354"/>
    <w:rsid w:val="00013247"/>
    <w:rsid w:val="00013645"/>
    <w:rsid w:val="00014810"/>
    <w:rsid w:val="00015760"/>
    <w:rsid w:val="00015886"/>
    <w:rsid w:val="000162EF"/>
    <w:rsid w:val="0001794A"/>
    <w:rsid w:val="00017F41"/>
    <w:rsid w:val="000213FD"/>
    <w:rsid w:val="00021512"/>
    <w:rsid w:val="00021F65"/>
    <w:rsid w:val="0002225F"/>
    <w:rsid w:val="0002230D"/>
    <w:rsid w:val="00023763"/>
    <w:rsid w:val="000263A2"/>
    <w:rsid w:val="00026630"/>
    <w:rsid w:val="00026643"/>
    <w:rsid w:val="000267DD"/>
    <w:rsid w:val="0002718C"/>
    <w:rsid w:val="00032A2D"/>
    <w:rsid w:val="00033863"/>
    <w:rsid w:val="00035321"/>
    <w:rsid w:val="00035DC0"/>
    <w:rsid w:val="00036829"/>
    <w:rsid w:val="0003695A"/>
    <w:rsid w:val="00037097"/>
    <w:rsid w:val="00040895"/>
    <w:rsid w:val="00041A27"/>
    <w:rsid w:val="000431F0"/>
    <w:rsid w:val="00043C37"/>
    <w:rsid w:val="00045017"/>
    <w:rsid w:val="000452DC"/>
    <w:rsid w:val="00045A2B"/>
    <w:rsid w:val="0004698F"/>
    <w:rsid w:val="0005207F"/>
    <w:rsid w:val="000537DC"/>
    <w:rsid w:val="000539D0"/>
    <w:rsid w:val="00054317"/>
    <w:rsid w:val="00054449"/>
    <w:rsid w:val="00054621"/>
    <w:rsid w:val="000546D7"/>
    <w:rsid w:val="00054B67"/>
    <w:rsid w:val="00055B9F"/>
    <w:rsid w:val="00056C97"/>
    <w:rsid w:val="00057162"/>
    <w:rsid w:val="00057FEF"/>
    <w:rsid w:val="00060029"/>
    <w:rsid w:val="00060686"/>
    <w:rsid w:val="000610D2"/>
    <w:rsid w:val="00061324"/>
    <w:rsid w:val="00062A3F"/>
    <w:rsid w:val="00062F93"/>
    <w:rsid w:val="00063FFE"/>
    <w:rsid w:val="00064A80"/>
    <w:rsid w:val="00065100"/>
    <w:rsid w:val="00066360"/>
    <w:rsid w:val="000666B4"/>
    <w:rsid w:val="00066C2E"/>
    <w:rsid w:val="00067169"/>
    <w:rsid w:val="000701DB"/>
    <w:rsid w:val="00071248"/>
    <w:rsid w:val="000717B9"/>
    <w:rsid w:val="000720B9"/>
    <w:rsid w:val="00072C35"/>
    <w:rsid w:val="000735AB"/>
    <w:rsid w:val="000737F7"/>
    <w:rsid w:val="0007382C"/>
    <w:rsid w:val="00075497"/>
    <w:rsid w:val="0007672F"/>
    <w:rsid w:val="00076F68"/>
    <w:rsid w:val="000774F0"/>
    <w:rsid w:val="000800DC"/>
    <w:rsid w:val="00080909"/>
    <w:rsid w:val="00080950"/>
    <w:rsid w:val="000812CA"/>
    <w:rsid w:val="00081AEB"/>
    <w:rsid w:val="00081EE4"/>
    <w:rsid w:val="00081FB9"/>
    <w:rsid w:val="00082122"/>
    <w:rsid w:val="0008258D"/>
    <w:rsid w:val="000825AD"/>
    <w:rsid w:val="000835A0"/>
    <w:rsid w:val="00083E99"/>
    <w:rsid w:val="000840CF"/>
    <w:rsid w:val="000848AD"/>
    <w:rsid w:val="000856C5"/>
    <w:rsid w:val="00086269"/>
    <w:rsid w:val="00090270"/>
    <w:rsid w:val="00090C7E"/>
    <w:rsid w:val="00092409"/>
    <w:rsid w:val="00092600"/>
    <w:rsid w:val="0009262B"/>
    <w:rsid w:val="00093310"/>
    <w:rsid w:val="0009445C"/>
    <w:rsid w:val="00095FE5"/>
    <w:rsid w:val="00096284"/>
    <w:rsid w:val="00096C27"/>
    <w:rsid w:val="000A1EF1"/>
    <w:rsid w:val="000A2607"/>
    <w:rsid w:val="000A39B9"/>
    <w:rsid w:val="000A3F74"/>
    <w:rsid w:val="000A59A9"/>
    <w:rsid w:val="000A7D08"/>
    <w:rsid w:val="000B05D2"/>
    <w:rsid w:val="000B0670"/>
    <w:rsid w:val="000B0E75"/>
    <w:rsid w:val="000B2B08"/>
    <w:rsid w:val="000B2FDA"/>
    <w:rsid w:val="000B30F9"/>
    <w:rsid w:val="000B44D0"/>
    <w:rsid w:val="000B58BE"/>
    <w:rsid w:val="000B6CAC"/>
    <w:rsid w:val="000B7612"/>
    <w:rsid w:val="000B7BE9"/>
    <w:rsid w:val="000C00C8"/>
    <w:rsid w:val="000C14DA"/>
    <w:rsid w:val="000C15EF"/>
    <w:rsid w:val="000C2998"/>
    <w:rsid w:val="000C38F7"/>
    <w:rsid w:val="000C3DF9"/>
    <w:rsid w:val="000C541A"/>
    <w:rsid w:val="000C5D00"/>
    <w:rsid w:val="000C6713"/>
    <w:rsid w:val="000C6CFC"/>
    <w:rsid w:val="000D09F6"/>
    <w:rsid w:val="000D1BFC"/>
    <w:rsid w:val="000D281A"/>
    <w:rsid w:val="000D326A"/>
    <w:rsid w:val="000D3F8A"/>
    <w:rsid w:val="000D51FB"/>
    <w:rsid w:val="000D5A1E"/>
    <w:rsid w:val="000D5B39"/>
    <w:rsid w:val="000D5D9E"/>
    <w:rsid w:val="000D5FDD"/>
    <w:rsid w:val="000D7B6F"/>
    <w:rsid w:val="000E135D"/>
    <w:rsid w:val="000E1EA8"/>
    <w:rsid w:val="000E4C7F"/>
    <w:rsid w:val="000E4CD7"/>
    <w:rsid w:val="000E58AA"/>
    <w:rsid w:val="000E67CA"/>
    <w:rsid w:val="000E6AFA"/>
    <w:rsid w:val="000E7E4D"/>
    <w:rsid w:val="000F00BA"/>
    <w:rsid w:val="000F1949"/>
    <w:rsid w:val="000F1D51"/>
    <w:rsid w:val="000F30AD"/>
    <w:rsid w:val="000F316A"/>
    <w:rsid w:val="000F3C74"/>
    <w:rsid w:val="000F3EA9"/>
    <w:rsid w:val="000F46C6"/>
    <w:rsid w:val="000F4BB8"/>
    <w:rsid w:val="000F61F3"/>
    <w:rsid w:val="000F68C9"/>
    <w:rsid w:val="000F6F8B"/>
    <w:rsid w:val="000F7127"/>
    <w:rsid w:val="0010009C"/>
    <w:rsid w:val="00100A7A"/>
    <w:rsid w:val="00100F8A"/>
    <w:rsid w:val="00103D4C"/>
    <w:rsid w:val="00104136"/>
    <w:rsid w:val="00105AE2"/>
    <w:rsid w:val="00106B80"/>
    <w:rsid w:val="0011032E"/>
    <w:rsid w:val="001109C6"/>
    <w:rsid w:val="001111B4"/>
    <w:rsid w:val="0011348B"/>
    <w:rsid w:val="0011437F"/>
    <w:rsid w:val="00114832"/>
    <w:rsid w:val="00115982"/>
    <w:rsid w:val="0011675D"/>
    <w:rsid w:val="00116C53"/>
    <w:rsid w:val="00117513"/>
    <w:rsid w:val="001177AC"/>
    <w:rsid w:val="00117E11"/>
    <w:rsid w:val="00120C4A"/>
    <w:rsid w:val="00121799"/>
    <w:rsid w:val="001222FC"/>
    <w:rsid w:val="00122762"/>
    <w:rsid w:val="001236AD"/>
    <w:rsid w:val="00124A24"/>
    <w:rsid w:val="00124A51"/>
    <w:rsid w:val="00125D60"/>
    <w:rsid w:val="00126621"/>
    <w:rsid w:val="00127126"/>
    <w:rsid w:val="00127DB2"/>
    <w:rsid w:val="001301E9"/>
    <w:rsid w:val="00131D82"/>
    <w:rsid w:val="001320C9"/>
    <w:rsid w:val="001321BC"/>
    <w:rsid w:val="00132E0C"/>
    <w:rsid w:val="00133D36"/>
    <w:rsid w:val="001348E3"/>
    <w:rsid w:val="00134B0A"/>
    <w:rsid w:val="001355B9"/>
    <w:rsid w:val="00136B39"/>
    <w:rsid w:val="00137645"/>
    <w:rsid w:val="00137E91"/>
    <w:rsid w:val="0014015A"/>
    <w:rsid w:val="00140C28"/>
    <w:rsid w:val="00140E99"/>
    <w:rsid w:val="0014220E"/>
    <w:rsid w:val="00142DEF"/>
    <w:rsid w:val="0014321C"/>
    <w:rsid w:val="00144224"/>
    <w:rsid w:val="00145540"/>
    <w:rsid w:val="0014566C"/>
    <w:rsid w:val="001456B0"/>
    <w:rsid w:val="00145C62"/>
    <w:rsid w:val="00145EF0"/>
    <w:rsid w:val="00146E97"/>
    <w:rsid w:val="0015265E"/>
    <w:rsid w:val="001527F1"/>
    <w:rsid w:val="00154068"/>
    <w:rsid w:val="00154CB9"/>
    <w:rsid w:val="00156C5D"/>
    <w:rsid w:val="00157130"/>
    <w:rsid w:val="001576B1"/>
    <w:rsid w:val="00160058"/>
    <w:rsid w:val="00160A4C"/>
    <w:rsid w:val="00160F97"/>
    <w:rsid w:val="001619FA"/>
    <w:rsid w:val="00162913"/>
    <w:rsid w:val="00163072"/>
    <w:rsid w:val="00163EFF"/>
    <w:rsid w:val="001661FB"/>
    <w:rsid w:val="0017229C"/>
    <w:rsid w:val="00173565"/>
    <w:rsid w:val="00173B07"/>
    <w:rsid w:val="00174E56"/>
    <w:rsid w:val="00175644"/>
    <w:rsid w:val="00176FA2"/>
    <w:rsid w:val="00177965"/>
    <w:rsid w:val="001801C7"/>
    <w:rsid w:val="00181A6B"/>
    <w:rsid w:val="00181CA1"/>
    <w:rsid w:val="00181D9C"/>
    <w:rsid w:val="00182A9E"/>
    <w:rsid w:val="00184377"/>
    <w:rsid w:val="0018444D"/>
    <w:rsid w:val="0018752F"/>
    <w:rsid w:val="001901BE"/>
    <w:rsid w:val="00193B53"/>
    <w:rsid w:val="00194C9E"/>
    <w:rsid w:val="00195222"/>
    <w:rsid w:val="0019538A"/>
    <w:rsid w:val="00196521"/>
    <w:rsid w:val="001975D8"/>
    <w:rsid w:val="001A37A1"/>
    <w:rsid w:val="001A3B80"/>
    <w:rsid w:val="001A43FA"/>
    <w:rsid w:val="001A59FB"/>
    <w:rsid w:val="001A6354"/>
    <w:rsid w:val="001A68C3"/>
    <w:rsid w:val="001A7AE8"/>
    <w:rsid w:val="001A7C00"/>
    <w:rsid w:val="001B0702"/>
    <w:rsid w:val="001B204E"/>
    <w:rsid w:val="001B3443"/>
    <w:rsid w:val="001B4731"/>
    <w:rsid w:val="001B4D20"/>
    <w:rsid w:val="001B5BC4"/>
    <w:rsid w:val="001B5E50"/>
    <w:rsid w:val="001B5EA7"/>
    <w:rsid w:val="001B61AE"/>
    <w:rsid w:val="001B620B"/>
    <w:rsid w:val="001B6A6E"/>
    <w:rsid w:val="001B6B23"/>
    <w:rsid w:val="001C2A9B"/>
    <w:rsid w:val="001C33C2"/>
    <w:rsid w:val="001C3EA8"/>
    <w:rsid w:val="001C4299"/>
    <w:rsid w:val="001C5DAA"/>
    <w:rsid w:val="001C5F94"/>
    <w:rsid w:val="001C6785"/>
    <w:rsid w:val="001C6E66"/>
    <w:rsid w:val="001C7A20"/>
    <w:rsid w:val="001D4F9D"/>
    <w:rsid w:val="001E238E"/>
    <w:rsid w:val="001E2483"/>
    <w:rsid w:val="001E2B1E"/>
    <w:rsid w:val="001E30D4"/>
    <w:rsid w:val="001E35ED"/>
    <w:rsid w:val="001E52EB"/>
    <w:rsid w:val="001E61D2"/>
    <w:rsid w:val="001E740C"/>
    <w:rsid w:val="001E781B"/>
    <w:rsid w:val="001F0189"/>
    <w:rsid w:val="001F02E2"/>
    <w:rsid w:val="001F0A78"/>
    <w:rsid w:val="001F0F92"/>
    <w:rsid w:val="001F11D9"/>
    <w:rsid w:val="001F1235"/>
    <w:rsid w:val="001F1CB3"/>
    <w:rsid w:val="001F27DD"/>
    <w:rsid w:val="001F35EF"/>
    <w:rsid w:val="001F38B5"/>
    <w:rsid w:val="001F3A08"/>
    <w:rsid w:val="001F4CAF"/>
    <w:rsid w:val="001F50A1"/>
    <w:rsid w:val="001F5481"/>
    <w:rsid w:val="001F69CD"/>
    <w:rsid w:val="001F7332"/>
    <w:rsid w:val="001F7361"/>
    <w:rsid w:val="0020118E"/>
    <w:rsid w:val="002011B0"/>
    <w:rsid w:val="00201A12"/>
    <w:rsid w:val="00201C4B"/>
    <w:rsid w:val="00202083"/>
    <w:rsid w:val="002024DA"/>
    <w:rsid w:val="00203181"/>
    <w:rsid w:val="00203783"/>
    <w:rsid w:val="0020385F"/>
    <w:rsid w:val="00203900"/>
    <w:rsid w:val="002045D7"/>
    <w:rsid w:val="00206C45"/>
    <w:rsid w:val="00207021"/>
    <w:rsid w:val="0020732F"/>
    <w:rsid w:val="00207D00"/>
    <w:rsid w:val="002105C1"/>
    <w:rsid w:val="002124EE"/>
    <w:rsid w:val="00213120"/>
    <w:rsid w:val="00213B21"/>
    <w:rsid w:val="0021523C"/>
    <w:rsid w:val="0021652C"/>
    <w:rsid w:val="00216BD1"/>
    <w:rsid w:val="00217C47"/>
    <w:rsid w:val="00221257"/>
    <w:rsid w:val="00222763"/>
    <w:rsid w:val="00222E80"/>
    <w:rsid w:val="00222F79"/>
    <w:rsid w:val="00223A26"/>
    <w:rsid w:val="00223B49"/>
    <w:rsid w:val="00224508"/>
    <w:rsid w:val="00224DD4"/>
    <w:rsid w:val="00225051"/>
    <w:rsid w:val="00225C57"/>
    <w:rsid w:val="002309CC"/>
    <w:rsid w:val="00231955"/>
    <w:rsid w:val="002319B4"/>
    <w:rsid w:val="0023209F"/>
    <w:rsid w:val="0023629D"/>
    <w:rsid w:val="00236717"/>
    <w:rsid w:val="00237255"/>
    <w:rsid w:val="00237A60"/>
    <w:rsid w:val="00240DA6"/>
    <w:rsid w:val="00240E3E"/>
    <w:rsid w:val="002424AF"/>
    <w:rsid w:val="0024376B"/>
    <w:rsid w:val="002439DC"/>
    <w:rsid w:val="00243B9A"/>
    <w:rsid w:val="00244DC8"/>
    <w:rsid w:val="0024537A"/>
    <w:rsid w:val="00245717"/>
    <w:rsid w:val="002458BA"/>
    <w:rsid w:val="002461D6"/>
    <w:rsid w:val="0024636C"/>
    <w:rsid w:val="00246CC0"/>
    <w:rsid w:val="0024748F"/>
    <w:rsid w:val="00247925"/>
    <w:rsid w:val="002503C8"/>
    <w:rsid w:val="002533B8"/>
    <w:rsid w:val="00254DCF"/>
    <w:rsid w:val="0025534B"/>
    <w:rsid w:val="00255AD4"/>
    <w:rsid w:val="00255BB7"/>
    <w:rsid w:val="00257541"/>
    <w:rsid w:val="00260AA1"/>
    <w:rsid w:val="002620A4"/>
    <w:rsid w:val="00262A1A"/>
    <w:rsid w:val="00262A51"/>
    <w:rsid w:val="00262A87"/>
    <w:rsid w:val="0026373D"/>
    <w:rsid w:val="00264D26"/>
    <w:rsid w:val="00266445"/>
    <w:rsid w:val="00267642"/>
    <w:rsid w:val="00267AEA"/>
    <w:rsid w:val="002700E6"/>
    <w:rsid w:val="002703AD"/>
    <w:rsid w:val="00270621"/>
    <w:rsid w:val="002706B3"/>
    <w:rsid w:val="00270CCD"/>
    <w:rsid w:val="00271073"/>
    <w:rsid w:val="00272923"/>
    <w:rsid w:val="0027294B"/>
    <w:rsid w:val="00272ECA"/>
    <w:rsid w:val="00273422"/>
    <w:rsid w:val="00275047"/>
    <w:rsid w:val="00275234"/>
    <w:rsid w:val="00275C5A"/>
    <w:rsid w:val="00276530"/>
    <w:rsid w:val="00277932"/>
    <w:rsid w:val="00280E3E"/>
    <w:rsid w:val="00281014"/>
    <w:rsid w:val="00282CB7"/>
    <w:rsid w:val="00286471"/>
    <w:rsid w:val="0028649C"/>
    <w:rsid w:val="002874EE"/>
    <w:rsid w:val="00290791"/>
    <w:rsid w:val="002934AF"/>
    <w:rsid w:val="002935A6"/>
    <w:rsid w:val="00297D9A"/>
    <w:rsid w:val="002A14AB"/>
    <w:rsid w:val="002A2F50"/>
    <w:rsid w:val="002A37BB"/>
    <w:rsid w:val="002A3C19"/>
    <w:rsid w:val="002A41C4"/>
    <w:rsid w:val="002A63EC"/>
    <w:rsid w:val="002A6C80"/>
    <w:rsid w:val="002A7691"/>
    <w:rsid w:val="002B09A4"/>
    <w:rsid w:val="002B13AA"/>
    <w:rsid w:val="002B180E"/>
    <w:rsid w:val="002B1C1F"/>
    <w:rsid w:val="002B42BB"/>
    <w:rsid w:val="002B432F"/>
    <w:rsid w:val="002B62B3"/>
    <w:rsid w:val="002B6754"/>
    <w:rsid w:val="002B6C1E"/>
    <w:rsid w:val="002B6CCE"/>
    <w:rsid w:val="002C2510"/>
    <w:rsid w:val="002C2775"/>
    <w:rsid w:val="002C27C1"/>
    <w:rsid w:val="002C2974"/>
    <w:rsid w:val="002C494F"/>
    <w:rsid w:val="002C5099"/>
    <w:rsid w:val="002C5889"/>
    <w:rsid w:val="002C71CE"/>
    <w:rsid w:val="002D05BA"/>
    <w:rsid w:val="002D4788"/>
    <w:rsid w:val="002D577C"/>
    <w:rsid w:val="002E1030"/>
    <w:rsid w:val="002E15B9"/>
    <w:rsid w:val="002E2158"/>
    <w:rsid w:val="002E260F"/>
    <w:rsid w:val="002E3578"/>
    <w:rsid w:val="002E3E15"/>
    <w:rsid w:val="002E748E"/>
    <w:rsid w:val="002E7722"/>
    <w:rsid w:val="002E79AB"/>
    <w:rsid w:val="002F03A4"/>
    <w:rsid w:val="002F07BA"/>
    <w:rsid w:val="002F0A95"/>
    <w:rsid w:val="002F0DA9"/>
    <w:rsid w:val="002F3B4E"/>
    <w:rsid w:val="002F6029"/>
    <w:rsid w:val="002F643C"/>
    <w:rsid w:val="002F6BE1"/>
    <w:rsid w:val="002F71C0"/>
    <w:rsid w:val="002F7CD0"/>
    <w:rsid w:val="00300046"/>
    <w:rsid w:val="003009E7"/>
    <w:rsid w:val="00300AC3"/>
    <w:rsid w:val="00301017"/>
    <w:rsid w:val="0030155F"/>
    <w:rsid w:val="00302A14"/>
    <w:rsid w:val="00302D5A"/>
    <w:rsid w:val="0030587B"/>
    <w:rsid w:val="003062F2"/>
    <w:rsid w:val="0030644B"/>
    <w:rsid w:val="00306D98"/>
    <w:rsid w:val="0030786C"/>
    <w:rsid w:val="00310126"/>
    <w:rsid w:val="0031031A"/>
    <w:rsid w:val="00310981"/>
    <w:rsid w:val="00310E65"/>
    <w:rsid w:val="00315498"/>
    <w:rsid w:val="00315B9E"/>
    <w:rsid w:val="0032043E"/>
    <w:rsid w:val="00320CA2"/>
    <w:rsid w:val="00321599"/>
    <w:rsid w:val="00322107"/>
    <w:rsid w:val="00322549"/>
    <w:rsid w:val="00322846"/>
    <w:rsid w:val="00323222"/>
    <w:rsid w:val="00325EA4"/>
    <w:rsid w:val="00326ADF"/>
    <w:rsid w:val="00326AF9"/>
    <w:rsid w:val="00326DA7"/>
    <w:rsid w:val="003270E4"/>
    <w:rsid w:val="00327489"/>
    <w:rsid w:val="00330534"/>
    <w:rsid w:val="00330BBD"/>
    <w:rsid w:val="00330F5C"/>
    <w:rsid w:val="00331623"/>
    <w:rsid w:val="00333934"/>
    <w:rsid w:val="00334620"/>
    <w:rsid w:val="003353D7"/>
    <w:rsid w:val="003356E7"/>
    <w:rsid w:val="00335C50"/>
    <w:rsid w:val="003366C9"/>
    <w:rsid w:val="003371B0"/>
    <w:rsid w:val="00340147"/>
    <w:rsid w:val="00340DF1"/>
    <w:rsid w:val="003438E4"/>
    <w:rsid w:val="0034488A"/>
    <w:rsid w:val="00346F92"/>
    <w:rsid w:val="003479E7"/>
    <w:rsid w:val="0035048C"/>
    <w:rsid w:val="003506CB"/>
    <w:rsid w:val="00350ECB"/>
    <w:rsid w:val="003517F9"/>
    <w:rsid w:val="0035199C"/>
    <w:rsid w:val="00352E14"/>
    <w:rsid w:val="00355980"/>
    <w:rsid w:val="0035620E"/>
    <w:rsid w:val="00357B6A"/>
    <w:rsid w:val="00361E85"/>
    <w:rsid w:val="003624C4"/>
    <w:rsid w:val="003626D9"/>
    <w:rsid w:val="00362B83"/>
    <w:rsid w:val="00363324"/>
    <w:rsid w:val="003640B7"/>
    <w:rsid w:val="003645A5"/>
    <w:rsid w:val="003654AC"/>
    <w:rsid w:val="003655C4"/>
    <w:rsid w:val="003662AE"/>
    <w:rsid w:val="003710CF"/>
    <w:rsid w:val="00371161"/>
    <w:rsid w:val="0037358A"/>
    <w:rsid w:val="003750F6"/>
    <w:rsid w:val="00375153"/>
    <w:rsid w:val="003760FC"/>
    <w:rsid w:val="00376400"/>
    <w:rsid w:val="00376F9C"/>
    <w:rsid w:val="00380780"/>
    <w:rsid w:val="00381248"/>
    <w:rsid w:val="003813F2"/>
    <w:rsid w:val="003814DC"/>
    <w:rsid w:val="0038365C"/>
    <w:rsid w:val="0038369B"/>
    <w:rsid w:val="00383B78"/>
    <w:rsid w:val="00384C04"/>
    <w:rsid w:val="00384CD7"/>
    <w:rsid w:val="00385A9D"/>
    <w:rsid w:val="00386511"/>
    <w:rsid w:val="003871AB"/>
    <w:rsid w:val="00387816"/>
    <w:rsid w:val="00390071"/>
    <w:rsid w:val="003902B1"/>
    <w:rsid w:val="00390799"/>
    <w:rsid w:val="00391F28"/>
    <w:rsid w:val="00392020"/>
    <w:rsid w:val="00393026"/>
    <w:rsid w:val="003939A5"/>
    <w:rsid w:val="00395643"/>
    <w:rsid w:val="00396896"/>
    <w:rsid w:val="00396FD0"/>
    <w:rsid w:val="003A1694"/>
    <w:rsid w:val="003A1A7A"/>
    <w:rsid w:val="003A2392"/>
    <w:rsid w:val="003A2831"/>
    <w:rsid w:val="003A3ED1"/>
    <w:rsid w:val="003A412F"/>
    <w:rsid w:val="003A6118"/>
    <w:rsid w:val="003A699D"/>
    <w:rsid w:val="003A6AB9"/>
    <w:rsid w:val="003B455B"/>
    <w:rsid w:val="003B46EA"/>
    <w:rsid w:val="003B5B61"/>
    <w:rsid w:val="003C1654"/>
    <w:rsid w:val="003C2B40"/>
    <w:rsid w:val="003C37E0"/>
    <w:rsid w:val="003C7D19"/>
    <w:rsid w:val="003D049E"/>
    <w:rsid w:val="003D056B"/>
    <w:rsid w:val="003D093B"/>
    <w:rsid w:val="003D1828"/>
    <w:rsid w:val="003D1901"/>
    <w:rsid w:val="003D1DE4"/>
    <w:rsid w:val="003D2422"/>
    <w:rsid w:val="003D2E02"/>
    <w:rsid w:val="003D39A1"/>
    <w:rsid w:val="003D3AF4"/>
    <w:rsid w:val="003D3FBF"/>
    <w:rsid w:val="003D43EE"/>
    <w:rsid w:val="003D49A3"/>
    <w:rsid w:val="003D4A30"/>
    <w:rsid w:val="003D7057"/>
    <w:rsid w:val="003D79BB"/>
    <w:rsid w:val="003D7C98"/>
    <w:rsid w:val="003E0359"/>
    <w:rsid w:val="003E0543"/>
    <w:rsid w:val="003E2EE8"/>
    <w:rsid w:val="003E318E"/>
    <w:rsid w:val="003E37F7"/>
    <w:rsid w:val="003E51A8"/>
    <w:rsid w:val="003E7258"/>
    <w:rsid w:val="003E79EA"/>
    <w:rsid w:val="003F1EB5"/>
    <w:rsid w:val="003F1EB8"/>
    <w:rsid w:val="003F3E19"/>
    <w:rsid w:val="003F4156"/>
    <w:rsid w:val="003F55E1"/>
    <w:rsid w:val="003F722A"/>
    <w:rsid w:val="003F7322"/>
    <w:rsid w:val="0040067E"/>
    <w:rsid w:val="00400B29"/>
    <w:rsid w:val="0040105E"/>
    <w:rsid w:val="004027C2"/>
    <w:rsid w:val="00403530"/>
    <w:rsid w:val="00404113"/>
    <w:rsid w:val="0040504B"/>
    <w:rsid w:val="00406084"/>
    <w:rsid w:val="00410708"/>
    <w:rsid w:val="00410EC7"/>
    <w:rsid w:val="00411B39"/>
    <w:rsid w:val="00411D8D"/>
    <w:rsid w:val="00413A1E"/>
    <w:rsid w:val="00414476"/>
    <w:rsid w:val="00414C2E"/>
    <w:rsid w:val="004151CF"/>
    <w:rsid w:val="00416364"/>
    <w:rsid w:val="004204CE"/>
    <w:rsid w:val="00420572"/>
    <w:rsid w:val="00420AA6"/>
    <w:rsid w:val="00420B9F"/>
    <w:rsid w:val="00422260"/>
    <w:rsid w:val="0042413F"/>
    <w:rsid w:val="00427108"/>
    <w:rsid w:val="00430245"/>
    <w:rsid w:val="004319F8"/>
    <w:rsid w:val="00431E55"/>
    <w:rsid w:val="004321F6"/>
    <w:rsid w:val="00433044"/>
    <w:rsid w:val="004337A2"/>
    <w:rsid w:val="004342C3"/>
    <w:rsid w:val="004345B8"/>
    <w:rsid w:val="00435194"/>
    <w:rsid w:val="00435EFE"/>
    <w:rsid w:val="004375B9"/>
    <w:rsid w:val="00440FA5"/>
    <w:rsid w:val="004428D0"/>
    <w:rsid w:val="0044304C"/>
    <w:rsid w:val="004436D9"/>
    <w:rsid w:val="004443A7"/>
    <w:rsid w:val="0044442C"/>
    <w:rsid w:val="00444FC8"/>
    <w:rsid w:val="00445493"/>
    <w:rsid w:val="004457E1"/>
    <w:rsid w:val="00445941"/>
    <w:rsid w:val="00445F3D"/>
    <w:rsid w:val="004464EB"/>
    <w:rsid w:val="00446836"/>
    <w:rsid w:val="00447B15"/>
    <w:rsid w:val="00447D26"/>
    <w:rsid w:val="00450BC9"/>
    <w:rsid w:val="0045102D"/>
    <w:rsid w:val="0045466C"/>
    <w:rsid w:val="00455B00"/>
    <w:rsid w:val="00455D45"/>
    <w:rsid w:val="00460489"/>
    <w:rsid w:val="00461376"/>
    <w:rsid w:val="00462999"/>
    <w:rsid w:val="00464595"/>
    <w:rsid w:val="004656FA"/>
    <w:rsid w:val="004721DE"/>
    <w:rsid w:val="00472251"/>
    <w:rsid w:val="00472A79"/>
    <w:rsid w:val="0047304B"/>
    <w:rsid w:val="00473F19"/>
    <w:rsid w:val="00475E22"/>
    <w:rsid w:val="00477344"/>
    <w:rsid w:val="0048088E"/>
    <w:rsid w:val="00482720"/>
    <w:rsid w:val="004835E7"/>
    <w:rsid w:val="004861F0"/>
    <w:rsid w:val="004867E2"/>
    <w:rsid w:val="004871CF"/>
    <w:rsid w:val="00487BCF"/>
    <w:rsid w:val="004917DB"/>
    <w:rsid w:val="00491B3A"/>
    <w:rsid w:val="00492CFD"/>
    <w:rsid w:val="00493992"/>
    <w:rsid w:val="00494DD5"/>
    <w:rsid w:val="004951D7"/>
    <w:rsid w:val="004962D2"/>
    <w:rsid w:val="004966CA"/>
    <w:rsid w:val="004972A6"/>
    <w:rsid w:val="004A0820"/>
    <w:rsid w:val="004A0DA1"/>
    <w:rsid w:val="004A16B5"/>
    <w:rsid w:val="004A2AAC"/>
    <w:rsid w:val="004A36DC"/>
    <w:rsid w:val="004A4617"/>
    <w:rsid w:val="004A52E9"/>
    <w:rsid w:val="004A5F47"/>
    <w:rsid w:val="004A6597"/>
    <w:rsid w:val="004A68BC"/>
    <w:rsid w:val="004A7848"/>
    <w:rsid w:val="004A7C43"/>
    <w:rsid w:val="004A7E21"/>
    <w:rsid w:val="004B0E22"/>
    <w:rsid w:val="004B1CB4"/>
    <w:rsid w:val="004B2F18"/>
    <w:rsid w:val="004B2FC1"/>
    <w:rsid w:val="004B310F"/>
    <w:rsid w:val="004B31D4"/>
    <w:rsid w:val="004B3471"/>
    <w:rsid w:val="004B3DDB"/>
    <w:rsid w:val="004B44FD"/>
    <w:rsid w:val="004B4B36"/>
    <w:rsid w:val="004B5CFC"/>
    <w:rsid w:val="004B5D44"/>
    <w:rsid w:val="004B6719"/>
    <w:rsid w:val="004B7595"/>
    <w:rsid w:val="004B774D"/>
    <w:rsid w:val="004C05BF"/>
    <w:rsid w:val="004C1666"/>
    <w:rsid w:val="004C2889"/>
    <w:rsid w:val="004C3C74"/>
    <w:rsid w:val="004C4AED"/>
    <w:rsid w:val="004C545B"/>
    <w:rsid w:val="004C5955"/>
    <w:rsid w:val="004C5B68"/>
    <w:rsid w:val="004C6D1A"/>
    <w:rsid w:val="004C6D5B"/>
    <w:rsid w:val="004C750F"/>
    <w:rsid w:val="004D1BDF"/>
    <w:rsid w:val="004D2354"/>
    <w:rsid w:val="004D2C2D"/>
    <w:rsid w:val="004D3121"/>
    <w:rsid w:val="004D359E"/>
    <w:rsid w:val="004D3EB7"/>
    <w:rsid w:val="004D4BFF"/>
    <w:rsid w:val="004D5535"/>
    <w:rsid w:val="004D5935"/>
    <w:rsid w:val="004D7227"/>
    <w:rsid w:val="004E0192"/>
    <w:rsid w:val="004E03D1"/>
    <w:rsid w:val="004E0E7F"/>
    <w:rsid w:val="004E0EB8"/>
    <w:rsid w:val="004E10F7"/>
    <w:rsid w:val="004E1248"/>
    <w:rsid w:val="004E1EF8"/>
    <w:rsid w:val="004E2056"/>
    <w:rsid w:val="004E2861"/>
    <w:rsid w:val="004E2874"/>
    <w:rsid w:val="004E2898"/>
    <w:rsid w:val="004E2ADC"/>
    <w:rsid w:val="004E2F39"/>
    <w:rsid w:val="004E43B2"/>
    <w:rsid w:val="004E6E30"/>
    <w:rsid w:val="004F123E"/>
    <w:rsid w:val="004F1D02"/>
    <w:rsid w:val="004F2679"/>
    <w:rsid w:val="004F2F21"/>
    <w:rsid w:val="004F3A43"/>
    <w:rsid w:val="004F6913"/>
    <w:rsid w:val="004F7865"/>
    <w:rsid w:val="005020C0"/>
    <w:rsid w:val="0050219B"/>
    <w:rsid w:val="0050273F"/>
    <w:rsid w:val="00503021"/>
    <w:rsid w:val="00503548"/>
    <w:rsid w:val="005038A5"/>
    <w:rsid w:val="00503F17"/>
    <w:rsid w:val="00504810"/>
    <w:rsid w:val="00504AA8"/>
    <w:rsid w:val="00504CBC"/>
    <w:rsid w:val="005060AB"/>
    <w:rsid w:val="00506928"/>
    <w:rsid w:val="00506A83"/>
    <w:rsid w:val="00511116"/>
    <w:rsid w:val="00511618"/>
    <w:rsid w:val="00513D21"/>
    <w:rsid w:val="0051426B"/>
    <w:rsid w:val="00514B5B"/>
    <w:rsid w:val="005152B5"/>
    <w:rsid w:val="00515A8C"/>
    <w:rsid w:val="00515DD3"/>
    <w:rsid w:val="00516864"/>
    <w:rsid w:val="00521319"/>
    <w:rsid w:val="00521504"/>
    <w:rsid w:val="00522BC8"/>
    <w:rsid w:val="00522E4E"/>
    <w:rsid w:val="00523C28"/>
    <w:rsid w:val="0052683D"/>
    <w:rsid w:val="00527DDE"/>
    <w:rsid w:val="00530F42"/>
    <w:rsid w:val="0053113F"/>
    <w:rsid w:val="005317E0"/>
    <w:rsid w:val="00533587"/>
    <w:rsid w:val="005337F2"/>
    <w:rsid w:val="00534558"/>
    <w:rsid w:val="00534E9E"/>
    <w:rsid w:val="00536F42"/>
    <w:rsid w:val="00537182"/>
    <w:rsid w:val="005413D3"/>
    <w:rsid w:val="005416BE"/>
    <w:rsid w:val="00542743"/>
    <w:rsid w:val="00542BE8"/>
    <w:rsid w:val="00542C2D"/>
    <w:rsid w:val="005437C3"/>
    <w:rsid w:val="00544950"/>
    <w:rsid w:val="00547F02"/>
    <w:rsid w:val="005503F3"/>
    <w:rsid w:val="00550737"/>
    <w:rsid w:val="00551985"/>
    <w:rsid w:val="00552BD3"/>
    <w:rsid w:val="0055439E"/>
    <w:rsid w:val="005547F4"/>
    <w:rsid w:val="00554F91"/>
    <w:rsid w:val="00555109"/>
    <w:rsid w:val="00563061"/>
    <w:rsid w:val="00564FE5"/>
    <w:rsid w:val="0056558D"/>
    <w:rsid w:val="005662B6"/>
    <w:rsid w:val="0056696F"/>
    <w:rsid w:val="00570F23"/>
    <w:rsid w:val="005711AA"/>
    <w:rsid w:val="00572269"/>
    <w:rsid w:val="0057244A"/>
    <w:rsid w:val="005737B3"/>
    <w:rsid w:val="00574642"/>
    <w:rsid w:val="00575D8D"/>
    <w:rsid w:val="00576972"/>
    <w:rsid w:val="00581FB5"/>
    <w:rsid w:val="00583699"/>
    <w:rsid w:val="00583E29"/>
    <w:rsid w:val="00585CDD"/>
    <w:rsid w:val="00587058"/>
    <w:rsid w:val="00587660"/>
    <w:rsid w:val="005903F1"/>
    <w:rsid w:val="00590A09"/>
    <w:rsid w:val="00591957"/>
    <w:rsid w:val="00592F12"/>
    <w:rsid w:val="005930A6"/>
    <w:rsid w:val="00594ADB"/>
    <w:rsid w:val="00595928"/>
    <w:rsid w:val="00596331"/>
    <w:rsid w:val="00597BF9"/>
    <w:rsid w:val="005A08C9"/>
    <w:rsid w:val="005A22C8"/>
    <w:rsid w:val="005A3422"/>
    <w:rsid w:val="005A3717"/>
    <w:rsid w:val="005A373D"/>
    <w:rsid w:val="005A64CD"/>
    <w:rsid w:val="005A7340"/>
    <w:rsid w:val="005A7A0D"/>
    <w:rsid w:val="005B015E"/>
    <w:rsid w:val="005B20D1"/>
    <w:rsid w:val="005B3C6D"/>
    <w:rsid w:val="005B5857"/>
    <w:rsid w:val="005B6C82"/>
    <w:rsid w:val="005C0F29"/>
    <w:rsid w:val="005C1421"/>
    <w:rsid w:val="005C1B83"/>
    <w:rsid w:val="005C253B"/>
    <w:rsid w:val="005C2D55"/>
    <w:rsid w:val="005C2E06"/>
    <w:rsid w:val="005C346B"/>
    <w:rsid w:val="005C44F6"/>
    <w:rsid w:val="005C4E8D"/>
    <w:rsid w:val="005D044D"/>
    <w:rsid w:val="005D0ABD"/>
    <w:rsid w:val="005D1171"/>
    <w:rsid w:val="005D136A"/>
    <w:rsid w:val="005D18AD"/>
    <w:rsid w:val="005D26B4"/>
    <w:rsid w:val="005D3B57"/>
    <w:rsid w:val="005D4837"/>
    <w:rsid w:val="005D6565"/>
    <w:rsid w:val="005D74ED"/>
    <w:rsid w:val="005E08B7"/>
    <w:rsid w:val="005E0B2A"/>
    <w:rsid w:val="005E0E3C"/>
    <w:rsid w:val="005E26D5"/>
    <w:rsid w:val="005E2703"/>
    <w:rsid w:val="005E36B8"/>
    <w:rsid w:val="005E6CBC"/>
    <w:rsid w:val="005E7399"/>
    <w:rsid w:val="005E73C0"/>
    <w:rsid w:val="005E7786"/>
    <w:rsid w:val="005F09D9"/>
    <w:rsid w:val="005F11E9"/>
    <w:rsid w:val="005F13F2"/>
    <w:rsid w:val="005F1763"/>
    <w:rsid w:val="005F1F42"/>
    <w:rsid w:val="005F2706"/>
    <w:rsid w:val="005F50FE"/>
    <w:rsid w:val="005F567B"/>
    <w:rsid w:val="005F5DF5"/>
    <w:rsid w:val="005F6175"/>
    <w:rsid w:val="005F6A8F"/>
    <w:rsid w:val="005F7C55"/>
    <w:rsid w:val="00600ABA"/>
    <w:rsid w:val="006013B1"/>
    <w:rsid w:val="00601CFD"/>
    <w:rsid w:val="006038A3"/>
    <w:rsid w:val="00603DB9"/>
    <w:rsid w:val="00603DE2"/>
    <w:rsid w:val="00604026"/>
    <w:rsid w:val="00605479"/>
    <w:rsid w:val="006065F1"/>
    <w:rsid w:val="00607669"/>
    <w:rsid w:val="00607AFD"/>
    <w:rsid w:val="00607EBB"/>
    <w:rsid w:val="00612F97"/>
    <w:rsid w:val="0061345D"/>
    <w:rsid w:val="00615DF0"/>
    <w:rsid w:val="00616802"/>
    <w:rsid w:val="00616BC5"/>
    <w:rsid w:val="00617E12"/>
    <w:rsid w:val="00620E67"/>
    <w:rsid w:val="00621477"/>
    <w:rsid w:val="00621694"/>
    <w:rsid w:val="00622240"/>
    <w:rsid w:val="006230B5"/>
    <w:rsid w:val="006239FD"/>
    <w:rsid w:val="00626CC3"/>
    <w:rsid w:val="0062702D"/>
    <w:rsid w:val="0063081F"/>
    <w:rsid w:val="00631546"/>
    <w:rsid w:val="0063158F"/>
    <w:rsid w:val="00631D6B"/>
    <w:rsid w:val="00632A0C"/>
    <w:rsid w:val="006330A1"/>
    <w:rsid w:val="0063479F"/>
    <w:rsid w:val="006353F0"/>
    <w:rsid w:val="00635E1A"/>
    <w:rsid w:val="00636449"/>
    <w:rsid w:val="006364A1"/>
    <w:rsid w:val="00636D45"/>
    <w:rsid w:val="00637A85"/>
    <w:rsid w:val="00637BF1"/>
    <w:rsid w:val="00637BFD"/>
    <w:rsid w:val="0064043D"/>
    <w:rsid w:val="00641C4E"/>
    <w:rsid w:val="00642A9E"/>
    <w:rsid w:val="00643E71"/>
    <w:rsid w:val="0064452F"/>
    <w:rsid w:val="00646B78"/>
    <w:rsid w:val="006471CC"/>
    <w:rsid w:val="0065079F"/>
    <w:rsid w:val="00650C22"/>
    <w:rsid w:val="00650F2D"/>
    <w:rsid w:val="00651495"/>
    <w:rsid w:val="006518F0"/>
    <w:rsid w:val="00653117"/>
    <w:rsid w:val="0065379F"/>
    <w:rsid w:val="00655724"/>
    <w:rsid w:val="00655F44"/>
    <w:rsid w:val="00657D12"/>
    <w:rsid w:val="00661A2B"/>
    <w:rsid w:val="00661C6B"/>
    <w:rsid w:val="00663DE0"/>
    <w:rsid w:val="00664F3C"/>
    <w:rsid w:val="00665E9A"/>
    <w:rsid w:val="006667C3"/>
    <w:rsid w:val="00666D8F"/>
    <w:rsid w:val="006701D1"/>
    <w:rsid w:val="0067104F"/>
    <w:rsid w:val="00671960"/>
    <w:rsid w:val="00671986"/>
    <w:rsid w:val="0067199F"/>
    <w:rsid w:val="0067278B"/>
    <w:rsid w:val="00672B90"/>
    <w:rsid w:val="006744F6"/>
    <w:rsid w:val="00674E42"/>
    <w:rsid w:val="0067521F"/>
    <w:rsid w:val="006760A8"/>
    <w:rsid w:val="00682089"/>
    <w:rsid w:val="00682112"/>
    <w:rsid w:val="006826C6"/>
    <w:rsid w:val="00682F90"/>
    <w:rsid w:val="00686957"/>
    <w:rsid w:val="006872BA"/>
    <w:rsid w:val="006874E8"/>
    <w:rsid w:val="00687565"/>
    <w:rsid w:val="00687570"/>
    <w:rsid w:val="00690206"/>
    <w:rsid w:val="006909CE"/>
    <w:rsid w:val="00690E42"/>
    <w:rsid w:val="0069152A"/>
    <w:rsid w:val="00691648"/>
    <w:rsid w:val="006917D7"/>
    <w:rsid w:val="00693719"/>
    <w:rsid w:val="00693B1B"/>
    <w:rsid w:val="00693E80"/>
    <w:rsid w:val="00694F44"/>
    <w:rsid w:val="00695250"/>
    <w:rsid w:val="006965A1"/>
    <w:rsid w:val="0069792F"/>
    <w:rsid w:val="006A03B4"/>
    <w:rsid w:val="006A1EB4"/>
    <w:rsid w:val="006A275E"/>
    <w:rsid w:val="006A48F9"/>
    <w:rsid w:val="006A4E9E"/>
    <w:rsid w:val="006A58FA"/>
    <w:rsid w:val="006A7E5F"/>
    <w:rsid w:val="006B19D9"/>
    <w:rsid w:val="006B261B"/>
    <w:rsid w:val="006B2C90"/>
    <w:rsid w:val="006B2DE9"/>
    <w:rsid w:val="006B3B8E"/>
    <w:rsid w:val="006B5ABF"/>
    <w:rsid w:val="006B66DB"/>
    <w:rsid w:val="006B6DD0"/>
    <w:rsid w:val="006C2A8E"/>
    <w:rsid w:val="006C2F47"/>
    <w:rsid w:val="006C5EFB"/>
    <w:rsid w:val="006C78A6"/>
    <w:rsid w:val="006D0599"/>
    <w:rsid w:val="006D1154"/>
    <w:rsid w:val="006D2AE7"/>
    <w:rsid w:val="006D3738"/>
    <w:rsid w:val="006D38BE"/>
    <w:rsid w:val="006D3C7D"/>
    <w:rsid w:val="006D5D5F"/>
    <w:rsid w:val="006D60B9"/>
    <w:rsid w:val="006E14B3"/>
    <w:rsid w:val="006E1A52"/>
    <w:rsid w:val="006E4189"/>
    <w:rsid w:val="006E4685"/>
    <w:rsid w:val="006E6266"/>
    <w:rsid w:val="006F306C"/>
    <w:rsid w:val="006F4C85"/>
    <w:rsid w:val="006F63A5"/>
    <w:rsid w:val="007011BA"/>
    <w:rsid w:val="007012FF"/>
    <w:rsid w:val="0070142B"/>
    <w:rsid w:val="00701F69"/>
    <w:rsid w:val="0070276E"/>
    <w:rsid w:val="00702F8F"/>
    <w:rsid w:val="00704BC8"/>
    <w:rsid w:val="00706F95"/>
    <w:rsid w:val="007076B3"/>
    <w:rsid w:val="00710582"/>
    <w:rsid w:val="00711426"/>
    <w:rsid w:val="00711A36"/>
    <w:rsid w:val="00712B7E"/>
    <w:rsid w:val="0071529C"/>
    <w:rsid w:val="00715435"/>
    <w:rsid w:val="00716335"/>
    <w:rsid w:val="007172AD"/>
    <w:rsid w:val="007201EB"/>
    <w:rsid w:val="0072090A"/>
    <w:rsid w:val="00721154"/>
    <w:rsid w:val="00722B1B"/>
    <w:rsid w:val="0072416F"/>
    <w:rsid w:val="007253EA"/>
    <w:rsid w:val="00727C94"/>
    <w:rsid w:val="00730014"/>
    <w:rsid w:val="00731359"/>
    <w:rsid w:val="00731EAE"/>
    <w:rsid w:val="00732AC8"/>
    <w:rsid w:val="00733578"/>
    <w:rsid w:val="00734982"/>
    <w:rsid w:val="00735033"/>
    <w:rsid w:val="00735328"/>
    <w:rsid w:val="00735D51"/>
    <w:rsid w:val="0073685B"/>
    <w:rsid w:val="00740301"/>
    <w:rsid w:val="0074397D"/>
    <w:rsid w:val="0074439D"/>
    <w:rsid w:val="00745EAD"/>
    <w:rsid w:val="007477ED"/>
    <w:rsid w:val="00751380"/>
    <w:rsid w:val="00752142"/>
    <w:rsid w:val="007523F9"/>
    <w:rsid w:val="007545F6"/>
    <w:rsid w:val="007573E8"/>
    <w:rsid w:val="00760C4E"/>
    <w:rsid w:val="00762B3E"/>
    <w:rsid w:val="00765B1A"/>
    <w:rsid w:val="00766506"/>
    <w:rsid w:val="00766743"/>
    <w:rsid w:val="007669F9"/>
    <w:rsid w:val="0076767D"/>
    <w:rsid w:val="00770A2A"/>
    <w:rsid w:val="00770FCD"/>
    <w:rsid w:val="00777154"/>
    <w:rsid w:val="00780E24"/>
    <w:rsid w:val="0078161C"/>
    <w:rsid w:val="00781651"/>
    <w:rsid w:val="00781A7D"/>
    <w:rsid w:val="007820E9"/>
    <w:rsid w:val="00783F55"/>
    <w:rsid w:val="007843F2"/>
    <w:rsid w:val="00786E27"/>
    <w:rsid w:val="0078776D"/>
    <w:rsid w:val="00794CBF"/>
    <w:rsid w:val="00797BB8"/>
    <w:rsid w:val="007A061E"/>
    <w:rsid w:val="007A0A12"/>
    <w:rsid w:val="007A132D"/>
    <w:rsid w:val="007A1628"/>
    <w:rsid w:val="007A3F94"/>
    <w:rsid w:val="007A5781"/>
    <w:rsid w:val="007A594D"/>
    <w:rsid w:val="007B0D68"/>
    <w:rsid w:val="007B1429"/>
    <w:rsid w:val="007B251D"/>
    <w:rsid w:val="007B300E"/>
    <w:rsid w:val="007B4F58"/>
    <w:rsid w:val="007B5007"/>
    <w:rsid w:val="007B501B"/>
    <w:rsid w:val="007B528D"/>
    <w:rsid w:val="007B54DD"/>
    <w:rsid w:val="007B77D1"/>
    <w:rsid w:val="007C06BD"/>
    <w:rsid w:val="007C1CD9"/>
    <w:rsid w:val="007C361D"/>
    <w:rsid w:val="007C4B84"/>
    <w:rsid w:val="007D004F"/>
    <w:rsid w:val="007D0B38"/>
    <w:rsid w:val="007D0EF2"/>
    <w:rsid w:val="007D3D05"/>
    <w:rsid w:val="007D5440"/>
    <w:rsid w:val="007D5A45"/>
    <w:rsid w:val="007D6C50"/>
    <w:rsid w:val="007E0D97"/>
    <w:rsid w:val="007E0F2C"/>
    <w:rsid w:val="007E1937"/>
    <w:rsid w:val="007E3334"/>
    <w:rsid w:val="007E52AD"/>
    <w:rsid w:val="007E6A2C"/>
    <w:rsid w:val="007E7432"/>
    <w:rsid w:val="007E7BBE"/>
    <w:rsid w:val="007F1017"/>
    <w:rsid w:val="007F1A3F"/>
    <w:rsid w:val="007F1FEB"/>
    <w:rsid w:val="007F3A91"/>
    <w:rsid w:val="007F4A3F"/>
    <w:rsid w:val="007F4A61"/>
    <w:rsid w:val="007F5D94"/>
    <w:rsid w:val="007F5DA5"/>
    <w:rsid w:val="007F61C2"/>
    <w:rsid w:val="007F65D4"/>
    <w:rsid w:val="007F689F"/>
    <w:rsid w:val="008039E6"/>
    <w:rsid w:val="00804162"/>
    <w:rsid w:val="00805142"/>
    <w:rsid w:val="008078A4"/>
    <w:rsid w:val="00807A8B"/>
    <w:rsid w:val="008105C8"/>
    <w:rsid w:val="00811383"/>
    <w:rsid w:val="0081196F"/>
    <w:rsid w:val="00812149"/>
    <w:rsid w:val="00812239"/>
    <w:rsid w:val="00812CAC"/>
    <w:rsid w:val="00814777"/>
    <w:rsid w:val="0081667B"/>
    <w:rsid w:val="008166EF"/>
    <w:rsid w:val="00817302"/>
    <w:rsid w:val="008209D1"/>
    <w:rsid w:val="008210B7"/>
    <w:rsid w:val="008214DF"/>
    <w:rsid w:val="00821A10"/>
    <w:rsid w:val="00823024"/>
    <w:rsid w:val="008247C7"/>
    <w:rsid w:val="00825751"/>
    <w:rsid w:val="008264EB"/>
    <w:rsid w:val="008277C9"/>
    <w:rsid w:val="00827CD5"/>
    <w:rsid w:val="00833B05"/>
    <w:rsid w:val="008362B4"/>
    <w:rsid w:val="00837133"/>
    <w:rsid w:val="00840CA2"/>
    <w:rsid w:val="008427B5"/>
    <w:rsid w:val="0084374F"/>
    <w:rsid w:val="00843841"/>
    <w:rsid w:val="0084443E"/>
    <w:rsid w:val="00844443"/>
    <w:rsid w:val="00845E66"/>
    <w:rsid w:val="00846D6A"/>
    <w:rsid w:val="00847DF5"/>
    <w:rsid w:val="00850B88"/>
    <w:rsid w:val="00851860"/>
    <w:rsid w:val="00851FDD"/>
    <w:rsid w:val="0085309D"/>
    <w:rsid w:val="00856897"/>
    <w:rsid w:val="00856E9A"/>
    <w:rsid w:val="0086075D"/>
    <w:rsid w:val="00860CBC"/>
    <w:rsid w:val="00861670"/>
    <w:rsid w:val="008616F8"/>
    <w:rsid w:val="00862502"/>
    <w:rsid w:val="00865DF5"/>
    <w:rsid w:val="008660D4"/>
    <w:rsid w:val="008662F5"/>
    <w:rsid w:val="00866442"/>
    <w:rsid w:val="00866516"/>
    <w:rsid w:val="00867985"/>
    <w:rsid w:val="00870852"/>
    <w:rsid w:val="00871C90"/>
    <w:rsid w:val="00871FA9"/>
    <w:rsid w:val="008728E9"/>
    <w:rsid w:val="0087313A"/>
    <w:rsid w:val="0087353F"/>
    <w:rsid w:val="0087383B"/>
    <w:rsid w:val="008745A1"/>
    <w:rsid w:val="008751CC"/>
    <w:rsid w:val="00877CE6"/>
    <w:rsid w:val="0088005E"/>
    <w:rsid w:val="0088172E"/>
    <w:rsid w:val="00882874"/>
    <w:rsid w:val="00883321"/>
    <w:rsid w:val="00883787"/>
    <w:rsid w:val="00884400"/>
    <w:rsid w:val="00884D9D"/>
    <w:rsid w:val="00885123"/>
    <w:rsid w:val="00885C53"/>
    <w:rsid w:val="00886497"/>
    <w:rsid w:val="00886CD2"/>
    <w:rsid w:val="008928A9"/>
    <w:rsid w:val="00892A36"/>
    <w:rsid w:val="00893239"/>
    <w:rsid w:val="00894489"/>
    <w:rsid w:val="00894761"/>
    <w:rsid w:val="00894FE9"/>
    <w:rsid w:val="008963A5"/>
    <w:rsid w:val="008A186C"/>
    <w:rsid w:val="008A3363"/>
    <w:rsid w:val="008A3371"/>
    <w:rsid w:val="008A3997"/>
    <w:rsid w:val="008A3B75"/>
    <w:rsid w:val="008A3C3E"/>
    <w:rsid w:val="008A52F4"/>
    <w:rsid w:val="008A68C6"/>
    <w:rsid w:val="008A699B"/>
    <w:rsid w:val="008A79DE"/>
    <w:rsid w:val="008B1757"/>
    <w:rsid w:val="008B1FAC"/>
    <w:rsid w:val="008B2923"/>
    <w:rsid w:val="008B2F39"/>
    <w:rsid w:val="008B4675"/>
    <w:rsid w:val="008B4949"/>
    <w:rsid w:val="008B51A9"/>
    <w:rsid w:val="008B699D"/>
    <w:rsid w:val="008B6F45"/>
    <w:rsid w:val="008B744E"/>
    <w:rsid w:val="008B7D7E"/>
    <w:rsid w:val="008C0CE3"/>
    <w:rsid w:val="008C1649"/>
    <w:rsid w:val="008C654A"/>
    <w:rsid w:val="008C68BD"/>
    <w:rsid w:val="008C7ECB"/>
    <w:rsid w:val="008D095C"/>
    <w:rsid w:val="008D255B"/>
    <w:rsid w:val="008D296E"/>
    <w:rsid w:val="008D3272"/>
    <w:rsid w:val="008D36EE"/>
    <w:rsid w:val="008D4755"/>
    <w:rsid w:val="008D4C3D"/>
    <w:rsid w:val="008D53EA"/>
    <w:rsid w:val="008D5539"/>
    <w:rsid w:val="008D7257"/>
    <w:rsid w:val="008D75DD"/>
    <w:rsid w:val="008E0D3C"/>
    <w:rsid w:val="008E17A0"/>
    <w:rsid w:val="008E1B9E"/>
    <w:rsid w:val="008E55AB"/>
    <w:rsid w:val="008E5D4F"/>
    <w:rsid w:val="008E6B57"/>
    <w:rsid w:val="008E7A11"/>
    <w:rsid w:val="008E7DC9"/>
    <w:rsid w:val="008F008A"/>
    <w:rsid w:val="008F120A"/>
    <w:rsid w:val="008F1EFE"/>
    <w:rsid w:val="008F269F"/>
    <w:rsid w:val="008F27E0"/>
    <w:rsid w:val="008F2AAD"/>
    <w:rsid w:val="008F2CBD"/>
    <w:rsid w:val="008F2F75"/>
    <w:rsid w:val="008F3C87"/>
    <w:rsid w:val="008F48EB"/>
    <w:rsid w:val="008F4F0B"/>
    <w:rsid w:val="008F524E"/>
    <w:rsid w:val="008F63AE"/>
    <w:rsid w:val="008F7803"/>
    <w:rsid w:val="00900FA8"/>
    <w:rsid w:val="00902999"/>
    <w:rsid w:val="0090386B"/>
    <w:rsid w:val="009046C4"/>
    <w:rsid w:val="009048BA"/>
    <w:rsid w:val="00904A75"/>
    <w:rsid w:val="009054C3"/>
    <w:rsid w:val="009062A5"/>
    <w:rsid w:val="00906F12"/>
    <w:rsid w:val="009071EB"/>
    <w:rsid w:val="00907F76"/>
    <w:rsid w:val="00910225"/>
    <w:rsid w:val="00911272"/>
    <w:rsid w:val="00911519"/>
    <w:rsid w:val="00912EAB"/>
    <w:rsid w:val="0091319D"/>
    <w:rsid w:val="009132B1"/>
    <w:rsid w:val="009134C8"/>
    <w:rsid w:val="009135D6"/>
    <w:rsid w:val="00913FC8"/>
    <w:rsid w:val="00914C77"/>
    <w:rsid w:val="00914DBB"/>
    <w:rsid w:val="00920CC0"/>
    <w:rsid w:val="00922680"/>
    <w:rsid w:val="00922B10"/>
    <w:rsid w:val="00922D1C"/>
    <w:rsid w:val="0092369B"/>
    <w:rsid w:val="00923814"/>
    <w:rsid w:val="00923A83"/>
    <w:rsid w:val="0092491A"/>
    <w:rsid w:val="00927003"/>
    <w:rsid w:val="009275BB"/>
    <w:rsid w:val="00930AFD"/>
    <w:rsid w:val="009322E7"/>
    <w:rsid w:val="0093407C"/>
    <w:rsid w:val="009353A6"/>
    <w:rsid w:val="009401AB"/>
    <w:rsid w:val="00940604"/>
    <w:rsid w:val="0094154D"/>
    <w:rsid w:val="009419E4"/>
    <w:rsid w:val="009427A9"/>
    <w:rsid w:val="00944AB3"/>
    <w:rsid w:val="00945D03"/>
    <w:rsid w:val="009461AF"/>
    <w:rsid w:val="0094684C"/>
    <w:rsid w:val="00946C48"/>
    <w:rsid w:val="009472FA"/>
    <w:rsid w:val="009510A2"/>
    <w:rsid w:val="0095226D"/>
    <w:rsid w:val="009527CF"/>
    <w:rsid w:val="00952D2A"/>
    <w:rsid w:val="00953257"/>
    <w:rsid w:val="00953B69"/>
    <w:rsid w:val="0095638E"/>
    <w:rsid w:val="009563B4"/>
    <w:rsid w:val="009574DA"/>
    <w:rsid w:val="00957F1E"/>
    <w:rsid w:val="00961B42"/>
    <w:rsid w:val="00962C66"/>
    <w:rsid w:val="00962CB9"/>
    <w:rsid w:val="009639B5"/>
    <w:rsid w:val="00964312"/>
    <w:rsid w:val="00965B8A"/>
    <w:rsid w:val="009717AC"/>
    <w:rsid w:val="009752FB"/>
    <w:rsid w:val="009766C0"/>
    <w:rsid w:val="00976864"/>
    <w:rsid w:val="00980466"/>
    <w:rsid w:val="00981FAD"/>
    <w:rsid w:val="009821AE"/>
    <w:rsid w:val="00982D15"/>
    <w:rsid w:val="0098381E"/>
    <w:rsid w:val="00983D52"/>
    <w:rsid w:val="00983E57"/>
    <w:rsid w:val="009848AA"/>
    <w:rsid w:val="0098675D"/>
    <w:rsid w:val="00987905"/>
    <w:rsid w:val="00991119"/>
    <w:rsid w:val="00992F24"/>
    <w:rsid w:val="00993FD8"/>
    <w:rsid w:val="00994ADB"/>
    <w:rsid w:val="009967FA"/>
    <w:rsid w:val="00996B1A"/>
    <w:rsid w:val="009A04D2"/>
    <w:rsid w:val="009A17B2"/>
    <w:rsid w:val="009A2EE2"/>
    <w:rsid w:val="009A5A24"/>
    <w:rsid w:val="009A5CD7"/>
    <w:rsid w:val="009A6563"/>
    <w:rsid w:val="009A6D4C"/>
    <w:rsid w:val="009A6F02"/>
    <w:rsid w:val="009A7F10"/>
    <w:rsid w:val="009B2BF9"/>
    <w:rsid w:val="009B3E26"/>
    <w:rsid w:val="009B524E"/>
    <w:rsid w:val="009B6D80"/>
    <w:rsid w:val="009C18FF"/>
    <w:rsid w:val="009C3A75"/>
    <w:rsid w:val="009C6CEA"/>
    <w:rsid w:val="009C7B85"/>
    <w:rsid w:val="009D0975"/>
    <w:rsid w:val="009D14A8"/>
    <w:rsid w:val="009D1CEB"/>
    <w:rsid w:val="009D4AE6"/>
    <w:rsid w:val="009D5B91"/>
    <w:rsid w:val="009D792E"/>
    <w:rsid w:val="009E0759"/>
    <w:rsid w:val="009E0DFE"/>
    <w:rsid w:val="009E1F17"/>
    <w:rsid w:val="009E2BE3"/>
    <w:rsid w:val="009E385B"/>
    <w:rsid w:val="009E3DCD"/>
    <w:rsid w:val="009E4071"/>
    <w:rsid w:val="009E4C07"/>
    <w:rsid w:val="009E555A"/>
    <w:rsid w:val="009F101E"/>
    <w:rsid w:val="009F1532"/>
    <w:rsid w:val="009F24C8"/>
    <w:rsid w:val="009F3E8E"/>
    <w:rsid w:val="009F66FE"/>
    <w:rsid w:val="009F739F"/>
    <w:rsid w:val="00A01184"/>
    <w:rsid w:val="00A03A42"/>
    <w:rsid w:val="00A03D43"/>
    <w:rsid w:val="00A04380"/>
    <w:rsid w:val="00A05B89"/>
    <w:rsid w:val="00A06523"/>
    <w:rsid w:val="00A066C8"/>
    <w:rsid w:val="00A06A70"/>
    <w:rsid w:val="00A0794D"/>
    <w:rsid w:val="00A110CF"/>
    <w:rsid w:val="00A11AF1"/>
    <w:rsid w:val="00A11CD0"/>
    <w:rsid w:val="00A13948"/>
    <w:rsid w:val="00A14278"/>
    <w:rsid w:val="00A1555B"/>
    <w:rsid w:val="00A155C5"/>
    <w:rsid w:val="00A16AD8"/>
    <w:rsid w:val="00A204CC"/>
    <w:rsid w:val="00A2120A"/>
    <w:rsid w:val="00A21CF3"/>
    <w:rsid w:val="00A21E48"/>
    <w:rsid w:val="00A24A32"/>
    <w:rsid w:val="00A25841"/>
    <w:rsid w:val="00A26EEF"/>
    <w:rsid w:val="00A27AEC"/>
    <w:rsid w:val="00A27E6B"/>
    <w:rsid w:val="00A3102F"/>
    <w:rsid w:val="00A31FD6"/>
    <w:rsid w:val="00A320DB"/>
    <w:rsid w:val="00A32147"/>
    <w:rsid w:val="00A32F33"/>
    <w:rsid w:val="00A330C2"/>
    <w:rsid w:val="00A334A4"/>
    <w:rsid w:val="00A3441F"/>
    <w:rsid w:val="00A35D16"/>
    <w:rsid w:val="00A36BEB"/>
    <w:rsid w:val="00A37BCD"/>
    <w:rsid w:val="00A4052B"/>
    <w:rsid w:val="00A43C59"/>
    <w:rsid w:val="00A44016"/>
    <w:rsid w:val="00A46654"/>
    <w:rsid w:val="00A46ED3"/>
    <w:rsid w:val="00A50B2E"/>
    <w:rsid w:val="00A50E5D"/>
    <w:rsid w:val="00A50ECD"/>
    <w:rsid w:val="00A518F3"/>
    <w:rsid w:val="00A52729"/>
    <w:rsid w:val="00A52C06"/>
    <w:rsid w:val="00A53675"/>
    <w:rsid w:val="00A53A6C"/>
    <w:rsid w:val="00A55581"/>
    <w:rsid w:val="00A55634"/>
    <w:rsid w:val="00A55B6A"/>
    <w:rsid w:val="00A564D7"/>
    <w:rsid w:val="00A56B6A"/>
    <w:rsid w:val="00A578DC"/>
    <w:rsid w:val="00A57F8E"/>
    <w:rsid w:val="00A61043"/>
    <w:rsid w:val="00A6110E"/>
    <w:rsid w:val="00A615AC"/>
    <w:rsid w:val="00A6218E"/>
    <w:rsid w:val="00A64639"/>
    <w:rsid w:val="00A65CAD"/>
    <w:rsid w:val="00A67035"/>
    <w:rsid w:val="00A6725B"/>
    <w:rsid w:val="00A7000E"/>
    <w:rsid w:val="00A70605"/>
    <w:rsid w:val="00A711AE"/>
    <w:rsid w:val="00A72A63"/>
    <w:rsid w:val="00A73134"/>
    <w:rsid w:val="00A74C64"/>
    <w:rsid w:val="00A7524A"/>
    <w:rsid w:val="00A777B2"/>
    <w:rsid w:val="00A8042D"/>
    <w:rsid w:val="00A8096B"/>
    <w:rsid w:val="00A817F3"/>
    <w:rsid w:val="00A82678"/>
    <w:rsid w:val="00A83E7A"/>
    <w:rsid w:val="00A84C4D"/>
    <w:rsid w:val="00A84D51"/>
    <w:rsid w:val="00A85F08"/>
    <w:rsid w:val="00A86B87"/>
    <w:rsid w:val="00A86D07"/>
    <w:rsid w:val="00A86E8B"/>
    <w:rsid w:val="00A87164"/>
    <w:rsid w:val="00A90018"/>
    <w:rsid w:val="00A90A33"/>
    <w:rsid w:val="00A90E6B"/>
    <w:rsid w:val="00A915F0"/>
    <w:rsid w:val="00A91914"/>
    <w:rsid w:val="00A93072"/>
    <w:rsid w:val="00A93953"/>
    <w:rsid w:val="00A959D8"/>
    <w:rsid w:val="00AA08C3"/>
    <w:rsid w:val="00AA113D"/>
    <w:rsid w:val="00AA2A47"/>
    <w:rsid w:val="00AA4698"/>
    <w:rsid w:val="00AA4B01"/>
    <w:rsid w:val="00AA6C7D"/>
    <w:rsid w:val="00AA7DCF"/>
    <w:rsid w:val="00AA7FD6"/>
    <w:rsid w:val="00AB042A"/>
    <w:rsid w:val="00AB0EDD"/>
    <w:rsid w:val="00AB1344"/>
    <w:rsid w:val="00AB2D34"/>
    <w:rsid w:val="00AB3430"/>
    <w:rsid w:val="00AB4AD1"/>
    <w:rsid w:val="00AB4B27"/>
    <w:rsid w:val="00AB5213"/>
    <w:rsid w:val="00AB6384"/>
    <w:rsid w:val="00AB7CFA"/>
    <w:rsid w:val="00AC0025"/>
    <w:rsid w:val="00AC0141"/>
    <w:rsid w:val="00AC14EA"/>
    <w:rsid w:val="00AC1D67"/>
    <w:rsid w:val="00AC3B6A"/>
    <w:rsid w:val="00AC3F58"/>
    <w:rsid w:val="00AC4330"/>
    <w:rsid w:val="00AC48DE"/>
    <w:rsid w:val="00AC5B48"/>
    <w:rsid w:val="00AC6D80"/>
    <w:rsid w:val="00AC7C73"/>
    <w:rsid w:val="00AD0778"/>
    <w:rsid w:val="00AD080D"/>
    <w:rsid w:val="00AD38A8"/>
    <w:rsid w:val="00AD52F3"/>
    <w:rsid w:val="00AD6502"/>
    <w:rsid w:val="00AD6670"/>
    <w:rsid w:val="00AD6F5B"/>
    <w:rsid w:val="00AE0571"/>
    <w:rsid w:val="00AE0625"/>
    <w:rsid w:val="00AE114C"/>
    <w:rsid w:val="00AE26BE"/>
    <w:rsid w:val="00AE3DD6"/>
    <w:rsid w:val="00AE7911"/>
    <w:rsid w:val="00AF1315"/>
    <w:rsid w:val="00AF16D7"/>
    <w:rsid w:val="00AF19BF"/>
    <w:rsid w:val="00AF21DC"/>
    <w:rsid w:val="00AF2A25"/>
    <w:rsid w:val="00AF2DC3"/>
    <w:rsid w:val="00AF37C4"/>
    <w:rsid w:val="00AF41E9"/>
    <w:rsid w:val="00AF56F4"/>
    <w:rsid w:val="00B01164"/>
    <w:rsid w:val="00B011FC"/>
    <w:rsid w:val="00B01405"/>
    <w:rsid w:val="00B01B51"/>
    <w:rsid w:val="00B024EB"/>
    <w:rsid w:val="00B033E5"/>
    <w:rsid w:val="00B03811"/>
    <w:rsid w:val="00B03A63"/>
    <w:rsid w:val="00B04EC4"/>
    <w:rsid w:val="00B05BB5"/>
    <w:rsid w:val="00B05C95"/>
    <w:rsid w:val="00B0603A"/>
    <w:rsid w:val="00B07892"/>
    <w:rsid w:val="00B10E31"/>
    <w:rsid w:val="00B12553"/>
    <w:rsid w:val="00B1391B"/>
    <w:rsid w:val="00B1410D"/>
    <w:rsid w:val="00B16287"/>
    <w:rsid w:val="00B20025"/>
    <w:rsid w:val="00B201A4"/>
    <w:rsid w:val="00B202D5"/>
    <w:rsid w:val="00B213A6"/>
    <w:rsid w:val="00B2450B"/>
    <w:rsid w:val="00B24DF6"/>
    <w:rsid w:val="00B2676F"/>
    <w:rsid w:val="00B268FF"/>
    <w:rsid w:val="00B26E08"/>
    <w:rsid w:val="00B27F4C"/>
    <w:rsid w:val="00B31801"/>
    <w:rsid w:val="00B34FE2"/>
    <w:rsid w:val="00B35080"/>
    <w:rsid w:val="00B352D3"/>
    <w:rsid w:val="00B3533D"/>
    <w:rsid w:val="00B357D8"/>
    <w:rsid w:val="00B3764D"/>
    <w:rsid w:val="00B37B3B"/>
    <w:rsid w:val="00B37BFC"/>
    <w:rsid w:val="00B40358"/>
    <w:rsid w:val="00B40FB5"/>
    <w:rsid w:val="00B41614"/>
    <w:rsid w:val="00B42851"/>
    <w:rsid w:val="00B42F54"/>
    <w:rsid w:val="00B42F80"/>
    <w:rsid w:val="00B430F1"/>
    <w:rsid w:val="00B435CB"/>
    <w:rsid w:val="00B45570"/>
    <w:rsid w:val="00B50DB8"/>
    <w:rsid w:val="00B50F6E"/>
    <w:rsid w:val="00B51C7E"/>
    <w:rsid w:val="00B525F2"/>
    <w:rsid w:val="00B52E57"/>
    <w:rsid w:val="00B53654"/>
    <w:rsid w:val="00B53905"/>
    <w:rsid w:val="00B54B5B"/>
    <w:rsid w:val="00B5562E"/>
    <w:rsid w:val="00B5634F"/>
    <w:rsid w:val="00B57000"/>
    <w:rsid w:val="00B57CE8"/>
    <w:rsid w:val="00B60939"/>
    <w:rsid w:val="00B60AFD"/>
    <w:rsid w:val="00B62715"/>
    <w:rsid w:val="00B632CD"/>
    <w:rsid w:val="00B640EB"/>
    <w:rsid w:val="00B65783"/>
    <w:rsid w:val="00B657AD"/>
    <w:rsid w:val="00B70286"/>
    <w:rsid w:val="00B7240D"/>
    <w:rsid w:val="00B73601"/>
    <w:rsid w:val="00B73A6A"/>
    <w:rsid w:val="00B73D46"/>
    <w:rsid w:val="00B73EC9"/>
    <w:rsid w:val="00B75769"/>
    <w:rsid w:val="00B76325"/>
    <w:rsid w:val="00B774CC"/>
    <w:rsid w:val="00B77EA7"/>
    <w:rsid w:val="00B80B0B"/>
    <w:rsid w:val="00B80DD9"/>
    <w:rsid w:val="00B80E60"/>
    <w:rsid w:val="00B818A4"/>
    <w:rsid w:val="00B84117"/>
    <w:rsid w:val="00B84A2F"/>
    <w:rsid w:val="00B85AA2"/>
    <w:rsid w:val="00B8649C"/>
    <w:rsid w:val="00B87F0A"/>
    <w:rsid w:val="00B90558"/>
    <w:rsid w:val="00B90609"/>
    <w:rsid w:val="00B90EA9"/>
    <w:rsid w:val="00B91130"/>
    <w:rsid w:val="00B92C8E"/>
    <w:rsid w:val="00B92D0B"/>
    <w:rsid w:val="00B93E9E"/>
    <w:rsid w:val="00B94945"/>
    <w:rsid w:val="00BA0027"/>
    <w:rsid w:val="00BA1895"/>
    <w:rsid w:val="00BA239E"/>
    <w:rsid w:val="00BA26B4"/>
    <w:rsid w:val="00BA2C6E"/>
    <w:rsid w:val="00BA322D"/>
    <w:rsid w:val="00BA3769"/>
    <w:rsid w:val="00BA37E0"/>
    <w:rsid w:val="00BA5922"/>
    <w:rsid w:val="00BA6685"/>
    <w:rsid w:val="00BB00D1"/>
    <w:rsid w:val="00BB0BDD"/>
    <w:rsid w:val="00BB2013"/>
    <w:rsid w:val="00BB288B"/>
    <w:rsid w:val="00BB2A73"/>
    <w:rsid w:val="00BB3FD9"/>
    <w:rsid w:val="00BB4A3E"/>
    <w:rsid w:val="00BB4ACC"/>
    <w:rsid w:val="00BB4DF6"/>
    <w:rsid w:val="00BB5B8F"/>
    <w:rsid w:val="00BB703E"/>
    <w:rsid w:val="00BB70D8"/>
    <w:rsid w:val="00BB7405"/>
    <w:rsid w:val="00BB74B3"/>
    <w:rsid w:val="00BB76A6"/>
    <w:rsid w:val="00BB7F46"/>
    <w:rsid w:val="00BC0632"/>
    <w:rsid w:val="00BC163D"/>
    <w:rsid w:val="00BC3631"/>
    <w:rsid w:val="00BC3F7F"/>
    <w:rsid w:val="00BC4C37"/>
    <w:rsid w:val="00BD274F"/>
    <w:rsid w:val="00BD2F0C"/>
    <w:rsid w:val="00BD3D29"/>
    <w:rsid w:val="00BD544F"/>
    <w:rsid w:val="00BD68A3"/>
    <w:rsid w:val="00BD6938"/>
    <w:rsid w:val="00BD6CF3"/>
    <w:rsid w:val="00BD6E67"/>
    <w:rsid w:val="00BD7E49"/>
    <w:rsid w:val="00BE129F"/>
    <w:rsid w:val="00BE1574"/>
    <w:rsid w:val="00BE1F0F"/>
    <w:rsid w:val="00BE2180"/>
    <w:rsid w:val="00BE21F2"/>
    <w:rsid w:val="00BE24DD"/>
    <w:rsid w:val="00BE2A8D"/>
    <w:rsid w:val="00BE2F3C"/>
    <w:rsid w:val="00BE3481"/>
    <w:rsid w:val="00BE3F2D"/>
    <w:rsid w:val="00BE4275"/>
    <w:rsid w:val="00BE5224"/>
    <w:rsid w:val="00BE57DC"/>
    <w:rsid w:val="00BE5F6A"/>
    <w:rsid w:val="00BE62C2"/>
    <w:rsid w:val="00BF01AA"/>
    <w:rsid w:val="00BF0F95"/>
    <w:rsid w:val="00BF2433"/>
    <w:rsid w:val="00BF2536"/>
    <w:rsid w:val="00BF5332"/>
    <w:rsid w:val="00BF61C9"/>
    <w:rsid w:val="00BF69B8"/>
    <w:rsid w:val="00BF6C94"/>
    <w:rsid w:val="00BF6CE0"/>
    <w:rsid w:val="00BF71F6"/>
    <w:rsid w:val="00BF79D9"/>
    <w:rsid w:val="00C00424"/>
    <w:rsid w:val="00C00A9C"/>
    <w:rsid w:val="00C0137D"/>
    <w:rsid w:val="00C106C0"/>
    <w:rsid w:val="00C115B0"/>
    <w:rsid w:val="00C12C14"/>
    <w:rsid w:val="00C1354C"/>
    <w:rsid w:val="00C1401E"/>
    <w:rsid w:val="00C1722F"/>
    <w:rsid w:val="00C200AA"/>
    <w:rsid w:val="00C20183"/>
    <w:rsid w:val="00C20CCA"/>
    <w:rsid w:val="00C22946"/>
    <w:rsid w:val="00C237ED"/>
    <w:rsid w:val="00C24632"/>
    <w:rsid w:val="00C24FBF"/>
    <w:rsid w:val="00C25418"/>
    <w:rsid w:val="00C25D9C"/>
    <w:rsid w:val="00C269D3"/>
    <w:rsid w:val="00C26E9D"/>
    <w:rsid w:val="00C26FCE"/>
    <w:rsid w:val="00C27384"/>
    <w:rsid w:val="00C2778B"/>
    <w:rsid w:val="00C31649"/>
    <w:rsid w:val="00C330DB"/>
    <w:rsid w:val="00C33432"/>
    <w:rsid w:val="00C342E7"/>
    <w:rsid w:val="00C35994"/>
    <w:rsid w:val="00C35C4C"/>
    <w:rsid w:val="00C35D88"/>
    <w:rsid w:val="00C37AA2"/>
    <w:rsid w:val="00C40385"/>
    <w:rsid w:val="00C42B77"/>
    <w:rsid w:val="00C42D77"/>
    <w:rsid w:val="00C46E01"/>
    <w:rsid w:val="00C474F8"/>
    <w:rsid w:val="00C475AA"/>
    <w:rsid w:val="00C47F74"/>
    <w:rsid w:val="00C50EF3"/>
    <w:rsid w:val="00C50FAD"/>
    <w:rsid w:val="00C5420A"/>
    <w:rsid w:val="00C56905"/>
    <w:rsid w:val="00C57969"/>
    <w:rsid w:val="00C62062"/>
    <w:rsid w:val="00C63061"/>
    <w:rsid w:val="00C641D6"/>
    <w:rsid w:val="00C6448F"/>
    <w:rsid w:val="00C65576"/>
    <w:rsid w:val="00C66165"/>
    <w:rsid w:val="00C66662"/>
    <w:rsid w:val="00C67D21"/>
    <w:rsid w:val="00C70CAB"/>
    <w:rsid w:val="00C7151A"/>
    <w:rsid w:val="00C71F60"/>
    <w:rsid w:val="00C72241"/>
    <w:rsid w:val="00C733B6"/>
    <w:rsid w:val="00C73CF9"/>
    <w:rsid w:val="00C750C8"/>
    <w:rsid w:val="00C7560F"/>
    <w:rsid w:val="00C803F1"/>
    <w:rsid w:val="00C80A0E"/>
    <w:rsid w:val="00C80BA3"/>
    <w:rsid w:val="00C813E6"/>
    <w:rsid w:val="00C8213F"/>
    <w:rsid w:val="00C84FF9"/>
    <w:rsid w:val="00C85BE8"/>
    <w:rsid w:val="00C86AC0"/>
    <w:rsid w:val="00C8797A"/>
    <w:rsid w:val="00C900B8"/>
    <w:rsid w:val="00C90637"/>
    <w:rsid w:val="00C90C71"/>
    <w:rsid w:val="00C91228"/>
    <w:rsid w:val="00C931CF"/>
    <w:rsid w:val="00C9372F"/>
    <w:rsid w:val="00C937F2"/>
    <w:rsid w:val="00C938CF"/>
    <w:rsid w:val="00C95DA4"/>
    <w:rsid w:val="00C9624D"/>
    <w:rsid w:val="00C969DA"/>
    <w:rsid w:val="00CA023F"/>
    <w:rsid w:val="00CA259A"/>
    <w:rsid w:val="00CA2C77"/>
    <w:rsid w:val="00CA42C8"/>
    <w:rsid w:val="00CA444F"/>
    <w:rsid w:val="00CA5245"/>
    <w:rsid w:val="00CA59C7"/>
    <w:rsid w:val="00CA5BC1"/>
    <w:rsid w:val="00CA71F4"/>
    <w:rsid w:val="00CA7B09"/>
    <w:rsid w:val="00CB234A"/>
    <w:rsid w:val="00CB2F2A"/>
    <w:rsid w:val="00CB4A0F"/>
    <w:rsid w:val="00CB582A"/>
    <w:rsid w:val="00CB5B1A"/>
    <w:rsid w:val="00CB6B22"/>
    <w:rsid w:val="00CB7CF0"/>
    <w:rsid w:val="00CB7F5F"/>
    <w:rsid w:val="00CC0CE9"/>
    <w:rsid w:val="00CC1B39"/>
    <w:rsid w:val="00CC2AC6"/>
    <w:rsid w:val="00CD03E8"/>
    <w:rsid w:val="00CD0C53"/>
    <w:rsid w:val="00CD0FE8"/>
    <w:rsid w:val="00CD1C9B"/>
    <w:rsid w:val="00CD3A3D"/>
    <w:rsid w:val="00CD3FCF"/>
    <w:rsid w:val="00CD53C3"/>
    <w:rsid w:val="00CD6ADC"/>
    <w:rsid w:val="00CD7633"/>
    <w:rsid w:val="00CE2C95"/>
    <w:rsid w:val="00CE4A4A"/>
    <w:rsid w:val="00CE6274"/>
    <w:rsid w:val="00CF094A"/>
    <w:rsid w:val="00CF0EFE"/>
    <w:rsid w:val="00CF1B29"/>
    <w:rsid w:val="00CF290D"/>
    <w:rsid w:val="00CF2B8D"/>
    <w:rsid w:val="00CF36A8"/>
    <w:rsid w:val="00CF456B"/>
    <w:rsid w:val="00CF5A22"/>
    <w:rsid w:val="00CF64D7"/>
    <w:rsid w:val="00CF706B"/>
    <w:rsid w:val="00D0262E"/>
    <w:rsid w:val="00D02A1F"/>
    <w:rsid w:val="00D03FF4"/>
    <w:rsid w:val="00D041B0"/>
    <w:rsid w:val="00D04239"/>
    <w:rsid w:val="00D04D30"/>
    <w:rsid w:val="00D05BCC"/>
    <w:rsid w:val="00D061E4"/>
    <w:rsid w:val="00D06AB4"/>
    <w:rsid w:val="00D06FE9"/>
    <w:rsid w:val="00D100CA"/>
    <w:rsid w:val="00D109E1"/>
    <w:rsid w:val="00D110BD"/>
    <w:rsid w:val="00D12783"/>
    <w:rsid w:val="00D13255"/>
    <w:rsid w:val="00D13675"/>
    <w:rsid w:val="00D141E1"/>
    <w:rsid w:val="00D14C0B"/>
    <w:rsid w:val="00D15055"/>
    <w:rsid w:val="00D16403"/>
    <w:rsid w:val="00D17D6C"/>
    <w:rsid w:val="00D23FD4"/>
    <w:rsid w:val="00D259D1"/>
    <w:rsid w:val="00D26262"/>
    <w:rsid w:val="00D264A0"/>
    <w:rsid w:val="00D27383"/>
    <w:rsid w:val="00D2754D"/>
    <w:rsid w:val="00D276AF"/>
    <w:rsid w:val="00D27B27"/>
    <w:rsid w:val="00D27B60"/>
    <w:rsid w:val="00D3193A"/>
    <w:rsid w:val="00D33BE9"/>
    <w:rsid w:val="00D33DD3"/>
    <w:rsid w:val="00D3420C"/>
    <w:rsid w:val="00D34509"/>
    <w:rsid w:val="00D357FF"/>
    <w:rsid w:val="00D363DB"/>
    <w:rsid w:val="00D372CB"/>
    <w:rsid w:val="00D40D80"/>
    <w:rsid w:val="00D415C7"/>
    <w:rsid w:val="00D424C7"/>
    <w:rsid w:val="00D42939"/>
    <w:rsid w:val="00D42B54"/>
    <w:rsid w:val="00D433F3"/>
    <w:rsid w:val="00D43B2A"/>
    <w:rsid w:val="00D44843"/>
    <w:rsid w:val="00D45FA8"/>
    <w:rsid w:val="00D46EC2"/>
    <w:rsid w:val="00D47575"/>
    <w:rsid w:val="00D51B26"/>
    <w:rsid w:val="00D525A5"/>
    <w:rsid w:val="00D52C53"/>
    <w:rsid w:val="00D53185"/>
    <w:rsid w:val="00D5536F"/>
    <w:rsid w:val="00D558FA"/>
    <w:rsid w:val="00D60C2B"/>
    <w:rsid w:val="00D60F5F"/>
    <w:rsid w:val="00D62E89"/>
    <w:rsid w:val="00D6522B"/>
    <w:rsid w:val="00D65B73"/>
    <w:rsid w:val="00D65FBA"/>
    <w:rsid w:val="00D67472"/>
    <w:rsid w:val="00D675E4"/>
    <w:rsid w:val="00D677CC"/>
    <w:rsid w:val="00D7049D"/>
    <w:rsid w:val="00D70F16"/>
    <w:rsid w:val="00D70FAB"/>
    <w:rsid w:val="00D71766"/>
    <w:rsid w:val="00D717D2"/>
    <w:rsid w:val="00D73D1A"/>
    <w:rsid w:val="00D750EE"/>
    <w:rsid w:val="00D76A44"/>
    <w:rsid w:val="00D80E8E"/>
    <w:rsid w:val="00D815EF"/>
    <w:rsid w:val="00D8255C"/>
    <w:rsid w:val="00D8316D"/>
    <w:rsid w:val="00D83769"/>
    <w:rsid w:val="00D83C22"/>
    <w:rsid w:val="00D87520"/>
    <w:rsid w:val="00D90963"/>
    <w:rsid w:val="00D90DF4"/>
    <w:rsid w:val="00D91420"/>
    <w:rsid w:val="00D91923"/>
    <w:rsid w:val="00D91E23"/>
    <w:rsid w:val="00D92E0E"/>
    <w:rsid w:val="00D934B9"/>
    <w:rsid w:val="00D93753"/>
    <w:rsid w:val="00D94185"/>
    <w:rsid w:val="00D943E2"/>
    <w:rsid w:val="00D95D35"/>
    <w:rsid w:val="00D967BA"/>
    <w:rsid w:val="00D96F67"/>
    <w:rsid w:val="00DA0097"/>
    <w:rsid w:val="00DA08CF"/>
    <w:rsid w:val="00DA0FB4"/>
    <w:rsid w:val="00DA119E"/>
    <w:rsid w:val="00DA1218"/>
    <w:rsid w:val="00DA15A2"/>
    <w:rsid w:val="00DA3167"/>
    <w:rsid w:val="00DA3F07"/>
    <w:rsid w:val="00DA4DC3"/>
    <w:rsid w:val="00DA5E08"/>
    <w:rsid w:val="00DA77A5"/>
    <w:rsid w:val="00DB0838"/>
    <w:rsid w:val="00DB0F10"/>
    <w:rsid w:val="00DB2C12"/>
    <w:rsid w:val="00DB484F"/>
    <w:rsid w:val="00DB4C9B"/>
    <w:rsid w:val="00DB4CC1"/>
    <w:rsid w:val="00DB51E3"/>
    <w:rsid w:val="00DB5A7C"/>
    <w:rsid w:val="00DB7588"/>
    <w:rsid w:val="00DB7F9B"/>
    <w:rsid w:val="00DC04F6"/>
    <w:rsid w:val="00DC161C"/>
    <w:rsid w:val="00DC3C57"/>
    <w:rsid w:val="00DC494D"/>
    <w:rsid w:val="00DC52B1"/>
    <w:rsid w:val="00DC5501"/>
    <w:rsid w:val="00DD06DE"/>
    <w:rsid w:val="00DD1213"/>
    <w:rsid w:val="00DD1F73"/>
    <w:rsid w:val="00DD273C"/>
    <w:rsid w:val="00DD3A44"/>
    <w:rsid w:val="00DD3A5F"/>
    <w:rsid w:val="00DD3F28"/>
    <w:rsid w:val="00DD4537"/>
    <w:rsid w:val="00DD46D2"/>
    <w:rsid w:val="00DD4E15"/>
    <w:rsid w:val="00DD5743"/>
    <w:rsid w:val="00DD5940"/>
    <w:rsid w:val="00DD70C3"/>
    <w:rsid w:val="00DE1314"/>
    <w:rsid w:val="00DE3138"/>
    <w:rsid w:val="00DE366B"/>
    <w:rsid w:val="00DE37F8"/>
    <w:rsid w:val="00DE3C08"/>
    <w:rsid w:val="00DE3E17"/>
    <w:rsid w:val="00DE4FCB"/>
    <w:rsid w:val="00DE5E56"/>
    <w:rsid w:val="00DE7832"/>
    <w:rsid w:val="00DF0DCF"/>
    <w:rsid w:val="00DF0E56"/>
    <w:rsid w:val="00DF18FC"/>
    <w:rsid w:val="00DF2FCE"/>
    <w:rsid w:val="00DF350A"/>
    <w:rsid w:val="00DF3949"/>
    <w:rsid w:val="00DF5513"/>
    <w:rsid w:val="00DF5D2B"/>
    <w:rsid w:val="00DF5D3A"/>
    <w:rsid w:val="00DF66B8"/>
    <w:rsid w:val="00E00E8E"/>
    <w:rsid w:val="00E016F3"/>
    <w:rsid w:val="00E01D23"/>
    <w:rsid w:val="00E05630"/>
    <w:rsid w:val="00E06DBB"/>
    <w:rsid w:val="00E0737F"/>
    <w:rsid w:val="00E10149"/>
    <w:rsid w:val="00E10735"/>
    <w:rsid w:val="00E108DB"/>
    <w:rsid w:val="00E1219B"/>
    <w:rsid w:val="00E13B78"/>
    <w:rsid w:val="00E13C23"/>
    <w:rsid w:val="00E15133"/>
    <w:rsid w:val="00E15B48"/>
    <w:rsid w:val="00E161D3"/>
    <w:rsid w:val="00E16372"/>
    <w:rsid w:val="00E163FF"/>
    <w:rsid w:val="00E20AAC"/>
    <w:rsid w:val="00E20E4D"/>
    <w:rsid w:val="00E20ED6"/>
    <w:rsid w:val="00E21032"/>
    <w:rsid w:val="00E21358"/>
    <w:rsid w:val="00E21D94"/>
    <w:rsid w:val="00E2249B"/>
    <w:rsid w:val="00E22A0D"/>
    <w:rsid w:val="00E2326F"/>
    <w:rsid w:val="00E23939"/>
    <w:rsid w:val="00E2466E"/>
    <w:rsid w:val="00E24C4E"/>
    <w:rsid w:val="00E2608B"/>
    <w:rsid w:val="00E27142"/>
    <w:rsid w:val="00E2771E"/>
    <w:rsid w:val="00E3044C"/>
    <w:rsid w:val="00E31706"/>
    <w:rsid w:val="00E31B49"/>
    <w:rsid w:val="00E32A59"/>
    <w:rsid w:val="00E339ED"/>
    <w:rsid w:val="00E344FF"/>
    <w:rsid w:val="00E34948"/>
    <w:rsid w:val="00E35CE4"/>
    <w:rsid w:val="00E37569"/>
    <w:rsid w:val="00E410A3"/>
    <w:rsid w:val="00E413BD"/>
    <w:rsid w:val="00E41E30"/>
    <w:rsid w:val="00E43D70"/>
    <w:rsid w:val="00E44360"/>
    <w:rsid w:val="00E466F3"/>
    <w:rsid w:val="00E46ABC"/>
    <w:rsid w:val="00E47216"/>
    <w:rsid w:val="00E47B2C"/>
    <w:rsid w:val="00E5058D"/>
    <w:rsid w:val="00E51560"/>
    <w:rsid w:val="00E52F54"/>
    <w:rsid w:val="00E54347"/>
    <w:rsid w:val="00E55424"/>
    <w:rsid w:val="00E55BB5"/>
    <w:rsid w:val="00E56AF2"/>
    <w:rsid w:val="00E60427"/>
    <w:rsid w:val="00E62B01"/>
    <w:rsid w:val="00E6526C"/>
    <w:rsid w:val="00E65A0E"/>
    <w:rsid w:val="00E65E79"/>
    <w:rsid w:val="00E66BA2"/>
    <w:rsid w:val="00E67416"/>
    <w:rsid w:val="00E71247"/>
    <w:rsid w:val="00E717CB"/>
    <w:rsid w:val="00E718B6"/>
    <w:rsid w:val="00E723BA"/>
    <w:rsid w:val="00E73581"/>
    <w:rsid w:val="00E7399D"/>
    <w:rsid w:val="00E74F16"/>
    <w:rsid w:val="00E75830"/>
    <w:rsid w:val="00E77985"/>
    <w:rsid w:val="00E81799"/>
    <w:rsid w:val="00E82243"/>
    <w:rsid w:val="00E829D8"/>
    <w:rsid w:val="00E833F7"/>
    <w:rsid w:val="00E83B81"/>
    <w:rsid w:val="00E83BDF"/>
    <w:rsid w:val="00E8489F"/>
    <w:rsid w:val="00E86751"/>
    <w:rsid w:val="00E873F7"/>
    <w:rsid w:val="00E87A1D"/>
    <w:rsid w:val="00E909C6"/>
    <w:rsid w:val="00E90CFD"/>
    <w:rsid w:val="00E926A5"/>
    <w:rsid w:val="00E9538E"/>
    <w:rsid w:val="00E965DF"/>
    <w:rsid w:val="00E96FED"/>
    <w:rsid w:val="00E97B7D"/>
    <w:rsid w:val="00E97DA0"/>
    <w:rsid w:val="00EA0032"/>
    <w:rsid w:val="00EA107B"/>
    <w:rsid w:val="00EA17C3"/>
    <w:rsid w:val="00EA275D"/>
    <w:rsid w:val="00EA2CAA"/>
    <w:rsid w:val="00EA2EEC"/>
    <w:rsid w:val="00EA2F4A"/>
    <w:rsid w:val="00EA3864"/>
    <w:rsid w:val="00EA4BCD"/>
    <w:rsid w:val="00EA5550"/>
    <w:rsid w:val="00EA62D5"/>
    <w:rsid w:val="00EA69A7"/>
    <w:rsid w:val="00EB15B6"/>
    <w:rsid w:val="00EB285D"/>
    <w:rsid w:val="00EB2FDF"/>
    <w:rsid w:val="00EB4916"/>
    <w:rsid w:val="00EB6A14"/>
    <w:rsid w:val="00EC00C9"/>
    <w:rsid w:val="00EC1F3F"/>
    <w:rsid w:val="00EC2649"/>
    <w:rsid w:val="00EC4639"/>
    <w:rsid w:val="00EC53D2"/>
    <w:rsid w:val="00EC6571"/>
    <w:rsid w:val="00EC6C81"/>
    <w:rsid w:val="00EC7ADB"/>
    <w:rsid w:val="00ED263E"/>
    <w:rsid w:val="00ED38F4"/>
    <w:rsid w:val="00ED4688"/>
    <w:rsid w:val="00ED4EBD"/>
    <w:rsid w:val="00ED57EA"/>
    <w:rsid w:val="00ED6A28"/>
    <w:rsid w:val="00ED73C7"/>
    <w:rsid w:val="00ED7E19"/>
    <w:rsid w:val="00EE07D3"/>
    <w:rsid w:val="00EE1052"/>
    <w:rsid w:val="00EE22AF"/>
    <w:rsid w:val="00EE2B5C"/>
    <w:rsid w:val="00EE3080"/>
    <w:rsid w:val="00EE57FE"/>
    <w:rsid w:val="00EE5B15"/>
    <w:rsid w:val="00EE5F41"/>
    <w:rsid w:val="00EE66E8"/>
    <w:rsid w:val="00EE7B26"/>
    <w:rsid w:val="00EF0171"/>
    <w:rsid w:val="00EF019F"/>
    <w:rsid w:val="00EF1B25"/>
    <w:rsid w:val="00EF368B"/>
    <w:rsid w:val="00EF3E3A"/>
    <w:rsid w:val="00EF3F34"/>
    <w:rsid w:val="00EF4747"/>
    <w:rsid w:val="00EF4BF8"/>
    <w:rsid w:val="00EF5A8C"/>
    <w:rsid w:val="00F00F1D"/>
    <w:rsid w:val="00F0116C"/>
    <w:rsid w:val="00F02253"/>
    <w:rsid w:val="00F0370E"/>
    <w:rsid w:val="00F03C2E"/>
    <w:rsid w:val="00F03E50"/>
    <w:rsid w:val="00F04A66"/>
    <w:rsid w:val="00F0516C"/>
    <w:rsid w:val="00F057BF"/>
    <w:rsid w:val="00F067A2"/>
    <w:rsid w:val="00F0680F"/>
    <w:rsid w:val="00F1263A"/>
    <w:rsid w:val="00F12DD3"/>
    <w:rsid w:val="00F13935"/>
    <w:rsid w:val="00F141A2"/>
    <w:rsid w:val="00F14A69"/>
    <w:rsid w:val="00F14C48"/>
    <w:rsid w:val="00F15304"/>
    <w:rsid w:val="00F16016"/>
    <w:rsid w:val="00F16CF2"/>
    <w:rsid w:val="00F174B8"/>
    <w:rsid w:val="00F23EB4"/>
    <w:rsid w:val="00F24837"/>
    <w:rsid w:val="00F2510E"/>
    <w:rsid w:val="00F2519A"/>
    <w:rsid w:val="00F2575F"/>
    <w:rsid w:val="00F27565"/>
    <w:rsid w:val="00F30DBA"/>
    <w:rsid w:val="00F310D4"/>
    <w:rsid w:val="00F31D5A"/>
    <w:rsid w:val="00F32E93"/>
    <w:rsid w:val="00F33DE9"/>
    <w:rsid w:val="00F35A78"/>
    <w:rsid w:val="00F3619A"/>
    <w:rsid w:val="00F408B2"/>
    <w:rsid w:val="00F40AAA"/>
    <w:rsid w:val="00F40BA7"/>
    <w:rsid w:val="00F46CB6"/>
    <w:rsid w:val="00F47863"/>
    <w:rsid w:val="00F47D01"/>
    <w:rsid w:val="00F47DB1"/>
    <w:rsid w:val="00F47DE8"/>
    <w:rsid w:val="00F47E01"/>
    <w:rsid w:val="00F5139E"/>
    <w:rsid w:val="00F513B8"/>
    <w:rsid w:val="00F542C1"/>
    <w:rsid w:val="00F54642"/>
    <w:rsid w:val="00F5468F"/>
    <w:rsid w:val="00F5528B"/>
    <w:rsid w:val="00F556D5"/>
    <w:rsid w:val="00F55E73"/>
    <w:rsid w:val="00F55EDA"/>
    <w:rsid w:val="00F60092"/>
    <w:rsid w:val="00F60649"/>
    <w:rsid w:val="00F61CB7"/>
    <w:rsid w:val="00F61E27"/>
    <w:rsid w:val="00F627F8"/>
    <w:rsid w:val="00F634CB"/>
    <w:rsid w:val="00F63E00"/>
    <w:rsid w:val="00F64133"/>
    <w:rsid w:val="00F64992"/>
    <w:rsid w:val="00F65270"/>
    <w:rsid w:val="00F65EF6"/>
    <w:rsid w:val="00F65F4B"/>
    <w:rsid w:val="00F66E27"/>
    <w:rsid w:val="00F67F27"/>
    <w:rsid w:val="00F70C9D"/>
    <w:rsid w:val="00F726E9"/>
    <w:rsid w:val="00F72A2E"/>
    <w:rsid w:val="00F74932"/>
    <w:rsid w:val="00F74CD9"/>
    <w:rsid w:val="00F751F7"/>
    <w:rsid w:val="00F76A12"/>
    <w:rsid w:val="00F771F1"/>
    <w:rsid w:val="00F804A5"/>
    <w:rsid w:val="00F80A7B"/>
    <w:rsid w:val="00F80E5D"/>
    <w:rsid w:val="00F819F5"/>
    <w:rsid w:val="00F81A29"/>
    <w:rsid w:val="00F8333A"/>
    <w:rsid w:val="00F835A8"/>
    <w:rsid w:val="00F84AB3"/>
    <w:rsid w:val="00F851CE"/>
    <w:rsid w:val="00F85FF2"/>
    <w:rsid w:val="00F870E2"/>
    <w:rsid w:val="00F91219"/>
    <w:rsid w:val="00F91F5B"/>
    <w:rsid w:val="00F9441E"/>
    <w:rsid w:val="00F95CFF"/>
    <w:rsid w:val="00F96915"/>
    <w:rsid w:val="00F96E39"/>
    <w:rsid w:val="00F97A78"/>
    <w:rsid w:val="00FA04E7"/>
    <w:rsid w:val="00FA090F"/>
    <w:rsid w:val="00FA0B20"/>
    <w:rsid w:val="00FA0E5B"/>
    <w:rsid w:val="00FA1486"/>
    <w:rsid w:val="00FA24E7"/>
    <w:rsid w:val="00FA2524"/>
    <w:rsid w:val="00FA34B2"/>
    <w:rsid w:val="00FA38D6"/>
    <w:rsid w:val="00FA7226"/>
    <w:rsid w:val="00FB1901"/>
    <w:rsid w:val="00FB1CD5"/>
    <w:rsid w:val="00FB2AEB"/>
    <w:rsid w:val="00FB2FCB"/>
    <w:rsid w:val="00FB37BC"/>
    <w:rsid w:val="00FB4B45"/>
    <w:rsid w:val="00FB7150"/>
    <w:rsid w:val="00FB7CA5"/>
    <w:rsid w:val="00FC0364"/>
    <w:rsid w:val="00FC1074"/>
    <w:rsid w:val="00FC1884"/>
    <w:rsid w:val="00FC21AA"/>
    <w:rsid w:val="00FC371D"/>
    <w:rsid w:val="00FC3752"/>
    <w:rsid w:val="00FC4A4F"/>
    <w:rsid w:val="00FC5F0B"/>
    <w:rsid w:val="00FC6B90"/>
    <w:rsid w:val="00FC7145"/>
    <w:rsid w:val="00FC73AF"/>
    <w:rsid w:val="00FC75BC"/>
    <w:rsid w:val="00FD00C6"/>
    <w:rsid w:val="00FD19DF"/>
    <w:rsid w:val="00FD2007"/>
    <w:rsid w:val="00FD2100"/>
    <w:rsid w:val="00FD2E8E"/>
    <w:rsid w:val="00FD3CBD"/>
    <w:rsid w:val="00FD42F9"/>
    <w:rsid w:val="00FD436C"/>
    <w:rsid w:val="00FD446D"/>
    <w:rsid w:val="00FD6394"/>
    <w:rsid w:val="00FD6BB3"/>
    <w:rsid w:val="00FE0E6C"/>
    <w:rsid w:val="00FE2D90"/>
    <w:rsid w:val="00FE3E21"/>
    <w:rsid w:val="00FE4E8C"/>
    <w:rsid w:val="00FE6098"/>
    <w:rsid w:val="00FE620C"/>
    <w:rsid w:val="00FE70C3"/>
    <w:rsid w:val="00FE70C8"/>
    <w:rsid w:val="00FE78B3"/>
    <w:rsid w:val="00FE7ACA"/>
    <w:rsid w:val="00FF3DCF"/>
    <w:rsid w:val="00FF492C"/>
    <w:rsid w:val="00FF4A21"/>
    <w:rsid w:val="00FF51FC"/>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89F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6D5"/>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qFormat/>
    <w:rsid w:val="001B204E"/>
    <w:pPr>
      <w:ind w:left="720" w:hanging="720"/>
      <w:outlineLvl w:val="0"/>
    </w:pPr>
    <w:rPr>
      <w:b/>
      <w:caps/>
      <w:sz w:val="32"/>
    </w:rPr>
  </w:style>
  <w:style w:type="paragraph" w:styleId="Heading2">
    <w:name w:val="heading 2"/>
    <w:basedOn w:val="Normal"/>
    <w:next w:val="Normal"/>
    <w:link w:val="Heading2Char"/>
    <w:qFormat/>
    <w:rsid w:val="00100A7A"/>
    <w:pPr>
      <w:spacing w:after="120"/>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00A7A"/>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PBAC Table Footnote"/>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PBAC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100A7A"/>
    <w:pPr>
      <w:numPr>
        <w:numId w:val="3"/>
      </w:numPr>
      <w:spacing w:before="120" w:after="120"/>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PBACbullet">
    <w:name w:val="PBAC bullet"/>
    <w:basedOn w:val="ListParagraph"/>
    <w:link w:val="PBACbulletChar"/>
    <w:qFormat/>
    <w:rsid w:val="00D100CA"/>
    <w:pPr>
      <w:widowControl/>
      <w:numPr>
        <w:numId w:val="5"/>
      </w:numPr>
      <w:spacing w:after="240"/>
      <w:contextualSpacing/>
    </w:pPr>
    <w:rPr>
      <w:rFonts w:asciiTheme="minorHAnsi" w:eastAsiaTheme="minorHAnsi" w:hAnsiTheme="minorHAnsi"/>
      <w:snapToGrid/>
      <w:sz w:val="22"/>
    </w:rPr>
  </w:style>
  <w:style w:type="character" w:customStyle="1" w:styleId="PBACbulletChar">
    <w:name w:val="PBAC bullet Char"/>
    <w:basedOn w:val="ListParagraphChar"/>
    <w:link w:val="PBACbullet"/>
    <w:rsid w:val="00D100CA"/>
    <w:rPr>
      <w:rFonts w:asciiTheme="minorHAnsi" w:eastAsiaTheme="minorHAnsi" w:hAnsiTheme="minorHAnsi" w:cs="Arial"/>
      <w:snapToGrid/>
      <w:sz w:val="22"/>
      <w:szCs w:val="22"/>
      <w:lang w:eastAsia="en-US"/>
    </w:rPr>
  </w:style>
  <w:style w:type="paragraph" w:customStyle="1" w:styleId="PBACHeading5notnumbered">
    <w:name w:val="PBAC Heading 5 not numbered"/>
    <w:basedOn w:val="Heading5"/>
    <w:link w:val="PBACHeading5notnumberedChar"/>
    <w:qFormat/>
    <w:rsid w:val="00D42B54"/>
    <w:pPr>
      <w:keepNext/>
      <w:keepLines/>
      <w:widowControl/>
      <w:spacing w:before="60"/>
    </w:pPr>
    <w:rPr>
      <w:rFonts w:asciiTheme="minorHAnsi" w:eastAsiaTheme="majorEastAsia" w:hAnsiTheme="minorHAnsi" w:cstheme="majorBidi"/>
      <w:b w:val="0"/>
      <w:bCs w:val="0"/>
      <w:i/>
      <w:iCs w:val="0"/>
      <w:snapToGrid/>
      <w:sz w:val="22"/>
      <w:szCs w:val="20"/>
    </w:rPr>
  </w:style>
  <w:style w:type="character" w:customStyle="1" w:styleId="PBACHeading5notnumberedChar">
    <w:name w:val="PBAC Heading 5 not numbered Char"/>
    <w:basedOn w:val="DefaultParagraphFont"/>
    <w:link w:val="PBACHeading5notnumbered"/>
    <w:rsid w:val="00D42B54"/>
    <w:rPr>
      <w:rFonts w:asciiTheme="minorHAnsi" w:eastAsiaTheme="majorEastAsia" w:hAnsiTheme="minorHAnsi" w:cstheme="majorBidi"/>
      <w:i/>
      <w:sz w:val="22"/>
      <w:lang w:eastAsia="en-US"/>
    </w:rPr>
  </w:style>
  <w:style w:type="paragraph" w:customStyle="1" w:styleId="PBACTableText">
    <w:name w:val="PBAC Table Text"/>
    <w:basedOn w:val="Normal"/>
    <w:link w:val="PBACTableTextChar"/>
    <w:qFormat/>
    <w:rsid w:val="00D42B54"/>
    <w:pPr>
      <w:widowControl/>
      <w:spacing w:before="40" w:after="40"/>
    </w:pPr>
    <w:rPr>
      <w:rFonts w:ascii="Arial Narrow" w:hAnsi="Arial Narrow" w:cs="Times New Roman"/>
      <w:snapToGrid/>
      <w:sz w:val="20"/>
      <w:szCs w:val="20"/>
    </w:rPr>
  </w:style>
  <w:style w:type="character" w:customStyle="1" w:styleId="PBACTableTextChar">
    <w:name w:val="PBAC Table Text Char"/>
    <w:basedOn w:val="DefaultParagraphFont"/>
    <w:link w:val="PBACTableText"/>
    <w:rsid w:val="00D42B54"/>
    <w:rPr>
      <w:rFonts w:ascii="Arial Narrow" w:hAnsi="Arial Narrow"/>
      <w:lang w:eastAsia="en-US"/>
    </w:rPr>
  </w:style>
  <w:style w:type="paragraph" w:customStyle="1" w:styleId="PBACcaption">
    <w:name w:val="PBAC caption"/>
    <w:basedOn w:val="Normal"/>
    <w:link w:val="PBACcaptionChar"/>
    <w:qFormat/>
    <w:rsid w:val="00DC494D"/>
    <w:pPr>
      <w:widowControl/>
    </w:pPr>
    <w:rPr>
      <w:rFonts w:ascii="Arial Narrow" w:eastAsiaTheme="minorHAnsi" w:hAnsi="Arial Narrow"/>
      <w:b/>
      <w:snapToGrid/>
      <w:sz w:val="22"/>
    </w:rPr>
  </w:style>
  <w:style w:type="character" w:customStyle="1" w:styleId="PBACcaptionChar">
    <w:name w:val="PBAC caption Char"/>
    <w:basedOn w:val="DefaultParagraphFont"/>
    <w:link w:val="PBACcaption"/>
    <w:rsid w:val="00DC494D"/>
    <w:rPr>
      <w:rFonts w:ascii="Arial Narrow" w:eastAsiaTheme="minorHAnsi" w:hAnsi="Arial Narrow" w:cs="Arial"/>
      <w:b/>
      <w:sz w:val="22"/>
      <w:szCs w:val="22"/>
      <w:lang w:eastAsia="en-US"/>
    </w:rPr>
  </w:style>
  <w:style w:type="paragraph" w:customStyle="1" w:styleId="PbacTableHeading">
    <w:name w:val="Pbac Table Heading"/>
    <w:basedOn w:val="Normal"/>
    <w:qFormat/>
    <w:rsid w:val="00DC494D"/>
    <w:pPr>
      <w:widowControl/>
      <w:spacing w:after="80"/>
    </w:pPr>
    <w:rPr>
      <w:rFonts w:ascii="Arial Narrow" w:eastAsiaTheme="minorHAnsi" w:hAnsi="Arial Narrow"/>
      <w:b/>
      <w:snapToGrid/>
      <w:sz w:val="20"/>
      <w:szCs w:val="20"/>
    </w:rPr>
  </w:style>
  <w:style w:type="paragraph" w:customStyle="1" w:styleId="TableText0">
    <w:name w:val="Table Text"/>
    <w:basedOn w:val="Normal"/>
    <w:link w:val="TableTextChar0"/>
    <w:qFormat/>
    <w:rsid w:val="00DC494D"/>
    <w:pPr>
      <w:keepNext/>
      <w:keepLines/>
      <w:widowControl/>
      <w:spacing w:before="40" w:after="40"/>
      <w:jc w:val="left"/>
    </w:pPr>
    <w:rPr>
      <w:rFonts w:ascii="Arial Narrow" w:eastAsia="TimesNewRoman" w:hAnsi="Arial Narrow" w:cs="Times New Roman"/>
      <w:snapToGrid/>
      <w:color w:val="000000"/>
      <w:sz w:val="20"/>
      <w:szCs w:val="20"/>
      <w:lang w:val="en-US" w:eastAsia="en-AU"/>
    </w:rPr>
  </w:style>
  <w:style w:type="character" w:customStyle="1" w:styleId="TableTextChar0">
    <w:name w:val="Table Text Char"/>
    <w:link w:val="TableText0"/>
    <w:rsid w:val="00DC494D"/>
    <w:rPr>
      <w:rFonts w:ascii="Arial Narrow" w:eastAsia="TimesNewRoman" w:hAnsi="Arial Narrow"/>
      <w:color w:val="000000"/>
      <w:lang w:val="en-US"/>
    </w:rPr>
  </w:style>
  <w:style w:type="paragraph" w:customStyle="1" w:styleId="Dash">
    <w:name w:val="Dash"/>
    <w:basedOn w:val="Normal"/>
    <w:rsid w:val="00145EF0"/>
    <w:pPr>
      <w:widowControl/>
      <w:numPr>
        <w:numId w:val="13"/>
      </w:numPr>
      <w:spacing w:after="40"/>
      <w:ind w:left="714" w:hanging="357"/>
    </w:pPr>
    <w:rPr>
      <w:rFonts w:asciiTheme="minorHAnsi" w:eastAsiaTheme="minorHAnsi" w:hAnsiTheme="minorHAnsi" w:cstheme="minorBidi"/>
      <w:snapToGrid/>
      <w:sz w:val="22"/>
    </w:rPr>
  </w:style>
  <w:style w:type="paragraph" w:customStyle="1" w:styleId="Tablefootnote">
    <w:name w:val="Table footnote"/>
    <w:basedOn w:val="Normal"/>
    <w:link w:val="TablefootnoteChar"/>
    <w:qFormat/>
    <w:rsid w:val="00145EF0"/>
    <w:pPr>
      <w:keepNext/>
      <w:keepLines/>
      <w:widowControl/>
      <w:spacing w:after="360"/>
      <w:contextualSpacing/>
    </w:pPr>
    <w:rPr>
      <w:rFonts w:ascii="Arial Narrow" w:hAnsi="Arial Narrow" w:cs="Times New Roman"/>
      <w:snapToGrid/>
      <w:sz w:val="18"/>
    </w:rPr>
  </w:style>
  <w:style w:type="character" w:customStyle="1" w:styleId="TablefootnoteChar">
    <w:name w:val="Table footnote Char"/>
    <w:basedOn w:val="DefaultParagraphFont"/>
    <w:link w:val="Tablefootnote"/>
    <w:rsid w:val="00145EF0"/>
    <w:rPr>
      <w:rFonts w:ascii="Arial Narrow" w:hAnsi="Arial Narrow"/>
      <w:sz w:val="18"/>
      <w:szCs w:val="22"/>
      <w:lang w:eastAsia="en-US"/>
    </w:rPr>
  </w:style>
  <w:style w:type="character" w:customStyle="1" w:styleId="PBACTitlePage224ptBold">
    <w:name w:val="PBAC Title Page 2 24 pt Bold"/>
    <w:basedOn w:val="DefaultParagraphFont"/>
    <w:rsid w:val="00783F55"/>
    <w:rPr>
      <w:b/>
      <w:bCs/>
      <w:sz w:val="48"/>
    </w:rPr>
  </w:style>
  <w:style w:type="character" w:customStyle="1" w:styleId="Heading1Char">
    <w:name w:val="Heading 1 Char"/>
    <w:basedOn w:val="DefaultParagraphFont"/>
    <w:link w:val="Heading1"/>
    <w:rsid w:val="00F72A2E"/>
    <w:rPr>
      <w:rFonts w:ascii="Calibri" w:hAnsi="Calibri" w:cs="Arial"/>
      <w:b/>
      <w:caps/>
      <w:snapToGrid w:val="0"/>
      <w:sz w:val="32"/>
      <w:szCs w:val="22"/>
      <w:lang w:eastAsia="en-US"/>
    </w:rPr>
  </w:style>
  <w:style w:type="character" w:customStyle="1" w:styleId="Heading3Char">
    <w:name w:val="Heading 3 Char"/>
    <w:basedOn w:val="DefaultParagraphFont"/>
    <w:link w:val="Heading3"/>
    <w:rsid w:val="00F72A2E"/>
    <w:rPr>
      <w:rFonts w:ascii="Calibri" w:hAnsi="Calibri" w:cs="Arial"/>
      <w:snapToGrid w:val="0"/>
      <w:sz w:val="24"/>
      <w:szCs w:val="22"/>
      <w:u w:val="single"/>
      <w:lang w:eastAsia="en-US"/>
    </w:rPr>
  </w:style>
  <w:style w:type="character" w:customStyle="1" w:styleId="Heading4Char">
    <w:name w:val="Heading 4 Char"/>
    <w:basedOn w:val="DefaultParagraphFont"/>
    <w:link w:val="Heading4"/>
    <w:rsid w:val="00F72A2E"/>
    <w:rPr>
      <w:rFonts w:ascii="Calibri" w:hAnsi="Calibri" w:cs="Arial"/>
      <w:b/>
      <w:bCs/>
      <w:i/>
      <w:snapToGrid w:val="0"/>
      <w:sz w:val="26"/>
      <w:szCs w:val="28"/>
      <w:lang w:eastAsia="en-US"/>
    </w:rPr>
  </w:style>
  <w:style w:type="character" w:customStyle="1" w:styleId="Heading5Char">
    <w:name w:val="Heading 5 Char"/>
    <w:basedOn w:val="DefaultParagraphFont"/>
    <w:link w:val="Heading5"/>
    <w:rsid w:val="00F72A2E"/>
    <w:rPr>
      <w:rFonts w:ascii="Calibri" w:hAnsi="Calibri" w:cs="Arial"/>
      <w:b/>
      <w:bCs/>
      <w:iCs/>
      <w:snapToGrid w:val="0"/>
      <w:sz w:val="26"/>
      <w:szCs w:val="26"/>
      <w:lang w:eastAsia="en-US"/>
    </w:rPr>
  </w:style>
  <w:style w:type="character" w:customStyle="1" w:styleId="Heading6Char">
    <w:name w:val="Heading 6 Char"/>
    <w:basedOn w:val="DefaultParagraphFont"/>
    <w:link w:val="Heading6"/>
    <w:rsid w:val="00F72A2E"/>
    <w:rPr>
      <w:rFonts w:ascii="Calibri" w:hAnsi="Calibri" w:cs="Arial"/>
      <w:b/>
      <w:bCs/>
      <w:i/>
      <w:snapToGrid w:val="0"/>
      <w:sz w:val="24"/>
      <w:szCs w:val="22"/>
      <w:lang w:eastAsia="en-US"/>
    </w:rPr>
  </w:style>
  <w:style w:type="paragraph" w:customStyle="1" w:styleId="PBACtablecaption">
    <w:name w:val="PBAC table caption"/>
    <w:basedOn w:val="PBACTableText"/>
    <w:link w:val="PBACtablecaptionChar"/>
    <w:rsid w:val="00521504"/>
    <w:pPr>
      <w:spacing w:before="0" w:after="0"/>
    </w:pPr>
    <w:rPr>
      <w:rFonts w:eastAsiaTheme="minorHAnsi" w:cs="Arial"/>
      <w:sz w:val="18"/>
      <w:szCs w:val="18"/>
    </w:rPr>
  </w:style>
  <w:style w:type="character" w:customStyle="1" w:styleId="PBACtablecaptionChar">
    <w:name w:val="PBAC table caption Char"/>
    <w:basedOn w:val="PBACTableTextChar"/>
    <w:link w:val="PBACtablecaption"/>
    <w:rsid w:val="00521504"/>
    <w:rPr>
      <w:rFonts w:ascii="Arial Narrow" w:eastAsiaTheme="minorHAnsi" w:hAnsi="Arial Narrow" w:cs="Arial"/>
      <w:sz w:val="18"/>
      <w:szCs w:val="18"/>
      <w:lang w:eastAsia="en-US"/>
    </w:rPr>
  </w:style>
  <w:style w:type="paragraph" w:customStyle="1" w:styleId="Default">
    <w:name w:val="Default"/>
    <w:rsid w:val="00FF51FC"/>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1428">
      <w:bodyDiv w:val="1"/>
      <w:marLeft w:val="0"/>
      <w:marRight w:val="0"/>
      <w:marTop w:val="0"/>
      <w:marBottom w:val="0"/>
      <w:divBdr>
        <w:top w:val="none" w:sz="0" w:space="0" w:color="auto"/>
        <w:left w:val="none" w:sz="0" w:space="0" w:color="auto"/>
        <w:bottom w:val="none" w:sz="0" w:space="0" w:color="auto"/>
        <w:right w:val="none" w:sz="0" w:space="0" w:color="auto"/>
      </w:divBdr>
    </w:div>
    <w:div w:id="617637490">
      <w:bodyDiv w:val="1"/>
      <w:marLeft w:val="0"/>
      <w:marRight w:val="0"/>
      <w:marTop w:val="0"/>
      <w:marBottom w:val="0"/>
      <w:divBdr>
        <w:top w:val="none" w:sz="0" w:space="0" w:color="auto"/>
        <w:left w:val="none" w:sz="0" w:space="0" w:color="auto"/>
        <w:bottom w:val="none" w:sz="0" w:space="0" w:color="auto"/>
        <w:right w:val="none" w:sz="0" w:space="0" w:color="auto"/>
      </w:divBdr>
    </w:div>
    <w:div w:id="134343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6BAA6-37C8-4B24-8031-6F6E867BE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6812</Words>
  <Characters>39025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2019-02-21T05:24:00Z</dcterms:created>
  <dcterms:modified xsi:type="dcterms:W3CDTF">2019-02-25T04:37:00Z</dcterms:modified>
</cp:coreProperties>
</file>